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C4" w:rsidRDefault="00816880" w:rsidP="00816880">
      <w:pPr>
        <w:jc w:val="center"/>
        <w:rPr>
          <w:rFonts w:ascii="Book Antiqua" w:hAnsi="Book Antiqua" w:cs="FrankRuehl"/>
          <w:b/>
          <w:sz w:val="28"/>
          <w:szCs w:val="28"/>
          <w:u w:val="single"/>
        </w:rPr>
      </w:pPr>
      <w:r w:rsidRPr="00FA2567">
        <w:rPr>
          <w:rFonts w:ascii="Book Antiqua" w:hAnsi="Book Antiqua" w:cs="FrankRuehl"/>
          <w:b/>
          <w:sz w:val="28"/>
          <w:szCs w:val="28"/>
          <w:u w:val="single"/>
        </w:rPr>
        <w:t>IMPORTANT AMENDMENTS MADE BY THE FINANCE BILL 2009</w:t>
      </w:r>
    </w:p>
    <w:p w:rsidR="00D14F00" w:rsidRPr="00D14F00" w:rsidRDefault="00D14F00" w:rsidP="00D14F00">
      <w:pPr>
        <w:jc w:val="right"/>
        <w:rPr>
          <w:rFonts w:ascii="Book Antiqua" w:hAnsi="Book Antiqua" w:cs="FrankRuehl"/>
          <w:b/>
          <w:sz w:val="24"/>
          <w:szCs w:val="24"/>
        </w:rPr>
      </w:pPr>
      <w:r>
        <w:rPr>
          <w:rFonts w:ascii="Book Antiqua" w:hAnsi="Book Antiqua" w:cs="FrankRuehl"/>
          <w:b/>
          <w:sz w:val="24"/>
          <w:szCs w:val="24"/>
        </w:rPr>
        <w:t>*To Be Utilised/Circulated For Professional Purposes Only</w:t>
      </w:r>
    </w:p>
    <w:p w:rsidR="00816880" w:rsidRPr="00FA2567" w:rsidRDefault="00816880" w:rsidP="00816880">
      <w:pPr>
        <w:pStyle w:val="NoSpacing"/>
        <w:numPr>
          <w:ilvl w:val="0"/>
          <w:numId w:val="1"/>
        </w:numPr>
        <w:rPr>
          <w:rFonts w:ascii="Book Antiqua" w:hAnsi="Book Antiqua" w:cs="FrankRuehl"/>
          <w:sz w:val="24"/>
          <w:szCs w:val="24"/>
          <w:u w:val="single"/>
        </w:rPr>
      </w:pPr>
      <w:r w:rsidRPr="00FA2567">
        <w:rPr>
          <w:rFonts w:ascii="Book Antiqua" w:hAnsi="Book Antiqua" w:cs="FrankRuehl"/>
          <w:sz w:val="24"/>
          <w:szCs w:val="24"/>
          <w:u w:val="single"/>
        </w:rPr>
        <w:t>Exemption Limit on Personal Total Income</w:t>
      </w:r>
    </w:p>
    <w:p w:rsidR="00816880" w:rsidRPr="00FA2567" w:rsidRDefault="00816880" w:rsidP="00816880">
      <w:pPr>
        <w:pStyle w:val="ListParagraph"/>
        <w:widowControl w:val="0"/>
        <w:numPr>
          <w:ilvl w:val="0"/>
          <w:numId w:val="2"/>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color w:val="292526"/>
          <w:spacing w:val="-1"/>
          <w:sz w:val="24"/>
          <w:szCs w:val="24"/>
        </w:rPr>
        <w:t>In case of every individual, being a woman resident in India and below the age of sixty five years- Rs. 190000.</w:t>
      </w:r>
    </w:p>
    <w:p w:rsidR="00816880" w:rsidRPr="00FA2567" w:rsidRDefault="00816880" w:rsidP="00816880">
      <w:pPr>
        <w:pStyle w:val="ListParagraph"/>
        <w:widowControl w:val="0"/>
        <w:numPr>
          <w:ilvl w:val="0"/>
          <w:numId w:val="2"/>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color w:val="292526"/>
          <w:spacing w:val="-1"/>
          <w:sz w:val="24"/>
          <w:szCs w:val="24"/>
        </w:rPr>
        <w:t xml:space="preserve">In case of every individual, being a senior </w:t>
      </w:r>
      <w:proofErr w:type="gramStart"/>
      <w:r w:rsidRPr="00FA2567">
        <w:rPr>
          <w:rFonts w:ascii="Book Antiqua" w:hAnsi="Book Antiqua" w:cs="FrankRuehl"/>
          <w:color w:val="292526"/>
          <w:spacing w:val="-1"/>
          <w:sz w:val="24"/>
          <w:szCs w:val="24"/>
        </w:rPr>
        <w:t>citizen  (</w:t>
      </w:r>
      <w:proofErr w:type="gramEnd"/>
      <w:r w:rsidRPr="00FA2567">
        <w:rPr>
          <w:rFonts w:ascii="Book Antiqua" w:hAnsi="Book Antiqua" w:cs="FrankRuehl"/>
          <w:color w:val="292526"/>
          <w:spacing w:val="-1"/>
          <w:sz w:val="24"/>
          <w:szCs w:val="24"/>
        </w:rPr>
        <w:t>person of the age of sixty five years or more) resident in India- Rs. 240000.</w:t>
      </w:r>
    </w:p>
    <w:p w:rsidR="00816880" w:rsidRPr="00FA2567" w:rsidRDefault="00816880" w:rsidP="00816880">
      <w:pPr>
        <w:pStyle w:val="ListParagraph"/>
        <w:widowControl w:val="0"/>
        <w:numPr>
          <w:ilvl w:val="0"/>
          <w:numId w:val="2"/>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color w:val="292526"/>
          <w:spacing w:val="-1"/>
          <w:sz w:val="24"/>
          <w:szCs w:val="24"/>
        </w:rPr>
        <w:t>In case of other individuals, association of persons, body of individuals, etc. – Rs.160000.</w:t>
      </w:r>
    </w:p>
    <w:p w:rsidR="00816880" w:rsidRPr="00FA2567" w:rsidRDefault="00816880" w:rsidP="00816880">
      <w:pPr>
        <w:widowControl w:val="0"/>
        <w:autoSpaceDE w:val="0"/>
        <w:autoSpaceDN w:val="0"/>
        <w:adjustRightInd w:val="0"/>
        <w:spacing w:after="0" w:line="240" w:lineRule="auto"/>
        <w:jc w:val="both"/>
        <w:rPr>
          <w:rFonts w:ascii="Book Antiqua" w:hAnsi="Book Antiqua" w:cs="FrankRuehl"/>
          <w:color w:val="292526"/>
          <w:spacing w:val="-1"/>
          <w:sz w:val="24"/>
          <w:szCs w:val="24"/>
        </w:rPr>
      </w:pPr>
    </w:p>
    <w:p w:rsidR="00816880" w:rsidRPr="00FA2567" w:rsidRDefault="00816880" w:rsidP="00816880">
      <w:pPr>
        <w:widowControl w:val="0"/>
        <w:autoSpaceDE w:val="0"/>
        <w:autoSpaceDN w:val="0"/>
        <w:adjustRightInd w:val="0"/>
        <w:spacing w:after="0" w:line="240" w:lineRule="auto"/>
        <w:ind w:left="720"/>
        <w:jc w:val="both"/>
        <w:rPr>
          <w:rFonts w:ascii="Book Antiqua" w:hAnsi="Book Antiqua" w:cs="FrankRuehl"/>
          <w:color w:val="292526"/>
          <w:spacing w:val="-1"/>
          <w:sz w:val="24"/>
          <w:szCs w:val="24"/>
        </w:rPr>
      </w:pPr>
      <w:r w:rsidRPr="00FA2567">
        <w:rPr>
          <w:rFonts w:ascii="Book Antiqua" w:hAnsi="Book Antiqua" w:cs="FrankRuehl"/>
          <w:color w:val="292526"/>
          <w:spacing w:val="-1"/>
          <w:sz w:val="24"/>
          <w:szCs w:val="24"/>
        </w:rPr>
        <w:t xml:space="preserve">Note: No Surcharge on Income Tax is </w:t>
      </w:r>
      <w:r w:rsidR="00D14F00">
        <w:rPr>
          <w:rFonts w:ascii="Book Antiqua" w:hAnsi="Book Antiqua" w:cs="FrankRuehl"/>
          <w:color w:val="292526"/>
          <w:spacing w:val="-1"/>
          <w:sz w:val="24"/>
          <w:szCs w:val="24"/>
        </w:rPr>
        <w:t>payable</w:t>
      </w:r>
      <w:r w:rsidRPr="00FA2567">
        <w:rPr>
          <w:rFonts w:ascii="Book Antiqua" w:hAnsi="Book Antiqua" w:cs="FrankRuehl"/>
          <w:color w:val="292526"/>
          <w:spacing w:val="-1"/>
          <w:sz w:val="24"/>
          <w:szCs w:val="24"/>
        </w:rPr>
        <w:t>, irrespective of the total income.</w:t>
      </w:r>
    </w:p>
    <w:p w:rsidR="00816880" w:rsidRPr="00FA2567" w:rsidRDefault="00816880" w:rsidP="00816880">
      <w:pPr>
        <w:widowControl w:val="0"/>
        <w:autoSpaceDE w:val="0"/>
        <w:autoSpaceDN w:val="0"/>
        <w:adjustRightInd w:val="0"/>
        <w:spacing w:after="0" w:line="240" w:lineRule="auto"/>
        <w:jc w:val="both"/>
        <w:rPr>
          <w:rFonts w:ascii="Book Antiqua" w:hAnsi="Book Antiqua" w:cs="FrankRuehl"/>
          <w:color w:val="292526"/>
          <w:spacing w:val="-1"/>
          <w:sz w:val="24"/>
          <w:szCs w:val="24"/>
        </w:rPr>
      </w:pPr>
    </w:p>
    <w:p w:rsidR="00816880" w:rsidRPr="00FA2567" w:rsidRDefault="00816880" w:rsidP="0081688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color w:val="292526"/>
          <w:spacing w:val="-1"/>
          <w:sz w:val="24"/>
          <w:szCs w:val="24"/>
        </w:rPr>
        <w:t xml:space="preserve">No Surcharge </w:t>
      </w:r>
      <w:r w:rsidR="001368A8" w:rsidRPr="00FA2567">
        <w:rPr>
          <w:rFonts w:ascii="Book Antiqua" w:hAnsi="Book Antiqua" w:cs="FrankRuehl"/>
          <w:color w:val="292526"/>
          <w:spacing w:val="-1"/>
          <w:sz w:val="24"/>
          <w:szCs w:val="24"/>
        </w:rPr>
        <w:t xml:space="preserve">on income tax is </w:t>
      </w:r>
      <w:r w:rsidR="00D14F00">
        <w:rPr>
          <w:rFonts w:ascii="Book Antiqua" w:hAnsi="Book Antiqua" w:cs="FrankRuehl"/>
          <w:color w:val="292526"/>
          <w:spacing w:val="-1"/>
          <w:sz w:val="24"/>
          <w:szCs w:val="24"/>
        </w:rPr>
        <w:t>payable</w:t>
      </w:r>
      <w:r w:rsidR="001368A8" w:rsidRPr="00FA2567">
        <w:rPr>
          <w:rFonts w:ascii="Book Antiqua" w:hAnsi="Book Antiqua" w:cs="FrankRuehl"/>
          <w:color w:val="292526"/>
          <w:spacing w:val="-1"/>
          <w:sz w:val="24"/>
          <w:szCs w:val="24"/>
        </w:rPr>
        <w:t xml:space="preserve"> in case of </w:t>
      </w:r>
      <w:r w:rsidR="002623A2" w:rsidRPr="00FA2567">
        <w:rPr>
          <w:rFonts w:ascii="Book Antiqua" w:hAnsi="Book Antiqua" w:cs="FrankRuehl"/>
          <w:color w:val="292526"/>
          <w:spacing w:val="-1"/>
          <w:sz w:val="24"/>
          <w:szCs w:val="24"/>
        </w:rPr>
        <w:t xml:space="preserve">an </w:t>
      </w:r>
      <w:proofErr w:type="spellStart"/>
      <w:r w:rsidR="001368A8" w:rsidRPr="00FA2567">
        <w:rPr>
          <w:rFonts w:ascii="Book Antiqua" w:hAnsi="Book Antiqua" w:cs="FrankRuehl"/>
          <w:color w:val="292526"/>
          <w:spacing w:val="-1"/>
          <w:sz w:val="24"/>
          <w:szCs w:val="24"/>
        </w:rPr>
        <w:t>assessee</w:t>
      </w:r>
      <w:proofErr w:type="spellEnd"/>
      <w:r w:rsidR="001368A8" w:rsidRPr="00FA2567">
        <w:rPr>
          <w:rFonts w:ascii="Book Antiqua" w:hAnsi="Book Antiqua" w:cs="FrankRuehl"/>
          <w:color w:val="292526"/>
          <w:spacing w:val="-1"/>
          <w:sz w:val="24"/>
          <w:szCs w:val="24"/>
        </w:rPr>
        <w:t xml:space="preserve"> being a “firm”</w:t>
      </w:r>
      <w:r w:rsidR="002623A2" w:rsidRPr="00FA2567">
        <w:rPr>
          <w:rFonts w:ascii="Book Antiqua" w:hAnsi="Book Antiqua" w:cs="FrankRuehl"/>
          <w:color w:val="292526"/>
          <w:spacing w:val="-1"/>
          <w:sz w:val="24"/>
          <w:szCs w:val="24"/>
        </w:rPr>
        <w:t>, irrespective of the total income.</w:t>
      </w:r>
    </w:p>
    <w:p w:rsidR="002623A2" w:rsidRPr="00FA2567" w:rsidRDefault="002623A2" w:rsidP="002623A2">
      <w:pPr>
        <w:widowControl w:val="0"/>
        <w:autoSpaceDE w:val="0"/>
        <w:autoSpaceDN w:val="0"/>
        <w:adjustRightInd w:val="0"/>
        <w:spacing w:after="0" w:line="240" w:lineRule="auto"/>
        <w:jc w:val="both"/>
        <w:rPr>
          <w:rFonts w:ascii="Book Antiqua" w:hAnsi="Book Antiqua" w:cs="FrankRuehl"/>
          <w:sz w:val="24"/>
          <w:szCs w:val="24"/>
        </w:rPr>
      </w:pPr>
    </w:p>
    <w:p w:rsidR="002623A2" w:rsidRPr="00FA2567" w:rsidRDefault="00DD4E1E" w:rsidP="002623A2">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For Charitable Purpose under section 2(15), undertaking of the following activities are also to be considered:</w:t>
      </w:r>
    </w:p>
    <w:p w:rsidR="00DD4E1E" w:rsidRPr="00FA2567" w:rsidRDefault="00DD4E1E" w:rsidP="00DD4E1E">
      <w:pPr>
        <w:widowControl w:val="0"/>
        <w:autoSpaceDE w:val="0"/>
        <w:autoSpaceDN w:val="0"/>
        <w:adjustRightInd w:val="0"/>
        <w:spacing w:after="0" w:line="240" w:lineRule="auto"/>
        <w:ind w:left="1080"/>
        <w:jc w:val="both"/>
        <w:rPr>
          <w:rFonts w:ascii="Book Antiqua" w:hAnsi="Book Antiqua" w:cs="FrankRuehl"/>
          <w:sz w:val="24"/>
          <w:szCs w:val="24"/>
        </w:rPr>
      </w:pPr>
      <w:proofErr w:type="gramStart"/>
      <w:r w:rsidRPr="00FA2567">
        <w:rPr>
          <w:rFonts w:ascii="Book Antiqua" w:hAnsi="Book Antiqua" w:cs="FrankRuehl"/>
          <w:color w:val="000000"/>
          <w:spacing w:val="-1"/>
          <w:sz w:val="24"/>
          <w:szCs w:val="24"/>
        </w:rPr>
        <w:t>“Preservation of environment (including watersheds, forests and wildlife) and preservation of monuments or places or objects of artistic or historic interest”.</w:t>
      </w:r>
      <w:proofErr w:type="gramEnd"/>
    </w:p>
    <w:p w:rsidR="00DD4E1E" w:rsidRPr="00FA2567" w:rsidRDefault="00DD4E1E" w:rsidP="00DD4E1E">
      <w:pPr>
        <w:widowControl w:val="0"/>
        <w:autoSpaceDE w:val="0"/>
        <w:autoSpaceDN w:val="0"/>
        <w:adjustRightInd w:val="0"/>
        <w:spacing w:after="0" w:line="240" w:lineRule="auto"/>
        <w:jc w:val="both"/>
        <w:rPr>
          <w:rFonts w:ascii="Book Antiqua" w:hAnsi="Book Antiqua" w:cs="FrankRuehl"/>
          <w:sz w:val="24"/>
          <w:szCs w:val="24"/>
        </w:rPr>
      </w:pPr>
    </w:p>
    <w:p w:rsidR="00DD4E1E" w:rsidRPr="00FA2567" w:rsidRDefault="001964E7" w:rsidP="001964E7">
      <w:pPr>
        <w:pStyle w:val="ListParagraph"/>
        <w:widowControl w:val="0"/>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Note: This is retrospectively effective from A.Y. 2009-2010.</w:t>
      </w:r>
    </w:p>
    <w:p w:rsidR="00CA4181" w:rsidRPr="00FA2567" w:rsidRDefault="00CA4181" w:rsidP="00CA4181">
      <w:pPr>
        <w:widowControl w:val="0"/>
        <w:autoSpaceDE w:val="0"/>
        <w:autoSpaceDN w:val="0"/>
        <w:adjustRightInd w:val="0"/>
        <w:spacing w:after="0" w:line="240" w:lineRule="auto"/>
        <w:jc w:val="both"/>
        <w:rPr>
          <w:rFonts w:ascii="Book Antiqua" w:hAnsi="Book Antiqua" w:cs="FrankRuehl"/>
          <w:sz w:val="24"/>
          <w:szCs w:val="24"/>
        </w:rPr>
      </w:pPr>
    </w:p>
    <w:p w:rsidR="00CA4181" w:rsidRPr="00FA2567" w:rsidRDefault="00CA4181" w:rsidP="00CA4181">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Under clause (23C), application for the purposes of grant of exemption or continuance thereof in case of fund, trust, educational institution, medical institution can now be filed on before 30</w:t>
      </w:r>
      <w:r w:rsidRPr="00FA2567">
        <w:rPr>
          <w:rFonts w:ascii="Book Antiqua" w:hAnsi="Book Antiqua" w:cs="FrankRuehl"/>
          <w:sz w:val="24"/>
          <w:szCs w:val="24"/>
          <w:vertAlign w:val="superscript"/>
        </w:rPr>
        <w:t>th</w:t>
      </w:r>
      <w:r w:rsidRPr="00FA2567">
        <w:rPr>
          <w:rFonts w:ascii="Book Antiqua" w:hAnsi="Book Antiqua" w:cs="FrankRuehl"/>
          <w:sz w:val="24"/>
          <w:szCs w:val="24"/>
        </w:rPr>
        <w:t xml:space="preserve"> September of the relevant assessment year (Earlier it was on or before the end of the financial year preceding the assessment year in respect of which the exemption is sought).</w:t>
      </w:r>
    </w:p>
    <w:p w:rsidR="00CA4181" w:rsidRPr="00FA2567" w:rsidRDefault="00CA4181" w:rsidP="00CA4181">
      <w:pPr>
        <w:pStyle w:val="ListParagraph"/>
        <w:widowControl w:val="0"/>
        <w:autoSpaceDE w:val="0"/>
        <w:autoSpaceDN w:val="0"/>
        <w:adjustRightInd w:val="0"/>
        <w:spacing w:after="0" w:line="240" w:lineRule="auto"/>
        <w:jc w:val="both"/>
        <w:rPr>
          <w:rFonts w:ascii="Book Antiqua" w:hAnsi="Book Antiqua" w:cs="FrankRuehl"/>
          <w:sz w:val="24"/>
          <w:szCs w:val="24"/>
        </w:rPr>
      </w:pPr>
    </w:p>
    <w:p w:rsidR="007858F9" w:rsidRPr="00FA2567" w:rsidRDefault="007858F9" w:rsidP="007858F9">
      <w:pPr>
        <w:pStyle w:val="ListParagraph"/>
        <w:widowControl w:val="0"/>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Note: This is retrospectively effective from A.Y. 2009-2010.</w:t>
      </w:r>
    </w:p>
    <w:p w:rsidR="007858F9" w:rsidRPr="00FA2567" w:rsidRDefault="007858F9" w:rsidP="007858F9">
      <w:pPr>
        <w:widowControl w:val="0"/>
        <w:autoSpaceDE w:val="0"/>
        <w:autoSpaceDN w:val="0"/>
        <w:adjustRightInd w:val="0"/>
        <w:spacing w:after="0" w:line="240" w:lineRule="auto"/>
        <w:jc w:val="both"/>
        <w:rPr>
          <w:rFonts w:ascii="Book Antiqua" w:hAnsi="Book Antiqua" w:cs="FrankRuehl"/>
          <w:sz w:val="24"/>
          <w:szCs w:val="24"/>
        </w:rPr>
      </w:pPr>
    </w:p>
    <w:p w:rsidR="007858F9" w:rsidRPr="00FA2567" w:rsidRDefault="00BB7E5C" w:rsidP="007858F9">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The term “Partnership” for the purposes of the Income Tax Act, will also include limited liability partnership as defined in the Limited Liability Partnership Act, 2008.</w:t>
      </w:r>
    </w:p>
    <w:p w:rsidR="00FE7910" w:rsidRPr="00FA2567" w:rsidRDefault="00FE7910" w:rsidP="00FE7910">
      <w:pPr>
        <w:widowControl w:val="0"/>
        <w:autoSpaceDE w:val="0"/>
        <w:autoSpaceDN w:val="0"/>
        <w:adjustRightInd w:val="0"/>
        <w:spacing w:after="0" w:line="240" w:lineRule="auto"/>
        <w:ind w:left="360"/>
        <w:jc w:val="both"/>
        <w:rPr>
          <w:rFonts w:ascii="Book Antiqua" w:hAnsi="Book Antiqua" w:cs="FrankRuehl"/>
          <w:sz w:val="24"/>
          <w:szCs w:val="24"/>
        </w:rPr>
      </w:pPr>
    </w:p>
    <w:p w:rsidR="00FE7910" w:rsidRDefault="001D21C0" w:rsidP="00FE791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Deductions for the purpose of section 10A in respect of newly established industrial undertakings in free trade zones, etc.</w:t>
      </w:r>
      <w:r w:rsidR="001B098F">
        <w:rPr>
          <w:rFonts w:ascii="Book Antiqua" w:hAnsi="Book Antiqua" w:cs="FrankRuehl"/>
          <w:sz w:val="24"/>
          <w:szCs w:val="24"/>
        </w:rPr>
        <w:t xml:space="preserve"> and section 10B in respect of newly established 100% export oriented undertakings</w:t>
      </w:r>
      <w:r w:rsidRPr="00FA2567">
        <w:rPr>
          <w:rFonts w:ascii="Book Antiqua" w:hAnsi="Book Antiqua" w:cs="FrankRuehl"/>
          <w:sz w:val="24"/>
          <w:szCs w:val="24"/>
        </w:rPr>
        <w:t xml:space="preserve">, will now be available </w:t>
      </w:r>
      <w:proofErr w:type="spellStart"/>
      <w:r w:rsidRPr="00FA2567">
        <w:rPr>
          <w:rFonts w:ascii="Book Antiqua" w:hAnsi="Book Antiqua" w:cs="FrankRuehl"/>
          <w:sz w:val="24"/>
          <w:szCs w:val="24"/>
        </w:rPr>
        <w:t>upto</w:t>
      </w:r>
      <w:proofErr w:type="spellEnd"/>
      <w:r w:rsidRPr="00FA2567">
        <w:rPr>
          <w:rFonts w:ascii="Book Antiqua" w:hAnsi="Book Antiqua" w:cs="FrankRuehl"/>
          <w:sz w:val="24"/>
          <w:szCs w:val="24"/>
        </w:rPr>
        <w:t xml:space="preserve"> A.Y. 2011-2012 (Earlier it was </w:t>
      </w:r>
      <w:proofErr w:type="spellStart"/>
      <w:r w:rsidRPr="00FA2567">
        <w:rPr>
          <w:rFonts w:ascii="Book Antiqua" w:hAnsi="Book Antiqua" w:cs="FrankRuehl"/>
          <w:sz w:val="24"/>
          <w:szCs w:val="24"/>
        </w:rPr>
        <w:t>upto</w:t>
      </w:r>
      <w:proofErr w:type="spellEnd"/>
      <w:r w:rsidRPr="00FA2567">
        <w:rPr>
          <w:rFonts w:ascii="Book Antiqua" w:hAnsi="Book Antiqua" w:cs="FrankRuehl"/>
          <w:sz w:val="24"/>
          <w:szCs w:val="24"/>
        </w:rPr>
        <w:t xml:space="preserve"> A.Y. 2010-2011).</w:t>
      </w:r>
    </w:p>
    <w:p w:rsidR="001B098F" w:rsidRPr="001B098F" w:rsidRDefault="001B098F" w:rsidP="001B098F">
      <w:pPr>
        <w:pStyle w:val="ListParagraph"/>
        <w:rPr>
          <w:rFonts w:ascii="Book Antiqua" w:hAnsi="Book Antiqua" w:cs="FrankRuehl"/>
          <w:sz w:val="24"/>
          <w:szCs w:val="24"/>
        </w:rPr>
      </w:pPr>
    </w:p>
    <w:p w:rsidR="001B098F" w:rsidRDefault="001B098F" w:rsidP="001B098F">
      <w:pPr>
        <w:pStyle w:val="ListParagraph"/>
        <w:widowControl w:val="0"/>
        <w:autoSpaceDE w:val="0"/>
        <w:autoSpaceDN w:val="0"/>
        <w:adjustRightInd w:val="0"/>
        <w:spacing w:after="0" w:line="240" w:lineRule="auto"/>
        <w:jc w:val="both"/>
        <w:rPr>
          <w:rFonts w:ascii="Book Antiqua" w:hAnsi="Book Antiqua" w:cs="FrankRuehl"/>
          <w:sz w:val="24"/>
          <w:szCs w:val="24"/>
        </w:rPr>
      </w:pPr>
      <w:r>
        <w:rPr>
          <w:rFonts w:ascii="Book Antiqua" w:hAnsi="Book Antiqua" w:cs="FrankRuehl"/>
          <w:sz w:val="24"/>
          <w:szCs w:val="24"/>
        </w:rPr>
        <w:t>This is retrospectively effective from 1</w:t>
      </w:r>
      <w:r w:rsidRPr="001B098F">
        <w:rPr>
          <w:rFonts w:ascii="Book Antiqua" w:hAnsi="Book Antiqua" w:cs="FrankRuehl"/>
          <w:sz w:val="24"/>
          <w:szCs w:val="24"/>
          <w:vertAlign w:val="superscript"/>
        </w:rPr>
        <w:t>st</w:t>
      </w:r>
      <w:r>
        <w:rPr>
          <w:rFonts w:ascii="Book Antiqua" w:hAnsi="Book Antiqua" w:cs="FrankRuehl"/>
          <w:sz w:val="24"/>
          <w:szCs w:val="24"/>
        </w:rPr>
        <w:t xml:space="preserve"> April, 2009.</w:t>
      </w:r>
    </w:p>
    <w:p w:rsidR="00CE28FA" w:rsidRPr="00CE28FA" w:rsidRDefault="00CE28FA" w:rsidP="00CE28FA">
      <w:pPr>
        <w:pStyle w:val="ListParagraph"/>
        <w:rPr>
          <w:rFonts w:ascii="Book Antiqua" w:hAnsi="Book Antiqua" w:cs="FrankRuehl"/>
          <w:sz w:val="24"/>
          <w:szCs w:val="24"/>
        </w:rPr>
      </w:pPr>
    </w:p>
    <w:p w:rsidR="00CE28FA" w:rsidRDefault="00CE28FA" w:rsidP="00FE791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Pr>
          <w:rFonts w:ascii="Book Antiqua" w:hAnsi="Book Antiqua" w:cs="FrankRuehl"/>
          <w:sz w:val="24"/>
          <w:szCs w:val="24"/>
        </w:rPr>
        <w:t>In respect of section 32 for depreciation on assets, reference to “block of assets” has been omitted.</w:t>
      </w:r>
    </w:p>
    <w:p w:rsidR="00486550" w:rsidRDefault="00486550" w:rsidP="00FE791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Pr>
          <w:rFonts w:ascii="Book Antiqua" w:hAnsi="Book Antiqua" w:cs="FrankRuehl"/>
          <w:sz w:val="24"/>
          <w:szCs w:val="24"/>
        </w:rPr>
        <w:lastRenderedPageBreak/>
        <w:t xml:space="preserve">Under section 40A(3A), cash payment </w:t>
      </w:r>
      <w:proofErr w:type="spellStart"/>
      <w:r>
        <w:rPr>
          <w:rFonts w:ascii="Book Antiqua" w:hAnsi="Book Antiqua" w:cs="FrankRuehl"/>
          <w:sz w:val="24"/>
          <w:szCs w:val="24"/>
        </w:rPr>
        <w:t>upto</w:t>
      </w:r>
      <w:proofErr w:type="spellEnd"/>
      <w:r>
        <w:rPr>
          <w:rFonts w:ascii="Book Antiqua" w:hAnsi="Book Antiqua" w:cs="FrankRuehl"/>
          <w:sz w:val="24"/>
          <w:szCs w:val="24"/>
        </w:rPr>
        <w:t xml:space="preserve"> Rs.35000 (Earlier Rs.20000) can be made for plying, hiring or leasing goods carriages.</w:t>
      </w:r>
    </w:p>
    <w:p w:rsidR="00486550" w:rsidRPr="00486550" w:rsidRDefault="00486550" w:rsidP="00486550">
      <w:pPr>
        <w:pStyle w:val="ListParagraph"/>
        <w:rPr>
          <w:rFonts w:ascii="Book Antiqua" w:hAnsi="Book Antiqua" w:cs="FrankRuehl"/>
          <w:sz w:val="24"/>
          <w:szCs w:val="24"/>
        </w:rPr>
      </w:pPr>
    </w:p>
    <w:p w:rsidR="00CE28FA" w:rsidRDefault="00CE28FA" w:rsidP="00FE791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Pr>
          <w:rFonts w:ascii="Book Antiqua" w:hAnsi="Book Antiqua" w:cs="FrankRuehl"/>
          <w:sz w:val="24"/>
          <w:szCs w:val="24"/>
        </w:rPr>
        <w:t>Remuneration to working partner(s) under section 40 (b) for both professional and non professional firm will be computed in the following manner:</w:t>
      </w:r>
    </w:p>
    <w:p w:rsidR="00CE28FA" w:rsidRPr="00CE28FA" w:rsidRDefault="00CE28FA" w:rsidP="00CE28FA">
      <w:pPr>
        <w:pStyle w:val="ListParagraph"/>
        <w:rPr>
          <w:rFonts w:ascii="Book Antiqua" w:hAnsi="Book Antiqua" w:cs="FrankRuehl"/>
          <w:sz w:val="24"/>
          <w:szCs w:val="24"/>
        </w:rPr>
      </w:pPr>
    </w:p>
    <w:p w:rsidR="00CE28FA" w:rsidRDefault="00CE28FA" w:rsidP="00CE28FA">
      <w:pPr>
        <w:pStyle w:val="ListParagraph"/>
        <w:widowControl w:val="0"/>
        <w:numPr>
          <w:ilvl w:val="0"/>
          <w:numId w:val="11"/>
        </w:numPr>
        <w:autoSpaceDE w:val="0"/>
        <w:autoSpaceDN w:val="0"/>
        <w:adjustRightInd w:val="0"/>
        <w:spacing w:after="0" w:line="240" w:lineRule="auto"/>
        <w:jc w:val="both"/>
        <w:rPr>
          <w:rFonts w:ascii="Book Antiqua" w:hAnsi="Book Antiqua" w:cs="FrankRuehl"/>
          <w:sz w:val="24"/>
          <w:szCs w:val="24"/>
        </w:rPr>
      </w:pPr>
      <w:r>
        <w:rPr>
          <w:rFonts w:ascii="Book Antiqua" w:hAnsi="Book Antiqua" w:cs="FrankRuehl"/>
          <w:sz w:val="24"/>
          <w:szCs w:val="24"/>
        </w:rPr>
        <w:t>on first Rs. 300000 of book profit or in case of loss:</w:t>
      </w:r>
      <w:r>
        <w:rPr>
          <w:rFonts w:ascii="Book Antiqua" w:hAnsi="Book Antiqua" w:cs="FrankRuehl"/>
          <w:sz w:val="24"/>
          <w:szCs w:val="24"/>
        </w:rPr>
        <w:tab/>
        <w:t>Rs.150000 or @90</w:t>
      </w:r>
      <w:r w:rsidR="008B6D79">
        <w:rPr>
          <w:rFonts w:ascii="Book Antiqua" w:hAnsi="Book Antiqua" w:cs="FrankRuehl"/>
          <w:sz w:val="24"/>
          <w:szCs w:val="24"/>
        </w:rPr>
        <w:t>%</w:t>
      </w:r>
      <w:r>
        <w:rPr>
          <w:rFonts w:ascii="Book Antiqua" w:hAnsi="Book Antiqua" w:cs="FrankRuehl"/>
          <w:sz w:val="24"/>
          <w:szCs w:val="24"/>
        </w:rPr>
        <w:t xml:space="preserve"> of the book profit whichever is more,</w:t>
      </w:r>
    </w:p>
    <w:p w:rsidR="00CE28FA" w:rsidRPr="00FA2567" w:rsidRDefault="00CE28FA" w:rsidP="00CE28FA">
      <w:pPr>
        <w:pStyle w:val="ListParagraph"/>
        <w:widowControl w:val="0"/>
        <w:numPr>
          <w:ilvl w:val="0"/>
          <w:numId w:val="11"/>
        </w:numPr>
        <w:autoSpaceDE w:val="0"/>
        <w:autoSpaceDN w:val="0"/>
        <w:adjustRightInd w:val="0"/>
        <w:spacing w:after="0" w:line="240" w:lineRule="auto"/>
        <w:jc w:val="both"/>
        <w:rPr>
          <w:rFonts w:ascii="Book Antiqua" w:hAnsi="Book Antiqua" w:cs="FrankRuehl"/>
          <w:sz w:val="24"/>
          <w:szCs w:val="24"/>
        </w:rPr>
      </w:pPr>
      <w:r>
        <w:rPr>
          <w:rFonts w:ascii="Book Antiqua" w:hAnsi="Book Antiqua" w:cs="FrankRuehl"/>
          <w:sz w:val="24"/>
          <w:szCs w:val="24"/>
        </w:rPr>
        <w:t>on balance of the book profit:</w:t>
      </w:r>
      <w:r>
        <w:rPr>
          <w:rFonts w:ascii="Book Antiqua" w:hAnsi="Book Antiqua" w:cs="FrankRuehl"/>
          <w:sz w:val="24"/>
          <w:szCs w:val="24"/>
        </w:rPr>
        <w:tab/>
      </w:r>
      <w:r>
        <w:rPr>
          <w:rFonts w:ascii="Book Antiqua" w:hAnsi="Book Antiqua" w:cs="FrankRuehl"/>
          <w:sz w:val="24"/>
          <w:szCs w:val="24"/>
        </w:rPr>
        <w:tab/>
      </w:r>
      <w:r>
        <w:rPr>
          <w:rFonts w:ascii="Book Antiqua" w:hAnsi="Book Antiqua" w:cs="FrankRuehl"/>
          <w:sz w:val="24"/>
          <w:szCs w:val="24"/>
        </w:rPr>
        <w:tab/>
      </w:r>
      <w:r>
        <w:rPr>
          <w:rFonts w:ascii="Book Antiqua" w:hAnsi="Book Antiqua" w:cs="FrankRuehl"/>
          <w:sz w:val="24"/>
          <w:szCs w:val="24"/>
        </w:rPr>
        <w:tab/>
        <w:t>@ 60%</w:t>
      </w:r>
    </w:p>
    <w:p w:rsidR="00CE28FA" w:rsidRPr="00FA2567" w:rsidRDefault="00CE28FA" w:rsidP="00F315CD">
      <w:pPr>
        <w:pStyle w:val="ListParagraph"/>
        <w:rPr>
          <w:rFonts w:ascii="Book Antiqua" w:hAnsi="Book Antiqua" w:cs="FrankRuehl"/>
          <w:sz w:val="24"/>
          <w:szCs w:val="24"/>
        </w:rPr>
      </w:pPr>
    </w:p>
    <w:p w:rsidR="00F315CD" w:rsidRPr="00FA2567" w:rsidRDefault="00F315CD" w:rsidP="00FE791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Section 44AD in respect of computing profits and gains on presumptive basis (@8%) for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engaged in the business of civil construction, will be substituted with a new section 44AD with effect from Financial Year </w:t>
      </w:r>
      <w:r w:rsidR="00854DD5" w:rsidRPr="00FA2567">
        <w:rPr>
          <w:rFonts w:ascii="Book Antiqua" w:hAnsi="Book Antiqua" w:cs="FrankRuehl"/>
          <w:sz w:val="24"/>
          <w:szCs w:val="24"/>
        </w:rPr>
        <w:t>2010-2011 relevant to the assessment year 2011-2012 with the following important conditions:</w:t>
      </w:r>
    </w:p>
    <w:p w:rsidR="00854DD5" w:rsidRDefault="00854DD5" w:rsidP="00854DD5">
      <w:pPr>
        <w:pStyle w:val="ListParagraph"/>
        <w:rPr>
          <w:rFonts w:ascii="Book Antiqua" w:hAnsi="Book Antiqua" w:cs="FrankRuehl"/>
          <w:sz w:val="24"/>
          <w:szCs w:val="24"/>
        </w:rPr>
      </w:pPr>
    </w:p>
    <w:p w:rsidR="00854DD5" w:rsidRPr="00FA2567" w:rsidRDefault="00854DD5" w:rsidP="00854DD5">
      <w:pPr>
        <w:pStyle w:val="ListParagraph"/>
        <w:widowControl w:val="0"/>
        <w:numPr>
          <w:ilvl w:val="0"/>
          <w:numId w:val="4"/>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should be engaged in any business other than the business of plying, hiring or leasing goods carriages</w:t>
      </w:r>
      <w:r w:rsidR="00F63DD7" w:rsidRPr="00FA2567">
        <w:rPr>
          <w:rFonts w:ascii="Book Antiqua" w:hAnsi="Book Antiqua" w:cs="FrankRuehl"/>
          <w:sz w:val="24"/>
          <w:szCs w:val="24"/>
        </w:rPr>
        <w:t xml:space="preserve"> referred to in section 44AE</w:t>
      </w:r>
      <w:r w:rsidRPr="00FA2567">
        <w:rPr>
          <w:rFonts w:ascii="Book Antiqua" w:hAnsi="Book Antiqua" w:cs="FrankRuehl"/>
          <w:sz w:val="24"/>
          <w:szCs w:val="24"/>
        </w:rPr>
        <w:t>.</w:t>
      </w:r>
    </w:p>
    <w:p w:rsidR="00854DD5" w:rsidRPr="00FA2567" w:rsidRDefault="00854DD5" w:rsidP="00854DD5">
      <w:pPr>
        <w:pStyle w:val="ListParagraph"/>
        <w:widowControl w:val="0"/>
        <w:numPr>
          <w:ilvl w:val="0"/>
          <w:numId w:val="4"/>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The income should be such sum as computed at the rate of 8% on total turnover or gross receipts or such higher sum than this minimum sum as claimed by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w:t>
      </w:r>
    </w:p>
    <w:p w:rsidR="008C3E0C" w:rsidRPr="00FA2567" w:rsidRDefault="008C3E0C" w:rsidP="00854DD5">
      <w:pPr>
        <w:pStyle w:val="ListParagraph"/>
        <w:widowControl w:val="0"/>
        <w:numPr>
          <w:ilvl w:val="0"/>
          <w:numId w:val="4"/>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The scheme will apply to resident </w:t>
      </w:r>
      <w:proofErr w:type="spellStart"/>
      <w:r w:rsidRPr="00FA2567">
        <w:rPr>
          <w:rFonts w:ascii="Book Antiqua" w:hAnsi="Book Antiqua" w:cs="FrankRuehl"/>
          <w:sz w:val="24"/>
          <w:szCs w:val="24"/>
        </w:rPr>
        <w:t>assessees</w:t>
      </w:r>
      <w:proofErr w:type="spellEnd"/>
      <w:r w:rsidRPr="00FA2567">
        <w:rPr>
          <w:rFonts w:ascii="Book Antiqua" w:hAnsi="Book Antiqua" w:cs="FrankRuehl"/>
          <w:sz w:val="24"/>
          <w:szCs w:val="24"/>
        </w:rPr>
        <w:t xml:space="preserve"> being individual, HUF and partnership firm (not being limited liability partnership firm) whose total turnover does not exceed 40 </w:t>
      </w:r>
      <w:proofErr w:type="spellStart"/>
      <w:r w:rsidRPr="00FA2567">
        <w:rPr>
          <w:rFonts w:ascii="Book Antiqua" w:hAnsi="Book Antiqua" w:cs="FrankRuehl"/>
          <w:sz w:val="24"/>
          <w:szCs w:val="24"/>
        </w:rPr>
        <w:t>Lakhs</w:t>
      </w:r>
      <w:proofErr w:type="spellEnd"/>
      <w:r w:rsidRPr="00FA2567">
        <w:rPr>
          <w:rFonts w:ascii="Book Antiqua" w:hAnsi="Book Antiqua" w:cs="FrankRuehl"/>
          <w:sz w:val="24"/>
          <w:szCs w:val="24"/>
        </w:rPr>
        <w:t xml:space="preserve"> rupees.</w:t>
      </w:r>
    </w:p>
    <w:p w:rsidR="008C3E0C" w:rsidRPr="00FA2567" w:rsidRDefault="00F63DD7" w:rsidP="00854DD5">
      <w:pPr>
        <w:pStyle w:val="ListParagraph"/>
        <w:widowControl w:val="0"/>
        <w:numPr>
          <w:ilvl w:val="0"/>
          <w:numId w:val="4"/>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No deduction under section 10A</w:t>
      </w:r>
      <w:proofErr w:type="gramStart"/>
      <w:r w:rsidRPr="00FA2567">
        <w:rPr>
          <w:rFonts w:ascii="Book Antiqua" w:hAnsi="Book Antiqua" w:cs="FrankRuehl"/>
          <w:sz w:val="24"/>
          <w:szCs w:val="24"/>
        </w:rPr>
        <w:t>,10AA,10B,10BA</w:t>
      </w:r>
      <w:proofErr w:type="gramEnd"/>
      <w:r w:rsidRPr="00FA2567">
        <w:rPr>
          <w:rFonts w:ascii="Book Antiqua" w:hAnsi="Book Antiqua" w:cs="FrankRuehl"/>
          <w:sz w:val="24"/>
          <w:szCs w:val="24"/>
        </w:rPr>
        <w:t xml:space="preserve"> or under provisions of Chapter VIA should be claimed by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w:t>
      </w:r>
    </w:p>
    <w:p w:rsidR="00F63DD7" w:rsidRPr="00FA2567" w:rsidRDefault="00F63DD7" w:rsidP="002A3CE9">
      <w:pPr>
        <w:widowControl w:val="0"/>
        <w:autoSpaceDE w:val="0"/>
        <w:autoSpaceDN w:val="0"/>
        <w:adjustRightInd w:val="0"/>
        <w:spacing w:after="0" w:line="240" w:lineRule="auto"/>
        <w:ind w:left="720"/>
        <w:jc w:val="both"/>
        <w:rPr>
          <w:rFonts w:ascii="Book Antiqua" w:hAnsi="Book Antiqua" w:cs="FrankRuehl"/>
          <w:sz w:val="24"/>
          <w:szCs w:val="24"/>
        </w:rPr>
      </w:pPr>
    </w:p>
    <w:p w:rsidR="002A3CE9" w:rsidRPr="00FA2567" w:rsidRDefault="002A3CE9" w:rsidP="00FA2567">
      <w:pPr>
        <w:widowControl w:val="0"/>
        <w:autoSpaceDE w:val="0"/>
        <w:autoSpaceDN w:val="0"/>
        <w:adjustRightInd w:val="0"/>
        <w:spacing w:after="0" w:line="240" w:lineRule="auto"/>
        <w:ind w:left="1440" w:hanging="720"/>
        <w:jc w:val="both"/>
        <w:rPr>
          <w:rFonts w:ascii="Book Antiqua" w:hAnsi="Book Antiqua" w:cs="FrankRuehl"/>
          <w:sz w:val="24"/>
          <w:szCs w:val="24"/>
        </w:rPr>
      </w:pPr>
      <w:r w:rsidRPr="00FA2567">
        <w:rPr>
          <w:rFonts w:ascii="Book Antiqua" w:hAnsi="Book Antiqua" w:cs="FrankRuehl"/>
          <w:sz w:val="24"/>
          <w:szCs w:val="24"/>
        </w:rPr>
        <w:t>Notes:</w:t>
      </w:r>
      <w:r w:rsidRPr="00FA2567">
        <w:rPr>
          <w:rFonts w:ascii="Book Antiqua" w:hAnsi="Book Antiqua" w:cs="FrankRuehl"/>
          <w:sz w:val="24"/>
          <w:szCs w:val="24"/>
        </w:rPr>
        <w:tab/>
        <w:t>(</w:t>
      </w:r>
      <w:proofErr w:type="spellStart"/>
      <w:r w:rsidRPr="00FA2567">
        <w:rPr>
          <w:rFonts w:ascii="Book Antiqua" w:hAnsi="Book Antiqua" w:cs="FrankRuehl"/>
          <w:sz w:val="24"/>
          <w:szCs w:val="24"/>
        </w:rPr>
        <w:t>i</w:t>
      </w:r>
      <w:proofErr w:type="spellEnd"/>
      <w:r w:rsidRPr="00FA2567">
        <w:rPr>
          <w:rFonts w:ascii="Book Antiqua" w:hAnsi="Book Antiqua" w:cs="FrankRuehl"/>
          <w:sz w:val="24"/>
          <w:szCs w:val="24"/>
        </w:rPr>
        <w:t>)</w:t>
      </w:r>
      <w:r w:rsidRPr="00FA2567">
        <w:rPr>
          <w:rFonts w:ascii="Book Antiqua" w:hAnsi="Book Antiqua" w:cs="FrankRuehl"/>
          <w:sz w:val="24"/>
          <w:szCs w:val="24"/>
        </w:rPr>
        <w:tab/>
        <w:t xml:space="preserve">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covered under this section will not be required to</w:t>
      </w:r>
      <w:r w:rsidR="00FA2567">
        <w:rPr>
          <w:rFonts w:ascii="Book Antiqua" w:hAnsi="Book Antiqua" w:cs="FrankRuehl"/>
          <w:sz w:val="24"/>
          <w:szCs w:val="24"/>
        </w:rPr>
        <w:t xml:space="preserve"> </w:t>
      </w:r>
      <w:r w:rsidRPr="00FA2567">
        <w:rPr>
          <w:rFonts w:ascii="Book Antiqua" w:hAnsi="Book Antiqua" w:cs="FrankRuehl"/>
          <w:sz w:val="24"/>
          <w:szCs w:val="24"/>
        </w:rPr>
        <w:t xml:space="preserve">  </w:t>
      </w:r>
    </w:p>
    <w:p w:rsidR="002A3CE9" w:rsidRPr="00FA2567" w:rsidRDefault="002A3CE9" w:rsidP="002A3CE9">
      <w:pPr>
        <w:widowControl w:val="0"/>
        <w:autoSpaceDE w:val="0"/>
        <w:autoSpaceDN w:val="0"/>
        <w:adjustRightInd w:val="0"/>
        <w:spacing w:after="0" w:line="240" w:lineRule="auto"/>
        <w:ind w:left="720"/>
        <w:jc w:val="both"/>
        <w:rPr>
          <w:rFonts w:ascii="Book Antiqua" w:hAnsi="Book Antiqua" w:cs="FrankRuehl"/>
          <w:sz w:val="24"/>
          <w:szCs w:val="24"/>
        </w:rPr>
      </w:pPr>
      <w:r w:rsidRPr="00FA2567">
        <w:rPr>
          <w:rFonts w:ascii="Book Antiqua" w:hAnsi="Book Antiqua" w:cs="FrankRuehl"/>
          <w:sz w:val="24"/>
          <w:szCs w:val="24"/>
        </w:rPr>
        <w:t xml:space="preserve">    </w:t>
      </w:r>
      <w:r w:rsidRPr="00FA2567">
        <w:rPr>
          <w:rFonts w:ascii="Book Antiqua" w:hAnsi="Book Antiqua" w:cs="FrankRuehl"/>
          <w:sz w:val="24"/>
          <w:szCs w:val="24"/>
        </w:rPr>
        <w:tab/>
        <w:t xml:space="preserve">    </w:t>
      </w:r>
      <w:r w:rsidRPr="00FA2567">
        <w:rPr>
          <w:rFonts w:ascii="Book Antiqua" w:hAnsi="Book Antiqua" w:cs="FrankRuehl"/>
          <w:sz w:val="24"/>
          <w:szCs w:val="24"/>
        </w:rPr>
        <w:tab/>
      </w:r>
      <w:proofErr w:type="gramStart"/>
      <w:r w:rsidR="00FA2567">
        <w:rPr>
          <w:rFonts w:ascii="Book Antiqua" w:hAnsi="Book Antiqua" w:cs="FrankRuehl"/>
          <w:sz w:val="24"/>
          <w:szCs w:val="24"/>
        </w:rPr>
        <w:t>pay</w:t>
      </w:r>
      <w:proofErr w:type="gramEnd"/>
      <w:r w:rsidR="00FA2567">
        <w:rPr>
          <w:rFonts w:ascii="Book Antiqua" w:hAnsi="Book Antiqua" w:cs="FrankRuehl"/>
          <w:sz w:val="24"/>
          <w:szCs w:val="24"/>
        </w:rPr>
        <w:t xml:space="preserve"> </w:t>
      </w:r>
      <w:r w:rsidRPr="00FA2567">
        <w:rPr>
          <w:rFonts w:ascii="Book Antiqua" w:hAnsi="Book Antiqua" w:cs="FrankRuehl"/>
          <w:sz w:val="24"/>
          <w:szCs w:val="24"/>
        </w:rPr>
        <w:t>advance tax under provisions of Chapter XVII-C.</w:t>
      </w:r>
    </w:p>
    <w:p w:rsidR="002A3CE9" w:rsidRPr="00FA2567" w:rsidRDefault="002A3CE9" w:rsidP="002A3CE9">
      <w:pPr>
        <w:widowControl w:val="0"/>
        <w:autoSpaceDE w:val="0"/>
        <w:autoSpaceDN w:val="0"/>
        <w:adjustRightInd w:val="0"/>
        <w:spacing w:after="0" w:line="240" w:lineRule="auto"/>
        <w:ind w:left="2160" w:hanging="780"/>
        <w:jc w:val="both"/>
        <w:rPr>
          <w:rFonts w:ascii="Book Antiqua" w:hAnsi="Book Antiqua" w:cs="FrankRuehl"/>
          <w:sz w:val="24"/>
          <w:szCs w:val="24"/>
        </w:rPr>
      </w:pPr>
      <w:r w:rsidRPr="00FA2567">
        <w:rPr>
          <w:rFonts w:ascii="Book Antiqua" w:hAnsi="Book Antiqua" w:cs="FrankRuehl"/>
          <w:sz w:val="24"/>
          <w:szCs w:val="24"/>
        </w:rPr>
        <w:t>(ii)</w:t>
      </w:r>
      <w:r w:rsidRPr="00FA2567">
        <w:rPr>
          <w:rFonts w:ascii="Book Antiqua" w:hAnsi="Book Antiqua" w:cs="FrankRuehl"/>
          <w:sz w:val="24"/>
          <w:szCs w:val="24"/>
        </w:rPr>
        <w:tab/>
        <w:t xml:space="preserve">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covered under this section will be required to maintain books of account under section 44AA and get the accounts audited under section 44AB only when (</w:t>
      </w:r>
      <w:proofErr w:type="spellStart"/>
      <w:r w:rsidRPr="00FA2567">
        <w:rPr>
          <w:rFonts w:ascii="Book Antiqua" w:hAnsi="Book Antiqua" w:cs="FrankRuehl"/>
          <w:sz w:val="24"/>
          <w:szCs w:val="24"/>
        </w:rPr>
        <w:t>i</w:t>
      </w:r>
      <w:proofErr w:type="spellEnd"/>
      <w:r w:rsidRPr="00FA2567">
        <w:rPr>
          <w:rFonts w:ascii="Book Antiqua" w:hAnsi="Book Antiqua" w:cs="FrankRuehl"/>
          <w:sz w:val="24"/>
          <w:szCs w:val="24"/>
        </w:rPr>
        <w:t>) he claims lower profits and gains from the business than the profits and gains deemed to be his income under this section and (ii) his income exceeds the maximum amount which is not chargeable to tax.</w:t>
      </w:r>
    </w:p>
    <w:p w:rsidR="00803879" w:rsidRPr="00FA2567" w:rsidRDefault="00803879" w:rsidP="00803879">
      <w:pPr>
        <w:widowControl w:val="0"/>
        <w:autoSpaceDE w:val="0"/>
        <w:autoSpaceDN w:val="0"/>
        <w:adjustRightInd w:val="0"/>
        <w:spacing w:after="0" w:line="240" w:lineRule="auto"/>
        <w:jc w:val="both"/>
        <w:rPr>
          <w:rFonts w:ascii="Book Antiqua" w:hAnsi="Book Antiqua" w:cs="FrankRuehl"/>
          <w:sz w:val="24"/>
          <w:szCs w:val="24"/>
        </w:rPr>
      </w:pPr>
    </w:p>
    <w:p w:rsidR="00A45C6D" w:rsidRPr="00FA2567" w:rsidRDefault="00803879" w:rsidP="00803879">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For computing income for the purposes of section 44AE in respect of plying, hiri</w:t>
      </w:r>
      <w:r w:rsidR="00A45C6D" w:rsidRPr="00FA2567">
        <w:rPr>
          <w:rFonts w:ascii="Book Antiqua" w:hAnsi="Book Antiqua" w:cs="FrankRuehl"/>
          <w:sz w:val="24"/>
          <w:szCs w:val="24"/>
        </w:rPr>
        <w:t xml:space="preserve">ng or leasing goods carriages where the </w:t>
      </w:r>
      <w:proofErr w:type="spellStart"/>
      <w:r w:rsidR="00A45C6D" w:rsidRPr="00FA2567">
        <w:rPr>
          <w:rFonts w:ascii="Book Antiqua" w:hAnsi="Book Antiqua" w:cs="FrankRuehl"/>
          <w:sz w:val="24"/>
          <w:szCs w:val="24"/>
        </w:rPr>
        <w:t>assessee</w:t>
      </w:r>
      <w:proofErr w:type="spellEnd"/>
      <w:r w:rsidR="00A45C6D" w:rsidRPr="00FA2567">
        <w:rPr>
          <w:rFonts w:ascii="Book Antiqua" w:hAnsi="Book Antiqua" w:cs="FrankRuehl"/>
          <w:sz w:val="24"/>
          <w:szCs w:val="24"/>
        </w:rPr>
        <w:t xml:space="preserve"> owns not more than ten goods carriages, the following amounts have to be considered:</w:t>
      </w:r>
    </w:p>
    <w:p w:rsidR="00A45C6D" w:rsidRPr="00FA2567" w:rsidRDefault="00A45C6D" w:rsidP="00A45C6D">
      <w:pPr>
        <w:pStyle w:val="ListParagraph"/>
        <w:widowControl w:val="0"/>
        <w:autoSpaceDE w:val="0"/>
        <w:autoSpaceDN w:val="0"/>
        <w:adjustRightInd w:val="0"/>
        <w:spacing w:after="0" w:line="240" w:lineRule="auto"/>
        <w:jc w:val="both"/>
        <w:rPr>
          <w:rFonts w:ascii="Book Antiqua" w:hAnsi="Book Antiqua" w:cs="FrankRuehl"/>
          <w:sz w:val="24"/>
          <w:szCs w:val="24"/>
        </w:rPr>
      </w:pPr>
    </w:p>
    <w:p w:rsidR="00A45C6D" w:rsidRDefault="00A45C6D" w:rsidP="00A45C6D">
      <w:pPr>
        <w:pStyle w:val="ListParagraph"/>
        <w:widowControl w:val="0"/>
        <w:numPr>
          <w:ilvl w:val="0"/>
          <w:numId w:val="5"/>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Rs. 5000/- per month or part of the month (instead of Rs.3500/-) or the amount claimed to be actually earned by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whichever is higher, in the case of heavy goods vehicles and</w:t>
      </w:r>
    </w:p>
    <w:p w:rsidR="008B6D79" w:rsidRPr="00FA2567" w:rsidRDefault="008B6D79" w:rsidP="008B6D79">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p>
    <w:p w:rsidR="00A45C6D" w:rsidRPr="00FA2567" w:rsidRDefault="00A45C6D" w:rsidP="00A45C6D">
      <w:pPr>
        <w:pStyle w:val="ListParagraph"/>
        <w:widowControl w:val="0"/>
        <w:numPr>
          <w:ilvl w:val="0"/>
          <w:numId w:val="5"/>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lastRenderedPageBreak/>
        <w:t xml:space="preserve">Rs. 4500/- per month or part of the month (instead of Rs.3150/-) or the amount claimed to be actually earned by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whichever is higher, in the case of vehicles other than heavy goods vehicles.</w:t>
      </w:r>
    </w:p>
    <w:p w:rsidR="00A45C6D" w:rsidRPr="00FA2567" w:rsidRDefault="00A45C6D" w:rsidP="00A45C6D">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p>
    <w:p w:rsidR="00A45C6D" w:rsidRPr="00FA2567" w:rsidRDefault="00A45C6D" w:rsidP="00A45C6D">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r w:rsidRPr="00FA2567">
        <w:rPr>
          <w:rFonts w:ascii="Book Antiqua" w:hAnsi="Book Antiqua" w:cs="FrankRuehl"/>
          <w:sz w:val="24"/>
          <w:szCs w:val="24"/>
        </w:rPr>
        <w:t>The said amendment will be effective from Assessment Year 2011-2012.</w:t>
      </w:r>
    </w:p>
    <w:p w:rsidR="005102C8" w:rsidRPr="00FA2567" w:rsidRDefault="005102C8" w:rsidP="00A45C6D">
      <w:pPr>
        <w:widowControl w:val="0"/>
        <w:autoSpaceDE w:val="0"/>
        <w:autoSpaceDN w:val="0"/>
        <w:adjustRightInd w:val="0"/>
        <w:spacing w:after="0" w:line="240" w:lineRule="auto"/>
        <w:jc w:val="both"/>
        <w:rPr>
          <w:rFonts w:ascii="Book Antiqua" w:hAnsi="Book Antiqua" w:cs="FrankRuehl"/>
          <w:sz w:val="24"/>
          <w:szCs w:val="24"/>
        </w:rPr>
      </w:pPr>
    </w:p>
    <w:p w:rsidR="00A45C6D" w:rsidRPr="00FA2567" w:rsidRDefault="00DD208A" w:rsidP="00DD208A">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Section 44AF in respect of profits and gains on presumptive basis (@ 5%) for </w:t>
      </w:r>
      <w:proofErr w:type="spellStart"/>
      <w:r w:rsidRPr="00FA2567">
        <w:rPr>
          <w:rFonts w:ascii="Book Antiqua" w:hAnsi="Book Antiqua" w:cs="FrankRuehl"/>
          <w:sz w:val="24"/>
          <w:szCs w:val="24"/>
        </w:rPr>
        <w:t>assessees</w:t>
      </w:r>
      <w:proofErr w:type="spellEnd"/>
      <w:r w:rsidRPr="00FA2567">
        <w:rPr>
          <w:rFonts w:ascii="Book Antiqua" w:hAnsi="Book Antiqua" w:cs="FrankRuehl"/>
          <w:sz w:val="24"/>
          <w:szCs w:val="24"/>
        </w:rPr>
        <w:t xml:space="preserve"> in retail business, will be omitted due to substitution of section 44AD from the Financial Year 2010-2011</w:t>
      </w:r>
      <w:r w:rsidR="00066640" w:rsidRPr="00FA2567">
        <w:rPr>
          <w:rFonts w:ascii="Book Antiqua" w:hAnsi="Book Antiqua" w:cs="FrankRuehl"/>
          <w:sz w:val="24"/>
          <w:szCs w:val="24"/>
        </w:rPr>
        <w:t xml:space="preserve"> relevant to the Assessment Year 2011-2012.</w:t>
      </w:r>
    </w:p>
    <w:p w:rsidR="00066640" w:rsidRPr="00FA2567" w:rsidRDefault="00066640" w:rsidP="00066640">
      <w:pPr>
        <w:pStyle w:val="ListParagraph"/>
        <w:widowControl w:val="0"/>
        <w:autoSpaceDE w:val="0"/>
        <w:autoSpaceDN w:val="0"/>
        <w:adjustRightInd w:val="0"/>
        <w:spacing w:after="0" w:line="240" w:lineRule="auto"/>
        <w:jc w:val="both"/>
        <w:rPr>
          <w:rFonts w:ascii="Book Antiqua" w:hAnsi="Book Antiqua" w:cs="FrankRuehl"/>
          <w:sz w:val="24"/>
          <w:szCs w:val="24"/>
        </w:rPr>
      </w:pPr>
    </w:p>
    <w:p w:rsidR="00066640" w:rsidRPr="00FA2567" w:rsidRDefault="00066640" w:rsidP="00066640">
      <w:pPr>
        <w:pStyle w:val="ListParagraph"/>
        <w:widowControl w:val="0"/>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This is retrospectively effective from 1</w:t>
      </w:r>
      <w:r w:rsidRPr="00FA2567">
        <w:rPr>
          <w:rFonts w:ascii="Book Antiqua" w:hAnsi="Book Antiqua" w:cs="FrankRuehl"/>
          <w:sz w:val="24"/>
          <w:szCs w:val="24"/>
          <w:vertAlign w:val="superscript"/>
        </w:rPr>
        <w:t>st</w:t>
      </w:r>
      <w:r w:rsidRPr="00FA2567">
        <w:rPr>
          <w:rFonts w:ascii="Book Antiqua" w:hAnsi="Book Antiqua" w:cs="FrankRuehl"/>
          <w:sz w:val="24"/>
          <w:szCs w:val="24"/>
        </w:rPr>
        <w:t xml:space="preserve"> of April, 2009.</w:t>
      </w:r>
    </w:p>
    <w:p w:rsidR="00066640" w:rsidRPr="00FA2567" w:rsidRDefault="00066640" w:rsidP="00066640">
      <w:pPr>
        <w:widowControl w:val="0"/>
        <w:autoSpaceDE w:val="0"/>
        <w:autoSpaceDN w:val="0"/>
        <w:adjustRightInd w:val="0"/>
        <w:spacing w:after="0" w:line="240" w:lineRule="auto"/>
        <w:jc w:val="both"/>
        <w:rPr>
          <w:rFonts w:ascii="Book Antiqua" w:hAnsi="Book Antiqua" w:cs="FrankRuehl"/>
          <w:sz w:val="24"/>
          <w:szCs w:val="24"/>
        </w:rPr>
      </w:pPr>
    </w:p>
    <w:p w:rsidR="00066640" w:rsidRPr="00FA2567" w:rsidRDefault="00FF5D9D" w:rsidP="00066640">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For the purpose of section 49 of the Income Tax Act, the cost of acquisition for sweat equity shares, will be fair market value and not the value taken into account for such perquisite.</w:t>
      </w:r>
    </w:p>
    <w:p w:rsidR="00FF5D9D" w:rsidRPr="00FA2567" w:rsidRDefault="00FF5D9D" w:rsidP="00FF5D9D">
      <w:pPr>
        <w:widowControl w:val="0"/>
        <w:autoSpaceDE w:val="0"/>
        <w:autoSpaceDN w:val="0"/>
        <w:adjustRightInd w:val="0"/>
        <w:spacing w:after="0" w:line="240" w:lineRule="auto"/>
        <w:jc w:val="both"/>
        <w:rPr>
          <w:rFonts w:ascii="Book Antiqua" w:hAnsi="Book Antiqua" w:cs="FrankRuehl"/>
          <w:sz w:val="24"/>
          <w:szCs w:val="24"/>
        </w:rPr>
      </w:pPr>
    </w:p>
    <w:p w:rsidR="00FF5D9D" w:rsidRPr="00FA2567" w:rsidRDefault="00F867A7" w:rsidP="00FF5D9D">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In case of slump sale of undertaking under section 50B, the net worth of the undertaking will be aggregate value of the following:</w:t>
      </w:r>
    </w:p>
    <w:p w:rsidR="00F867A7" w:rsidRPr="00FA2567" w:rsidRDefault="00F867A7" w:rsidP="00F867A7">
      <w:pPr>
        <w:pStyle w:val="ListParagraph"/>
        <w:rPr>
          <w:rFonts w:ascii="Book Antiqua" w:hAnsi="Book Antiqua" w:cs="FrankRuehl"/>
          <w:sz w:val="24"/>
          <w:szCs w:val="24"/>
        </w:rPr>
      </w:pPr>
    </w:p>
    <w:p w:rsidR="00F867A7" w:rsidRPr="00FA2567" w:rsidRDefault="00F867A7" w:rsidP="00F867A7">
      <w:pPr>
        <w:pStyle w:val="ListParagraph"/>
        <w:widowControl w:val="0"/>
        <w:numPr>
          <w:ilvl w:val="0"/>
          <w:numId w:val="6"/>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In case of depreciable assets, the written value of the block of assets as determined under section 43.</w:t>
      </w:r>
    </w:p>
    <w:p w:rsidR="00F867A7" w:rsidRPr="00FA2567" w:rsidRDefault="00F867A7" w:rsidP="00F867A7">
      <w:pPr>
        <w:pStyle w:val="ListParagraph"/>
        <w:widowControl w:val="0"/>
        <w:numPr>
          <w:ilvl w:val="0"/>
          <w:numId w:val="6"/>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In case of capital assets in respect of which whole of expenditure is deductible under new section 35AD for specified business, nil value.</w:t>
      </w:r>
    </w:p>
    <w:p w:rsidR="00F867A7" w:rsidRPr="00FA2567" w:rsidRDefault="00F867A7" w:rsidP="00F867A7">
      <w:pPr>
        <w:pStyle w:val="ListParagraph"/>
        <w:widowControl w:val="0"/>
        <w:numPr>
          <w:ilvl w:val="0"/>
          <w:numId w:val="6"/>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In case of other assets, the book value of such assets.</w:t>
      </w:r>
    </w:p>
    <w:p w:rsidR="00F867A7" w:rsidRPr="00FA2567" w:rsidRDefault="00F867A7" w:rsidP="00F867A7">
      <w:pPr>
        <w:widowControl w:val="0"/>
        <w:autoSpaceDE w:val="0"/>
        <w:autoSpaceDN w:val="0"/>
        <w:adjustRightInd w:val="0"/>
        <w:spacing w:after="0" w:line="240" w:lineRule="auto"/>
        <w:jc w:val="both"/>
        <w:rPr>
          <w:rFonts w:ascii="Book Antiqua" w:hAnsi="Book Antiqua" w:cs="FrankRuehl"/>
          <w:sz w:val="24"/>
          <w:szCs w:val="24"/>
        </w:rPr>
      </w:pPr>
    </w:p>
    <w:p w:rsidR="00F867A7" w:rsidRPr="00FA2567" w:rsidRDefault="00816C43" w:rsidP="00F867A7">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 xml:space="preserve">Section 50C in respect of value of capital asset being land or building or both for the purpose of consideration, will now take </w:t>
      </w:r>
      <w:r w:rsidR="008B6D79">
        <w:rPr>
          <w:rFonts w:ascii="Book Antiqua" w:hAnsi="Book Antiqua" w:cs="FrankRuehl"/>
          <w:sz w:val="24"/>
          <w:szCs w:val="24"/>
        </w:rPr>
        <w:t xml:space="preserve">also </w:t>
      </w:r>
      <w:r w:rsidRPr="00FA2567">
        <w:rPr>
          <w:rFonts w:ascii="Book Antiqua" w:hAnsi="Book Antiqua" w:cs="FrankRuehl"/>
          <w:sz w:val="24"/>
          <w:szCs w:val="24"/>
        </w:rPr>
        <w:t>into</w:t>
      </w:r>
      <w:r w:rsidR="008B6D79">
        <w:rPr>
          <w:rFonts w:ascii="Book Antiqua" w:hAnsi="Book Antiqua" w:cs="FrankRuehl"/>
          <w:sz w:val="24"/>
          <w:szCs w:val="24"/>
        </w:rPr>
        <w:t xml:space="preserve"> account</w:t>
      </w:r>
      <w:r w:rsidRPr="00FA2567">
        <w:rPr>
          <w:rFonts w:ascii="Book Antiqua" w:hAnsi="Book Antiqua" w:cs="FrankRuehl"/>
          <w:sz w:val="24"/>
          <w:szCs w:val="24"/>
        </w:rPr>
        <w:t xml:space="preserve"> the provisions of “price which the stamp valuation authority would have adopted or assessed, had the </w:t>
      </w:r>
      <w:r w:rsidR="008B6D79">
        <w:rPr>
          <w:rFonts w:ascii="Book Antiqua" w:hAnsi="Book Antiqua" w:cs="FrankRuehl"/>
          <w:sz w:val="24"/>
          <w:szCs w:val="24"/>
        </w:rPr>
        <w:t>valuation been referred to”</w:t>
      </w:r>
      <w:r w:rsidRPr="00FA2567">
        <w:rPr>
          <w:rFonts w:ascii="Book Antiqua" w:hAnsi="Book Antiqua" w:cs="FrankRuehl"/>
          <w:sz w:val="24"/>
          <w:szCs w:val="24"/>
        </w:rPr>
        <w:t xml:space="preserve">. </w:t>
      </w:r>
    </w:p>
    <w:p w:rsidR="00816C43" w:rsidRPr="00FA2567" w:rsidRDefault="00816C43" w:rsidP="00816C43">
      <w:pPr>
        <w:pStyle w:val="ListParagraph"/>
        <w:widowControl w:val="0"/>
        <w:autoSpaceDE w:val="0"/>
        <w:autoSpaceDN w:val="0"/>
        <w:adjustRightInd w:val="0"/>
        <w:spacing w:after="0" w:line="240" w:lineRule="auto"/>
        <w:jc w:val="both"/>
        <w:rPr>
          <w:rFonts w:ascii="Book Antiqua" w:hAnsi="Book Antiqua" w:cs="FrankRuehl"/>
          <w:sz w:val="24"/>
          <w:szCs w:val="24"/>
        </w:rPr>
      </w:pPr>
    </w:p>
    <w:p w:rsidR="00816C43" w:rsidRPr="00FA2567" w:rsidRDefault="00816C43" w:rsidP="00816C43">
      <w:pPr>
        <w:pStyle w:val="ListParagraph"/>
        <w:widowControl w:val="0"/>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This is effective from 1</w:t>
      </w:r>
      <w:r w:rsidRPr="00FA2567">
        <w:rPr>
          <w:rFonts w:ascii="Book Antiqua" w:hAnsi="Book Antiqua" w:cs="FrankRuehl"/>
          <w:sz w:val="24"/>
          <w:szCs w:val="24"/>
          <w:vertAlign w:val="superscript"/>
        </w:rPr>
        <w:t>st</w:t>
      </w:r>
      <w:r w:rsidRPr="00FA2567">
        <w:rPr>
          <w:rFonts w:ascii="Book Antiqua" w:hAnsi="Book Antiqua" w:cs="FrankRuehl"/>
          <w:sz w:val="24"/>
          <w:szCs w:val="24"/>
        </w:rPr>
        <w:t xml:space="preserve"> of October, 2009.</w:t>
      </w:r>
    </w:p>
    <w:p w:rsidR="009B1EB4" w:rsidRPr="00FA2567" w:rsidRDefault="009B1EB4" w:rsidP="009B1EB4">
      <w:pPr>
        <w:widowControl w:val="0"/>
        <w:autoSpaceDE w:val="0"/>
        <w:autoSpaceDN w:val="0"/>
        <w:adjustRightInd w:val="0"/>
        <w:spacing w:after="0" w:line="240" w:lineRule="auto"/>
        <w:jc w:val="both"/>
        <w:rPr>
          <w:rFonts w:ascii="Book Antiqua" w:hAnsi="Book Antiqua" w:cs="FrankRuehl"/>
          <w:sz w:val="24"/>
          <w:szCs w:val="24"/>
        </w:rPr>
      </w:pPr>
    </w:p>
    <w:p w:rsidR="009B1EB4" w:rsidRPr="00FA2567" w:rsidRDefault="009B1EB4" w:rsidP="009B1EB4">
      <w:pPr>
        <w:pStyle w:val="ListParagraph"/>
        <w:widowControl w:val="0"/>
        <w:numPr>
          <w:ilvl w:val="0"/>
          <w:numId w:val="1"/>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For the purposes of Section 56 in respect of income in respect of any sum of money received without consideration by an individual or HUF, from a person other than a relative, where such sum exceeds fifty thousand rupees in the financial year</w:t>
      </w:r>
      <w:r w:rsidR="00274E08" w:rsidRPr="00FA2567">
        <w:rPr>
          <w:rFonts w:ascii="Book Antiqua" w:hAnsi="Book Antiqua" w:cs="FrankRuehl"/>
          <w:sz w:val="24"/>
          <w:szCs w:val="24"/>
        </w:rPr>
        <w:t>, the following have also been added:</w:t>
      </w:r>
    </w:p>
    <w:p w:rsidR="00274E08" w:rsidRPr="00FA2567" w:rsidRDefault="00274E08" w:rsidP="00274E08">
      <w:pPr>
        <w:pStyle w:val="ListParagraph"/>
        <w:widowControl w:val="0"/>
        <w:autoSpaceDE w:val="0"/>
        <w:autoSpaceDN w:val="0"/>
        <w:adjustRightInd w:val="0"/>
        <w:spacing w:after="0" w:line="240" w:lineRule="auto"/>
        <w:jc w:val="both"/>
        <w:rPr>
          <w:rFonts w:ascii="Book Antiqua" w:hAnsi="Book Antiqua" w:cs="FrankRuehl"/>
          <w:sz w:val="24"/>
          <w:szCs w:val="24"/>
        </w:rPr>
      </w:pPr>
    </w:p>
    <w:p w:rsidR="00274E08" w:rsidRPr="00FA2567" w:rsidRDefault="00274E08" w:rsidP="00274E08">
      <w:pPr>
        <w:pStyle w:val="ListParagraph"/>
        <w:widowControl w:val="0"/>
        <w:numPr>
          <w:ilvl w:val="0"/>
          <w:numId w:val="7"/>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any immovable property (being land or building or both)</w:t>
      </w:r>
    </w:p>
    <w:p w:rsidR="00274E08" w:rsidRPr="00FA2567" w:rsidRDefault="00274E08" w:rsidP="00274E08">
      <w:pPr>
        <w:pStyle w:val="ListParagraph"/>
        <w:widowControl w:val="0"/>
        <w:numPr>
          <w:ilvl w:val="0"/>
          <w:numId w:val="7"/>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t>any property other than immovable property (being shares and securities, jewellery, archaeological collections, drawings, paintings, sculptures, or any work or art)</w:t>
      </w:r>
    </w:p>
    <w:p w:rsidR="00274E08" w:rsidRPr="00FA2567" w:rsidRDefault="00274E08" w:rsidP="00274E08">
      <w:pPr>
        <w:widowControl w:val="0"/>
        <w:autoSpaceDE w:val="0"/>
        <w:autoSpaceDN w:val="0"/>
        <w:adjustRightInd w:val="0"/>
        <w:spacing w:after="0" w:line="240" w:lineRule="auto"/>
        <w:ind w:left="720"/>
        <w:jc w:val="both"/>
        <w:rPr>
          <w:rFonts w:ascii="Book Antiqua" w:hAnsi="Book Antiqua" w:cs="FrankRuehl"/>
          <w:sz w:val="24"/>
          <w:szCs w:val="24"/>
        </w:rPr>
      </w:pPr>
    </w:p>
    <w:p w:rsidR="00274E08" w:rsidRDefault="00274E08" w:rsidP="00274E08">
      <w:pPr>
        <w:widowControl w:val="0"/>
        <w:autoSpaceDE w:val="0"/>
        <w:autoSpaceDN w:val="0"/>
        <w:adjustRightInd w:val="0"/>
        <w:spacing w:after="0" w:line="240" w:lineRule="auto"/>
        <w:ind w:left="720"/>
        <w:jc w:val="both"/>
        <w:rPr>
          <w:rFonts w:ascii="Book Antiqua" w:hAnsi="Book Antiqua" w:cs="FrankRuehl"/>
          <w:sz w:val="24"/>
          <w:szCs w:val="24"/>
        </w:rPr>
      </w:pPr>
      <w:r w:rsidRPr="00FA2567">
        <w:rPr>
          <w:rFonts w:ascii="Book Antiqua" w:hAnsi="Book Antiqua" w:cs="FrankRuehl"/>
          <w:sz w:val="24"/>
          <w:szCs w:val="24"/>
        </w:rPr>
        <w:t>Note: The value will be considered in the following manner:</w:t>
      </w:r>
    </w:p>
    <w:p w:rsidR="00E15A36" w:rsidRPr="00FA2567" w:rsidRDefault="00E15A36" w:rsidP="00274E08">
      <w:pPr>
        <w:widowControl w:val="0"/>
        <w:autoSpaceDE w:val="0"/>
        <w:autoSpaceDN w:val="0"/>
        <w:adjustRightInd w:val="0"/>
        <w:spacing w:after="0" w:line="240" w:lineRule="auto"/>
        <w:ind w:left="720"/>
        <w:jc w:val="both"/>
        <w:rPr>
          <w:rFonts w:ascii="Book Antiqua" w:hAnsi="Book Antiqua" w:cs="FrankRuehl"/>
          <w:sz w:val="24"/>
          <w:szCs w:val="24"/>
        </w:rPr>
      </w:pPr>
    </w:p>
    <w:p w:rsidR="00274E08" w:rsidRPr="00FA2567" w:rsidRDefault="00274E08" w:rsidP="00274E08">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p>
    <w:p w:rsidR="00274E08" w:rsidRPr="00FA2567" w:rsidRDefault="00274E08" w:rsidP="00274E08">
      <w:pPr>
        <w:pStyle w:val="ListParagraph"/>
        <w:widowControl w:val="0"/>
        <w:numPr>
          <w:ilvl w:val="0"/>
          <w:numId w:val="9"/>
        </w:numPr>
        <w:autoSpaceDE w:val="0"/>
        <w:autoSpaceDN w:val="0"/>
        <w:adjustRightInd w:val="0"/>
        <w:spacing w:after="0" w:line="240" w:lineRule="auto"/>
        <w:jc w:val="both"/>
        <w:rPr>
          <w:rFonts w:ascii="Book Antiqua" w:hAnsi="Book Antiqua" w:cs="FrankRuehl"/>
          <w:sz w:val="24"/>
          <w:szCs w:val="24"/>
        </w:rPr>
      </w:pPr>
      <w:r w:rsidRPr="00FA2567">
        <w:rPr>
          <w:rFonts w:ascii="Book Antiqua" w:hAnsi="Book Antiqua" w:cs="FrankRuehl"/>
          <w:sz w:val="24"/>
          <w:szCs w:val="24"/>
        </w:rPr>
        <w:lastRenderedPageBreak/>
        <w:t>without consideration : the whole stamp duty value (for immovable property)/ the whole fair market value (for other property) [where the value exceeds fifty thousand rupees),</w:t>
      </w:r>
    </w:p>
    <w:p w:rsidR="00274E08" w:rsidRPr="00FA2567" w:rsidRDefault="00274E08" w:rsidP="00274E08">
      <w:pPr>
        <w:pStyle w:val="ListParagraph"/>
        <w:widowControl w:val="0"/>
        <w:numPr>
          <w:ilvl w:val="0"/>
          <w:numId w:val="9"/>
        </w:numPr>
        <w:autoSpaceDE w:val="0"/>
        <w:autoSpaceDN w:val="0"/>
        <w:adjustRightInd w:val="0"/>
        <w:spacing w:after="0" w:line="240" w:lineRule="auto"/>
        <w:jc w:val="both"/>
        <w:rPr>
          <w:rFonts w:ascii="Book Antiqua" w:hAnsi="Book Antiqua" w:cs="FrankRuehl"/>
          <w:sz w:val="24"/>
          <w:szCs w:val="24"/>
        </w:rPr>
      </w:pPr>
      <w:proofErr w:type="gramStart"/>
      <w:r w:rsidRPr="00FA2567">
        <w:rPr>
          <w:rFonts w:ascii="Book Antiqua" w:hAnsi="Book Antiqua" w:cs="FrankRuehl"/>
          <w:sz w:val="24"/>
          <w:szCs w:val="24"/>
        </w:rPr>
        <w:t>for</w:t>
      </w:r>
      <w:proofErr w:type="gramEnd"/>
      <w:r w:rsidRPr="00FA2567">
        <w:rPr>
          <w:rFonts w:ascii="Book Antiqua" w:hAnsi="Book Antiqua" w:cs="FrankRuehl"/>
          <w:sz w:val="24"/>
          <w:szCs w:val="24"/>
        </w:rPr>
        <w:t xml:space="preserve"> a consideration which is less than the stamp duty value/fair market value by an amount exceeding </w:t>
      </w:r>
      <w:r w:rsidR="00D61FB3" w:rsidRPr="00FA2567">
        <w:rPr>
          <w:rFonts w:ascii="Book Antiqua" w:hAnsi="Book Antiqua" w:cs="FrankRuehl"/>
          <w:sz w:val="24"/>
          <w:szCs w:val="24"/>
        </w:rPr>
        <w:t>Rs. 50000: the stamp duty value/fair market value as exceeds such consideration.</w:t>
      </w:r>
      <w:r w:rsidRPr="00FA2567">
        <w:rPr>
          <w:rFonts w:ascii="Book Antiqua" w:hAnsi="Book Antiqua" w:cs="FrankRuehl"/>
          <w:sz w:val="24"/>
          <w:szCs w:val="24"/>
        </w:rPr>
        <w:t xml:space="preserve">   </w:t>
      </w:r>
    </w:p>
    <w:p w:rsidR="00E15A36" w:rsidRDefault="00E15A36" w:rsidP="00A45C6D">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p>
    <w:p w:rsidR="0062732B" w:rsidRPr="00FA2567" w:rsidRDefault="0062732B" w:rsidP="00A45C6D">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r w:rsidRPr="00FA2567">
        <w:rPr>
          <w:rFonts w:ascii="Book Antiqua" w:hAnsi="Book Antiqua" w:cs="FrankRuehl"/>
          <w:sz w:val="24"/>
          <w:szCs w:val="24"/>
        </w:rPr>
        <w:t>This is effective from 1</w:t>
      </w:r>
      <w:r w:rsidRPr="00FA2567">
        <w:rPr>
          <w:rFonts w:ascii="Book Antiqua" w:hAnsi="Book Antiqua" w:cs="FrankRuehl"/>
          <w:sz w:val="24"/>
          <w:szCs w:val="24"/>
          <w:vertAlign w:val="superscript"/>
        </w:rPr>
        <w:t>st</w:t>
      </w:r>
      <w:r w:rsidRPr="00FA2567">
        <w:rPr>
          <w:rFonts w:ascii="Book Antiqua" w:hAnsi="Book Antiqua" w:cs="FrankRuehl"/>
          <w:sz w:val="24"/>
          <w:szCs w:val="24"/>
        </w:rPr>
        <w:t xml:space="preserve"> of October, 2009.</w:t>
      </w:r>
    </w:p>
    <w:p w:rsidR="002A3CE9" w:rsidRPr="00FA2567" w:rsidRDefault="002A3CE9" w:rsidP="00A45C6D">
      <w:pPr>
        <w:pStyle w:val="ListParagraph"/>
        <w:widowControl w:val="0"/>
        <w:autoSpaceDE w:val="0"/>
        <w:autoSpaceDN w:val="0"/>
        <w:adjustRightInd w:val="0"/>
        <w:spacing w:after="0" w:line="240" w:lineRule="auto"/>
        <w:ind w:left="1440"/>
        <w:jc w:val="both"/>
        <w:rPr>
          <w:rFonts w:ascii="Book Antiqua" w:hAnsi="Book Antiqua" w:cs="FrankRuehl"/>
          <w:sz w:val="24"/>
          <w:szCs w:val="24"/>
        </w:rPr>
      </w:pPr>
      <w:r w:rsidRPr="00FA2567">
        <w:rPr>
          <w:rFonts w:ascii="Book Antiqua" w:hAnsi="Book Antiqua" w:cs="FrankRuehl"/>
          <w:sz w:val="24"/>
          <w:szCs w:val="24"/>
        </w:rPr>
        <w:t xml:space="preserve"> </w:t>
      </w:r>
    </w:p>
    <w:p w:rsidR="001D21C0" w:rsidRPr="00FA2567" w:rsidRDefault="0062732B" w:rsidP="00E11971">
      <w:pPr>
        <w:pStyle w:val="ListParagraph"/>
        <w:numPr>
          <w:ilvl w:val="0"/>
          <w:numId w:val="1"/>
        </w:numPr>
        <w:rPr>
          <w:rFonts w:ascii="Book Antiqua" w:hAnsi="Book Antiqua" w:cs="FrankRuehl"/>
          <w:sz w:val="24"/>
          <w:szCs w:val="24"/>
        </w:rPr>
      </w:pPr>
      <w:r w:rsidRPr="00FA2567">
        <w:rPr>
          <w:rFonts w:ascii="Book Antiqua" w:hAnsi="Book Antiqua" w:cs="FrankRuehl"/>
          <w:sz w:val="24"/>
          <w:szCs w:val="24"/>
        </w:rPr>
        <w:t xml:space="preserve">For the purpose of deduction in respect of dependent with severe disability, Rs. 1 </w:t>
      </w:r>
      <w:proofErr w:type="spellStart"/>
      <w:r w:rsidRPr="00FA2567">
        <w:rPr>
          <w:rFonts w:ascii="Book Antiqua" w:hAnsi="Book Antiqua" w:cs="FrankRuehl"/>
          <w:sz w:val="24"/>
          <w:szCs w:val="24"/>
        </w:rPr>
        <w:t>lac</w:t>
      </w:r>
      <w:proofErr w:type="spellEnd"/>
      <w:r w:rsidRPr="00FA2567">
        <w:rPr>
          <w:rFonts w:ascii="Book Antiqua" w:hAnsi="Book Antiqua" w:cs="FrankRuehl"/>
          <w:sz w:val="24"/>
          <w:szCs w:val="24"/>
        </w:rPr>
        <w:t xml:space="preserve"> is substituted for Rs. 75000/- under section 80DD.</w:t>
      </w:r>
    </w:p>
    <w:p w:rsidR="00824F16" w:rsidRPr="00FA2567" w:rsidRDefault="00824F16" w:rsidP="0062732B">
      <w:pPr>
        <w:pStyle w:val="NoSpacing"/>
        <w:numPr>
          <w:ilvl w:val="0"/>
          <w:numId w:val="1"/>
        </w:numPr>
        <w:rPr>
          <w:rFonts w:ascii="Book Antiqua" w:hAnsi="Book Antiqua" w:cs="FrankRuehl"/>
          <w:sz w:val="24"/>
          <w:szCs w:val="24"/>
        </w:rPr>
      </w:pPr>
      <w:r w:rsidRPr="00FA2567">
        <w:rPr>
          <w:rFonts w:ascii="Book Antiqua" w:hAnsi="Book Antiqua" w:cs="FrankRuehl"/>
          <w:sz w:val="24"/>
          <w:szCs w:val="24"/>
        </w:rPr>
        <w:t xml:space="preserve">Under section 80E, interest on loan taken for higher education by an individual will now be available for any course of study pursued after senior secondary examination </w:t>
      </w:r>
      <w:r w:rsidR="0078556B">
        <w:rPr>
          <w:rFonts w:ascii="Book Antiqua" w:hAnsi="Book Antiqua" w:cs="FrankRuehl"/>
          <w:sz w:val="24"/>
          <w:szCs w:val="24"/>
        </w:rPr>
        <w:t xml:space="preserve">of recognised educational institution </w:t>
      </w:r>
      <w:r w:rsidRPr="00FA2567">
        <w:rPr>
          <w:rFonts w:ascii="Book Antiqua" w:hAnsi="Book Antiqua" w:cs="FrankRuehl"/>
          <w:sz w:val="24"/>
          <w:szCs w:val="24"/>
        </w:rPr>
        <w:t>or its equivalent.</w:t>
      </w:r>
    </w:p>
    <w:p w:rsidR="00824F16" w:rsidRPr="00FA2567" w:rsidRDefault="00824F16" w:rsidP="00824F16">
      <w:pPr>
        <w:pStyle w:val="NoSpacing"/>
        <w:rPr>
          <w:rFonts w:ascii="Book Antiqua" w:hAnsi="Book Antiqua" w:cs="FrankRuehl"/>
          <w:sz w:val="24"/>
          <w:szCs w:val="24"/>
        </w:rPr>
      </w:pPr>
    </w:p>
    <w:p w:rsidR="00824F16" w:rsidRPr="00FA2567" w:rsidRDefault="00EA593F" w:rsidP="00824F16">
      <w:pPr>
        <w:pStyle w:val="NoSpacing"/>
        <w:numPr>
          <w:ilvl w:val="0"/>
          <w:numId w:val="1"/>
        </w:numPr>
        <w:rPr>
          <w:rFonts w:ascii="Book Antiqua" w:hAnsi="Book Antiqua" w:cs="FrankRuehl"/>
          <w:sz w:val="24"/>
          <w:szCs w:val="24"/>
        </w:rPr>
      </w:pPr>
      <w:r w:rsidRPr="00FA2567">
        <w:rPr>
          <w:rFonts w:ascii="Book Antiqua" w:hAnsi="Book Antiqua" w:cs="FrankRuehl"/>
          <w:sz w:val="24"/>
          <w:szCs w:val="24"/>
        </w:rPr>
        <w:t xml:space="preserve">Deduction will </w:t>
      </w:r>
      <w:r w:rsidR="00E15A36">
        <w:rPr>
          <w:rFonts w:ascii="Book Antiqua" w:hAnsi="Book Antiqua" w:cs="FrankRuehl"/>
          <w:sz w:val="24"/>
          <w:szCs w:val="24"/>
        </w:rPr>
        <w:t xml:space="preserve">also </w:t>
      </w:r>
      <w:r w:rsidRPr="00FA2567">
        <w:rPr>
          <w:rFonts w:ascii="Book Antiqua" w:hAnsi="Book Antiqua" w:cs="FrankRuehl"/>
          <w:sz w:val="24"/>
          <w:szCs w:val="24"/>
        </w:rPr>
        <w:t xml:space="preserve">be available in respect of contributions to electoral trusts for the purpose of section </w:t>
      </w:r>
      <w:proofErr w:type="gramStart"/>
      <w:r w:rsidRPr="00FA2567">
        <w:rPr>
          <w:rFonts w:ascii="Book Antiqua" w:hAnsi="Book Antiqua" w:cs="FrankRuehl"/>
          <w:sz w:val="24"/>
          <w:szCs w:val="24"/>
        </w:rPr>
        <w:t>80GG(</w:t>
      </w:r>
      <w:proofErr w:type="gramEnd"/>
      <w:r w:rsidRPr="00FA2567">
        <w:rPr>
          <w:rFonts w:ascii="Book Antiqua" w:hAnsi="Book Antiqua" w:cs="FrankRuehl"/>
          <w:sz w:val="24"/>
          <w:szCs w:val="24"/>
        </w:rPr>
        <w:t>B/C).</w:t>
      </w:r>
    </w:p>
    <w:p w:rsidR="00EA593F" w:rsidRPr="00FA2567" w:rsidRDefault="00EA593F" w:rsidP="00EA593F">
      <w:pPr>
        <w:pStyle w:val="NoSpacing"/>
        <w:rPr>
          <w:rFonts w:ascii="Book Antiqua" w:hAnsi="Book Antiqua" w:cs="FrankRuehl"/>
          <w:sz w:val="24"/>
          <w:szCs w:val="24"/>
        </w:rPr>
      </w:pPr>
    </w:p>
    <w:p w:rsidR="00453963" w:rsidRPr="00FA2567" w:rsidRDefault="00453963" w:rsidP="00EA593F">
      <w:pPr>
        <w:pStyle w:val="NoSpacing"/>
        <w:numPr>
          <w:ilvl w:val="0"/>
          <w:numId w:val="1"/>
        </w:numPr>
        <w:rPr>
          <w:rFonts w:ascii="Book Antiqua" w:hAnsi="Book Antiqua" w:cs="FrankRuehl"/>
          <w:sz w:val="24"/>
          <w:szCs w:val="24"/>
        </w:rPr>
      </w:pPr>
      <w:r w:rsidRPr="00FA2567">
        <w:rPr>
          <w:rFonts w:ascii="Book Antiqua" w:hAnsi="Book Antiqua" w:cs="FrankRuehl"/>
          <w:sz w:val="24"/>
          <w:szCs w:val="24"/>
        </w:rPr>
        <w:t xml:space="preserve">Anonymous donations under section 115BC which are taxed @ 30% will be considered to the extent exceeding 5% of the total income of the </w:t>
      </w:r>
      <w:proofErr w:type="spellStart"/>
      <w:r w:rsidRPr="00FA2567">
        <w:rPr>
          <w:rFonts w:ascii="Book Antiqua" w:hAnsi="Book Antiqua" w:cs="FrankRuehl"/>
          <w:sz w:val="24"/>
          <w:szCs w:val="24"/>
        </w:rPr>
        <w:t>assessee</w:t>
      </w:r>
      <w:proofErr w:type="spellEnd"/>
      <w:r w:rsidRPr="00FA2567">
        <w:rPr>
          <w:rFonts w:ascii="Book Antiqua" w:hAnsi="Book Antiqua" w:cs="FrankRuehl"/>
          <w:sz w:val="24"/>
          <w:szCs w:val="24"/>
        </w:rPr>
        <w:t xml:space="preserve"> or Rs. 1 </w:t>
      </w:r>
      <w:proofErr w:type="spellStart"/>
      <w:r w:rsidRPr="00FA2567">
        <w:rPr>
          <w:rFonts w:ascii="Book Antiqua" w:hAnsi="Book Antiqua" w:cs="FrankRuehl"/>
          <w:sz w:val="24"/>
          <w:szCs w:val="24"/>
        </w:rPr>
        <w:t>lac</w:t>
      </w:r>
      <w:proofErr w:type="spellEnd"/>
      <w:r w:rsidRPr="00FA2567">
        <w:rPr>
          <w:rFonts w:ascii="Book Antiqua" w:hAnsi="Book Antiqua" w:cs="FrankRuehl"/>
          <w:sz w:val="24"/>
          <w:szCs w:val="24"/>
        </w:rPr>
        <w:t xml:space="preserve"> whichever is higher.</w:t>
      </w:r>
    </w:p>
    <w:p w:rsidR="00453963" w:rsidRPr="00FA2567" w:rsidRDefault="00453963" w:rsidP="00453963">
      <w:pPr>
        <w:pStyle w:val="NoSpacing"/>
        <w:rPr>
          <w:rFonts w:ascii="Book Antiqua" w:hAnsi="Book Antiqua" w:cs="FrankRuehl"/>
          <w:sz w:val="24"/>
          <w:szCs w:val="24"/>
        </w:rPr>
      </w:pPr>
    </w:p>
    <w:p w:rsidR="00F30627" w:rsidRPr="00FA2567" w:rsidRDefault="00F30627" w:rsidP="00F30627">
      <w:pPr>
        <w:pStyle w:val="NoSpacing"/>
        <w:numPr>
          <w:ilvl w:val="0"/>
          <w:numId w:val="1"/>
        </w:numPr>
        <w:rPr>
          <w:rFonts w:ascii="Book Antiqua" w:hAnsi="Book Antiqua" w:cs="FrankRuehl"/>
          <w:sz w:val="24"/>
          <w:szCs w:val="24"/>
        </w:rPr>
      </w:pPr>
      <w:r w:rsidRPr="00FA2567">
        <w:rPr>
          <w:rFonts w:ascii="Book Antiqua" w:hAnsi="Book Antiqua" w:cs="FrankRuehl"/>
          <w:sz w:val="24"/>
          <w:szCs w:val="24"/>
        </w:rPr>
        <w:t>Under sec. 115JA, “provision for diminution in the value of any asset” will also be included in the computation of book profit of the company.</w:t>
      </w:r>
    </w:p>
    <w:p w:rsidR="00F30627" w:rsidRPr="00FA2567" w:rsidRDefault="00F30627" w:rsidP="00F30627">
      <w:pPr>
        <w:pStyle w:val="NoSpacing"/>
        <w:rPr>
          <w:rFonts w:ascii="Book Antiqua" w:hAnsi="Book Antiqua" w:cs="FrankRuehl"/>
          <w:sz w:val="24"/>
          <w:szCs w:val="24"/>
        </w:rPr>
      </w:pPr>
    </w:p>
    <w:p w:rsidR="00F30627" w:rsidRPr="00FA2567" w:rsidRDefault="00F30627" w:rsidP="00F30627">
      <w:pPr>
        <w:pStyle w:val="NoSpacing"/>
        <w:ind w:left="720"/>
        <w:rPr>
          <w:rFonts w:ascii="Book Antiqua" w:hAnsi="Book Antiqua" w:cs="FrankRuehl"/>
          <w:sz w:val="24"/>
          <w:szCs w:val="24"/>
        </w:rPr>
      </w:pPr>
      <w:r w:rsidRPr="00FA2567">
        <w:rPr>
          <w:rFonts w:ascii="Book Antiqua" w:hAnsi="Book Antiqua" w:cs="FrankRuehl"/>
          <w:sz w:val="24"/>
          <w:szCs w:val="24"/>
        </w:rPr>
        <w:t>This is retrospectively effective from A.Y. 1998-1999.</w:t>
      </w:r>
    </w:p>
    <w:p w:rsidR="00F30627" w:rsidRPr="00FA2567" w:rsidRDefault="00F30627" w:rsidP="00F30627">
      <w:pPr>
        <w:pStyle w:val="NoSpacing"/>
        <w:ind w:left="720"/>
        <w:rPr>
          <w:rFonts w:ascii="Book Antiqua" w:hAnsi="Book Antiqua" w:cs="FrankRuehl"/>
          <w:sz w:val="24"/>
          <w:szCs w:val="24"/>
        </w:rPr>
      </w:pPr>
    </w:p>
    <w:p w:rsidR="00555BB3" w:rsidRPr="00FA2567" w:rsidRDefault="00555BB3" w:rsidP="00453963">
      <w:pPr>
        <w:pStyle w:val="NoSpacing"/>
        <w:numPr>
          <w:ilvl w:val="0"/>
          <w:numId w:val="1"/>
        </w:numPr>
        <w:rPr>
          <w:rFonts w:ascii="Book Antiqua" w:hAnsi="Book Antiqua" w:cs="FrankRuehl"/>
          <w:sz w:val="24"/>
          <w:szCs w:val="24"/>
        </w:rPr>
      </w:pPr>
      <w:r w:rsidRPr="00FA2567">
        <w:rPr>
          <w:rFonts w:ascii="Book Antiqua" w:hAnsi="Book Antiqua" w:cs="FrankRuehl"/>
          <w:sz w:val="24"/>
          <w:szCs w:val="24"/>
        </w:rPr>
        <w:t xml:space="preserve">Under sec. 115JAA, Minimum Alternate Tax (MAT) credit will be allowed to be carried forward and set off till 10 assessment years (instead of </w:t>
      </w:r>
      <w:r w:rsidR="00E15A36">
        <w:rPr>
          <w:rFonts w:ascii="Book Antiqua" w:hAnsi="Book Antiqua" w:cs="FrankRuehl"/>
          <w:sz w:val="24"/>
          <w:szCs w:val="24"/>
        </w:rPr>
        <w:t>7</w:t>
      </w:r>
      <w:r w:rsidRPr="00FA2567">
        <w:rPr>
          <w:rFonts w:ascii="Book Antiqua" w:hAnsi="Book Antiqua" w:cs="FrankRuehl"/>
          <w:sz w:val="24"/>
          <w:szCs w:val="24"/>
        </w:rPr>
        <w:t xml:space="preserve"> assessment years).</w:t>
      </w:r>
    </w:p>
    <w:p w:rsidR="00EA593F" w:rsidRPr="00FA2567" w:rsidRDefault="00EA593F" w:rsidP="00233A22">
      <w:pPr>
        <w:pStyle w:val="NoSpacing"/>
        <w:rPr>
          <w:rFonts w:ascii="Book Antiqua" w:hAnsi="Book Antiqua" w:cs="FrankRuehl"/>
          <w:sz w:val="24"/>
          <w:szCs w:val="24"/>
        </w:rPr>
      </w:pPr>
      <w:r w:rsidRPr="00FA2567">
        <w:rPr>
          <w:rFonts w:ascii="Book Antiqua" w:hAnsi="Book Antiqua" w:cs="FrankRuehl"/>
          <w:sz w:val="24"/>
          <w:szCs w:val="24"/>
        </w:rPr>
        <w:tab/>
      </w:r>
    </w:p>
    <w:p w:rsidR="001834EA" w:rsidRDefault="00CA1627" w:rsidP="00233A22">
      <w:pPr>
        <w:pStyle w:val="NoSpacing"/>
        <w:numPr>
          <w:ilvl w:val="0"/>
          <w:numId w:val="1"/>
        </w:numPr>
        <w:rPr>
          <w:rFonts w:ascii="Book Antiqua" w:hAnsi="Book Antiqua" w:cs="FrankRuehl"/>
          <w:sz w:val="24"/>
          <w:szCs w:val="24"/>
        </w:rPr>
      </w:pPr>
      <w:r w:rsidRPr="00FA2567">
        <w:rPr>
          <w:rFonts w:ascii="Book Antiqua" w:hAnsi="Book Antiqua" w:cs="FrankRuehl"/>
          <w:sz w:val="24"/>
          <w:szCs w:val="24"/>
        </w:rPr>
        <w:t>Under sec. 115JB, MAT will be payable @15% (instead of 10%) of the book profits</w:t>
      </w:r>
      <w:r w:rsidR="00BE679A" w:rsidRPr="00FA2567">
        <w:rPr>
          <w:rFonts w:ascii="Book Antiqua" w:hAnsi="Book Antiqua" w:cs="FrankRuehl"/>
          <w:sz w:val="24"/>
          <w:szCs w:val="24"/>
        </w:rPr>
        <w:t xml:space="preserve"> from A.Y. 2010-2011</w:t>
      </w:r>
      <w:r w:rsidRPr="00FA2567">
        <w:rPr>
          <w:rFonts w:ascii="Book Antiqua" w:hAnsi="Book Antiqua" w:cs="FrankRuehl"/>
          <w:sz w:val="24"/>
          <w:szCs w:val="24"/>
        </w:rPr>
        <w:t>.</w:t>
      </w:r>
      <w:r w:rsidR="00D629BA" w:rsidRPr="00FA2567">
        <w:rPr>
          <w:rFonts w:ascii="Book Antiqua" w:hAnsi="Book Antiqua" w:cs="FrankRuehl"/>
          <w:sz w:val="24"/>
          <w:szCs w:val="24"/>
        </w:rPr>
        <w:t xml:space="preserve"> And the provision for diminution in the value of any asset will be included retrospectively from A.Y. 2001-2002.</w:t>
      </w:r>
    </w:p>
    <w:p w:rsidR="0031259F" w:rsidRDefault="0031259F" w:rsidP="0031259F">
      <w:pPr>
        <w:pStyle w:val="NoSpacing"/>
        <w:rPr>
          <w:rFonts w:ascii="Book Antiqua" w:hAnsi="Book Antiqua" w:cs="FrankRuehl"/>
          <w:sz w:val="24"/>
          <w:szCs w:val="24"/>
        </w:rPr>
      </w:pPr>
    </w:p>
    <w:p w:rsidR="0035798B" w:rsidRDefault="004476F4" w:rsidP="00233A22">
      <w:pPr>
        <w:pStyle w:val="NoSpacing"/>
        <w:numPr>
          <w:ilvl w:val="0"/>
          <w:numId w:val="1"/>
        </w:numPr>
        <w:rPr>
          <w:rFonts w:ascii="Book Antiqua" w:hAnsi="Book Antiqua" w:cs="FrankRuehl"/>
          <w:sz w:val="24"/>
          <w:szCs w:val="24"/>
        </w:rPr>
      </w:pPr>
      <w:r>
        <w:rPr>
          <w:rFonts w:ascii="Book Antiqua" w:hAnsi="Book Antiqua" w:cs="FrankRuehl"/>
          <w:sz w:val="24"/>
          <w:szCs w:val="24"/>
        </w:rPr>
        <w:t xml:space="preserve">By virtue of new Section 115WM, Fringe Benefit Tax will not be applicable from the A.Y. 2010-2011. </w:t>
      </w:r>
    </w:p>
    <w:p w:rsidR="0035798B" w:rsidRDefault="0035798B" w:rsidP="0035798B">
      <w:pPr>
        <w:pStyle w:val="NoSpacing"/>
        <w:rPr>
          <w:rFonts w:ascii="Book Antiqua" w:hAnsi="Book Antiqua" w:cs="FrankRuehl"/>
          <w:sz w:val="24"/>
          <w:szCs w:val="24"/>
        </w:rPr>
      </w:pPr>
    </w:p>
    <w:p w:rsidR="0070738F" w:rsidRDefault="0035798B" w:rsidP="0035798B">
      <w:pPr>
        <w:pStyle w:val="NoSpacing"/>
        <w:numPr>
          <w:ilvl w:val="0"/>
          <w:numId w:val="1"/>
        </w:numPr>
        <w:rPr>
          <w:rFonts w:ascii="Book Antiqua" w:hAnsi="Book Antiqua" w:cs="FrankRuehl"/>
          <w:sz w:val="24"/>
          <w:szCs w:val="24"/>
        </w:rPr>
      </w:pPr>
      <w:r>
        <w:rPr>
          <w:rFonts w:ascii="Book Antiqua" w:hAnsi="Book Antiqua" w:cs="FrankRuehl"/>
          <w:sz w:val="24"/>
          <w:szCs w:val="24"/>
        </w:rPr>
        <w:t xml:space="preserve">By virtue of new section 144C, a draft assessment order to be issued by the Assessing Officer at the first instance and where objections are raised by the </w:t>
      </w:r>
      <w:proofErr w:type="spellStart"/>
      <w:r>
        <w:rPr>
          <w:rFonts w:ascii="Book Antiqua" w:hAnsi="Book Antiqua" w:cs="FrankRuehl"/>
          <w:sz w:val="24"/>
          <w:szCs w:val="24"/>
        </w:rPr>
        <w:t>assessee</w:t>
      </w:r>
      <w:proofErr w:type="spellEnd"/>
      <w:r>
        <w:rPr>
          <w:rFonts w:ascii="Book Antiqua" w:hAnsi="Book Antiqua" w:cs="FrankRuehl"/>
          <w:sz w:val="24"/>
          <w:szCs w:val="24"/>
        </w:rPr>
        <w:t xml:space="preserve">, the </w:t>
      </w:r>
      <w:proofErr w:type="spellStart"/>
      <w:r>
        <w:rPr>
          <w:rFonts w:ascii="Book Antiqua" w:hAnsi="Book Antiqua" w:cs="FrankRuehl"/>
          <w:sz w:val="24"/>
          <w:szCs w:val="24"/>
        </w:rPr>
        <w:t>assessee</w:t>
      </w:r>
      <w:proofErr w:type="spellEnd"/>
      <w:r>
        <w:rPr>
          <w:rFonts w:ascii="Book Antiqua" w:hAnsi="Book Antiqua" w:cs="FrankRuehl"/>
          <w:sz w:val="24"/>
          <w:szCs w:val="24"/>
        </w:rPr>
        <w:t xml:space="preserve"> has to file such objections to the Assessing Officer and the Dispute Resolution Panel (</w:t>
      </w:r>
      <w:proofErr w:type="spellStart"/>
      <w:r>
        <w:rPr>
          <w:rFonts w:ascii="Book Antiqua" w:hAnsi="Book Antiqua" w:cs="FrankRuehl"/>
          <w:sz w:val="24"/>
          <w:szCs w:val="24"/>
        </w:rPr>
        <w:t>collegium</w:t>
      </w:r>
      <w:proofErr w:type="spellEnd"/>
      <w:r>
        <w:rPr>
          <w:rFonts w:ascii="Book Antiqua" w:hAnsi="Book Antiqua" w:cs="FrankRuehl"/>
          <w:sz w:val="24"/>
          <w:szCs w:val="24"/>
        </w:rPr>
        <w:t xml:space="preserve"> comprising of 3 Commissioners of Income Tax constitute by the Board for the purpose) which will further deal with </w:t>
      </w:r>
      <w:r w:rsidR="00E15A36">
        <w:rPr>
          <w:rFonts w:ascii="Book Antiqua" w:hAnsi="Book Antiqua" w:cs="FrankRuehl"/>
          <w:sz w:val="24"/>
          <w:szCs w:val="24"/>
        </w:rPr>
        <w:t xml:space="preserve">issuance of directions relating to </w:t>
      </w:r>
      <w:r>
        <w:rPr>
          <w:rFonts w:ascii="Book Antiqua" w:hAnsi="Book Antiqua" w:cs="FrankRuehl"/>
          <w:sz w:val="24"/>
          <w:szCs w:val="24"/>
        </w:rPr>
        <w:t xml:space="preserve">the </w:t>
      </w:r>
      <w:r w:rsidR="00E15A36">
        <w:rPr>
          <w:rFonts w:ascii="Book Antiqua" w:hAnsi="Book Antiqua" w:cs="FrankRuehl"/>
          <w:sz w:val="24"/>
          <w:szCs w:val="24"/>
        </w:rPr>
        <w:t xml:space="preserve">assessment </w:t>
      </w:r>
      <w:r>
        <w:rPr>
          <w:rFonts w:ascii="Book Antiqua" w:hAnsi="Book Antiqua" w:cs="FrankRuehl"/>
          <w:sz w:val="24"/>
          <w:szCs w:val="24"/>
        </w:rPr>
        <w:t>proceedings.</w:t>
      </w:r>
    </w:p>
    <w:p w:rsidR="0070738F" w:rsidRDefault="0070738F" w:rsidP="0070738F">
      <w:pPr>
        <w:pStyle w:val="NoSpacing"/>
        <w:ind w:left="720"/>
        <w:rPr>
          <w:rFonts w:ascii="Book Antiqua" w:hAnsi="Book Antiqua" w:cs="FrankRuehl"/>
          <w:sz w:val="24"/>
          <w:szCs w:val="24"/>
        </w:rPr>
      </w:pPr>
    </w:p>
    <w:p w:rsidR="004476F4" w:rsidRPr="00FA2567" w:rsidRDefault="0070738F" w:rsidP="0035798B">
      <w:pPr>
        <w:pStyle w:val="NoSpacing"/>
        <w:numPr>
          <w:ilvl w:val="0"/>
          <w:numId w:val="1"/>
        </w:numPr>
        <w:rPr>
          <w:rFonts w:ascii="Book Antiqua" w:hAnsi="Book Antiqua" w:cs="FrankRuehl"/>
          <w:sz w:val="24"/>
          <w:szCs w:val="24"/>
        </w:rPr>
      </w:pPr>
      <w:r>
        <w:rPr>
          <w:rFonts w:ascii="Book Antiqua" w:hAnsi="Book Antiqua" w:cs="FrankRuehl"/>
          <w:sz w:val="24"/>
          <w:szCs w:val="24"/>
        </w:rPr>
        <w:lastRenderedPageBreak/>
        <w:t>Sec. 145A for “Method of Accounting in certain cases</w:t>
      </w:r>
      <w:proofErr w:type="gramStart"/>
      <w:r>
        <w:rPr>
          <w:rFonts w:ascii="Book Antiqua" w:hAnsi="Book Antiqua" w:cs="FrankRuehl"/>
          <w:sz w:val="24"/>
          <w:szCs w:val="24"/>
        </w:rPr>
        <w:t>”,</w:t>
      </w:r>
      <w:proofErr w:type="gramEnd"/>
      <w:r>
        <w:rPr>
          <w:rFonts w:ascii="Book Antiqua" w:hAnsi="Book Antiqua" w:cs="FrankRuehl"/>
          <w:sz w:val="24"/>
          <w:szCs w:val="24"/>
        </w:rPr>
        <w:t xml:space="preserve"> </w:t>
      </w:r>
      <w:r w:rsidR="00D56ECF">
        <w:rPr>
          <w:rFonts w:ascii="Book Antiqua" w:hAnsi="Book Antiqua" w:cs="FrankRuehl"/>
          <w:sz w:val="24"/>
          <w:szCs w:val="24"/>
        </w:rPr>
        <w:t xml:space="preserve">will </w:t>
      </w:r>
      <w:r>
        <w:rPr>
          <w:rFonts w:ascii="Book Antiqua" w:hAnsi="Book Antiqua" w:cs="FrankRuehl"/>
          <w:sz w:val="24"/>
          <w:szCs w:val="24"/>
        </w:rPr>
        <w:t xml:space="preserve">provide for interest received by an </w:t>
      </w:r>
      <w:proofErr w:type="spellStart"/>
      <w:r>
        <w:rPr>
          <w:rFonts w:ascii="Book Antiqua" w:hAnsi="Book Antiqua" w:cs="FrankRuehl"/>
          <w:sz w:val="24"/>
          <w:szCs w:val="24"/>
        </w:rPr>
        <w:t>assessee</w:t>
      </w:r>
      <w:proofErr w:type="spellEnd"/>
      <w:r>
        <w:rPr>
          <w:rFonts w:ascii="Book Antiqua" w:hAnsi="Book Antiqua" w:cs="FrankRuehl"/>
          <w:sz w:val="24"/>
          <w:szCs w:val="24"/>
        </w:rPr>
        <w:t xml:space="preserve"> on compensation or enhanced compensation to be income of the year in which it is received.</w:t>
      </w:r>
      <w:r w:rsidR="0035798B">
        <w:rPr>
          <w:rFonts w:ascii="Book Antiqua" w:hAnsi="Book Antiqua" w:cs="FrankRuehl"/>
          <w:sz w:val="24"/>
          <w:szCs w:val="24"/>
        </w:rPr>
        <w:t xml:space="preserve"> </w:t>
      </w:r>
      <w:r w:rsidR="004476F4">
        <w:rPr>
          <w:rFonts w:ascii="Book Antiqua" w:hAnsi="Book Antiqua" w:cs="FrankRuehl"/>
          <w:sz w:val="24"/>
          <w:szCs w:val="24"/>
        </w:rPr>
        <w:tab/>
      </w:r>
    </w:p>
    <w:p w:rsidR="001834EA" w:rsidRPr="00FA2567" w:rsidRDefault="001834EA" w:rsidP="001834EA">
      <w:pPr>
        <w:pStyle w:val="NoSpacing"/>
        <w:rPr>
          <w:rFonts w:ascii="Book Antiqua" w:hAnsi="Book Antiqua" w:cs="FrankRuehl"/>
          <w:sz w:val="24"/>
          <w:szCs w:val="24"/>
        </w:rPr>
      </w:pPr>
    </w:p>
    <w:p w:rsidR="0091352A" w:rsidRDefault="00FA1F4B" w:rsidP="001834EA">
      <w:pPr>
        <w:pStyle w:val="NoSpacing"/>
        <w:numPr>
          <w:ilvl w:val="0"/>
          <w:numId w:val="1"/>
        </w:numPr>
        <w:rPr>
          <w:rFonts w:ascii="Book Antiqua" w:hAnsi="Book Antiqua" w:cs="FrankRuehl"/>
          <w:sz w:val="24"/>
          <w:szCs w:val="24"/>
        </w:rPr>
      </w:pPr>
      <w:r>
        <w:rPr>
          <w:rFonts w:ascii="Book Antiqua" w:hAnsi="Book Antiqua" w:cs="FrankRuehl"/>
          <w:sz w:val="24"/>
          <w:szCs w:val="24"/>
        </w:rPr>
        <w:t xml:space="preserve">PAN of </w:t>
      </w:r>
      <w:proofErr w:type="spellStart"/>
      <w:r>
        <w:rPr>
          <w:rFonts w:ascii="Book Antiqua" w:hAnsi="Book Antiqua" w:cs="FrankRuehl"/>
          <w:sz w:val="24"/>
          <w:szCs w:val="24"/>
        </w:rPr>
        <w:t>deductee</w:t>
      </w:r>
      <w:proofErr w:type="spellEnd"/>
      <w:r>
        <w:rPr>
          <w:rFonts w:ascii="Book Antiqua" w:hAnsi="Book Antiqua" w:cs="FrankRuehl"/>
          <w:sz w:val="24"/>
          <w:szCs w:val="24"/>
        </w:rPr>
        <w:t xml:space="preserve"> is to be quoted in all </w:t>
      </w:r>
      <w:r w:rsidR="00D56ECF">
        <w:rPr>
          <w:rFonts w:ascii="Book Antiqua" w:hAnsi="Book Antiqua" w:cs="FrankRuehl"/>
          <w:sz w:val="24"/>
          <w:szCs w:val="24"/>
        </w:rPr>
        <w:t xml:space="preserve">notified </w:t>
      </w:r>
      <w:r>
        <w:rPr>
          <w:rFonts w:ascii="Book Antiqua" w:hAnsi="Book Antiqua" w:cs="FrankRuehl"/>
          <w:sz w:val="24"/>
          <w:szCs w:val="24"/>
        </w:rPr>
        <w:t xml:space="preserve">TDS statements (and not just quarterly statements) in accordance with the provisions of section 200(3). Also PAN quoting is to be done in all </w:t>
      </w:r>
      <w:r w:rsidR="00D56ECF">
        <w:rPr>
          <w:rFonts w:ascii="Book Antiqua" w:hAnsi="Book Antiqua" w:cs="FrankRuehl"/>
          <w:sz w:val="24"/>
          <w:szCs w:val="24"/>
        </w:rPr>
        <w:t xml:space="preserve">notified </w:t>
      </w:r>
      <w:r>
        <w:rPr>
          <w:rFonts w:ascii="Book Antiqua" w:hAnsi="Book Antiqua" w:cs="FrankRuehl"/>
          <w:sz w:val="24"/>
          <w:szCs w:val="24"/>
        </w:rPr>
        <w:t>TCS statements in accordance with t</w:t>
      </w:r>
      <w:r w:rsidR="00D56ECF">
        <w:rPr>
          <w:rFonts w:ascii="Book Antiqua" w:hAnsi="Book Antiqua" w:cs="FrankRuehl"/>
          <w:sz w:val="24"/>
          <w:szCs w:val="24"/>
        </w:rPr>
        <w:t>he provisions of section 206(C).</w:t>
      </w:r>
    </w:p>
    <w:p w:rsidR="00BD057B" w:rsidRDefault="00BD057B" w:rsidP="00BD057B">
      <w:pPr>
        <w:pStyle w:val="NoSpacing"/>
        <w:ind w:left="720"/>
        <w:rPr>
          <w:rFonts w:ascii="Book Antiqua" w:hAnsi="Book Antiqua" w:cs="FrankRuehl"/>
          <w:sz w:val="24"/>
          <w:szCs w:val="24"/>
        </w:rPr>
      </w:pPr>
    </w:p>
    <w:p w:rsidR="00BD057B" w:rsidRDefault="00BD057B" w:rsidP="00BD057B">
      <w:pPr>
        <w:pStyle w:val="NoSpacing"/>
        <w:ind w:left="720"/>
        <w:rPr>
          <w:rFonts w:ascii="Book Antiqua" w:hAnsi="Book Antiqua" w:cs="FrankRuehl"/>
          <w:sz w:val="24"/>
          <w:szCs w:val="24"/>
        </w:rPr>
      </w:pPr>
      <w:r>
        <w:rPr>
          <w:rFonts w:ascii="Book Antiqua" w:hAnsi="Book Antiqua" w:cs="FrankRuehl"/>
          <w:sz w:val="24"/>
          <w:szCs w:val="24"/>
        </w:rPr>
        <w:t>This is effective from 1</w:t>
      </w:r>
      <w:r w:rsidRPr="00BD057B">
        <w:rPr>
          <w:rFonts w:ascii="Book Antiqua" w:hAnsi="Book Antiqua" w:cs="FrankRuehl"/>
          <w:sz w:val="24"/>
          <w:szCs w:val="24"/>
          <w:vertAlign w:val="superscript"/>
        </w:rPr>
        <w:t>st</w:t>
      </w:r>
      <w:r>
        <w:rPr>
          <w:rFonts w:ascii="Book Antiqua" w:hAnsi="Book Antiqua" w:cs="FrankRuehl"/>
          <w:sz w:val="24"/>
          <w:szCs w:val="24"/>
        </w:rPr>
        <w:t xml:space="preserve"> of October, 2009.</w:t>
      </w:r>
    </w:p>
    <w:p w:rsidR="0091352A" w:rsidRDefault="0091352A" w:rsidP="0091352A">
      <w:pPr>
        <w:pStyle w:val="NoSpacing"/>
        <w:rPr>
          <w:rFonts w:ascii="Book Antiqua" w:hAnsi="Book Antiqua" w:cs="FrankRuehl"/>
          <w:sz w:val="24"/>
          <w:szCs w:val="24"/>
        </w:rPr>
      </w:pPr>
    </w:p>
    <w:p w:rsidR="00BF1652" w:rsidRDefault="00BF1652" w:rsidP="0091352A">
      <w:pPr>
        <w:pStyle w:val="NoSpacing"/>
        <w:numPr>
          <w:ilvl w:val="0"/>
          <w:numId w:val="1"/>
        </w:numPr>
        <w:rPr>
          <w:rFonts w:ascii="Book Antiqua" w:hAnsi="Book Antiqua" w:cs="FrankRuehl"/>
          <w:sz w:val="24"/>
          <w:szCs w:val="24"/>
        </w:rPr>
      </w:pPr>
      <w:r>
        <w:rPr>
          <w:rFonts w:ascii="Book Antiqua" w:hAnsi="Book Antiqua" w:cs="FrankRuehl"/>
          <w:sz w:val="24"/>
          <w:szCs w:val="24"/>
        </w:rPr>
        <w:t xml:space="preserve">TDS under Section 194C in respect of payments to </w:t>
      </w:r>
      <w:r w:rsidR="00AA2BCB">
        <w:rPr>
          <w:rFonts w:ascii="Book Antiqua" w:hAnsi="Book Antiqua" w:cs="FrankRuehl"/>
          <w:sz w:val="24"/>
          <w:szCs w:val="24"/>
        </w:rPr>
        <w:t xml:space="preserve">resident </w:t>
      </w:r>
      <w:r>
        <w:rPr>
          <w:rFonts w:ascii="Book Antiqua" w:hAnsi="Book Antiqua" w:cs="FrankRuehl"/>
          <w:sz w:val="24"/>
          <w:szCs w:val="24"/>
        </w:rPr>
        <w:t>contractors and sub-contractors have to be made in the following manner:</w:t>
      </w:r>
    </w:p>
    <w:p w:rsidR="00BF1652" w:rsidRDefault="00BF1652" w:rsidP="00BF1652">
      <w:pPr>
        <w:pStyle w:val="NoSpacing"/>
        <w:ind w:left="720"/>
        <w:rPr>
          <w:rFonts w:ascii="Book Antiqua" w:hAnsi="Book Antiqua" w:cs="FrankRuehl"/>
          <w:sz w:val="24"/>
          <w:szCs w:val="24"/>
        </w:rPr>
      </w:pPr>
    </w:p>
    <w:p w:rsidR="00BF1652" w:rsidRDefault="00BF1652" w:rsidP="00BF1652">
      <w:pPr>
        <w:pStyle w:val="NoSpacing"/>
        <w:numPr>
          <w:ilvl w:val="0"/>
          <w:numId w:val="10"/>
        </w:numPr>
        <w:rPr>
          <w:rFonts w:ascii="Book Antiqua" w:hAnsi="Book Antiqua" w:cs="FrankRuehl"/>
          <w:sz w:val="24"/>
          <w:szCs w:val="24"/>
        </w:rPr>
      </w:pPr>
      <w:r>
        <w:rPr>
          <w:rFonts w:ascii="Book Antiqua" w:hAnsi="Book Antiqua" w:cs="FrankRuehl"/>
          <w:sz w:val="24"/>
          <w:szCs w:val="24"/>
        </w:rPr>
        <w:t>If the payee is an individual or HUF:</w:t>
      </w:r>
      <w:r>
        <w:rPr>
          <w:rFonts w:ascii="Book Antiqua" w:hAnsi="Book Antiqua" w:cs="FrankRuehl"/>
          <w:sz w:val="24"/>
          <w:szCs w:val="24"/>
        </w:rPr>
        <w:tab/>
        <w:t>@ 1%</w:t>
      </w:r>
    </w:p>
    <w:p w:rsidR="00CC54A2" w:rsidRDefault="00BF1652" w:rsidP="00BF1652">
      <w:pPr>
        <w:pStyle w:val="NoSpacing"/>
        <w:numPr>
          <w:ilvl w:val="0"/>
          <w:numId w:val="10"/>
        </w:numPr>
        <w:spacing w:line="480" w:lineRule="auto"/>
        <w:rPr>
          <w:rFonts w:ascii="Book Antiqua" w:hAnsi="Book Antiqua" w:cs="FrankRuehl"/>
          <w:sz w:val="24"/>
          <w:szCs w:val="24"/>
        </w:rPr>
      </w:pPr>
      <w:r>
        <w:rPr>
          <w:rFonts w:ascii="Book Antiqua" w:hAnsi="Book Antiqua" w:cs="FrankRuehl"/>
          <w:sz w:val="24"/>
          <w:szCs w:val="24"/>
        </w:rPr>
        <w:t>If the payee is any other person:</w:t>
      </w:r>
      <w:r>
        <w:rPr>
          <w:rFonts w:ascii="Book Antiqua" w:hAnsi="Book Antiqua" w:cs="FrankRuehl"/>
          <w:sz w:val="24"/>
          <w:szCs w:val="24"/>
        </w:rPr>
        <w:tab/>
      </w:r>
      <w:r>
        <w:rPr>
          <w:rFonts w:ascii="Book Antiqua" w:hAnsi="Book Antiqua" w:cs="FrankRuehl"/>
          <w:sz w:val="24"/>
          <w:szCs w:val="24"/>
        </w:rPr>
        <w:tab/>
        <w:t>@ 2%</w:t>
      </w:r>
    </w:p>
    <w:p w:rsidR="00C4767E" w:rsidRPr="005A6C65" w:rsidRDefault="00C4767E" w:rsidP="00C4767E">
      <w:pPr>
        <w:pStyle w:val="NoSpacing"/>
        <w:ind w:left="1440" w:hanging="720"/>
        <w:rPr>
          <w:rFonts w:ascii="Book Antiqua" w:hAnsi="Book Antiqua"/>
          <w:sz w:val="24"/>
          <w:szCs w:val="24"/>
        </w:rPr>
      </w:pPr>
      <w:r w:rsidRPr="005A6C65">
        <w:rPr>
          <w:rFonts w:ascii="Book Antiqua" w:hAnsi="Book Antiqua"/>
          <w:sz w:val="24"/>
          <w:szCs w:val="24"/>
        </w:rPr>
        <w:t xml:space="preserve">Note: </w:t>
      </w:r>
      <w:r w:rsidRPr="005A6C65">
        <w:rPr>
          <w:rFonts w:ascii="Book Antiqua" w:hAnsi="Book Antiqua"/>
          <w:sz w:val="24"/>
          <w:szCs w:val="24"/>
        </w:rPr>
        <w:tab/>
        <w:t>No TDS in case of payment for plying, hiring or leasing goods carriages provided that the contractor provides his PAN.</w:t>
      </w:r>
      <w:r w:rsidR="00F9024E" w:rsidRPr="005A6C65">
        <w:rPr>
          <w:rFonts w:ascii="Book Antiqua" w:hAnsi="Book Antiqua"/>
          <w:sz w:val="24"/>
          <w:szCs w:val="24"/>
        </w:rPr>
        <w:t xml:space="preserve"> Also the payer has to furnish such statement as may be prescribed to the prescribed Income Tax Authority or the person authorised by it.</w:t>
      </w:r>
    </w:p>
    <w:p w:rsidR="00A0178D" w:rsidRDefault="00A0178D" w:rsidP="00C4767E">
      <w:pPr>
        <w:pStyle w:val="NoSpacing"/>
        <w:ind w:left="1440" w:hanging="720"/>
        <w:rPr>
          <w:rFonts w:ascii="Book Antiqua" w:hAnsi="Book Antiqua"/>
          <w:sz w:val="24"/>
          <w:szCs w:val="24"/>
        </w:rPr>
      </w:pPr>
    </w:p>
    <w:p w:rsidR="005A6C65" w:rsidRDefault="005A6C65" w:rsidP="00C4767E">
      <w:pPr>
        <w:pStyle w:val="NoSpacing"/>
        <w:ind w:left="1440" w:hanging="720"/>
        <w:rPr>
          <w:rFonts w:ascii="Book Antiqua" w:hAnsi="Book Antiqua"/>
          <w:sz w:val="24"/>
          <w:szCs w:val="24"/>
        </w:rPr>
      </w:pPr>
      <w:r>
        <w:rPr>
          <w:rFonts w:ascii="Book Antiqua" w:hAnsi="Book Antiqua"/>
          <w:sz w:val="24"/>
          <w:szCs w:val="24"/>
        </w:rPr>
        <w:t>This is effective from 1</w:t>
      </w:r>
      <w:r w:rsidRPr="005A6C65">
        <w:rPr>
          <w:rFonts w:ascii="Book Antiqua" w:hAnsi="Book Antiqua"/>
          <w:sz w:val="24"/>
          <w:szCs w:val="24"/>
          <w:vertAlign w:val="superscript"/>
        </w:rPr>
        <w:t>st</w:t>
      </w:r>
      <w:r>
        <w:rPr>
          <w:rFonts w:ascii="Book Antiqua" w:hAnsi="Book Antiqua"/>
          <w:sz w:val="24"/>
          <w:szCs w:val="24"/>
        </w:rPr>
        <w:t xml:space="preserve"> October, 2009.</w:t>
      </w:r>
    </w:p>
    <w:p w:rsidR="00AA2BCB" w:rsidRDefault="00AA2BCB" w:rsidP="00AA2BCB">
      <w:pPr>
        <w:pStyle w:val="NoSpacing"/>
        <w:rPr>
          <w:rFonts w:ascii="Book Antiqua" w:hAnsi="Book Antiqua"/>
          <w:sz w:val="24"/>
          <w:szCs w:val="24"/>
        </w:rPr>
      </w:pPr>
    </w:p>
    <w:p w:rsidR="00AA2BCB" w:rsidRDefault="00AA2BCB" w:rsidP="00AA2BCB">
      <w:pPr>
        <w:pStyle w:val="NoSpacing"/>
        <w:numPr>
          <w:ilvl w:val="0"/>
          <w:numId w:val="1"/>
        </w:numPr>
        <w:rPr>
          <w:rFonts w:ascii="Book Antiqua" w:hAnsi="Book Antiqua" w:cs="FrankRuehl"/>
          <w:sz w:val="24"/>
          <w:szCs w:val="24"/>
        </w:rPr>
      </w:pPr>
      <w:r>
        <w:rPr>
          <w:rFonts w:ascii="Book Antiqua" w:hAnsi="Book Antiqua" w:cs="FrankRuehl"/>
          <w:sz w:val="24"/>
          <w:szCs w:val="24"/>
        </w:rPr>
        <w:t>TDS under Section 194I in respect of rent have to be made in the following manner:</w:t>
      </w:r>
    </w:p>
    <w:p w:rsidR="00AA2BCB" w:rsidRDefault="00AA2BCB" w:rsidP="00AA2BCB">
      <w:pPr>
        <w:pStyle w:val="NoSpacing"/>
        <w:ind w:left="720"/>
        <w:rPr>
          <w:rFonts w:ascii="Book Antiqua" w:hAnsi="Book Antiqua" w:cs="FrankRuehl"/>
          <w:sz w:val="24"/>
          <w:szCs w:val="24"/>
        </w:rPr>
      </w:pPr>
    </w:p>
    <w:p w:rsidR="00AA2BCB" w:rsidRDefault="00AA2BCB" w:rsidP="00A0178D">
      <w:pPr>
        <w:pStyle w:val="NoSpacing"/>
        <w:numPr>
          <w:ilvl w:val="0"/>
          <w:numId w:val="14"/>
        </w:numPr>
        <w:rPr>
          <w:rFonts w:ascii="Book Antiqua" w:hAnsi="Book Antiqua" w:cs="FrankRuehl"/>
          <w:sz w:val="24"/>
          <w:szCs w:val="24"/>
        </w:rPr>
      </w:pPr>
      <w:r>
        <w:rPr>
          <w:rFonts w:ascii="Book Antiqua" w:hAnsi="Book Antiqua" w:cs="FrankRuehl"/>
          <w:sz w:val="24"/>
          <w:szCs w:val="24"/>
        </w:rPr>
        <w:t xml:space="preserve">For the use of machinery or plant or </w:t>
      </w:r>
      <w:r w:rsidR="00304624">
        <w:rPr>
          <w:rFonts w:ascii="Book Antiqua" w:hAnsi="Book Antiqua" w:cs="FrankRuehl"/>
          <w:sz w:val="24"/>
          <w:szCs w:val="24"/>
        </w:rPr>
        <w:t>equipment</w:t>
      </w:r>
      <w:r>
        <w:rPr>
          <w:rFonts w:ascii="Book Antiqua" w:hAnsi="Book Antiqua" w:cs="FrankRuehl"/>
          <w:sz w:val="24"/>
          <w:szCs w:val="24"/>
        </w:rPr>
        <w:t>:</w:t>
      </w:r>
      <w:r>
        <w:rPr>
          <w:rFonts w:ascii="Book Antiqua" w:hAnsi="Book Antiqua" w:cs="FrankRuehl"/>
          <w:sz w:val="24"/>
          <w:szCs w:val="24"/>
        </w:rPr>
        <w:tab/>
        <w:t xml:space="preserve">@ </w:t>
      </w:r>
      <w:r w:rsidR="00304624">
        <w:rPr>
          <w:rFonts w:ascii="Book Antiqua" w:hAnsi="Book Antiqua" w:cs="FrankRuehl"/>
          <w:sz w:val="24"/>
          <w:szCs w:val="24"/>
        </w:rPr>
        <w:t>2</w:t>
      </w:r>
      <w:r>
        <w:rPr>
          <w:rFonts w:ascii="Book Antiqua" w:hAnsi="Book Antiqua" w:cs="FrankRuehl"/>
          <w:sz w:val="24"/>
          <w:szCs w:val="24"/>
        </w:rPr>
        <w:t>%</w:t>
      </w:r>
    </w:p>
    <w:p w:rsidR="00AA2BCB" w:rsidRPr="006F796F" w:rsidRDefault="00304624" w:rsidP="00A0178D">
      <w:pPr>
        <w:pStyle w:val="NoSpacing"/>
        <w:numPr>
          <w:ilvl w:val="0"/>
          <w:numId w:val="14"/>
        </w:numPr>
        <w:rPr>
          <w:rFonts w:ascii="Book Antiqua" w:hAnsi="Book Antiqua"/>
          <w:sz w:val="24"/>
          <w:szCs w:val="24"/>
        </w:rPr>
      </w:pPr>
      <w:r w:rsidRPr="006F796F">
        <w:rPr>
          <w:rFonts w:ascii="Book Antiqua" w:hAnsi="Book Antiqua"/>
          <w:sz w:val="24"/>
          <w:szCs w:val="24"/>
        </w:rPr>
        <w:t>For the use of land or building (including factory building)</w:t>
      </w:r>
      <w:r w:rsidR="00A0178D">
        <w:rPr>
          <w:rFonts w:ascii="Book Antiqua" w:hAnsi="Book Antiqua"/>
          <w:sz w:val="24"/>
          <w:szCs w:val="24"/>
        </w:rPr>
        <w:t xml:space="preserve"> </w:t>
      </w:r>
      <w:r w:rsidR="006F796F" w:rsidRPr="006F796F">
        <w:rPr>
          <w:rFonts w:ascii="Book Antiqua" w:hAnsi="Book Antiqua"/>
          <w:sz w:val="24"/>
          <w:szCs w:val="24"/>
        </w:rPr>
        <w:t>or both</w:t>
      </w:r>
      <w:r w:rsidR="006F796F">
        <w:rPr>
          <w:rFonts w:ascii="Book Antiqua" w:hAnsi="Book Antiqua"/>
          <w:sz w:val="24"/>
          <w:szCs w:val="24"/>
        </w:rPr>
        <w:t xml:space="preserve"> or </w:t>
      </w:r>
      <w:r w:rsidR="006F796F" w:rsidRPr="006F796F">
        <w:rPr>
          <w:rFonts w:ascii="Book Antiqua" w:hAnsi="Book Antiqua"/>
          <w:sz w:val="24"/>
          <w:szCs w:val="24"/>
        </w:rPr>
        <w:t>furniture or fittings</w:t>
      </w:r>
      <w:r w:rsidR="00AA2BCB" w:rsidRPr="006F796F">
        <w:rPr>
          <w:rFonts w:ascii="Book Antiqua" w:hAnsi="Book Antiqua"/>
          <w:sz w:val="24"/>
          <w:szCs w:val="24"/>
        </w:rPr>
        <w:t>:</w:t>
      </w:r>
      <w:r w:rsidR="006F796F" w:rsidRPr="006F796F">
        <w:rPr>
          <w:rFonts w:ascii="Book Antiqua" w:hAnsi="Book Antiqua"/>
          <w:sz w:val="24"/>
          <w:szCs w:val="24"/>
        </w:rPr>
        <w:tab/>
      </w:r>
      <w:r w:rsidR="006F796F" w:rsidRPr="006F796F">
        <w:rPr>
          <w:rFonts w:ascii="Book Antiqua" w:hAnsi="Book Antiqua"/>
          <w:sz w:val="24"/>
          <w:szCs w:val="24"/>
        </w:rPr>
        <w:tab/>
      </w:r>
      <w:r w:rsidR="006F796F" w:rsidRPr="006F796F">
        <w:rPr>
          <w:rFonts w:ascii="Book Antiqua" w:hAnsi="Book Antiqua"/>
          <w:sz w:val="24"/>
          <w:szCs w:val="24"/>
        </w:rPr>
        <w:tab/>
      </w:r>
      <w:r w:rsidR="006F796F" w:rsidRPr="006F796F">
        <w:rPr>
          <w:rFonts w:ascii="Book Antiqua" w:hAnsi="Book Antiqua"/>
          <w:sz w:val="24"/>
          <w:szCs w:val="24"/>
        </w:rPr>
        <w:tab/>
      </w:r>
      <w:r w:rsidR="006F796F" w:rsidRPr="006F796F">
        <w:rPr>
          <w:rFonts w:ascii="Book Antiqua" w:hAnsi="Book Antiqua"/>
          <w:sz w:val="24"/>
          <w:szCs w:val="24"/>
        </w:rPr>
        <w:tab/>
      </w:r>
      <w:r w:rsidR="00AA2BCB" w:rsidRPr="006F796F">
        <w:rPr>
          <w:rFonts w:ascii="Book Antiqua" w:hAnsi="Book Antiqua"/>
          <w:sz w:val="24"/>
          <w:szCs w:val="24"/>
        </w:rPr>
        <w:tab/>
        <w:t xml:space="preserve">@ </w:t>
      </w:r>
      <w:r w:rsidRPr="006F796F">
        <w:rPr>
          <w:rFonts w:ascii="Book Antiqua" w:hAnsi="Book Antiqua"/>
          <w:sz w:val="24"/>
          <w:szCs w:val="24"/>
        </w:rPr>
        <w:t>10</w:t>
      </w:r>
      <w:r w:rsidR="00AA2BCB" w:rsidRPr="006F796F">
        <w:rPr>
          <w:rFonts w:ascii="Book Antiqua" w:hAnsi="Book Antiqua"/>
          <w:sz w:val="24"/>
          <w:szCs w:val="24"/>
        </w:rPr>
        <w:t>%</w:t>
      </w:r>
    </w:p>
    <w:p w:rsidR="006F796F" w:rsidRDefault="006F796F" w:rsidP="006F796F">
      <w:pPr>
        <w:pStyle w:val="NoSpacing"/>
        <w:rPr>
          <w:rFonts w:ascii="Book Antiqua" w:hAnsi="Book Antiqua"/>
          <w:sz w:val="24"/>
          <w:szCs w:val="24"/>
        </w:rPr>
      </w:pPr>
    </w:p>
    <w:p w:rsidR="00AA2BCB" w:rsidRPr="006F796F" w:rsidRDefault="00AA2BCB" w:rsidP="006F796F">
      <w:pPr>
        <w:pStyle w:val="NoSpacing"/>
        <w:ind w:firstLine="720"/>
        <w:rPr>
          <w:rFonts w:ascii="Book Antiqua" w:hAnsi="Book Antiqua"/>
          <w:sz w:val="24"/>
          <w:szCs w:val="24"/>
        </w:rPr>
      </w:pPr>
      <w:r w:rsidRPr="006F796F">
        <w:rPr>
          <w:rFonts w:ascii="Book Antiqua" w:hAnsi="Book Antiqua"/>
          <w:sz w:val="24"/>
          <w:szCs w:val="24"/>
        </w:rPr>
        <w:t>This is effective from 1</w:t>
      </w:r>
      <w:r w:rsidRPr="006F796F">
        <w:rPr>
          <w:rFonts w:ascii="Book Antiqua" w:hAnsi="Book Antiqua"/>
          <w:sz w:val="24"/>
          <w:szCs w:val="24"/>
          <w:vertAlign w:val="superscript"/>
        </w:rPr>
        <w:t>st</w:t>
      </w:r>
      <w:r w:rsidRPr="006F796F">
        <w:rPr>
          <w:rFonts w:ascii="Book Antiqua" w:hAnsi="Book Antiqua"/>
          <w:sz w:val="24"/>
          <w:szCs w:val="24"/>
        </w:rPr>
        <w:t xml:space="preserve"> October, 2009.</w:t>
      </w:r>
    </w:p>
    <w:p w:rsidR="00A14085" w:rsidRDefault="00A14085" w:rsidP="00AA2BCB">
      <w:pPr>
        <w:pStyle w:val="NoSpacing"/>
        <w:rPr>
          <w:rFonts w:ascii="Book Antiqua" w:hAnsi="Book Antiqua"/>
          <w:sz w:val="24"/>
          <w:szCs w:val="24"/>
        </w:rPr>
      </w:pPr>
    </w:p>
    <w:p w:rsidR="00AA2BCB" w:rsidRDefault="00B0087F" w:rsidP="00A14085">
      <w:pPr>
        <w:pStyle w:val="NoSpacing"/>
        <w:numPr>
          <w:ilvl w:val="0"/>
          <w:numId w:val="1"/>
        </w:numPr>
        <w:rPr>
          <w:rFonts w:ascii="Book Antiqua" w:hAnsi="Book Antiqua"/>
          <w:sz w:val="24"/>
          <w:szCs w:val="24"/>
        </w:rPr>
      </w:pPr>
      <w:r>
        <w:rPr>
          <w:rFonts w:ascii="Book Antiqua" w:hAnsi="Book Antiqua"/>
          <w:sz w:val="24"/>
          <w:szCs w:val="24"/>
        </w:rPr>
        <w:t>No TDS (u/s. 197A) in respect of payment to any person for or on behalf of New Pension System Trust.</w:t>
      </w:r>
      <w:r w:rsidR="00F02547">
        <w:rPr>
          <w:rFonts w:ascii="Book Antiqua" w:hAnsi="Book Antiqua"/>
          <w:sz w:val="24"/>
          <w:szCs w:val="24"/>
        </w:rPr>
        <w:t xml:space="preserve"> (Effective retrospectively from 1</w:t>
      </w:r>
      <w:r w:rsidR="00F02547" w:rsidRPr="00F02547">
        <w:rPr>
          <w:rFonts w:ascii="Book Antiqua" w:hAnsi="Book Antiqua"/>
          <w:sz w:val="24"/>
          <w:szCs w:val="24"/>
          <w:vertAlign w:val="superscript"/>
        </w:rPr>
        <w:t>st</w:t>
      </w:r>
      <w:r w:rsidR="00F02547">
        <w:rPr>
          <w:rFonts w:ascii="Book Antiqua" w:hAnsi="Book Antiqua"/>
          <w:sz w:val="24"/>
          <w:szCs w:val="24"/>
        </w:rPr>
        <w:t xml:space="preserve"> April, 2009).</w:t>
      </w:r>
    </w:p>
    <w:p w:rsidR="00F02547" w:rsidRDefault="00F02547" w:rsidP="00F02547">
      <w:pPr>
        <w:pStyle w:val="NoSpacing"/>
        <w:rPr>
          <w:rFonts w:ascii="Book Antiqua" w:hAnsi="Book Antiqua"/>
          <w:sz w:val="24"/>
          <w:szCs w:val="24"/>
        </w:rPr>
      </w:pPr>
    </w:p>
    <w:p w:rsidR="003E0B90" w:rsidRDefault="00133F19" w:rsidP="00A14085">
      <w:pPr>
        <w:pStyle w:val="NoSpacing"/>
        <w:numPr>
          <w:ilvl w:val="0"/>
          <w:numId w:val="1"/>
        </w:numPr>
        <w:rPr>
          <w:rFonts w:ascii="Book Antiqua" w:hAnsi="Book Antiqua"/>
          <w:sz w:val="24"/>
          <w:szCs w:val="24"/>
        </w:rPr>
      </w:pPr>
      <w:r>
        <w:rPr>
          <w:rFonts w:ascii="Book Antiqua" w:hAnsi="Book Antiqua"/>
          <w:sz w:val="24"/>
          <w:szCs w:val="24"/>
        </w:rPr>
        <w:t xml:space="preserve">New Section 206AA proposes furnishing of PAN by the </w:t>
      </w:r>
      <w:proofErr w:type="spellStart"/>
      <w:r>
        <w:rPr>
          <w:rFonts w:ascii="Book Antiqua" w:hAnsi="Book Antiqua"/>
          <w:sz w:val="24"/>
          <w:szCs w:val="24"/>
        </w:rPr>
        <w:t>deductee</w:t>
      </w:r>
      <w:proofErr w:type="spellEnd"/>
      <w:r>
        <w:rPr>
          <w:rFonts w:ascii="Book Antiqua" w:hAnsi="Book Antiqua"/>
          <w:sz w:val="24"/>
          <w:szCs w:val="24"/>
        </w:rPr>
        <w:t xml:space="preserve"> to the </w:t>
      </w:r>
      <w:proofErr w:type="spellStart"/>
      <w:r>
        <w:rPr>
          <w:rFonts w:ascii="Book Antiqua" w:hAnsi="Book Antiqua"/>
          <w:sz w:val="24"/>
          <w:szCs w:val="24"/>
        </w:rPr>
        <w:t>deductor</w:t>
      </w:r>
      <w:proofErr w:type="spellEnd"/>
      <w:r>
        <w:rPr>
          <w:rFonts w:ascii="Book Antiqua" w:hAnsi="Book Antiqua"/>
          <w:sz w:val="24"/>
          <w:szCs w:val="24"/>
        </w:rPr>
        <w:t xml:space="preserve"> and the same shall be indicated by both </w:t>
      </w:r>
      <w:proofErr w:type="spellStart"/>
      <w:r>
        <w:rPr>
          <w:rFonts w:ascii="Book Antiqua" w:hAnsi="Book Antiqua"/>
          <w:sz w:val="24"/>
          <w:szCs w:val="24"/>
        </w:rPr>
        <w:t>deductor</w:t>
      </w:r>
      <w:proofErr w:type="spellEnd"/>
      <w:r>
        <w:rPr>
          <w:rFonts w:ascii="Book Antiqua" w:hAnsi="Book Antiqua"/>
          <w:sz w:val="24"/>
          <w:szCs w:val="24"/>
        </w:rPr>
        <w:t xml:space="preserve"> and </w:t>
      </w:r>
      <w:proofErr w:type="spellStart"/>
      <w:r>
        <w:rPr>
          <w:rFonts w:ascii="Book Antiqua" w:hAnsi="Book Antiqua"/>
          <w:sz w:val="24"/>
          <w:szCs w:val="24"/>
        </w:rPr>
        <w:t>deductee</w:t>
      </w:r>
      <w:proofErr w:type="spellEnd"/>
      <w:r>
        <w:rPr>
          <w:rFonts w:ascii="Book Antiqua" w:hAnsi="Book Antiqua"/>
          <w:sz w:val="24"/>
          <w:szCs w:val="24"/>
        </w:rPr>
        <w:t xml:space="preserve"> in all correspondence, bills, vouchers and other documents which are exchanged between them. If the PAN is not furnished by the </w:t>
      </w:r>
      <w:proofErr w:type="spellStart"/>
      <w:r>
        <w:rPr>
          <w:rFonts w:ascii="Book Antiqua" w:hAnsi="Book Antiqua"/>
          <w:sz w:val="24"/>
          <w:szCs w:val="24"/>
        </w:rPr>
        <w:t>deductee</w:t>
      </w:r>
      <w:proofErr w:type="spellEnd"/>
      <w:r>
        <w:rPr>
          <w:rFonts w:ascii="Book Antiqua" w:hAnsi="Book Antiqua"/>
          <w:sz w:val="24"/>
          <w:szCs w:val="24"/>
        </w:rPr>
        <w:t>, then TDS has to be made at the applicable rate under the respective section or @ 20% whichever is higher.</w:t>
      </w:r>
      <w:r w:rsidR="003E0B90">
        <w:rPr>
          <w:rFonts w:ascii="Book Antiqua" w:hAnsi="Book Antiqua"/>
          <w:sz w:val="24"/>
          <w:szCs w:val="24"/>
        </w:rPr>
        <w:t xml:space="preserve"> Also, if the PAN furnished is invalid, then the same will be treated as not ever furnished and the TDS to be made at applicable rate or @ 20%</w:t>
      </w:r>
      <w:r w:rsidR="00A14085">
        <w:rPr>
          <w:rFonts w:ascii="Book Antiqua" w:hAnsi="Book Antiqua"/>
          <w:sz w:val="24"/>
          <w:szCs w:val="24"/>
        </w:rPr>
        <w:t xml:space="preserve"> whichever is higher</w:t>
      </w:r>
      <w:r w:rsidR="003E0B90">
        <w:rPr>
          <w:rFonts w:ascii="Book Antiqua" w:hAnsi="Book Antiqua"/>
          <w:sz w:val="24"/>
          <w:szCs w:val="24"/>
        </w:rPr>
        <w:t>.</w:t>
      </w:r>
    </w:p>
    <w:p w:rsidR="003E0B90" w:rsidRDefault="003E0B90" w:rsidP="003E0B90">
      <w:pPr>
        <w:pStyle w:val="NoSpacing"/>
        <w:rPr>
          <w:rFonts w:ascii="Book Antiqua" w:hAnsi="Book Antiqua"/>
          <w:sz w:val="24"/>
          <w:szCs w:val="24"/>
        </w:rPr>
      </w:pPr>
    </w:p>
    <w:p w:rsidR="003071BD" w:rsidRDefault="003071BD" w:rsidP="00A14085">
      <w:pPr>
        <w:pStyle w:val="NoSpacing"/>
        <w:numPr>
          <w:ilvl w:val="0"/>
          <w:numId w:val="1"/>
        </w:numPr>
        <w:rPr>
          <w:rFonts w:ascii="Book Antiqua" w:hAnsi="Book Antiqua"/>
          <w:sz w:val="24"/>
          <w:szCs w:val="24"/>
        </w:rPr>
      </w:pPr>
      <w:r>
        <w:rPr>
          <w:rFonts w:ascii="Book Antiqua" w:hAnsi="Book Antiqua"/>
          <w:sz w:val="24"/>
          <w:szCs w:val="24"/>
        </w:rPr>
        <w:lastRenderedPageBreak/>
        <w:t>Under section 208, liability to pay advance tax will arise if the tax payable during a financial year is Rs. 10000 or more (Earlier Rs. 5000 or more).</w:t>
      </w:r>
    </w:p>
    <w:p w:rsidR="003071BD" w:rsidRDefault="003071BD" w:rsidP="003071BD">
      <w:pPr>
        <w:pStyle w:val="NoSpacing"/>
        <w:ind w:left="720"/>
        <w:rPr>
          <w:rFonts w:ascii="Book Antiqua" w:hAnsi="Book Antiqua"/>
          <w:sz w:val="24"/>
          <w:szCs w:val="24"/>
        </w:rPr>
      </w:pPr>
    </w:p>
    <w:p w:rsidR="001E258A" w:rsidRDefault="003071BD" w:rsidP="003071BD">
      <w:pPr>
        <w:pStyle w:val="NoSpacing"/>
        <w:ind w:left="720"/>
        <w:rPr>
          <w:rFonts w:ascii="Book Antiqua" w:hAnsi="Book Antiqua"/>
          <w:sz w:val="24"/>
          <w:szCs w:val="24"/>
        </w:rPr>
      </w:pPr>
      <w:r>
        <w:rPr>
          <w:rFonts w:ascii="Book Antiqua" w:hAnsi="Book Antiqua"/>
          <w:sz w:val="24"/>
          <w:szCs w:val="24"/>
        </w:rPr>
        <w:t>This is retrospectively effective from 1</w:t>
      </w:r>
      <w:r w:rsidRPr="003071BD">
        <w:rPr>
          <w:rFonts w:ascii="Book Antiqua" w:hAnsi="Book Antiqua"/>
          <w:sz w:val="24"/>
          <w:szCs w:val="24"/>
          <w:vertAlign w:val="superscript"/>
        </w:rPr>
        <w:t>st</w:t>
      </w:r>
      <w:r>
        <w:rPr>
          <w:rFonts w:ascii="Book Antiqua" w:hAnsi="Book Antiqua"/>
          <w:sz w:val="24"/>
          <w:szCs w:val="24"/>
        </w:rPr>
        <w:t xml:space="preserve"> April, 2009.</w:t>
      </w:r>
    </w:p>
    <w:p w:rsidR="004C6CB1" w:rsidRDefault="004C6CB1" w:rsidP="004C6CB1">
      <w:pPr>
        <w:pStyle w:val="NoSpacing"/>
        <w:rPr>
          <w:rFonts w:ascii="Book Antiqua" w:hAnsi="Book Antiqua"/>
          <w:sz w:val="24"/>
          <w:szCs w:val="24"/>
        </w:rPr>
      </w:pPr>
    </w:p>
    <w:p w:rsidR="0078681F" w:rsidRDefault="00F4411B" w:rsidP="00A14085">
      <w:pPr>
        <w:pStyle w:val="NoSpacing"/>
        <w:numPr>
          <w:ilvl w:val="0"/>
          <w:numId w:val="1"/>
        </w:numPr>
        <w:rPr>
          <w:rFonts w:ascii="Book Antiqua" w:hAnsi="Book Antiqua"/>
          <w:sz w:val="24"/>
          <w:szCs w:val="24"/>
        </w:rPr>
      </w:pPr>
      <w:r>
        <w:rPr>
          <w:rFonts w:ascii="Book Antiqua" w:hAnsi="Book Antiqua"/>
          <w:sz w:val="24"/>
          <w:szCs w:val="24"/>
        </w:rPr>
        <w:t>By virtue of substitution of section 282, electronic mail or electronic mail message as per the Information Technology Act, 2000 is also to be treated as suitable mode of service of notice generally by the Income Tax Dept. and in respect of which the Board may make rules for the manner of communication.</w:t>
      </w:r>
    </w:p>
    <w:p w:rsidR="0078681F" w:rsidRDefault="0078681F" w:rsidP="0078681F">
      <w:pPr>
        <w:pStyle w:val="NoSpacing"/>
        <w:ind w:left="720"/>
        <w:rPr>
          <w:rFonts w:ascii="Book Antiqua" w:hAnsi="Book Antiqua"/>
          <w:sz w:val="24"/>
          <w:szCs w:val="24"/>
        </w:rPr>
      </w:pPr>
    </w:p>
    <w:p w:rsidR="003E51F0" w:rsidRDefault="0078681F" w:rsidP="0078681F">
      <w:pPr>
        <w:pStyle w:val="NoSpacing"/>
        <w:ind w:left="720"/>
        <w:rPr>
          <w:rFonts w:ascii="Book Antiqua" w:hAnsi="Book Antiqua"/>
          <w:sz w:val="24"/>
          <w:szCs w:val="24"/>
        </w:rPr>
      </w:pPr>
      <w:r>
        <w:rPr>
          <w:rFonts w:ascii="Book Antiqua" w:hAnsi="Book Antiqua"/>
          <w:sz w:val="24"/>
          <w:szCs w:val="24"/>
        </w:rPr>
        <w:t>This is effective from 1</w:t>
      </w:r>
      <w:r w:rsidRPr="0078681F">
        <w:rPr>
          <w:rFonts w:ascii="Book Antiqua" w:hAnsi="Book Antiqua"/>
          <w:sz w:val="24"/>
          <w:szCs w:val="24"/>
          <w:vertAlign w:val="superscript"/>
        </w:rPr>
        <w:t>st</w:t>
      </w:r>
      <w:r>
        <w:rPr>
          <w:rFonts w:ascii="Book Antiqua" w:hAnsi="Book Antiqua"/>
          <w:sz w:val="24"/>
          <w:szCs w:val="24"/>
        </w:rPr>
        <w:t xml:space="preserve"> of October, 2009.</w:t>
      </w:r>
    </w:p>
    <w:p w:rsidR="003E51F0" w:rsidRDefault="003E51F0" w:rsidP="003E51F0">
      <w:pPr>
        <w:pStyle w:val="NoSpacing"/>
        <w:rPr>
          <w:rFonts w:ascii="Book Antiqua" w:hAnsi="Book Antiqua"/>
          <w:sz w:val="24"/>
          <w:szCs w:val="24"/>
        </w:rPr>
      </w:pPr>
    </w:p>
    <w:p w:rsidR="00F4411B" w:rsidRDefault="003E51F0" w:rsidP="00A14085">
      <w:pPr>
        <w:pStyle w:val="NoSpacing"/>
        <w:numPr>
          <w:ilvl w:val="0"/>
          <w:numId w:val="1"/>
        </w:numPr>
        <w:rPr>
          <w:rFonts w:ascii="Book Antiqua" w:hAnsi="Book Antiqua"/>
          <w:sz w:val="24"/>
          <w:szCs w:val="24"/>
        </w:rPr>
      </w:pPr>
      <w:r>
        <w:rPr>
          <w:rFonts w:ascii="Book Antiqua" w:hAnsi="Book Antiqua"/>
          <w:sz w:val="24"/>
          <w:szCs w:val="24"/>
        </w:rPr>
        <w:t xml:space="preserve">Under Section 246A relating to appeal filed before Commissioner (Appeals), order passed by an Assessing Officer under section 143(3) in pursuance of directions of Dispute Resolution Panel will not be an appealable order before Commissioner (Appeals) and the same is appealable to Appellate Tribunal under Section 253. </w:t>
      </w:r>
      <w:r w:rsidR="00F4411B">
        <w:rPr>
          <w:rFonts w:ascii="Book Antiqua" w:hAnsi="Book Antiqua"/>
          <w:sz w:val="24"/>
          <w:szCs w:val="24"/>
        </w:rPr>
        <w:t xml:space="preserve"> </w:t>
      </w:r>
    </w:p>
    <w:p w:rsidR="0023683C" w:rsidRDefault="0023683C" w:rsidP="0023683C">
      <w:pPr>
        <w:pStyle w:val="NoSpacing"/>
        <w:ind w:left="720"/>
        <w:rPr>
          <w:rFonts w:ascii="Book Antiqua" w:hAnsi="Book Antiqua"/>
          <w:sz w:val="24"/>
          <w:szCs w:val="24"/>
        </w:rPr>
      </w:pPr>
    </w:p>
    <w:p w:rsidR="0023683C" w:rsidRDefault="0023683C" w:rsidP="0023683C">
      <w:pPr>
        <w:pStyle w:val="NoSpacing"/>
        <w:ind w:left="720"/>
        <w:rPr>
          <w:rFonts w:ascii="Book Antiqua" w:hAnsi="Book Antiqua"/>
          <w:sz w:val="24"/>
          <w:szCs w:val="24"/>
        </w:rPr>
      </w:pPr>
      <w:r>
        <w:rPr>
          <w:rFonts w:ascii="Book Antiqua" w:hAnsi="Book Antiqua"/>
          <w:sz w:val="24"/>
          <w:szCs w:val="24"/>
        </w:rPr>
        <w:t>This is effective from 1</w:t>
      </w:r>
      <w:r w:rsidRPr="0023683C">
        <w:rPr>
          <w:rFonts w:ascii="Book Antiqua" w:hAnsi="Book Antiqua"/>
          <w:sz w:val="24"/>
          <w:szCs w:val="24"/>
          <w:vertAlign w:val="superscript"/>
        </w:rPr>
        <w:t>st</w:t>
      </w:r>
      <w:r>
        <w:rPr>
          <w:rFonts w:ascii="Book Antiqua" w:hAnsi="Book Antiqua"/>
          <w:sz w:val="24"/>
          <w:szCs w:val="24"/>
        </w:rPr>
        <w:t xml:space="preserve"> of October, 2009.</w:t>
      </w:r>
    </w:p>
    <w:p w:rsidR="00F4411B" w:rsidRDefault="00F4411B" w:rsidP="004C6CB1">
      <w:pPr>
        <w:pStyle w:val="NoSpacing"/>
        <w:rPr>
          <w:rFonts w:ascii="Book Antiqua" w:hAnsi="Book Antiqua"/>
          <w:sz w:val="24"/>
          <w:szCs w:val="24"/>
        </w:rPr>
      </w:pPr>
    </w:p>
    <w:p w:rsidR="004C6CB1" w:rsidRDefault="004C6CB1" w:rsidP="00A14085">
      <w:pPr>
        <w:pStyle w:val="NoSpacing"/>
        <w:numPr>
          <w:ilvl w:val="0"/>
          <w:numId w:val="1"/>
        </w:numPr>
        <w:rPr>
          <w:rFonts w:ascii="Book Antiqua" w:hAnsi="Book Antiqua"/>
          <w:sz w:val="24"/>
          <w:szCs w:val="24"/>
        </w:rPr>
      </w:pPr>
      <w:r>
        <w:rPr>
          <w:rFonts w:ascii="Book Antiqua" w:hAnsi="Book Antiqua"/>
          <w:sz w:val="24"/>
          <w:szCs w:val="24"/>
        </w:rPr>
        <w:t xml:space="preserve">By virtue of new section 282B, every income tax authority is required to allot a computer generated Document Identification Number in respect of every </w:t>
      </w:r>
      <w:proofErr w:type="gramStart"/>
      <w:r>
        <w:rPr>
          <w:rFonts w:ascii="Book Antiqua" w:hAnsi="Book Antiqua"/>
          <w:sz w:val="24"/>
          <w:szCs w:val="24"/>
        </w:rPr>
        <w:t>notice</w:t>
      </w:r>
      <w:proofErr w:type="gramEnd"/>
      <w:r>
        <w:rPr>
          <w:rFonts w:ascii="Book Antiqua" w:hAnsi="Book Antiqua"/>
          <w:sz w:val="24"/>
          <w:szCs w:val="24"/>
        </w:rPr>
        <w:t>, order, letter or any correspondence issued by such authority and quote the same in such correspondence. Failure to do so will treat such correspondence as invalid and never issued.</w:t>
      </w:r>
    </w:p>
    <w:p w:rsidR="004C6CB1" w:rsidRDefault="004C6CB1" w:rsidP="004C6CB1">
      <w:pPr>
        <w:pStyle w:val="NoSpacing"/>
        <w:ind w:left="720"/>
        <w:rPr>
          <w:rFonts w:ascii="Book Antiqua" w:hAnsi="Book Antiqua"/>
          <w:sz w:val="24"/>
          <w:szCs w:val="24"/>
        </w:rPr>
      </w:pPr>
    </w:p>
    <w:p w:rsidR="004C6CB1" w:rsidRDefault="004C6CB1" w:rsidP="004C6CB1">
      <w:pPr>
        <w:pStyle w:val="NoSpacing"/>
        <w:ind w:left="720"/>
        <w:rPr>
          <w:rFonts w:ascii="Book Antiqua" w:hAnsi="Book Antiqua"/>
          <w:sz w:val="24"/>
          <w:szCs w:val="24"/>
        </w:rPr>
      </w:pPr>
      <w:r>
        <w:rPr>
          <w:rFonts w:ascii="Book Antiqua" w:hAnsi="Book Antiqua"/>
          <w:sz w:val="24"/>
          <w:szCs w:val="24"/>
        </w:rPr>
        <w:t>This is effective from 1</w:t>
      </w:r>
      <w:r w:rsidRPr="004C6CB1">
        <w:rPr>
          <w:rFonts w:ascii="Book Antiqua" w:hAnsi="Book Antiqua"/>
          <w:sz w:val="24"/>
          <w:szCs w:val="24"/>
          <w:vertAlign w:val="superscript"/>
        </w:rPr>
        <w:t>st</w:t>
      </w:r>
      <w:r>
        <w:rPr>
          <w:rFonts w:ascii="Book Antiqua" w:hAnsi="Book Antiqua"/>
          <w:sz w:val="24"/>
          <w:szCs w:val="24"/>
        </w:rPr>
        <w:t xml:space="preserve"> of October, 2010.</w:t>
      </w:r>
    </w:p>
    <w:p w:rsidR="001E258A" w:rsidRDefault="001E258A" w:rsidP="001E258A">
      <w:pPr>
        <w:pStyle w:val="NoSpacing"/>
        <w:rPr>
          <w:rFonts w:ascii="Book Antiqua" w:hAnsi="Book Antiqua"/>
          <w:sz w:val="24"/>
          <w:szCs w:val="24"/>
        </w:rPr>
      </w:pPr>
    </w:p>
    <w:p w:rsidR="003A43A7" w:rsidRDefault="0059409A" w:rsidP="00A14085">
      <w:pPr>
        <w:pStyle w:val="NoSpacing"/>
        <w:numPr>
          <w:ilvl w:val="0"/>
          <w:numId w:val="1"/>
        </w:numPr>
        <w:rPr>
          <w:rFonts w:ascii="Book Antiqua" w:hAnsi="Book Antiqua"/>
          <w:sz w:val="24"/>
          <w:szCs w:val="24"/>
        </w:rPr>
      </w:pPr>
      <w:r>
        <w:rPr>
          <w:rFonts w:ascii="Book Antiqua" w:hAnsi="Book Antiqua"/>
          <w:sz w:val="24"/>
          <w:szCs w:val="24"/>
        </w:rPr>
        <w:t xml:space="preserve">By virtue of Section 3 of the Wealth Tax Act, </w:t>
      </w:r>
      <w:r w:rsidR="003A43A7">
        <w:rPr>
          <w:rFonts w:ascii="Book Antiqua" w:hAnsi="Book Antiqua"/>
          <w:sz w:val="24"/>
          <w:szCs w:val="24"/>
        </w:rPr>
        <w:t xml:space="preserve">Wealth Tax Liability </w:t>
      </w:r>
      <w:r>
        <w:rPr>
          <w:rFonts w:ascii="Book Antiqua" w:hAnsi="Book Antiqua"/>
          <w:sz w:val="24"/>
          <w:szCs w:val="24"/>
        </w:rPr>
        <w:t xml:space="preserve">(@ 1%) </w:t>
      </w:r>
      <w:r w:rsidR="003A43A7">
        <w:rPr>
          <w:rFonts w:ascii="Book Antiqua" w:hAnsi="Book Antiqua"/>
          <w:sz w:val="24"/>
          <w:szCs w:val="24"/>
        </w:rPr>
        <w:t xml:space="preserve">will arise only if the net wealth exceeds Rs. 30 </w:t>
      </w:r>
      <w:proofErr w:type="spellStart"/>
      <w:r w:rsidR="003A43A7">
        <w:rPr>
          <w:rFonts w:ascii="Book Antiqua" w:hAnsi="Book Antiqua"/>
          <w:sz w:val="24"/>
          <w:szCs w:val="24"/>
        </w:rPr>
        <w:t>Lacs</w:t>
      </w:r>
      <w:proofErr w:type="spellEnd"/>
      <w:r w:rsidR="003A43A7">
        <w:rPr>
          <w:rFonts w:ascii="Book Antiqua" w:hAnsi="Book Antiqua"/>
          <w:sz w:val="24"/>
          <w:szCs w:val="24"/>
        </w:rPr>
        <w:t xml:space="preserve">. (Earlier Rs. 15 </w:t>
      </w:r>
      <w:proofErr w:type="spellStart"/>
      <w:r w:rsidR="003A43A7">
        <w:rPr>
          <w:rFonts w:ascii="Book Antiqua" w:hAnsi="Book Antiqua"/>
          <w:sz w:val="24"/>
          <w:szCs w:val="24"/>
        </w:rPr>
        <w:t>Lacs</w:t>
      </w:r>
      <w:proofErr w:type="spellEnd"/>
      <w:r w:rsidR="003A43A7">
        <w:rPr>
          <w:rFonts w:ascii="Book Antiqua" w:hAnsi="Book Antiqua"/>
          <w:sz w:val="24"/>
          <w:szCs w:val="24"/>
        </w:rPr>
        <w:t>.).</w:t>
      </w:r>
    </w:p>
    <w:p w:rsidR="003A43A7" w:rsidRDefault="003A43A7" w:rsidP="003A43A7">
      <w:pPr>
        <w:pStyle w:val="NoSpacing"/>
        <w:rPr>
          <w:rFonts w:ascii="Book Antiqua" w:hAnsi="Book Antiqua"/>
          <w:sz w:val="24"/>
          <w:szCs w:val="24"/>
        </w:rPr>
      </w:pPr>
    </w:p>
    <w:p w:rsidR="00F02547" w:rsidRDefault="00F02547" w:rsidP="0059409A">
      <w:pPr>
        <w:pStyle w:val="NoSpacing"/>
        <w:ind w:left="720"/>
        <w:rPr>
          <w:rFonts w:ascii="Book Antiqua" w:hAnsi="Book Antiqua"/>
          <w:sz w:val="24"/>
          <w:szCs w:val="24"/>
        </w:rPr>
      </w:pPr>
    </w:p>
    <w:p w:rsidR="00503C91" w:rsidRDefault="00503C91" w:rsidP="0059409A">
      <w:pPr>
        <w:pStyle w:val="NoSpacing"/>
        <w:ind w:left="720"/>
        <w:rPr>
          <w:rFonts w:ascii="Book Antiqua" w:hAnsi="Book Antiqua"/>
          <w:sz w:val="24"/>
          <w:szCs w:val="24"/>
        </w:rPr>
      </w:pPr>
      <w:r>
        <w:rPr>
          <w:rFonts w:ascii="Book Antiqua" w:hAnsi="Book Antiqua"/>
          <w:sz w:val="24"/>
          <w:szCs w:val="24"/>
        </w:rPr>
        <w:t>E &amp; O.E</w:t>
      </w:r>
    </w:p>
    <w:p w:rsidR="00067F20" w:rsidRPr="005A6C65" w:rsidRDefault="00067F20" w:rsidP="0059409A">
      <w:pPr>
        <w:pStyle w:val="NoSpacing"/>
        <w:ind w:left="720"/>
        <w:rPr>
          <w:rFonts w:ascii="Book Antiqua" w:hAnsi="Book Antiqua"/>
          <w:sz w:val="24"/>
          <w:szCs w:val="24"/>
        </w:rPr>
      </w:pPr>
    </w:p>
    <w:p w:rsidR="00C4767E" w:rsidRPr="005A6C65" w:rsidRDefault="00503C91" w:rsidP="00C4767E">
      <w:pPr>
        <w:pStyle w:val="NoSpacing"/>
        <w:ind w:left="1440" w:hanging="720"/>
        <w:rPr>
          <w:rFonts w:ascii="Book Antiqua" w:hAnsi="Book Antiqua"/>
          <w:sz w:val="24"/>
          <w:szCs w:val="24"/>
        </w:rPr>
      </w:pPr>
      <w:r>
        <w:rPr>
          <w:rFonts w:ascii="Book Antiqua" w:hAnsi="Book Antiqua"/>
          <w:sz w:val="24"/>
          <w:szCs w:val="24"/>
        </w:rPr>
        <w:t>_____________________________________________________________________</w:t>
      </w:r>
    </w:p>
    <w:p w:rsidR="00C4767E" w:rsidRDefault="00C4767E" w:rsidP="00C4767E">
      <w:pPr>
        <w:pStyle w:val="NoSpacing"/>
        <w:ind w:left="1440" w:hanging="720"/>
        <w:rPr>
          <w:rFonts w:ascii="Book Antiqua" w:hAnsi="Book Antiqua"/>
          <w:sz w:val="24"/>
          <w:szCs w:val="24"/>
        </w:rPr>
      </w:pPr>
    </w:p>
    <w:p w:rsidR="0062732B" w:rsidRDefault="00503C91" w:rsidP="00C4767E">
      <w:pPr>
        <w:pStyle w:val="NoSpacing"/>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Prepared By: </w:t>
      </w:r>
      <w:r w:rsidRPr="00067F20">
        <w:rPr>
          <w:rFonts w:ascii="Book Antiqua" w:hAnsi="Book Antiqua"/>
          <w:sz w:val="24"/>
          <w:szCs w:val="24"/>
        </w:rPr>
        <w:t>SHIV AGARWALA</w:t>
      </w:r>
    </w:p>
    <w:p w:rsidR="00067F20" w:rsidRDefault="00503C91" w:rsidP="00C4767E">
      <w:pPr>
        <w:pStyle w:val="NoSpacing"/>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B.Com (</w:t>
      </w:r>
      <w:proofErr w:type="spellStart"/>
      <w:r>
        <w:rPr>
          <w:rFonts w:ascii="Book Antiqua" w:hAnsi="Book Antiqua"/>
          <w:sz w:val="24"/>
          <w:szCs w:val="24"/>
        </w:rPr>
        <w:t>Hons</w:t>
      </w:r>
      <w:proofErr w:type="spellEnd"/>
      <w:r>
        <w:rPr>
          <w:rFonts w:ascii="Book Antiqua" w:hAnsi="Book Antiqua"/>
          <w:sz w:val="24"/>
          <w:szCs w:val="24"/>
        </w:rPr>
        <w:t>.), ACA, D.I.S.A</w:t>
      </w:r>
      <w:proofErr w:type="gramStart"/>
      <w:r>
        <w:rPr>
          <w:rFonts w:ascii="Book Antiqua" w:hAnsi="Book Antiqua"/>
          <w:sz w:val="24"/>
          <w:szCs w:val="24"/>
        </w:rPr>
        <w:t>.(</w:t>
      </w:r>
      <w:proofErr w:type="gramEnd"/>
      <w:r>
        <w:rPr>
          <w:rFonts w:ascii="Book Antiqua" w:hAnsi="Book Antiqua"/>
          <w:sz w:val="24"/>
          <w:szCs w:val="24"/>
        </w:rPr>
        <w:t>ICAI)</w:t>
      </w:r>
    </w:p>
    <w:p w:rsidR="00067F20" w:rsidRDefault="00067F20" w:rsidP="00C4767E">
      <w:pPr>
        <w:pStyle w:val="NoSpacing"/>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Location: </w:t>
      </w:r>
      <w:proofErr w:type="spellStart"/>
      <w:r>
        <w:rPr>
          <w:rFonts w:ascii="Book Antiqua" w:hAnsi="Book Antiqua"/>
          <w:sz w:val="24"/>
          <w:szCs w:val="24"/>
        </w:rPr>
        <w:t>Surat</w:t>
      </w:r>
      <w:proofErr w:type="spellEnd"/>
      <w:r>
        <w:rPr>
          <w:rFonts w:ascii="Book Antiqua" w:hAnsi="Book Antiqua"/>
          <w:sz w:val="24"/>
          <w:szCs w:val="24"/>
        </w:rPr>
        <w:tab/>
      </w:r>
    </w:p>
    <w:p w:rsidR="00503C91" w:rsidRPr="005A6C65" w:rsidRDefault="00503C91" w:rsidP="00C4767E">
      <w:pPr>
        <w:pStyle w:val="NoSpacing"/>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503C91">
        <w:rPr>
          <w:rFonts w:ascii="Book Antiqua" w:hAnsi="Book Antiqua"/>
          <w:sz w:val="24"/>
          <w:szCs w:val="24"/>
          <w:u w:val="single"/>
        </w:rPr>
        <w:t>agarwalashiv@gmail.com</w:t>
      </w:r>
      <w:r>
        <w:rPr>
          <w:rFonts w:ascii="Book Antiqua" w:hAnsi="Book Antiqua"/>
          <w:sz w:val="24"/>
          <w:szCs w:val="24"/>
        </w:rPr>
        <w:tab/>
      </w:r>
      <w:r>
        <w:rPr>
          <w:rFonts w:ascii="Book Antiqua" w:hAnsi="Book Antiqua"/>
          <w:sz w:val="24"/>
          <w:szCs w:val="24"/>
        </w:rPr>
        <w:tab/>
      </w:r>
    </w:p>
    <w:p w:rsidR="00DD4E1E" w:rsidRPr="005A6C65" w:rsidRDefault="00503C91" w:rsidP="00F85E22">
      <w:pPr>
        <w:ind w:left="360"/>
        <w:rPr>
          <w:rFonts w:ascii="Book Antiqua" w:hAnsi="Book Antiqua" w:cs="FrankRuehl"/>
          <w:sz w:val="24"/>
          <w:szCs w:val="24"/>
        </w:rPr>
      </w:pPr>
      <w:r>
        <w:rPr>
          <w:rFonts w:ascii="Book Antiqua" w:hAnsi="Book Antiqua" w:cs="FrankRuehl"/>
          <w:sz w:val="24"/>
          <w:szCs w:val="24"/>
        </w:rPr>
        <w:tab/>
      </w:r>
    </w:p>
    <w:p w:rsidR="00816880" w:rsidRPr="005A6C65" w:rsidRDefault="00816880" w:rsidP="00816880">
      <w:pPr>
        <w:pStyle w:val="NoSpacing"/>
        <w:ind w:left="1440"/>
        <w:rPr>
          <w:rFonts w:ascii="Book Antiqua" w:hAnsi="Book Antiqua" w:cs="FrankRuehl"/>
          <w:sz w:val="24"/>
          <w:szCs w:val="24"/>
          <w:u w:val="single"/>
        </w:rPr>
      </w:pPr>
    </w:p>
    <w:sectPr w:rsidR="00816880" w:rsidRPr="005A6C65" w:rsidSect="001517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2D3"/>
    <w:multiLevelType w:val="hybridMultilevel"/>
    <w:tmpl w:val="6150A65C"/>
    <w:lvl w:ilvl="0" w:tplc="A81EFCD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63E2450"/>
    <w:multiLevelType w:val="hybridMultilevel"/>
    <w:tmpl w:val="491E6C4C"/>
    <w:lvl w:ilvl="0" w:tplc="5D66B0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E9027DC"/>
    <w:multiLevelType w:val="hybridMultilevel"/>
    <w:tmpl w:val="662E5638"/>
    <w:lvl w:ilvl="0" w:tplc="0CA2037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D4E0FF2"/>
    <w:multiLevelType w:val="hybridMultilevel"/>
    <w:tmpl w:val="200CF5F8"/>
    <w:lvl w:ilvl="0" w:tplc="A222910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E7F4E08"/>
    <w:multiLevelType w:val="hybridMultilevel"/>
    <w:tmpl w:val="EACACD20"/>
    <w:lvl w:ilvl="0" w:tplc="058898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F6070D"/>
    <w:multiLevelType w:val="hybridMultilevel"/>
    <w:tmpl w:val="B37A0502"/>
    <w:lvl w:ilvl="0" w:tplc="3786633E">
      <w:start w:val="1"/>
      <w:numFmt w:val="lowerRoman"/>
      <w:lvlText w:val="(%1)"/>
      <w:lvlJc w:val="left"/>
      <w:pPr>
        <w:ind w:left="1440" w:hanging="72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400C5085"/>
    <w:multiLevelType w:val="hybridMultilevel"/>
    <w:tmpl w:val="D7487A48"/>
    <w:lvl w:ilvl="0" w:tplc="93CA23A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nsid w:val="42BA16A0"/>
    <w:multiLevelType w:val="hybridMultilevel"/>
    <w:tmpl w:val="D62E31A8"/>
    <w:lvl w:ilvl="0" w:tplc="DA7ECB6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62477BA"/>
    <w:multiLevelType w:val="hybridMultilevel"/>
    <w:tmpl w:val="EB64228A"/>
    <w:lvl w:ilvl="0" w:tplc="D6EA5DE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D5416A1"/>
    <w:multiLevelType w:val="hybridMultilevel"/>
    <w:tmpl w:val="4A3C6876"/>
    <w:lvl w:ilvl="0" w:tplc="8642360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F173D50"/>
    <w:multiLevelType w:val="hybridMultilevel"/>
    <w:tmpl w:val="DB7E02B2"/>
    <w:lvl w:ilvl="0" w:tplc="961655C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66896C18"/>
    <w:multiLevelType w:val="hybridMultilevel"/>
    <w:tmpl w:val="9A1EDD30"/>
    <w:lvl w:ilvl="0" w:tplc="47EC90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E5A3091"/>
    <w:multiLevelType w:val="hybridMultilevel"/>
    <w:tmpl w:val="141CC11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A4871BA"/>
    <w:multiLevelType w:val="hybridMultilevel"/>
    <w:tmpl w:val="92123C48"/>
    <w:lvl w:ilvl="0" w:tplc="DD8254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2"/>
  </w:num>
  <w:num w:numId="2">
    <w:abstractNumId w:val="5"/>
  </w:num>
  <w:num w:numId="3">
    <w:abstractNumId w:val="11"/>
  </w:num>
  <w:num w:numId="4">
    <w:abstractNumId w:val="13"/>
  </w:num>
  <w:num w:numId="5">
    <w:abstractNumId w:val="2"/>
  </w:num>
  <w:num w:numId="6">
    <w:abstractNumId w:val="7"/>
  </w:num>
  <w:num w:numId="7">
    <w:abstractNumId w:val="9"/>
  </w:num>
  <w:num w:numId="8">
    <w:abstractNumId w:val="1"/>
  </w:num>
  <w:num w:numId="9">
    <w:abstractNumId w:val="6"/>
  </w:num>
  <w:num w:numId="10">
    <w:abstractNumId w:val="3"/>
  </w:num>
  <w:num w:numId="11">
    <w:abstractNumId w:val="10"/>
  </w:num>
  <w:num w:numId="12">
    <w:abstractNumId w:val="4"/>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880"/>
    <w:rsid w:val="00066640"/>
    <w:rsid w:val="00067F20"/>
    <w:rsid w:val="000C019F"/>
    <w:rsid w:val="00133F19"/>
    <w:rsid w:val="001368A8"/>
    <w:rsid w:val="001517C4"/>
    <w:rsid w:val="001834EA"/>
    <w:rsid w:val="001964E7"/>
    <w:rsid w:val="001B098F"/>
    <w:rsid w:val="001D21C0"/>
    <w:rsid w:val="001E258A"/>
    <w:rsid w:val="00233A22"/>
    <w:rsid w:val="0023683C"/>
    <w:rsid w:val="002623A2"/>
    <w:rsid w:val="00274E08"/>
    <w:rsid w:val="002A3CE9"/>
    <w:rsid w:val="00304624"/>
    <w:rsid w:val="003071BD"/>
    <w:rsid w:val="0031259F"/>
    <w:rsid w:val="0035798B"/>
    <w:rsid w:val="003A43A7"/>
    <w:rsid w:val="003E0B90"/>
    <w:rsid w:val="003E51F0"/>
    <w:rsid w:val="004476F4"/>
    <w:rsid w:val="00453963"/>
    <w:rsid w:val="00486550"/>
    <w:rsid w:val="004979B4"/>
    <w:rsid w:val="004C6CB1"/>
    <w:rsid w:val="00503C91"/>
    <w:rsid w:val="005102C8"/>
    <w:rsid w:val="00520C43"/>
    <w:rsid w:val="00555BB3"/>
    <w:rsid w:val="0059409A"/>
    <w:rsid w:val="005A6C65"/>
    <w:rsid w:val="0062732B"/>
    <w:rsid w:val="006F796F"/>
    <w:rsid w:val="0070738F"/>
    <w:rsid w:val="007507B8"/>
    <w:rsid w:val="0078556B"/>
    <w:rsid w:val="007858F9"/>
    <w:rsid w:val="0078681F"/>
    <w:rsid w:val="007E7C83"/>
    <w:rsid w:val="00803879"/>
    <w:rsid w:val="00816880"/>
    <w:rsid w:val="00816C43"/>
    <w:rsid w:val="00824F16"/>
    <w:rsid w:val="00854DD5"/>
    <w:rsid w:val="008B6D79"/>
    <w:rsid w:val="008C3E0C"/>
    <w:rsid w:val="0091352A"/>
    <w:rsid w:val="009B1EB4"/>
    <w:rsid w:val="00A0178D"/>
    <w:rsid w:val="00A14085"/>
    <w:rsid w:val="00A45C6D"/>
    <w:rsid w:val="00AA2BCB"/>
    <w:rsid w:val="00AB69DF"/>
    <w:rsid w:val="00B0087F"/>
    <w:rsid w:val="00BB7E5C"/>
    <w:rsid w:val="00BD057B"/>
    <w:rsid w:val="00BE679A"/>
    <w:rsid w:val="00BF1652"/>
    <w:rsid w:val="00C4767E"/>
    <w:rsid w:val="00CA1627"/>
    <w:rsid w:val="00CA4181"/>
    <w:rsid w:val="00CC54A2"/>
    <w:rsid w:val="00CE28FA"/>
    <w:rsid w:val="00D14F00"/>
    <w:rsid w:val="00D36C9A"/>
    <w:rsid w:val="00D56ECF"/>
    <w:rsid w:val="00D61FB3"/>
    <w:rsid w:val="00D629BA"/>
    <w:rsid w:val="00DD208A"/>
    <w:rsid w:val="00DD4E1E"/>
    <w:rsid w:val="00E11971"/>
    <w:rsid w:val="00E15A36"/>
    <w:rsid w:val="00EA3F04"/>
    <w:rsid w:val="00EA593F"/>
    <w:rsid w:val="00F02547"/>
    <w:rsid w:val="00F30627"/>
    <w:rsid w:val="00F315CD"/>
    <w:rsid w:val="00F4411B"/>
    <w:rsid w:val="00F63DD7"/>
    <w:rsid w:val="00F85E22"/>
    <w:rsid w:val="00F867A7"/>
    <w:rsid w:val="00F9024E"/>
    <w:rsid w:val="00FA1F4B"/>
    <w:rsid w:val="00FA2567"/>
    <w:rsid w:val="00FE7910"/>
    <w:rsid w:val="00FF5D9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7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880"/>
    <w:pPr>
      <w:spacing w:after="0" w:line="240" w:lineRule="auto"/>
    </w:pPr>
  </w:style>
  <w:style w:type="paragraph" w:styleId="ListParagraph">
    <w:name w:val="List Paragraph"/>
    <w:basedOn w:val="Normal"/>
    <w:uiPriority w:val="34"/>
    <w:qFormat/>
    <w:rsid w:val="008168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Shiv</cp:lastModifiedBy>
  <cp:revision>74</cp:revision>
  <dcterms:created xsi:type="dcterms:W3CDTF">2009-07-23T10:59:00Z</dcterms:created>
  <dcterms:modified xsi:type="dcterms:W3CDTF">2009-07-24T09:14:00Z</dcterms:modified>
</cp:coreProperties>
</file>