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67F" w:rsidRDefault="0013667F" w:rsidP="0013667F">
      <w:pPr>
        <w:autoSpaceDE w:val="0"/>
        <w:autoSpaceDN w:val="0"/>
        <w:adjustRightInd w:val="0"/>
        <w:spacing w:after="0" w:line="240" w:lineRule="auto"/>
        <w:rPr>
          <w:rFonts w:ascii="Century Gothic" w:hAnsi="Century Gothic" w:cs="Arial Narrow"/>
          <w:b/>
          <w:color w:val="0070C0"/>
          <w:sz w:val="26"/>
          <w:u w:val="single"/>
        </w:rPr>
      </w:pPr>
    </w:p>
    <w:p w:rsidR="0013667F" w:rsidRPr="00081552" w:rsidRDefault="0013667F" w:rsidP="00081552">
      <w:pPr>
        <w:autoSpaceDE w:val="0"/>
        <w:autoSpaceDN w:val="0"/>
        <w:adjustRightInd w:val="0"/>
        <w:spacing w:after="0" w:line="240" w:lineRule="auto"/>
        <w:jc w:val="center"/>
        <w:rPr>
          <w:rFonts w:ascii="Century Gothic" w:hAnsi="Century Gothic" w:cs="Arial Narrow"/>
          <w:b/>
          <w:color w:val="92D050"/>
          <w:sz w:val="36"/>
          <w:u w:val="single"/>
        </w:rPr>
      </w:pPr>
      <w:r w:rsidRPr="00081552">
        <w:rPr>
          <w:rFonts w:ascii="Century Gothic" w:hAnsi="Century Gothic" w:cs="Arial Narrow"/>
          <w:b/>
          <w:color w:val="92D050"/>
          <w:sz w:val="36"/>
          <w:u w:val="single"/>
        </w:rPr>
        <w:t>Deduction in respect of medical insurance premium [</w:t>
      </w:r>
      <w:r w:rsidRPr="00081552">
        <w:rPr>
          <w:rFonts w:ascii="Century Gothic" w:hAnsi="Century Gothic" w:cs="Arial Narrow"/>
          <w:b/>
          <w:color w:val="0070C0"/>
          <w:sz w:val="36"/>
          <w:u w:val="single"/>
        </w:rPr>
        <w:t>Section 80D</w:t>
      </w:r>
      <w:r w:rsidRPr="00081552">
        <w:rPr>
          <w:rFonts w:ascii="Century Gothic" w:hAnsi="Century Gothic" w:cs="Arial Narrow"/>
          <w:b/>
          <w:color w:val="92D050"/>
          <w:sz w:val="36"/>
          <w:u w:val="single"/>
        </w:rPr>
        <w:t>]</w:t>
      </w:r>
    </w:p>
    <w:p w:rsidR="0013667F" w:rsidRPr="00081552" w:rsidRDefault="0013667F" w:rsidP="0013667F">
      <w:pPr>
        <w:autoSpaceDE w:val="0"/>
        <w:autoSpaceDN w:val="0"/>
        <w:adjustRightInd w:val="0"/>
        <w:spacing w:after="0" w:line="240" w:lineRule="auto"/>
        <w:rPr>
          <w:rFonts w:ascii="Century Gothic" w:hAnsi="Century Gothic" w:cs="Arial Narrow"/>
          <w:b/>
          <w:color w:val="31849B" w:themeColor="accent5" w:themeShade="BF"/>
          <w:sz w:val="36"/>
        </w:rPr>
      </w:pPr>
    </w:p>
    <w:p w:rsidR="0013667F" w:rsidRPr="00081552" w:rsidRDefault="0013667F" w:rsidP="0013667F">
      <w:pPr>
        <w:autoSpaceDE w:val="0"/>
        <w:autoSpaceDN w:val="0"/>
        <w:adjustRightInd w:val="0"/>
        <w:spacing w:after="0" w:line="240" w:lineRule="auto"/>
        <w:jc w:val="both"/>
        <w:rPr>
          <w:rFonts w:ascii="Century Gothic" w:hAnsi="Century Gothic" w:cs="Arial Narrow"/>
          <w:color w:val="31849B" w:themeColor="accent5" w:themeShade="BF"/>
          <w:sz w:val="32"/>
        </w:rPr>
      </w:pPr>
      <w:r w:rsidRPr="00081552">
        <w:rPr>
          <w:rFonts w:ascii="Century Gothic" w:hAnsi="Century Gothic" w:cs="Arial Narrow"/>
          <w:b/>
          <w:color w:val="31849B" w:themeColor="accent5" w:themeShade="BF"/>
          <w:sz w:val="32"/>
        </w:rPr>
        <w:t>(</w:t>
      </w:r>
      <w:proofErr w:type="spellStart"/>
      <w:r w:rsidRPr="00081552">
        <w:rPr>
          <w:rFonts w:ascii="Century Gothic" w:hAnsi="Century Gothic" w:cs="Arial Narrow"/>
          <w:b/>
          <w:color w:val="31849B" w:themeColor="accent5" w:themeShade="BF"/>
          <w:sz w:val="32"/>
        </w:rPr>
        <w:t>i</w:t>
      </w:r>
      <w:proofErr w:type="spellEnd"/>
      <w:r w:rsidRPr="00081552">
        <w:rPr>
          <w:rFonts w:ascii="Century Gothic" w:hAnsi="Century Gothic" w:cs="Arial Narrow"/>
          <w:b/>
          <w:color w:val="31849B" w:themeColor="accent5" w:themeShade="BF"/>
          <w:sz w:val="32"/>
        </w:rPr>
        <w:t>)</w:t>
      </w:r>
      <w:r w:rsidRPr="00081552">
        <w:rPr>
          <w:rFonts w:ascii="Century Gothic" w:hAnsi="Century Gothic" w:cs="Arial Narrow"/>
          <w:color w:val="31849B" w:themeColor="accent5" w:themeShade="BF"/>
          <w:sz w:val="32"/>
        </w:rPr>
        <w:t xml:space="preserve"> The following payments shall be deductible to the extent of the actual amount paid by </w:t>
      </w:r>
      <w:r w:rsidRPr="00081552">
        <w:rPr>
          <w:rFonts w:ascii="Century Gothic" w:hAnsi="Century Gothic" w:cs="Arial Narrow"/>
          <w:i/>
          <w:color w:val="31849B" w:themeColor="accent5" w:themeShade="BF"/>
          <w:sz w:val="32"/>
          <w:u w:val="single"/>
        </w:rPr>
        <w:t>any mode other than cash</w:t>
      </w:r>
      <w:r w:rsidRPr="00081552">
        <w:rPr>
          <w:rFonts w:ascii="Century Gothic" w:hAnsi="Century Gothic" w:cs="Arial Narrow"/>
          <w:i/>
          <w:color w:val="31849B" w:themeColor="accent5" w:themeShade="BF"/>
          <w:sz w:val="32"/>
        </w:rPr>
        <w:t xml:space="preserve"> </w:t>
      </w:r>
      <w:r w:rsidR="00081552" w:rsidRPr="00081552">
        <w:rPr>
          <w:rFonts w:ascii="Century Gothic" w:hAnsi="Century Gothic" w:cs="Arial Narrow"/>
          <w:i/>
          <w:color w:val="31849B" w:themeColor="accent5" w:themeShade="BF"/>
          <w:sz w:val="32"/>
        </w:rPr>
        <w:t>or</w:t>
      </w:r>
      <w:r w:rsidRPr="00081552">
        <w:rPr>
          <w:rFonts w:ascii="Century Gothic" w:hAnsi="Century Gothic" w:cs="Arial Narrow"/>
          <w:i/>
          <w:color w:val="31849B" w:themeColor="accent5" w:themeShade="BF"/>
          <w:sz w:val="32"/>
        </w:rPr>
        <w:t xml:space="preserve"> Rs.15</w:t>
      </w:r>
      <w:proofErr w:type="gramStart"/>
      <w:r w:rsidRPr="00081552">
        <w:rPr>
          <w:rFonts w:ascii="Century Gothic" w:hAnsi="Century Gothic" w:cs="Arial Narrow"/>
          <w:i/>
          <w:color w:val="31849B" w:themeColor="accent5" w:themeShade="BF"/>
          <w:sz w:val="32"/>
        </w:rPr>
        <w:t>,000</w:t>
      </w:r>
      <w:proofErr w:type="gramEnd"/>
      <w:r w:rsidRPr="00081552">
        <w:rPr>
          <w:rFonts w:ascii="Century Gothic" w:hAnsi="Century Gothic" w:cs="Arial Narrow"/>
          <w:color w:val="31849B" w:themeColor="accent5" w:themeShade="BF"/>
          <w:sz w:val="32"/>
        </w:rPr>
        <w:t>, whichever is less :</w:t>
      </w:r>
    </w:p>
    <w:p w:rsidR="0013667F" w:rsidRPr="00081552" w:rsidRDefault="0013667F" w:rsidP="0013667F">
      <w:pPr>
        <w:autoSpaceDE w:val="0"/>
        <w:autoSpaceDN w:val="0"/>
        <w:adjustRightInd w:val="0"/>
        <w:spacing w:after="0" w:line="240" w:lineRule="auto"/>
        <w:jc w:val="both"/>
        <w:rPr>
          <w:rFonts w:ascii="Century Gothic" w:hAnsi="Century Gothic" w:cs="Arial Narrow"/>
          <w:color w:val="31849B" w:themeColor="accent5" w:themeShade="BF"/>
          <w:sz w:val="32"/>
        </w:rPr>
      </w:pPr>
    </w:p>
    <w:p w:rsidR="0013667F" w:rsidRPr="00081552" w:rsidRDefault="0013667F" w:rsidP="0013667F">
      <w:pPr>
        <w:pStyle w:val="ListParagraph"/>
        <w:numPr>
          <w:ilvl w:val="0"/>
          <w:numId w:val="1"/>
        </w:numPr>
        <w:autoSpaceDE w:val="0"/>
        <w:autoSpaceDN w:val="0"/>
        <w:adjustRightInd w:val="0"/>
        <w:spacing w:after="0" w:line="240" w:lineRule="auto"/>
        <w:jc w:val="both"/>
        <w:rPr>
          <w:rFonts w:ascii="Century Gothic" w:hAnsi="Century Gothic" w:cs="Arial Narrow"/>
          <w:color w:val="31849B" w:themeColor="accent5" w:themeShade="BF"/>
          <w:sz w:val="32"/>
        </w:rPr>
      </w:pPr>
      <w:r w:rsidRPr="00081552">
        <w:rPr>
          <w:rFonts w:ascii="Century Gothic" w:hAnsi="Century Gothic" w:cs="Arial Narrow"/>
          <w:color w:val="31849B" w:themeColor="accent5" w:themeShade="BF"/>
          <w:sz w:val="32"/>
        </w:rPr>
        <w:t>Where the assessee is an individual, any sum paid to effect or to keep in force an insurance on the health of the assessee or on the health of the wife or husband, parents (</w:t>
      </w:r>
      <w:r w:rsidRPr="00081552">
        <w:rPr>
          <w:rFonts w:ascii="Century Gothic" w:hAnsi="Century Gothic" w:cs="Arial Narrow"/>
          <w:i/>
          <w:color w:val="31849B" w:themeColor="accent5" w:themeShade="BF"/>
          <w:sz w:val="32"/>
        </w:rPr>
        <w:t>whether dependant or not</w:t>
      </w:r>
      <w:r w:rsidRPr="00081552">
        <w:rPr>
          <w:rFonts w:ascii="Century Gothic" w:hAnsi="Century Gothic" w:cs="Arial Narrow"/>
          <w:color w:val="31849B" w:themeColor="accent5" w:themeShade="BF"/>
          <w:sz w:val="32"/>
        </w:rPr>
        <w:t>) or dependant children of the assessee;</w:t>
      </w:r>
    </w:p>
    <w:p w:rsidR="0013667F" w:rsidRPr="00081552" w:rsidRDefault="0013667F" w:rsidP="0013667F">
      <w:pPr>
        <w:pStyle w:val="ListParagraph"/>
        <w:autoSpaceDE w:val="0"/>
        <w:autoSpaceDN w:val="0"/>
        <w:adjustRightInd w:val="0"/>
        <w:spacing w:after="0" w:line="240" w:lineRule="auto"/>
        <w:jc w:val="both"/>
        <w:rPr>
          <w:rFonts w:ascii="Century Gothic" w:hAnsi="Century Gothic" w:cs="Arial Narrow"/>
          <w:color w:val="31849B" w:themeColor="accent5" w:themeShade="BF"/>
          <w:sz w:val="32"/>
        </w:rPr>
      </w:pPr>
    </w:p>
    <w:p w:rsidR="0013667F" w:rsidRPr="00081552" w:rsidRDefault="0013667F" w:rsidP="0013667F">
      <w:pPr>
        <w:pStyle w:val="ListParagraph"/>
        <w:numPr>
          <w:ilvl w:val="0"/>
          <w:numId w:val="1"/>
        </w:numPr>
        <w:autoSpaceDE w:val="0"/>
        <w:autoSpaceDN w:val="0"/>
        <w:adjustRightInd w:val="0"/>
        <w:spacing w:after="0" w:line="240" w:lineRule="auto"/>
        <w:jc w:val="both"/>
        <w:rPr>
          <w:rFonts w:ascii="Century Gothic" w:hAnsi="Century Gothic" w:cs="Arial Narrow"/>
          <w:color w:val="31849B" w:themeColor="accent5" w:themeShade="BF"/>
          <w:sz w:val="32"/>
        </w:rPr>
      </w:pPr>
      <w:r w:rsidRPr="00081552">
        <w:rPr>
          <w:rFonts w:ascii="Century Gothic" w:hAnsi="Century Gothic" w:cs="Arial Narrow"/>
          <w:color w:val="31849B" w:themeColor="accent5" w:themeShade="BF"/>
          <w:sz w:val="32"/>
        </w:rPr>
        <w:t>Where the assessee is a Hindu undivided family, any sum paid to effect or to keep in force an insurance on the health of any member of the family.</w:t>
      </w:r>
    </w:p>
    <w:p w:rsidR="0013667F" w:rsidRPr="00081552" w:rsidRDefault="0013667F" w:rsidP="0013667F">
      <w:pPr>
        <w:pStyle w:val="ListParagraph"/>
        <w:autoSpaceDE w:val="0"/>
        <w:autoSpaceDN w:val="0"/>
        <w:adjustRightInd w:val="0"/>
        <w:spacing w:after="0" w:line="240" w:lineRule="auto"/>
        <w:jc w:val="both"/>
        <w:rPr>
          <w:rFonts w:ascii="Century Gothic" w:hAnsi="Century Gothic" w:cs="Arial Narrow"/>
          <w:color w:val="31849B" w:themeColor="accent5" w:themeShade="BF"/>
          <w:sz w:val="32"/>
        </w:rPr>
      </w:pPr>
    </w:p>
    <w:p w:rsidR="0013667F" w:rsidRPr="00081552" w:rsidRDefault="0013667F" w:rsidP="0013667F">
      <w:pPr>
        <w:autoSpaceDE w:val="0"/>
        <w:autoSpaceDN w:val="0"/>
        <w:adjustRightInd w:val="0"/>
        <w:spacing w:after="0" w:line="240" w:lineRule="auto"/>
        <w:jc w:val="both"/>
        <w:rPr>
          <w:rFonts w:ascii="Century Gothic" w:hAnsi="Century Gothic" w:cs="Arial Narrow"/>
          <w:color w:val="31849B" w:themeColor="accent5" w:themeShade="BF"/>
          <w:sz w:val="32"/>
        </w:rPr>
      </w:pPr>
      <w:r w:rsidRPr="00081552">
        <w:rPr>
          <w:rFonts w:ascii="Century Gothic" w:hAnsi="Century Gothic" w:cs="Arial Narrow"/>
          <w:b/>
          <w:color w:val="31849B" w:themeColor="accent5" w:themeShade="BF"/>
          <w:sz w:val="32"/>
        </w:rPr>
        <w:t>(ii)</w:t>
      </w:r>
      <w:r w:rsidRPr="00081552">
        <w:rPr>
          <w:rFonts w:ascii="Century Gothic" w:hAnsi="Century Gothic" w:cs="Arial Narrow"/>
          <w:color w:val="31849B" w:themeColor="accent5" w:themeShade="BF"/>
          <w:sz w:val="32"/>
        </w:rPr>
        <w:t xml:space="preserve"> Such insurance should be in accordance with a scheme framed in this behalf by the General Insurance Corporation of India and approved by the Central Government in this behalf or in accordance with a scheme framed by any other insurer and approved by the Insurance Regulatory and Development Authority.</w:t>
      </w:r>
    </w:p>
    <w:p w:rsidR="0013667F" w:rsidRPr="00081552" w:rsidRDefault="0013667F" w:rsidP="0013667F">
      <w:pPr>
        <w:autoSpaceDE w:val="0"/>
        <w:autoSpaceDN w:val="0"/>
        <w:adjustRightInd w:val="0"/>
        <w:spacing w:after="0" w:line="240" w:lineRule="auto"/>
        <w:jc w:val="both"/>
        <w:rPr>
          <w:rFonts w:ascii="Century Gothic" w:hAnsi="Century Gothic" w:cs="Arial Narrow"/>
          <w:color w:val="31849B" w:themeColor="accent5" w:themeShade="BF"/>
          <w:sz w:val="32"/>
        </w:rPr>
      </w:pPr>
    </w:p>
    <w:p w:rsidR="00FD2CBB" w:rsidRPr="00081552" w:rsidRDefault="0013667F" w:rsidP="0013667F">
      <w:pPr>
        <w:autoSpaceDE w:val="0"/>
        <w:autoSpaceDN w:val="0"/>
        <w:adjustRightInd w:val="0"/>
        <w:spacing w:after="0" w:line="240" w:lineRule="auto"/>
        <w:jc w:val="both"/>
        <w:rPr>
          <w:rFonts w:ascii="Century Gothic" w:hAnsi="Century Gothic" w:cs="Arial Narrow"/>
          <w:color w:val="31849B" w:themeColor="accent5" w:themeShade="BF"/>
          <w:sz w:val="32"/>
        </w:rPr>
      </w:pPr>
      <w:r w:rsidRPr="00081552">
        <w:rPr>
          <w:rFonts w:ascii="Century Gothic" w:hAnsi="Century Gothic" w:cs="Arial Narrow"/>
          <w:b/>
          <w:color w:val="31849B" w:themeColor="accent5" w:themeShade="BF"/>
          <w:sz w:val="32"/>
        </w:rPr>
        <w:t>(iii)</w:t>
      </w:r>
      <w:r w:rsidRPr="00081552">
        <w:rPr>
          <w:rFonts w:ascii="Century Gothic" w:hAnsi="Century Gothic" w:cs="Arial Narrow"/>
          <w:color w:val="31849B" w:themeColor="accent5" w:themeShade="BF"/>
          <w:sz w:val="32"/>
        </w:rPr>
        <w:t xml:space="preserve">Where the assessee or his wife or her husband, or dependant parents or any member of the family is a senior citizen and the medical insurance premium is paid to effect or keep in force </w:t>
      </w:r>
      <w:proofErr w:type="gramStart"/>
      <w:r w:rsidRPr="00081552">
        <w:rPr>
          <w:rFonts w:ascii="Century Gothic" w:hAnsi="Century Gothic" w:cs="Arial Narrow"/>
          <w:color w:val="31849B" w:themeColor="accent5" w:themeShade="BF"/>
          <w:sz w:val="32"/>
        </w:rPr>
        <w:t>an insurance</w:t>
      </w:r>
      <w:proofErr w:type="gramEnd"/>
      <w:r w:rsidRPr="00081552">
        <w:rPr>
          <w:rFonts w:ascii="Century Gothic" w:hAnsi="Century Gothic" w:cs="Arial Narrow"/>
          <w:color w:val="31849B" w:themeColor="accent5" w:themeShade="BF"/>
          <w:sz w:val="32"/>
        </w:rPr>
        <w:t xml:space="preserve"> in relation to him or her, the maximum permissible deduction is Rs.20,000.</w:t>
      </w:r>
    </w:p>
    <w:p w:rsidR="0013667F" w:rsidRPr="00081552" w:rsidRDefault="0013667F" w:rsidP="0013667F">
      <w:pPr>
        <w:autoSpaceDE w:val="0"/>
        <w:autoSpaceDN w:val="0"/>
        <w:adjustRightInd w:val="0"/>
        <w:spacing w:after="0" w:line="240" w:lineRule="auto"/>
        <w:jc w:val="both"/>
        <w:rPr>
          <w:rFonts w:ascii="Century Gothic" w:hAnsi="Century Gothic" w:cs="Arial Narrow"/>
          <w:color w:val="31849B" w:themeColor="accent5" w:themeShade="BF"/>
          <w:sz w:val="32"/>
        </w:rPr>
      </w:pPr>
    </w:p>
    <w:sectPr w:rsidR="0013667F" w:rsidRPr="00081552" w:rsidSect="00FD2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66AE6"/>
    <w:multiLevelType w:val="hybridMultilevel"/>
    <w:tmpl w:val="FD02F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746CF"/>
    <w:multiLevelType w:val="hybridMultilevel"/>
    <w:tmpl w:val="D29AE792"/>
    <w:lvl w:ilvl="0" w:tplc="54E07C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67F"/>
    <w:rsid w:val="00081552"/>
    <w:rsid w:val="0013667F"/>
    <w:rsid w:val="00FD2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67F"/>
    <w:pPr>
      <w:ind w:left="720"/>
      <w:contextualSpacing/>
    </w:pPr>
  </w:style>
  <w:style w:type="character" w:styleId="Hyperlink">
    <w:name w:val="Hyperlink"/>
    <w:basedOn w:val="DefaultParagraphFont"/>
    <w:uiPriority w:val="99"/>
    <w:semiHidden/>
    <w:unhideWhenUsed/>
    <w:rsid w:val="0013667F"/>
    <w:rPr>
      <w:strike w:val="0"/>
      <w:dstrike w:val="0"/>
      <w:color w:val="00408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DPSV</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DPSV</dc:creator>
  <cp:keywords/>
  <dc:description/>
  <cp:lastModifiedBy>DPSV</cp:lastModifiedBy>
  <cp:revision>1</cp:revision>
  <dcterms:created xsi:type="dcterms:W3CDTF">2009-02-28T09:12:00Z</dcterms:created>
  <dcterms:modified xsi:type="dcterms:W3CDTF">2009-02-28T09:32:00Z</dcterms:modified>
</cp:coreProperties>
</file>