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5CF" w:rsidRPr="008625CF" w:rsidRDefault="008625CF" w:rsidP="008625CF">
      <w:pPr>
        <w:adjustRightInd w:val="0"/>
        <w:spacing w:after="80" w:line="240" w:lineRule="auto"/>
        <w:jc w:val="center"/>
        <w:rPr>
          <w:rFonts w:ascii="Times New Roman" w:eastAsia="Times New Roman" w:hAnsi="Times New Roman" w:cs="Times"/>
          <w:b/>
          <w:bCs/>
          <w:caps/>
          <w:sz w:val="24"/>
        </w:rPr>
      </w:pPr>
      <w:r w:rsidRPr="008625CF">
        <w:rPr>
          <w:rFonts w:ascii="Times New Roman" w:eastAsia="Times New Roman" w:hAnsi="Times New Roman" w:cs="Times"/>
          <w:b/>
          <w:bCs/>
          <w:caps/>
          <w:sz w:val="24"/>
        </w:rPr>
        <w:t>In the ITAT Mumbai Bench ‘I’</w:t>
      </w:r>
    </w:p>
    <w:p w:rsidR="008625CF" w:rsidRPr="008625CF" w:rsidRDefault="008625CF" w:rsidP="008625CF">
      <w:pPr>
        <w:adjustRightInd w:val="0"/>
        <w:spacing w:after="80" w:line="240" w:lineRule="auto"/>
        <w:jc w:val="center"/>
        <w:rPr>
          <w:rFonts w:ascii="Times New Roman" w:eastAsia="Times New Roman" w:hAnsi="Times New Roman" w:cs="Times"/>
          <w:b/>
          <w:bCs/>
          <w:sz w:val="24"/>
        </w:rPr>
      </w:pPr>
      <w:r w:rsidRPr="008625CF">
        <w:rPr>
          <w:rFonts w:ascii="Times New Roman" w:eastAsia="Times New Roman" w:hAnsi="Times New Roman" w:cs="Times"/>
          <w:b/>
          <w:bCs/>
          <w:sz w:val="24"/>
        </w:rPr>
        <w:t>Assistant Commissioner of Income-tax, Rg. 4(1), Mumbai</w:t>
      </w:r>
    </w:p>
    <w:p w:rsidR="008625CF" w:rsidRPr="008625CF" w:rsidRDefault="008625CF" w:rsidP="008625CF">
      <w:pPr>
        <w:adjustRightInd w:val="0"/>
        <w:spacing w:after="80" w:line="240" w:lineRule="auto"/>
        <w:jc w:val="center"/>
        <w:rPr>
          <w:rFonts w:ascii="Times New Roman" w:eastAsia="Times New Roman" w:hAnsi="Times New Roman" w:cs="Times"/>
          <w:b/>
          <w:bCs/>
          <w:sz w:val="24"/>
        </w:rPr>
      </w:pPr>
      <w:r w:rsidRPr="008625CF">
        <w:rPr>
          <w:rFonts w:ascii="Times New Roman" w:eastAsia="Times New Roman" w:hAnsi="Times New Roman" w:cs="Times"/>
          <w:b/>
          <w:bCs/>
          <w:i/>
          <w:iCs/>
          <w:sz w:val="24"/>
        </w:rPr>
        <w:t>v.</w:t>
      </w:r>
    </w:p>
    <w:p w:rsidR="008625CF" w:rsidRPr="008625CF" w:rsidRDefault="008625CF" w:rsidP="008625CF">
      <w:pPr>
        <w:adjustRightInd w:val="0"/>
        <w:spacing w:after="80" w:line="240" w:lineRule="auto"/>
        <w:jc w:val="center"/>
        <w:rPr>
          <w:rFonts w:ascii="Times New Roman" w:eastAsia="Times New Roman" w:hAnsi="Times New Roman" w:cs="Times"/>
          <w:b/>
          <w:bCs/>
          <w:sz w:val="24"/>
        </w:rPr>
      </w:pPr>
      <w:r w:rsidRPr="008625CF">
        <w:rPr>
          <w:rFonts w:ascii="Times New Roman" w:eastAsia="Times New Roman" w:hAnsi="Times New Roman" w:cs="Times"/>
          <w:b/>
          <w:bCs/>
          <w:sz w:val="24"/>
        </w:rPr>
        <w:t>Claridges Investments &amp; Finances (P.) Ltd.</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 </w:t>
      </w:r>
    </w:p>
    <w:p w:rsidR="008625CF" w:rsidRPr="008625CF" w:rsidRDefault="008625CF" w:rsidP="008625CF">
      <w:pPr>
        <w:adjustRightInd w:val="0"/>
        <w:spacing w:after="80" w:line="240" w:lineRule="auto"/>
        <w:jc w:val="both"/>
        <w:rPr>
          <w:rFonts w:ascii="Times New Roman" w:eastAsia="Times New Roman" w:hAnsi="Times New Roman" w:cs="Times"/>
          <w:b/>
          <w:bCs/>
          <w:sz w:val="24"/>
          <w:szCs w:val="21"/>
        </w:rPr>
      </w:pPr>
      <w:r w:rsidRPr="008625CF">
        <w:rPr>
          <w:rFonts w:ascii="Times New Roman" w:eastAsia="Times New Roman" w:hAnsi="Times New Roman" w:cs="Times"/>
          <w:b/>
          <w:bCs/>
          <w:sz w:val="24"/>
          <w:szCs w:val="21"/>
        </w:rPr>
        <w:t>I. Section 14A, read with section 10(33), of the Income-tax Act, 1961 - Expenditure incurred in relation to income not includible in total income - Assessment year 2001-02 - Whether provisions of section 14A apply only when there is expenditure in relation to an exempt income and it does not create any legal fiction to deem any expenditure as expenditure incurred in relation to exempt income - Held, yes - Assessee-company which was dealing in securities in stock exchanges, required substantial funds to deal in same which was met from borrowed funds in addition to own funds - Thereafter, assessee had invested certain sum in mutual funds and shares and earned dividend income on same - Department held that as dividend income was earned by assessee which was exempt under section 10(33) expenditure relatable to such income was disallowable under section 14A - Whether since dividend income was merely an incidental income for which no borrowing was made, impugned disallowance made by Assessing Officer was not justified and was liable to be deleted - Held, yes</w:t>
      </w:r>
    </w:p>
    <w:p w:rsidR="008625CF" w:rsidRPr="008625CF" w:rsidRDefault="008625CF" w:rsidP="008625CF">
      <w:pPr>
        <w:adjustRightInd w:val="0"/>
        <w:spacing w:after="80" w:line="240" w:lineRule="auto"/>
        <w:jc w:val="both"/>
        <w:rPr>
          <w:rFonts w:ascii="Times New Roman" w:eastAsia="Times New Roman" w:hAnsi="Times New Roman" w:cs="Times"/>
          <w:b/>
          <w:bCs/>
          <w:sz w:val="24"/>
          <w:szCs w:val="21"/>
        </w:rPr>
      </w:pPr>
      <w:r w:rsidRPr="008625CF">
        <w:rPr>
          <w:rFonts w:ascii="Times New Roman" w:eastAsia="Times New Roman" w:hAnsi="Times New Roman" w:cs="Times"/>
          <w:b/>
          <w:bCs/>
          <w:sz w:val="24"/>
          <w:szCs w:val="21"/>
        </w:rPr>
        <w:t>II. Section 28(i), read with section 36(2), of the Income-tax Act, 1961 - Business loss/deductions - Allowable as - Assessment year 2001-02 - Whether any bona fide loss arising in ordinary course of carrying on of business which is of a revenue nature is to be allowed as a business loss even if provisions relating to deduction of bad debt do not apply - Held, yes - Assessee-company purchased shares of a company ‘C’ on behalf of another company CCL and total amount receivable on this account was Rs. 2,47,69,500.69 - Assessee claimed that it did not receive said amount as two cheques issued by CCL of Rs. 1,25,00,000 each bounced - Assessee, therefore, claimed that amount of Rs. 2,47,69,500 be allowed as business loss/bad debt - Assessing Officer disallowed assessee’s claim holding that since assessee had in its custody 6,40,000 shares of ‘C’ worth Rs. 74,56,000 and also had with it margin money of Rs. 15 lakhs, loss of Rs. 2,47,69,500 could not be claimed by assessee - Assessing Officer further held that assessee’s claim for allowing this amount was not acceptable, as amount had not been written off also in books of account and requirements of provisions of section 36(2) were not met with - Whether since assessee had purchased shares on behalf of ‘CCL’ in ordinary course of its profit-making activity, it was entitled to deduction of money lost - Held, yes - Whether however, since assessee had with it security deposit of Rs. 15 lakhs and also had 6,40,000 shares of company ‘C’ worth Rs. 74,56,000, disallowance to extent of Rs. 27,80,000 was justified and balance amount was allowable as a business loss - Held, yes</w:t>
      </w:r>
    </w:p>
    <w:p w:rsidR="008625CF" w:rsidRPr="008625CF" w:rsidRDefault="008625CF" w:rsidP="008625CF">
      <w:pPr>
        <w:adjustRightInd w:val="0"/>
        <w:spacing w:after="80" w:line="240" w:lineRule="auto"/>
        <w:jc w:val="both"/>
        <w:rPr>
          <w:rFonts w:ascii="Times New Roman" w:eastAsia="Times New Roman" w:hAnsi="Times New Roman" w:cs="Times"/>
          <w:b/>
          <w:bCs/>
          <w:sz w:val="24"/>
          <w:szCs w:val="21"/>
        </w:rPr>
      </w:pPr>
      <w:r w:rsidRPr="008625CF">
        <w:rPr>
          <w:rFonts w:ascii="Times New Roman" w:eastAsia="Times New Roman" w:hAnsi="Times New Roman" w:cs="Times"/>
          <w:b/>
          <w:bCs/>
          <w:sz w:val="24"/>
          <w:szCs w:val="21"/>
        </w:rPr>
        <w:t xml:space="preserve">III. Section 45 of the Income-tax Act, 1961 - Capital gains - Chargeable as - Assessment year 2001-02 - Assessee-company disclosed investments in equity shares at Rs. 1,332.48 lakhs - It had converted said investments into stock-in-trade by passing a journal entry in account books and market value of said shares on date of conversion was Rs. 1,064.74 lakhs - Assessing Officer, in terms of provisions of section 45(2), treated difference between cost of investments and market value of shares as capital loss as against assessee’s claim of </w:t>
      </w:r>
      <w:r w:rsidRPr="008625CF">
        <w:rPr>
          <w:rFonts w:ascii="Times New Roman" w:eastAsia="Times New Roman" w:hAnsi="Times New Roman" w:cs="Times"/>
          <w:b/>
          <w:bCs/>
          <w:sz w:val="24"/>
          <w:szCs w:val="21"/>
        </w:rPr>
        <w:lastRenderedPageBreak/>
        <w:t>business loss and, accordingly, did not allow benefit of set-off of loss against business income of assessee - Whether Assessing Officer was justified in his action - Held, yes</w:t>
      </w:r>
    </w:p>
    <w:p w:rsidR="008625CF" w:rsidRPr="008625CF" w:rsidRDefault="008625CF" w:rsidP="008625CF">
      <w:pPr>
        <w:adjustRightInd w:val="0"/>
        <w:spacing w:after="80" w:line="240" w:lineRule="auto"/>
        <w:jc w:val="both"/>
        <w:rPr>
          <w:rFonts w:ascii="Times New Roman" w:eastAsia="Times New Roman" w:hAnsi="Times New Roman" w:cs="Times"/>
          <w:b/>
          <w:bCs/>
          <w:sz w:val="24"/>
          <w:szCs w:val="21"/>
        </w:rPr>
      </w:pPr>
      <w:r w:rsidRPr="008625CF">
        <w:rPr>
          <w:rFonts w:ascii="Times New Roman" w:eastAsia="Times New Roman" w:hAnsi="Times New Roman" w:cs="Times"/>
          <w:b/>
          <w:bCs/>
          <w:sz w:val="24"/>
          <w:szCs w:val="21"/>
        </w:rPr>
        <w:t>IV. Section 28(i) of the Income-tax Act, 1961 - Business loss/deductions - Allowable as - Assessment year 2001-02 - Assessee entered into various transactions in shares through three Kolkata based brokers - For relevant assessment year, assessee claimed deduction of Rs. 26.44 crores as business loss stating that Kolkata based brokers had defaulted in making payments - Assessing Officer, however, disallowed assessee’s claim - Whether since assessee’s transactions in shares through aforesaid brokers were supported by movement of shares as reflected in demat account; movement of money, as reflected in bank account; entries in books of account of assessee; prevalent market quotations of CSE; contract notes and delivery bills issued by Kolkata brokers and their statements in response to enquiries made by Assessing Officer, it could not be said that these transactions were shown only in order to generate loss or profit and were not genuine share transactions - Held, yes - Whether further, since loss, in question was no longer recoverable, denial of deduction of loss on ground that loss had not crystallized during relevant financial year was also untenable - Held, yes - Whether, therefore, deduction of loss in question was to be allowed - Held, yes</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Facts-I</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The assessee-company was dealing in securities in stock exchange. It required substantial funds to deal in securities which was met from borrowed funds in addition to own funds. Thereafter, assessee had made investment in schemes of mutual funds and shares and received dividend income on same. The Assessing Officer held that as dividend income was earned by assessee which was exempt under section 10(</w:t>
      </w:r>
      <w:r w:rsidRPr="008625CF">
        <w:rPr>
          <w:rFonts w:ascii="Times New Roman" w:eastAsia="Times New Roman" w:hAnsi="Times New Roman" w:cs="Times New Roman"/>
          <w:i/>
          <w:iCs/>
          <w:sz w:val="24"/>
          <w:szCs w:val="19"/>
        </w:rPr>
        <w:t>33</w:t>
      </w:r>
      <w:r w:rsidRPr="008625CF">
        <w:rPr>
          <w:rFonts w:ascii="Times New Roman" w:eastAsia="Times New Roman" w:hAnsi="Times New Roman" w:cs="Times New Roman"/>
          <w:sz w:val="24"/>
          <w:szCs w:val="19"/>
        </w:rPr>
        <w:t>) the expenditure relatable to such income was to be disallowed under section 14A.</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appeal, the Commissioner (Appeals) upheld the disallowance made by the Assessing Officer.</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second appeal :</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Held-I</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 xml:space="preserve">The disallowance made by the Assessing Officer and upheld by the Commissioner (Appeals) was assailable on several counts. Firstly, the lower authorities had merely applied an </w:t>
      </w:r>
      <w:r w:rsidRPr="008625CF">
        <w:rPr>
          <w:rFonts w:ascii="Times New Roman" w:eastAsia="Times New Roman" w:hAnsi="Times New Roman" w:cs="Times New Roman"/>
          <w:sz w:val="24"/>
          <w:szCs w:val="19"/>
        </w:rPr>
        <w:t>ad hoc</w:t>
      </w:r>
      <w:r w:rsidRPr="008625CF">
        <w:rPr>
          <w:rFonts w:ascii="Times New Roman" w:eastAsia="Times New Roman" w:hAnsi="Times New Roman" w:cs="Times New Roman"/>
          <w:i/>
          <w:iCs/>
          <w:sz w:val="24"/>
          <w:szCs w:val="19"/>
        </w:rPr>
        <w:t xml:space="preserve"> formula and made no attempt to make the disallowance on actual basis. This approach could not be permitted. The assessee required substantial funds to deal in securities of the Stock Exchanges, which was met by it from the borrowed funds in addition to own funds. During the year under consideration, the total turnover of the assessee in shares was Rs. 9,218 crores. According to the requirements of the Stock Exchange, the assessee had to keep margin money of 20 per cent of its turnover. Therefore, the assessee had to utilize borrowed funds for payment of this huge margin money to the Stock Exchange. When borrowed funds were utilized for day-to-day running of the business, there could not be any justification for disallowance of the interest. Secondly, the Assessing Officer as also the Commissioner (Appeals) had simply assumed that all the shares had been purchased out of borrowed funds. It could not be accepted that merely because the payments were made from the overdraft account it entailed utilization of borrowed funds as distinguished from the assessee’s own funds. [Para 20]</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 xml:space="preserve">As a matter of legal proposition also it is not acceptable that even in the case of a dealer/broker in shares, as distinguished from an investor in shares, the borrowed funds utilized for acquisition of shares should be related to earning of dividends. Where the shareholding is on trading </w:t>
      </w:r>
      <w:r w:rsidRPr="008625CF">
        <w:rPr>
          <w:rFonts w:ascii="Times New Roman" w:eastAsia="Times New Roman" w:hAnsi="Times New Roman" w:cs="Times New Roman"/>
          <w:i/>
          <w:iCs/>
          <w:sz w:val="24"/>
          <w:szCs w:val="19"/>
        </w:rPr>
        <w:lastRenderedPageBreak/>
        <w:t>account or on behalf of a third party the interest expenditure cannot be said to have been incurred for earning of dividend. There was force in the contention of the assessee that the dividend income, in the instant case, had been to a larger extent merely incidental income for which no borrowing was made. The legal position in this regard is not altered by the provisions of section 14A that apply only when there is expenditure in relation to an exempt income. These provisions do not create any legal fiction to deem any expenditure as expenditure incurred in relation to exempt income. [Para 21]</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Therefore, the Commissioner (Appeals) had erred in upholding the disallowance made by the Assessing Officer; therefore, the impugned disallowance made by the Assessing Officer was liable to be deleted. [Para 22]</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Facts-II</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The assessee-company purchased shares of a company ‘C’ on behalf of another company CCL on 18-1-2001 and the total amount receivable on this account was Rs. 2,47,69,500.69. The assessee claimed that it did not receive the said amount, as the two cheques issued by CCL of Rs. 1,25,00,000 each bounced. The assessee, therefore, claimed that the sum of Rs. 2,47,69,500 be allowed as business loss/bad debt. The Assessing Officer held that since the assessee had in its custody 6,40,000 shares of ‘C’ worth Rs. 74,56,000 and also had with it the margin money of Rs. 15 lakhs, the loss of Rs. 2,47,69,500 could not be claimed by the assessee. The Assessing Officer further held that the assessee’s claim for allowing this amount was not acceptable, as the amount had not been written off also in the books of account and the requirements of the provisions of section 36(2) were not met with. The Assessing Officer, therefore, disallowed the assessee’s claim.</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appeal, the Commissioner (Appeals) held that the amount in question was allowable neither as a bad debt nor as a business loss. He also held that the claim of loss was premature because the assessee had not made any efforts to recover the debt and instead made claim of business loss in an undue haste.</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second appeal :</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Held-II</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 xml:space="preserve">The Assessing Officer was correct in that the condition precedent as enumerated in section 36(2) was not satisfied as respects the amount expended for purchase of shares on behalf of CCL. From that it did not follow that the assessee could not at all claim deduction of money lost. Undisputedly, the assessee had purchased the shares on behalf of CCL in the ordinary course of its profit-making activity. Any </w:t>
      </w:r>
      <w:r w:rsidRPr="008625CF">
        <w:rPr>
          <w:rFonts w:ascii="Times New Roman" w:eastAsia="Times New Roman" w:hAnsi="Times New Roman" w:cs="Times New Roman"/>
          <w:sz w:val="24"/>
          <w:szCs w:val="19"/>
        </w:rPr>
        <w:t>bona fide</w:t>
      </w:r>
      <w:r w:rsidRPr="008625CF">
        <w:rPr>
          <w:rFonts w:ascii="Times New Roman" w:eastAsia="Times New Roman" w:hAnsi="Times New Roman" w:cs="Times New Roman"/>
          <w:i/>
          <w:iCs/>
          <w:sz w:val="24"/>
          <w:szCs w:val="19"/>
        </w:rPr>
        <w:t xml:space="preserve"> loss arising in the ordinary course of carrying on of business which is of a revenue nature is to be allowed as a business loss even if the provisions relating to deduction of bad debt do not apply. Therefore, there was no merit in the argument of the Assessing Officer that the assessee’s claim of deduction should fail for want of satisfaction of section 36(2) requirement. [Para 31]</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The Commissioner (Appeals) had relied upon no material to arrive at the finding that the loss was claimed in an undue haste and, therefore, the same was not warranted on the facts and in the circumstances of the case. The assessee had demonstrated that there was a sharp erosion in the value of the shares of ‘C’ that had become dud. The cheques issued by CCL had bounced. It was not understood as to how the Commissioner (Appeals) had termed it ‘undue haste’. Therefore, the assessee, on an honest appraisal of ground realities, came to an honest belief that the amounts outstanding against CCL had resulted into a business loss. [Para 32]</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lastRenderedPageBreak/>
        <w:t xml:space="preserve">The main objection of the Assessing Officer was that there was security of Rs. 15 lakhs and the assessee had in its custody 6,40,000 shares of ‘C’ purchased on behalf of CCL. There was force in the contention of the assessee that on this ground the Assessing Officer could not disallow the entire business loss of Rs. 2,47,34,748, when as per the Assessing Officer himself shares of company ‘C’ were worth Rs. 74,56,000 only. Even as regards that value alleged by the Assessing Officer the assessee had pointed out that the post-dated cheques of Rs. 1,25,00,000 each were deposited by it on 18-3-2001. The same were returned as bounced on 19-3-2001. Immediately, the assessee tried to sell the shares but there were no takers. From 19th to 22nd March on an average one trade took place and during those four days the total volume of the shares transacted in the Exchange was 19 shares only, </w:t>
      </w:r>
      <w:r w:rsidRPr="008625CF">
        <w:rPr>
          <w:rFonts w:ascii="Times New Roman" w:eastAsia="Times New Roman" w:hAnsi="Times New Roman" w:cs="Times New Roman"/>
          <w:sz w:val="24"/>
          <w:szCs w:val="19"/>
        </w:rPr>
        <w:t>i.e.,</w:t>
      </w:r>
      <w:r w:rsidRPr="008625CF">
        <w:rPr>
          <w:rFonts w:ascii="Times New Roman" w:eastAsia="Times New Roman" w:hAnsi="Times New Roman" w:cs="Times New Roman"/>
          <w:i/>
          <w:iCs/>
          <w:sz w:val="24"/>
          <w:szCs w:val="19"/>
        </w:rPr>
        <w:t xml:space="preserve"> less than 5 shares per day. Thereafter, the quoted price at the BSE plummeted to Rs. 2 only and that too for minuscule quantity of shares. These submissions of the assessee had not been controverted by the Assessing Officer and the Commissioner (Appeals) in any manner. Therefore, the value of those shares at the material time should be taken at approximately Rs. 2 only. However, one could not accept the entire amount being claimed as business loss when the assessee had with it the security deposit of Rs. 15 lakhs and also had in its custody 6.40 lakh shares. Therefore, taking into consideration the security deposit and the value of the shares in the assessees custody, the disallowance to the tune of Rs. 27,80,000 was liable to be sustained and the balance amount was allowable as a business loss. [Para 33]</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Facts-III</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The assessee had disclosed investments in equity shares at Rs. 1,332.48 lakhs in the balance-sheet as on 31-3-2000 . On 2-4-2000, the assessee had converted the said investments into stock-in-trade by passing a journal entry in the books of account. The market value of the shares on the date of conversion was Rs. 1,064.74 lakhs. The Assessing Officer, in terms of the provisions of section 45(2), treated the difference between the cost of investments (Rs. 1,332.48 lakhs) and the market value of shares (Rs. 1,064.74 lakhs) as capital loss as against the assessee’s claim of business loss and, accordingly, did not allow the benefit of set-off of the loss against business income of the assessee.</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appeal, the Commissioner (Appeals) upheld the impugned order.</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second appeal :</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Held-III</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The treatment given by the Assessing Officer was in accordance with the statutory provisions of section 45(2). There was no force in the argument of the assessee that these provisions would come into play only when there was profit or gain and not when there was loss. For that matter even the provisions of section 45(1) speak of “profits or gains arising from the transfer of a capital asset” only but in computation of income chargeable to tax the capital loss also has to be given effect to. The expression ‘Profit’ in that sense includes negative profit. The stand taken by the revenue had its statutory foundation in the provisions of section 71(3). As to the contention of the assessee, that there was merely a rectification of mistake, no such case had been set-up with relevant evidence. Moreover, the provisions of section 45(2) do not draw any distinction depending upon an assessee’s reasons for conversion of a capital asset into or treatment as stock-in-trade. Therefore, the impugned order was to be upheld. [Para 56]</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Facts-IV</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lastRenderedPageBreak/>
        <w:t>During the relevant previous year ended on 31-3-2001, the assessee-company entered into various transactions in shares through the three Kolkata based brokers. For the relevant assessment year, the assessee claimed deduction of Rs. 26.44 crores as business loss stating that the Kolkata based brokers had defaulted in making payments on account to it. The Assessing Officer disallowed the assessee’s claim on the grounds that the share transactions through the aforesaid brokers were shown only in order to generate loss or profit and were not genuine share transactions; that the loss had not crystallized during the relevant financial year, as the assessee had received a sum of Rs. 1 crore, subsequently, from the three brokers, which indicated that the business loss claimed by the assessee was premature and not crystallized during the financial year 2000-01, as claimed by the assessee; and that in any case the transactions being in violation of the SEBI’s prescriptions the business loss was not an allowable deduction. The Assessing Officer had given three reasons for treating the transactions through the brokers as non-genuine. The first reason given by the Assessing Officer was that the special auditor had made adverse comments with regard to these transactions in his main report as well as the subsequent additional report. Secondly, as confirmed by the Calcutta Stock Exchange (CSE) these transactions had not taken place on the floor of the exchange nor had these transactions been reported to the exchange by the three brokers as per the relevant rules and regulations, since they were off market transactions. Further, if these transactions were spot transactions, the brokers were required to report all such transactions on the same day to the concerned stock exchange as per the SEBI instruction. Further, the settlement of spot transactions had to take place within 48 hours and that was not done.</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 xml:space="preserve">On appeal, the Commissioner (Appeals) upheld the impugned order. </w:t>
      </w:r>
    </w:p>
    <w:p w:rsidR="008625CF" w:rsidRPr="008625CF" w:rsidRDefault="008625CF" w:rsidP="008625CF">
      <w:pPr>
        <w:adjustRightInd w:val="0"/>
        <w:spacing w:after="80" w:line="240" w:lineRule="auto"/>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On second appeal :</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Held-IV</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The special auditor appointed under section 142(2A) in his report dated 6-8-2004 did not say that the transactions were not genuine; he only said that as far as speculation transactions were concerned the genuineness of the loss (not transactions) could not be certified for want of voluminous data required for such certification. Further, the special auditor in the additional report dated 26-8-2004 acknowledged that the assessee forwarded 11 contract notes in prescribed Form B whenever there was a transaction between two brokers’ constituents, in support of the transactions in question. He, however, pointed out that there were columns for ‘Order No.’ ‘Trade No.’ and ‘Trade Time’ but those columns had been left blank. The additional report acknowledged that the assessee had furnished demat slips, demat statements and clearing house statements of the brokers. However, the special auditor observed that those documents only confirmed the delivery of the shares and to and from whose account it had been transferred but these did not conclusively prove that the transactions of sales were effected on the floor of the exchange or that they were market trades. Hence, as far as the assessee’s transactions with the three Kolkata brokers were concerned the report of the special auditor finally was only that the documentation did not conclusively prove that the transactions of sales were effected on the floor of the exchange or were market trades. Therefore, the observations of the special auditor were a far cry from the conclusion of the Assessing Officer that these transactions were shown only in order to generate loss or profit and were not genuine share transactions. [Para 68]</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 xml:space="preserve">As to the reply received from the Calcutta Stock Exchange, it only stated that in the absence of the trade numbers in the contract notes “it was not possible for the Exchange to confirm whether the trades done by the said persons were through the trading system of the Exchange or not”. It </w:t>
      </w:r>
      <w:r w:rsidRPr="008625CF">
        <w:rPr>
          <w:rFonts w:ascii="Times New Roman" w:eastAsia="Times New Roman" w:hAnsi="Times New Roman" w:cs="Times New Roman"/>
          <w:i/>
          <w:iCs/>
          <w:sz w:val="24"/>
          <w:szCs w:val="19"/>
        </w:rPr>
        <w:lastRenderedPageBreak/>
        <w:t>stated that the prescribed format (Form B) required that the Contract Note be furnished with Trade No., Trade Time, delivery statement, difference bills, etc. These observations of the CSE also were a far cry from the conclusion of the Assessing Officer that these transactions were shown only in order to generate loss or profit and were not genuine share transactions. The CSE did not say that the transactions were not genuine. [Para 69]</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As to the enquiries made with the Kolkata brokers, they all confirmed having carried out the transactions with the assessee. It was not the case of the Assessing Officer that the transactions were not found recorded or recorded differently in the books of the brokers. As to the formalities, the statement of the CSE lends no support to the hypothesis of the Assessing Officer that the transactions were intended to generate loss on paper only. [Para 70]</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Therefore, the assessee’s transactions were supported by the movement of shares as reflected in the Demat account; movement of money, as reflected in the bank account; entries in the books of account of the assessee; prevalent market quotations of the CSE; Contract Notes and Delivery Bills issued by the Kolkata brokers and their statements in response to the enquiries made by the Assessing Officer. Further, the assessee had shown net profit of Rs. 16.18 crores. As against these, the case of the revenue was that certain material information was not given in the Contract Notes and columns in that respect were left blank. Copy of Form B was not filed with the CSE. For these reasons, it was not verifiable as to whether the trades in question were done through the trading system of the exchange or not. The answer of the assessee to these deficiencies and irregularities was that it could not be held responsible for the same. It was not the assessee but the three Kolkata brokers who were the members of the CSE. It was the obligation of the Kolkata parties to comply with the prescriptions of the CSE. Be that as it may, therefore, the conclusion of the Assessing Officer, that these transactions were shown only in order to generate loss or profit and were not genuine share transactions, could not be arrived at for reason only of deficiencies and irregularities in the documentation at the end of the Kolkata brokers. The Assessing Officer did not have support from the special auditors, the CSE or any other quarter to that effect, whereas the assessee had relied upon cogent evidence and material. Therefore, the Assessing Officer was to be directed that the profit/loss from the assessee’s transactions with the three Kolkata brokers be assessed as shown in the books of account of the assessee. [Para 72]</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t>Further, the loss of Rs. 26.44 crores was reflected in the books of account. Money for the transactions had gone out from the bank accounts. Shares sold had gone out from the demat accounts of the assessee. There was nothing to indicate that any of those moneys and shares were returned to the assessee in some form or the other. Therefore, the loss could not be disallowed on objections like time of transaction not recorded or client code not mentioned or Trade No. not mentioned. The defects in these respects were in the documentations done by the third parties and not by the assessee. The disallowance on the ground of infraction of law can be made only if there is serious breach or defiance of law or contumacious conduct. The technical or venial defaults would not justify the harsh action of disallowance of an expenditure actually incurred. Further, it was the case of non-recovery of dues and not any expenditure incurred by the assessee for or in consequence of an infraction of any law. Therefore, the denial of deduction of loss on the ground of non-genuineness of loss was untenable. Further, in the absence of any material to implicate the assessee in any serious breach or contravention of law and in view of the fact that there was no material to show that the pertinent authorities ever took exception to the assessee’s role in the transactions in question the disallowance of loss on the ground of infraction of law also was not tenable. [Para 73]</w:t>
      </w:r>
    </w:p>
    <w:p w:rsidR="008625CF" w:rsidRPr="008625CF" w:rsidRDefault="008625CF" w:rsidP="008625CF">
      <w:pPr>
        <w:adjustRightInd w:val="0"/>
        <w:spacing w:after="80" w:line="240" w:lineRule="auto"/>
        <w:jc w:val="both"/>
        <w:rPr>
          <w:rFonts w:ascii="Times New Roman" w:eastAsia="Times New Roman" w:hAnsi="Times New Roman" w:cs="Times New Roman"/>
          <w:i/>
          <w:iCs/>
          <w:sz w:val="24"/>
          <w:szCs w:val="19"/>
        </w:rPr>
      </w:pPr>
      <w:r w:rsidRPr="008625CF">
        <w:rPr>
          <w:rFonts w:ascii="Times New Roman" w:eastAsia="Times New Roman" w:hAnsi="Times New Roman" w:cs="Times New Roman"/>
          <w:i/>
          <w:iCs/>
          <w:sz w:val="24"/>
          <w:szCs w:val="19"/>
        </w:rPr>
        <w:lastRenderedPageBreak/>
        <w:t>According to the revenue, the assessee’s claim of loss was premature because there was, subsequently, recovery of approx. Rs. 1 crore from the Kolkata brokers after the revenue contended that all hopes of recovery were not lost and there was possibility of amounts being recovered. The assessee submitted that after constant efforts only a sum of Rs. 1 crore could be recovered over a period of three and half years. That showed that there was slim chance of any further recovery. Hence, the circumstance relied upon by the revenue should be held as establishing the assessee’s case. Therefore, the loss of Rs. 26.44 crores, claimed by the assessee being dues against the three Kolkata brokers, was no longer recoverable. Therefore, the Assessing Officer was to be directed to allow deduction of business loss of Rs. 26.44 crores as claimed by the assessee. [Para 74]</w:t>
      </w:r>
    </w:p>
    <w:p w:rsidR="008625CF" w:rsidRPr="008625CF" w:rsidRDefault="008625CF" w:rsidP="008625CF">
      <w:pPr>
        <w:adjustRightInd w:val="0"/>
        <w:spacing w:after="80" w:line="240" w:lineRule="auto"/>
        <w:jc w:val="both"/>
        <w:rPr>
          <w:rFonts w:ascii="Times New Roman" w:eastAsia="Times New Roman" w:hAnsi="Times New Roman" w:cs="Times"/>
          <w:b/>
          <w:bCs/>
          <w:caps/>
          <w:sz w:val="24"/>
          <w:szCs w:val="17"/>
        </w:rPr>
      </w:pPr>
      <w:r w:rsidRPr="008625CF">
        <w:rPr>
          <w:rFonts w:ascii="Times New Roman" w:eastAsia="Times New Roman" w:hAnsi="Times New Roman" w:cs="Times"/>
          <w:b/>
          <w:bCs/>
          <w:caps/>
          <w:sz w:val="24"/>
          <w:szCs w:val="17"/>
        </w:rPr>
        <w:t>Editor’s Note</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1.</w:t>
      </w:r>
      <w:r w:rsidRPr="008625CF">
        <w:rPr>
          <w:rFonts w:ascii="Times New Roman" w:eastAsia="Times New Roman" w:hAnsi="Times New Roman" w:cs="Times New Roman"/>
          <w:sz w:val="24"/>
          <w:szCs w:val="19"/>
        </w:rPr>
        <w:tab/>
        <w:t>Where borrowed funds had been utilized by the assessee for the purpose of business, interest paid on borrowed funds would be eligible for deduction under section 36(1)(</w:t>
      </w:r>
      <w:r w:rsidRPr="008625CF">
        <w:rPr>
          <w:rFonts w:ascii="Times New Roman" w:eastAsia="Times New Roman" w:hAnsi="Times New Roman" w:cs="Times New Roman"/>
          <w:i/>
          <w:iCs/>
          <w:sz w:val="24"/>
          <w:szCs w:val="19"/>
        </w:rPr>
        <w:t>iii</w:t>
      </w:r>
      <w:r w:rsidRPr="008625CF">
        <w:rPr>
          <w:rFonts w:ascii="Times New Roman" w:eastAsia="Times New Roman" w:hAnsi="Times New Roman" w:cs="Times New Roman"/>
          <w:sz w:val="24"/>
          <w:szCs w:val="19"/>
        </w:rPr>
        <w:t>).</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2.</w:t>
      </w:r>
      <w:r w:rsidRPr="008625CF">
        <w:rPr>
          <w:rFonts w:ascii="Times New Roman" w:eastAsia="Times New Roman" w:hAnsi="Times New Roman" w:cs="Times New Roman"/>
          <w:sz w:val="24"/>
          <w:szCs w:val="19"/>
        </w:rPr>
        <w:tab/>
        <w:t>Where there was no material to suggest that the assessee received any brokerage, in cash or kind, outside the books of account, the Assessing Officer was not justified in making addition to income of the assessee on account of excess brokerage income.</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3.</w:t>
      </w:r>
      <w:r w:rsidRPr="008625CF">
        <w:rPr>
          <w:rFonts w:ascii="Times New Roman" w:eastAsia="Times New Roman" w:hAnsi="Times New Roman" w:cs="Times New Roman"/>
          <w:sz w:val="24"/>
          <w:szCs w:val="19"/>
        </w:rPr>
        <w:tab/>
        <w:t>Where the Assessing Officer failed to prove that the assessee had diverted borrowed funds for non-business purposes, in such circumstances, interest paid on borrowed capital could not be disallowed.</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4.</w:t>
      </w:r>
      <w:r w:rsidRPr="008625CF">
        <w:rPr>
          <w:rFonts w:ascii="Times New Roman" w:eastAsia="Times New Roman" w:hAnsi="Times New Roman" w:cs="Times New Roman"/>
          <w:sz w:val="24"/>
          <w:szCs w:val="19"/>
        </w:rPr>
        <w:tab/>
        <w:t>The Assessing Officer was not justified in making a proportionate disallowance under section 14A out of demat charges, stock exchange expenses and administrative expenses, claimed by the assessee.</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5.</w:t>
      </w:r>
      <w:r w:rsidRPr="008625CF">
        <w:rPr>
          <w:rFonts w:ascii="Times New Roman" w:eastAsia="Times New Roman" w:hAnsi="Times New Roman" w:cs="Times New Roman"/>
          <w:sz w:val="24"/>
          <w:szCs w:val="19"/>
        </w:rPr>
        <w:tab/>
        <w:t>The expenditure incurred by the assessee on purchase of software was allowable as revenue expenditure.</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6.</w:t>
      </w:r>
      <w:r w:rsidRPr="008625CF">
        <w:rPr>
          <w:rFonts w:ascii="Times New Roman" w:eastAsia="Times New Roman" w:hAnsi="Times New Roman" w:cs="Times New Roman"/>
          <w:sz w:val="24"/>
          <w:szCs w:val="19"/>
        </w:rPr>
        <w:tab/>
        <w:t>Where the Assessing Officer, out of the total expenses incurred by the assessee towards promotion of business, had fully disallowed expenses involving payments in foreign currency on the ground of absence of full details and further, had disallowed 50 per cent of expenses paid in domestic currency by way of hotel and restaurant bills or by way of purchase of luxury goods treating the same as having been incurred for non-business purposes, the action of the Assessing Officer was justified.</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7.</w:t>
      </w:r>
      <w:r w:rsidRPr="008625CF">
        <w:rPr>
          <w:rFonts w:ascii="Times New Roman" w:eastAsia="Times New Roman" w:hAnsi="Times New Roman" w:cs="Times New Roman"/>
          <w:sz w:val="24"/>
          <w:szCs w:val="19"/>
        </w:rPr>
        <w:tab/>
        <w:t>It was also held by the Tribunal that the disallowance of Rs. 2,07,731 made by the Assessing Officer under the head ‘General expenses’ was not justified, as it could not be said that the expenses were not genuine and claimed only to reduce the incidence of tax, but in the absence of full details of expenses, it would suffice if only 50 per cent of these expenses were disallowed.</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8.</w:t>
      </w:r>
      <w:r w:rsidRPr="008625CF">
        <w:rPr>
          <w:rFonts w:ascii="Times New Roman" w:eastAsia="Times New Roman" w:hAnsi="Times New Roman" w:cs="Times New Roman"/>
          <w:sz w:val="24"/>
          <w:szCs w:val="19"/>
        </w:rPr>
        <w:tab/>
        <w:t>Where the assessee had received cash credits from some creditors and had furnished the letter of confirmation along with PAN of said creditors, the Assessing Officer was not justified in doubting genuineness of credit and making addition under section 68. However, the Commissioner (Appeals) was justified in sustaining addition under section 43B, since the evidence of service tax payment prior to the due date of filing was not furnished before him.</w:t>
      </w:r>
    </w:p>
    <w:p w:rsidR="008625CF" w:rsidRPr="008625CF" w:rsidRDefault="008625CF" w:rsidP="008625CF">
      <w:pPr>
        <w:tabs>
          <w:tab w:val="right" w:pos="360"/>
          <w:tab w:val="left" w:pos="480"/>
        </w:tabs>
        <w:adjustRightInd w:val="0"/>
        <w:spacing w:after="80" w:line="240" w:lineRule="auto"/>
        <w:ind w:left="480" w:hanging="480"/>
        <w:jc w:val="both"/>
        <w:rPr>
          <w:rFonts w:ascii="Times New Roman" w:eastAsia="Times New Roman" w:hAnsi="Times New Roman" w:cs="Times New Roman"/>
          <w:sz w:val="24"/>
          <w:szCs w:val="19"/>
        </w:rPr>
      </w:pPr>
      <w:r w:rsidRPr="008625CF">
        <w:rPr>
          <w:rFonts w:ascii="Times New Roman" w:eastAsia="Times New Roman" w:hAnsi="Times New Roman" w:cs="Times New Roman"/>
          <w:sz w:val="24"/>
          <w:szCs w:val="19"/>
        </w:rPr>
        <w:tab/>
        <w:t>9.</w:t>
      </w:r>
      <w:r w:rsidRPr="008625CF">
        <w:rPr>
          <w:rFonts w:ascii="Times New Roman" w:eastAsia="Times New Roman" w:hAnsi="Times New Roman" w:cs="Times New Roman"/>
          <w:sz w:val="24"/>
          <w:szCs w:val="19"/>
        </w:rPr>
        <w:tab/>
        <w:t>Where a reference under section 142(2A) is made without allowing the assessee an opportunity of being heard on the matter, such reference would be vitiated in law.</w:t>
      </w:r>
    </w:p>
    <w:p w:rsidR="009E2B61" w:rsidRPr="009E2B61" w:rsidRDefault="009E2B61" w:rsidP="009E2B61">
      <w:pPr>
        <w:spacing w:after="8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b/>
          <w:bCs/>
          <w:caps/>
          <w:sz w:val="24"/>
          <w:szCs w:val="24"/>
        </w:rPr>
        <w:lastRenderedPageBreak/>
        <w:t>IN THE ITAT MUMBAI BENCH (SMC)</w:t>
      </w:r>
    </w:p>
    <w:p w:rsidR="009E2B61" w:rsidRPr="009E2B61" w:rsidRDefault="009E2B61" w:rsidP="009E2B61">
      <w:pPr>
        <w:spacing w:after="8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b/>
          <w:bCs/>
          <w:sz w:val="24"/>
          <w:szCs w:val="24"/>
        </w:rPr>
        <w:t>Shree Shyamkamal Finance &amp; Leasing Co. (P.) Ltd.</w:t>
      </w:r>
      <w:r w:rsidRPr="009E2B61">
        <w:rPr>
          <w:rFonts w:ascii="Times New Roman" w:eastAsia="Times New Roman" w:hAnsi="Times New Roman" w:cs="Times New Roman"/>
          <w:sz w:val="24"/>
          <w:szCs w:val="24"/>
        </w:rPr>
        <w:t xml:space="preserve"> </w:t>
      </w:r>
    </w:p>
    <w:p w:rsidR="009E2B61" w:rsidRPr="009E2B61" w:rsidRDefault="009E2B61" w:rsidP="009E2B61">
      <w:pPr>
        <w:spacing w:after="8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b/>
          <w:bCs/>
          <w:i/>
          <w:iCs/>
          <w:sz w:val="24"/>
          <w:szCs w:val="24"/>
        </w:rPr>
        <w:t>v.</w:t>
      </w:r>
    </w:p>
    <w:p w:rsidR="009E2B61" w:rsidRPr="009E2B61" w:rsidRDefault="009E2B61" w:rsidP="009E2B61">
      <w:pPr>
        <w:spacing w:after="8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b/>
          <w:bCs/>
          <w:sz w:val="24"/>
          <w:szCs w:val="24"/>
        </w:rPr>
        <w:t>Income-tax Officer 8(3) 1, Mumbai</w:t>
      </w:r>
    </w:p>
    <w:p w:rsidR="009E2B61" w:rsidRPr="009E2B61" w:rsidRDefault="009E2B61" w:rsidP="009E2B61">
      <w:pPr>
        <w:spacing w:after="8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b/>
          <w:bCs/>
          <w:caps/>
          <w:sz w:val="24"/>
          <w:szCs w:val="24"/>
        </w:rPr>
        <w:t>K.P.T. THANGAL, VICE PRESIDENT</w:t>
      </w:r>
    </w:p>
    <w:p w:rsidR="009E2B61" w:rsidRPr="009E2B61" w:rsidRDefault="009E2B61" w:rsidP="009E2B61">
      <w:pPr>
        <w:spacing w:after="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caps/>
          <w:sz w:val="24"/>
          <w:szCs w:val="24"/>
        </w:rPr>
        <w:t>IT APPEAL NO. 15 (MUM.) OF 2006</w:t>
      </w:r>
    </w:p>
    <w:p w:rsidR="009E2B61" w:rsidRPr="009E2B61" w:rsidRDefault="009E2B61" w:rsidP="009E2B61">
      <w:pPr>
        <w:spacing w:after="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caps/>
          <w:sz w:val="24"/>
          <w:szCs w:val="24"/>
        </w:rPr>
        <w:t>[ASSESSMENT YEAR 2002-03]</w:t>
      </w:r>
    </w:p>
    <w:p w:rsidR="009E2B61" w:rsidRPr="009E2B61" w:rsidRDefault="009E2B61" w:rsidP="009E2B61">
      <w:pPr>
        <w:spacing w:after="0" w:line="240" w:lineRule="auto"/>
        <w:jc w:val="center"/>
        <w:rPr>
          <w:rFonts w:ascii="Times New Roman" w:eastAsia="Times New Roman" w:hAnsi="Times New Roman" w:cs="Times New Roman"/>
          <w:sz w:val="24"/>
          <w:szCs w:val="24"/>
        </w:rPr>
      </w:pPr>
      <w:r w:rsidRPr="009E2B61">
        <w:rPr>
          <w:rFonts w:ascii="Times New Roman" w:eastAsia="Times New Roman" w:hAnsi="Times New Roman" w:cs="Times New Roman"/>
          <w:caps/>
          <w:sz w:val="24"/>
          <w:szCs w:val="24"/>
        </w:rPr>
        <w:t>OCTOBER 15, 2007</w:t>
      </w:r>
    </w:p>
    <w:p w:rsidR="009E2B61" w:rsidRPr="009E2B61" w:rsidRDefault="009E2B61" w:rsidP="009E2B61">
      <w:pPr>
        <w:spacing w:before="240"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b/>
          <w:bCs/>
          <w:sz w:val="24"/>
          <w:szCs w:val="24"/>
        </w:rPr>
        <w:t>Section 14A, of the Income-tax Act, 1961 - Expenditure incurred in relation to income, not includible in total income - Assessment year 2002-03 - Whether where interest bearing fund are invested in shares which has yielded no dividend income, Assessing Officer can disallow interest paid on such loans by invoking section 14A - Held, no</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b/>
          <w:bCs/>
          <w:sz w:val="24"/>
          <w:szCs w:val="24"/>
        </w:rPr>
        <w:t>Circulars and Notifications : Circular No. 14/2001, dated 12-12-2001</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b/>
          <w:bCs/>
          <w:caps/>
          <w:sz w:val="24"/>
          <w:szCs w:val="24"/>
        </w:rPr>
        <w:t>Facts</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sz w:val="24"/>
          <w:szCs w:val="24"/>
        </w:rPr>
        <w:t>The assessee-company was engaged in the business of finance and investment in equity shares. In the previous year relevant to assessment year 2002-03, the assessee had taken unsecured loan from two of its directors and invested major amount of unsecured loan in acquiring unquoted shares of its subsidiary company, but received no dividend on the said investment. The assessee paid interest on such unsecured loan and claimed deduction of same. The Assessing Officer required the assessee to explain as to when there was no income from investment and if any income accrued at all as dividend which was exempt from tax under section 10(</w:t>
      </w:r>
      <w:r w:rsidRPr="009E2B61">
        <w:rPr>
          <w:rFonts w:ascii="Times New Roman" w:eastAsia="Times New Roman" w:hAnsi="Times New Roman" w:cs="Times New Roman"/>
          <w:i/>
          <w:iCs/>
          <w:sz w:val="24"/>
          <w:szCs w:val="24"/>
        </w:rPr>
        <w:t>33</w:t>
      </w:r>
      <w:r w:rsidRPr="009E2B61">
        <w:rPr>
          <w:rFonts w:ascii="Times New Roman" w:eastAsia="Times New Roman" w:hAnsi="Times New Roman" w:cs="Times New Roman"/>
          <w:sz w:val="24"/>
          <w:szCs w:val="24"/>
        </w:rPr>
        <w:t xml:space="preserve">), then why should not the disallowance of interest on loan be made under section 14A. The assessee in reply submitted that since it had not received any dividend and further since it had not claimed any exemption of income, section 14A could not be applied. The Assessing Officer did not agree with the assessee and disallowed the interest expenditure resorting to provisions of section 14A. On appeal, the Commissioner (Appeals) upheld the impugned order. </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sz w:val="24"/>
          <w:szCs w:val="24"/>
        </w:rPr>
        <w:t>On second appeal :</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b/>
          <w:bCs/>
          <w:caps/>
          <w:sz w:val="24"/>
          <w:szCs w:val="24"/>
        </w:rPr>
        <w:t>Held</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i/>
          <w:iCs/>
          <w:sz w:val="24"/>
          <w:szCs w:val="24"/>
        </w:rPr>
        <w:t>Section 14A inserted by the Finance Act, 2001, with retrospective effect from 1-4-1962, provides that no deduction shall be allowed in respect of any expenditure incurred by the assessee in relation to income which does not form part of the total income under the Act. [</w:t>
      </w:r>
      <w:smartTag w:uri="urn:schemas-microsoft-com:office:smarttags" w:element="place">
        <w:r w:rsidRPr="009E2B61">
          <w:rPr>
            <w:rFonts w:ascii="Times New Roman" w:eastAsia="Times New Roman" w:hAnsi="Times New Roman" w:cs="Times New Roman"/>
            <w:i/>
            <w:iCs/>
            <w:sz w:val="24"/>
            <w:szCs w:val="24"/>
          </w:rPr>
          <w:t>Para</w:t>
        </w:r>
      </w:smartTag>
      <w:r w:rsidRPr="009E2B61">
        <w:rPr>
          <w:rFonts w:ascii="Times New Roman" w:eastAsia="Times New Roman" w:hAnsi="Times New Roman" w:cs="Times New Roman"/>
          <w:i/>
          <w:iCs/>
          <w:sz w:val="24"/>
          <w:szCs w:val="24"/>
        </w:rPr>
        <w:t xml:space="preserve"> 15]</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i/>
          <w:iCs/>
          <w:sz w:val="24"/>
          <w:szCs w:val="24"/>
        </w:rPr>
        <w:t>By virtue of section 10(</w:t>
      </w:r>
      <w:r w:rsidRPr="009E2B61">
        <w:rPr>
          <w:rFonts w:ascii="Times New Roman" w:eastAsia="Times New Roman" w:hAnsi="Times New Roman" w:cs="Times New Roman"/>
          <w:sz w:val="24"/>
          <w:szCs w:val="24"/>
        </w:rPr>
        <w:t>33</w:t>
      </w:r>
      <w:r w:rsidRPr="009E2B61">
        <w:rPr>
          <w:rFonts w:ascii="Times New Roman" w:eastAsia="Times New Roman" w:hAnsi="Times New Roman" w:cs="Times New Roman"/>
          <w:i/>
          <w:iCs/>
          <w:sz w:val="24"/>
          <w:szCs w:val="24"/>
        </w:rPr>
        <w:t>), as it stood at relevant time, dividend income referred to in section 115-O does not form part of the total income. Section 115-O is a special provision related to tax on distributed profit of domestic companies. Section 115-O is not in tandum with section 10(</w:t>
      </w:r>
      <w:r w:rsidRPr="009E2B61">
        <w:rPr>
          <w:rFonts w:ascii="Times New Roman" w:eastAsia="Times New Roman" w:hAnsi="Times New Roman" w:cs="Times New Roman"/>
          <w:sz w:val="24"/>
          <w:szCs w:val="24"/>
        </w:rPr>
        <w:t>33</w:t>
      </w:r>
      <w:r w:rsidRPr="009E2B61">
        <w:rPr>
          <w:rFonts w:ascii="Times New Roman" w:eastAsia="Times New Roman" w:hAnsi="Times New Roman" w:cs="Times New Roman"/>
          <w:i/>
          <w:iCs/>
          <w:sz w:val="24"/>
          <w:szCs w:val="24"/>
        </w:rPr>
        <w:t>). The additional tax under section 115-O becomes leviable in the hands of the company if such dividend is exempted in the hands of the shareholders. If the assessee earned income which is not includible in the total income, in that case, the expenditure could be disallowed under section 14A because it speaks of expenditure incurred by the assessee in relation to income which does not form part of the total income. In other words, the assessee has earned income which forms part of the total income. [</w:t>
      </w:r>
      <w:smartTag w:uri="urn:schemas-microsoft-com:office:smarttags" w:element="place">
        <w:r w:rsidRPr="009E2B61">
          <w:rPr>
            <w:rFonts w:ascii="Times New Roman" w:eastAsia="Times New Roman" w:hAnsi="Times New Roman" w:cs="Times New Roman"/>
            <w:i/>
            <w:iCs/>
            <w:sz w:val="24"/>
            <w:szCs w:val="24"/>
          </w:rPr>
          <w:t>Para</w:t>
        </w:r>
      </w:smartTag>
      <w:r w:rsidRPr="009E2B61">
        <w:rPr>
          <w:rFonts w:ascii="Times New Roman" w:eastAsia="Times New Roman" w:hAnsi="Times New Roman" w:cs="Times New Roman"/>
          <w:i/>
          <w:iCs/>
          <w:sz w:val="24"/>
          <w:szCs w:val="24"/>
        </w:rPr>
        <w:t xml:space="preserve"> 17]</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i/>
          <w:iCs/>
          <w:sz w:val="24"/>
          <w:szCs w:val="24"/>
        </w:rPr>
        <w:t xml:space="preserve">Further, a proviso was inserted in section 14A by the Finance Act, 2002, with retrospective effect from 11-5-2001. By virtue of this insertion, the Legislature made it clear that even though </w:t>
      </w:r>
      <w:r w:rsidRPr="009E2B61">
        <w:rPr>
          <w:rFonts w:ascii="Times New Roman" w:eastAsia="Times New Roman" w:hAnsi="Times New Roman" w:cs="Times New Roman"/>
          <w:i/>
          <w:iCs/>
          <w:sz w:val="24"/>
          <w:szCs w:val="24"/>
        </w:rPr>
        <w:lastRenderedPageBreak/>
        <w:t xml:space="preserve">section 14A is retrospective in operation from 1-4-1962 onwards, the Assessing Officer shall not reassess the case under section 147 or pass an order enhancing the assessment or reduce a refund already made or otherwise increasing the liability of the assessee under section 154 for any assessment year beginning on or before 1-4-2001. Thus, reading of section 14A makes it clear that while computing the income under Chapter IV, deduction would not be allowed with regard to expenditure incurred by the assessee in relation to an income which does not form part of the total income under the Act. In other words, the expenditure incurred by the assessee in relation to income which forms part of the total income for the year under consideration only can be disallowed. Otherwise, the wording ‘does not form part of the total income’ becomes  </w:t>
      </w:r>
      <w:r w:rsidRPr="009E2B61">
        <w:rPr>
          <w:rFonts w:ascii="Times New Roman" w:eastAsia="Times New Roman" w:hAnsi="Times New Roman" w:cs="Times New Roman"/>
          <w:sz w:val="24"/>
          <w:szCs w:val="24"/>
        </w:rPr>
        <w:t>otiose</w:t>
      </w:r>
      <w:r w:rsidRPr="009E2B61">
        <w:rPr>
          <w:rFonts w:ascii="Times New Roman" w:eastAsia="Times New Roman" w:hAnsi="Times New Roman" w:cs="Times New Roman"/>
          <w:i/>
          <w:iCs/>
          <w:sz w:val="24"/>
          <w:szCs w:val="24"/>
        </w:rPr>
        <w:t>. Further, income is computed for each year. Income should form part of the total taxable income under consideration so as to get taxed and not otherwise. [Paras 19 and 20]</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i/>
          <w:iCs/>
          <w:sz w:val="24"/>
          <w:szCs w:val="24"/>
        </w:rPr>
        <w:t>In the instant case, there was no dividend income earned by the assessee.  Therefore, the provisions of section 14A were not applicable to the instant case.</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b/>
          <w:bCs/>
          <w:caps/>
          <w:sz w:val="24"/>
          <w:szCs w:val="24"/>
        </w:rPr>
        <w:t>Cases referred to</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i/>
          <w:iCs/>
          <w:sz w:val="24"/>
          <w:szCs w:val="24"/>
        </w:rPr>
        <w:t xml:space="preserve">Jt. CIT </w:t>
      </w:r>
      <w:r w:rsidRPr="009E2B61">
        <w:rPr>
          <w:rFonts w:ascii="Times New Roman" w:eastAsia="Times New Roman" w:hAnsi="Times New Roman" w:cs="Times New Roman"/>
          <w:sz w:val="24"/>
          <w:szCs w:val="24"/>
        </w:rPr>
        <w:t>v.</w:t>
      </w:r>
      <w:r w:rsidRPr="009E2B61">
        <w:rPr>
          <w:rFonts w:ascii="Times New Roman" w:eastAsia="Times New Roman" w:hAnsi="Times New Roman" w:cs="Times New Roman"/>
          <w:i/>
          <w:iCs/>
          <w:sz w:val="24"/>
          <w:szCs w:val="24"/>
        </w:rPr>
        <w:t xml:space="preserve"> Holland Equipment Co. B.V.</w:t>
      </w:r>
      <w:r w:rsidRPr="009E2B61">
        <w:rPr>
          <w:rFonts w:ascii="Times New Roman" w:eastAsia="Times New Roman" w:hAnsi="Times New Roman" w:cs="Times New Roman"/>
          <w:sz w:val="24"/>
          <w:szCs w:val="24"/>
        </w:rPr>
        <w:t xml:space="preserve"> [2005] 3 SOT 810 (Mum.) (para 4), </w:t>
      </w:r>
      <w:r w:rsidRPr="009E2B61">
        <w:rPr>
          <w:rFonts w:ascii="Times New Roman" w:eastAsia="Times New Roman" w:hAnsi="Times New Roman" w:cs="Times New Roman"/>
          <w:i/>
          <w:iCs/>
          <w:sz w:val="24"/>
          <w:szCs w:val="24"/>
        </w:rPr>
        <w:t xml:space="preserve">V.C. Nannapaneni </w:t>
      </w:r>
      <w:r w:rsidRPr="009E2B61">
        <w:rPr>
          <w:rFonts w:ascii="Times New Roman" w:eastAsia="Times New Roman" w:hAnsi="Times New Roman" w:cs="Times New Roman"/>
          <w:sz w:val="24"/>
          <w:szCs w:val="24"/>
        </w:rPr>
        <w:t> v.</w:t>
      </w:r>
      <w:r w:rsidRPr="009E2B61">
        <w:rPr>
          <w:rFonts w:ascii="Times New Roman" w:eastAsia="Times New Roman" w:hAnsi="Times New Roman" w:cs="Times New Roman"/>
          <w:i/>
          <w:iCs/>
          <w:sz w:val="24"/>
          <w:szCs w:val="24"/>
        </w:rPr>
        <w:t xml:space="preserve"> Asstt. CIT</w:t>
      </w:r>
      <w:r w:rsidRPr="009E2B61">
        <w:rPr>
          <w:rFonts w:ascii="Times New Roman" w:eastAsia="Times New Roman" w:hAnsi="Times New Roman" w:cs="Times New Roman"/>
          <w:sz w:val="24"/>
          <w:szCs w:val="24"/>
        </w:rPr>
        <w:t xml:space="preserve"> [2005] 94 ITD 309 (Hyd.) (para 4), </w:t>
      </w:r>
      <w:r w:rsidRPr="009E2B61">
        <w:rPr>
          <w:rFonts w:ascii="Times New Roman" w:eastAsia="Times New Roman" w:hAnsi="Times New Roman" w:cs="Times New Roman"/>
          <w:i/>
          <w:iCs/>
          <w:sz w:val="24"/>
          <w:szCs w:val="24"/>
        </w:rPr>
        <w:t xml:space="preserve">Birla Group of Holdings Ltd. </w:t>
      </w:r>
      <w:r w:rsidRPr="009E2B61">
        <w:rPr>
          <w:rFonts w:ascii="Times New Roman" w:eastAsia="Times New Roman" w:hAnsi="Times New Roman" w:cs="Times New Roman"/>
          <w:sz w:val="24"/>
          <w:szCs w:val="24"/>
        </w:rPr>
        <w:t>v.</w:t>
      </w:r>
      <w:r w:rsidRPr="009E2B61">
        <w:rPr>
          <w:rFonts w:ascii="Times New Roman" w:eastAsia="Times New Roman" w:hAnsi="Times New Roman" w:cs="Times New Roman"/>
          <w:i/>
          <w:iCs/>
          <w:sz w:val="24"/>
          <w:szCs w:val="24"/>
        </w:rPr>
        <w:t xml:space="preserve"> Dy. CIT</w:t>
      </w:r>
      <w:r w:rsidRPr="009E2B61">
        <w:rPr>
          <w:rFonts w:ascii="Times New Roman" w:eastAsia="Times New Roman" w:hAnsi="Times New Roman" w:cs="Times New Roman"/>
          <w:sz w:val="24"/>
          <w:szCs w:val="24"/>
        </w:rPr>
        <w:t xml:space="preserve"> [IT Appeal No. 2891 (Mum.) of 2004, dated  31-10-2006] (para 9) and </w:t>
      </w:r>
      <w:r w:rsidRPr="009E2B61">
        <w:rPr>
          <w:rFonts w:ascii="Times New Roman" w:eastAsia="Times New Roman" w:hAnsi="Times New Roman" w:cs="Times New Roman"/>
          <w:i/>
          <w:iCs/>
          <w:sz w:val="24"/>
          <w:szCs w:val="24"/>
        </w:rPr>
        <w:t xml:space="preserve">Everplus Securities &amp; Finance Ltd. </w:t>
      </w:r>
      <w:r w:rsidRPr="009E2B61">
        <w:rPr>
          <w:rFonts w:ascii="Times New Roman" w:eastAsia="Times New Roman" w:hAnsi="Times New Roman" w:cs="Times New Roman"/>
          <w:sz w:val="24"/>
          <w:szCs w:val="24"/>
        </w:rPr>
        <w:t>v.</w:t>
      </w:r>
      <w:r w:rsidRPr="009E2B61">
        <w:rPr>
          <w:rFonts w:ascii="Times New Roman" w:eastAsia="Times New Roman" w:hAnsi="Times New Roman" w:cs="Times New Roman"/>
          <w:i/>
          <w:iCs/>
          <w:sz w:val="24"/>
          <w:szCs w:val="24"/>
        </w:rPr>
        <w:t xml:space="preserve"> Dy. CIT</w:t>
      </w:r>
      <w:r w:rsidRPr="009E2B61">
        <w:rPr>
          <w:rFonts w:ascii="Times New Roman" w:eastAsia="Times New Roman" w:hAnsi="Times New Roman" w:cs="Times New Roman"/>
          <w:sz w:val="24"/>
          <w:szCs w:val="24"/>
        </w:rPr>
        <w:t xml:space="preserve"> [2006] 101 ITD 151 (</w:t>
      </w:r>
      <w:smartTag w:uri="urn:schemas-microsoft-com:office:smarttags" w:element="City">
        <w:smartTag w:uri="urn:schemas-microsoft-com:office:smarttags" w:element="place">
          <w:r w:rsidRPr="009E2B61">
            <w:rPr>
              <w:rFonts w:ascii="Times New Roman" w:eastAsia="Times New Roman" w:hAnsi="Times New Roman" w:cs="Times New Roman"/>
              <w:sz w:val="24"/>
              <w:szCs w:val="24"/>
            </w:rPr>
            <w:t>Delhi</w:t>
          </w:r>
        </w:smartTag>
      </w:smartTag>
      <w:r w:rsidRPr="009E2B61">
        <w:rPr>
          <w:rFonts w:ascii="Times New Roman" w:eastAsia="Times New Roman" w:hAnsi="Times New Roman" w:cs="Times New Roman"/>
          <w:sz w:val="24"/>
          <w:szCs w:val="24"/>
        </w:rPr>
        <w:t>) (para 11).</w:t>
      </w:r>
    </w:p>
    <w:p w:rsidR="009E2B61" w:rsidRPr="009E2B61" w:rsidRDefault="009E2B61" w:rsidP="009E2B61">
      <w:pPr>
        <w:spacing w:after="80" w:line="240" w:lineRule="auto"/>
        <w:jc w:val="both"/>
        <w:rPr>
          <w:rFonts w:ascii="Times New Roman" w:eastAsia="Times New Roman" w:hAnsi="Times New Roman" w:cs="Times New Roman"/>
          <w:sz w:val="24"/>
          <w:szCs w:val="24"/>
        </w:rPr>
      </w:pPr>
      <w:r w:rsidRPr="009E2B61">
        <w:rPr>
          <w:rFonts w:ascii="Times New Roman" w:eastAsia="Times New Roman" w:hAnsi="Times New Roman" w:cs="Times New Roman"/>
          <w:b/>
          <w:bCs/>
          <w:sz w:val="24"/>
          <w:szCs w:val="24"/>
        </w:rPr>
        <w:t>Arvind V. Sonde</w:t>
      </w:r>
      <w:r w:rsidRPr="009E2B61">
        <w:rPr>
          <w:rFonts w:ascii="Times New Roman" w:eastAsia="Times New Roman" w:hAnsi="Times New Roman" w:cs="Times New Roman"/>
          <w:sz w:val="24"/>
          <w:szCs w:val="24"/>
        </w:rPr>
        <w:t xml:space="preserve"> </w:t>
      </w:r>
      <w:r w:rsidRPr="009E2B61">
        <w:rPr>
          <w:rFonts w:ascii="Times New Roman" w:eastAsia="Times New Roman" w:hAnsi="Times New Roman" w:cs="Times New Roman"/>
          <w:i/>
          <w:iCs/>
          <w:sz w:val="24"/>
          <w:szCs w:val="24"/>
        </w:rPr>
        <w:t>for the Appellant.</w:t>
      </w:r>
      <w:r w:rsidRPr="009E2B61">
        <w:rPr>
          <w:rFonts w:ascii="Times New Roman" w:eastAsia="Times New Roman" w:hAnsi="Times New Roman" w:cs="Times New Roman"/>
          <w:sz w:val="24"/>
          <w:szCs w:val="24"/>
        </w:rPr>
        <w:t xml:space="preserve"> </w:t>
      </w:r>
      <w:r w:rsidRPr="009E2B61">
        <w:rPr>
          <w:rFonts w:ascii="Times New Roman" w:eastAsia="Times New Roman" w:hAnsi="Times New Roman" w:cs="Times New Roman"/>
          <w:b/>
          <w:bCs/>
          <w:sz w:val="24"/>
          <w:szCs w:val="24"/>
        </w:rPr>
        <w:t>D.K. Rao</w:t>
      </w:r>
      <w:r w:rsidRPr="009E2B61">
        <w:rPr>
          <w:rFonts w:ascii="Times New Roman" w:eastAsia="Times New Roman" w:hAnsi="Times New Roman" w:cs="Times New Roman"/>
          <w:sz w:val="24"/>
          <w:szCs w:val="24"/>
        </w:rPr>
        <w:t xml:space="preserve"> </w:t>
      </w:r>
      <w:r w:rsidRPr="009E2B61">
        <w:rPr>
          <w:rFonts w:ascii="Times New Roman" w:eastAsia="Times New Roman" w:hAnsi="Times New Roman" w:cs="Times New Roman"/>
          <w:i/>
          <w:iCs/>
          <w:sz w:val="24"/>
          <w:szCs w:val="24"/>
        </w:rPr>
        <w:t>for the Respondent.</w:t>
      </w:r>
    </w:p>
    <w:p w:rsidR="009E2B61" w:rsidRPr="009E2B61" w:rsidRDefault="009E2B61" w:rsidP="009E2B61">
      <w:pPr>
        <w:spacing w:after="80" w:line="240" w:lineRule="auto"/>
        <w:jc w:val="both"/>
        <w:rPr>
          <w:rFonts w:ascii="Times New Roman" w:eastAsia="Times New Roman" w:hAnsi="Times New Roman" w:cs="Times New Roman"/>
          <w:sz w:val="24"/>
          <w:szCs w:val="24"/>
        </w:rPr>
      </w:pPr>
    </w:p>
    <w:p w:rsidR="009E2B61" w:rsidRPr="009E2B61" w:rsidRDefault="009E2B61" w:rsidP="009E2B61">
      <w:pPr>
        <w:spacing w:after="80" w:line="240" w:lineRule="auto"/>
        <w:jc w:val="right"/>
        <w:rPr>
          <w:rFonts w:ascii="Times New Roman" w:eastAsia="Times New Roman" w:hAnsi="Times New Roman" w:cs="Times New Roman"/>
          <w:sz w:val="24"/>
          <w:szCs w:val="24"/>
        </w:rPr>
      </w:pPr>
      <w:r w:rsidRPr="009E2B61">
        <w:rPr>
          <w:rFonts w:ascii="Wingdings" w:eastAsia="Times New Roman" w:hAnsi="Wingdings" w:cs="Times New Roman"/>
          <w:sz w:val="18"/>
          <w:szCs w:val="18"/>
        </w:rPr>
        <w:t></w:t>
      </w:r>
      <w:r w:rsidRPr="009E2B61">
        <w:rPr>
          <w:rFonts w:ascii="Wingdings" w:eastAsia="Times New Roman" w:hAnsi="Wingdings" w:cs="Times New Roman"/>
          <w:sz w:val="18"/>
          <w:szCs w:val="18"/>
        </w:rPr>
        <w:t></w:t>
      </w:r>
    </w:p>
    <w:p w:rsidR="00766DE8" w:rsidRDefault="00766DE8"/>
    <w:p w:rsidR="005403B2" w:rsidRDefault="005403B2"/>
    <w:p w:rsidR="005403B2" w:rsidRDefault="005403B2"/>
    <w:p w:rsidR="005403B2" w:rsidRDefault="005403B2"/>
    <w:p w:rsidR="005403B2" w:rsidRDefault="005403B2"/>
    <w:p w:rsidR="005403B2" w:rsidRDefault="005403B2"/>
    <w:p w:rsidR="005403B2" w:rsidRDefault="005403B2"/>
    <w:p w:rsidR="005403B2" w:rsidRDefault="005403B2"/>
    <w:p w:rsidR="005403B2" w:rsidRDefault="005403B2"/>
    <w:p w:rsidR="005403B2" w:rsidRDefault="005403B2"/>
    <w:p w:rsidR="005403B2" w:rsidRDefault="005403B2"/>
    <w:p w:rsidR="005403B2" w:rsidRDefault="005403B2"/>
    <w:p w:rsidR="005403B2" w:rsidRDefault="005403B2"/>
    <w:p w:rsidR="005403B2" w:rsidRPr="005403B2" w:rsidRDefault="005403B2" w:rsidP="00D70140">
      <w:pPr>
        <w:pStyle w:val="NoSpacing"/>
        <w:rPr>
          <w:lang w:val="pt-BR"/>
        </w:rPr>
      </w:pPr>
      <w:r w:rsidRPr="005403B2">
        <w:rPr>
          <w:lang w:val="pt-BR"/>
        </w:rPr>
        <w:lastRenderedPageBreak/>
        <w:t>IN THE ITAT DELHI BENCH ‘I’</w:t>
      </w:r>
    </w:p>
    <w:p w:rsidR="005403B2" w:rsidRPr="005403B2" w:rsidRDefault="005403B2" w:rsidP="00D70140">
      <w:pPr>
        <w:pStyle w:val="NoSpacing"/>
        <w:rPr>
          <w:lang w:val="pt-BR"/>
        </w:rPr>
      </w:pPr>
      <w:r w:rsidRPr="005403B2">
        <w:rPr>
          <w:lang w:val="pt-BR"/>
        </w:rPr>
        <w:t>Impulse (India) (P.) Ltd.</w:t>
      </w:r>
    </w:p>
    <w:p w:rsidR="005403B2" w:rsidRPr="005403B2" w:rsidRDefault="005403B2" w:rsidP="00D70140">
      <w:pPr>
        <w:pStyle w:val="NoSpacing"/>
        <w:rPr>
          <w:i/>
        </w:rPr>
      </w:pPr>
      <w:r w:rsidRPr="005403B2">
        <w:rPr>
          <w:i/>
        </w:rPr>
        <w:t>v.</w:t>
      </w:r>
    </w:p>
    <w:p w:rsidR="005403B2" w:rsidRPr="005403B2" w:rsidRDefault="005403B2" w:rsidP="00D70140">
      <w:pPr>
        <w:pStyle w:val="NoSpacing"/>
      </w:pPr>
      <w:r w:rsidRPr="005403B2">
        <w:t>Assistant Commissioner of Income-tax (OSD), Ward-11(3), New Delhi</w:t>
      </w:r>
    </w:p>
    <w:p w:rsidR="005403B2" w:rsidRPr="005403B2" w:rsidRDefault="005403B2" w:rsidP="00D70140">
      <w:pPr>
        <w:pStyle w:val="NoSpacing"/>
      </w:pPr>
      <w:r w:rsidRPr="005403B2">
        <w:t>I.P. BANSAL, JUDICIAL MEMBER</w:t>
      </w:r>
    </w:p>
    <w:p w:rsidR="005403B2" w:rsidRPr="005403B2" w:rsidRDefault="005403B2" w:rsidP="00D70140">
      <w:pPr>
        <w:pStyle w:val="NoSpacing"/>
      </w:pPr>
      <w:r w:rsidRPr="005403B2">
        <w:t>AND R.C. SHARMA, ACCOUNTANT MEMBER</w:t>
      </w:r>
    </w:p>
    <w:p w:rsidR="005403B2" w:rsidRPr="005403B2" w:rsidRDefault="005403B2" w:rsidP="00D70140">
      <w:pPr>
        <w:pStyle w:val="NoSpacing"/>
      </w:pPr>
      <w:r w:rsidRPr="005403B2">
        <w:t>IT APPEAL NO. 2227 AND 3889 (DELHI) OF 2005</w:t>
      </w:r>
    </w:p>
    <w:p w:rsidR="005403B2" w:rsidRPr="005403B2" w:rsidRDefault="005403B2" w:rsidP="00D70140">
      <w:pPr>
        <w:pStyle w:val="NoSpacing"/>
      </w:pPr>
      <w:r w:rsidRPr="005403B2">
        <w:t>[Assessment years 2001-02 and 2002-03]</w:t>
      </w:r>
    </w:p>
    <w:p w:rsidR="005403B2" w:rsidRPr="005403B2" w:rsidRDefault="005403B2" w:rsidP="00D70140">
      <w:pPr>
        <w:pStyle w:val="NoSpacing"/>
      </w:pPr>
      <w:r w:rsidRPr="005403B2">
        <w:t>March 20, 2008</w:t>
      </w:r>
    </w:p>
    <w:p w:rsidR="005403B2" w:rsidRPr="005403B2" w:rsidRDefault="005403B2" w:rsidP="00D70140">
      <w:pPr>
        <w:pStyle w:val="NoSpacing"/>
      </w:pPr>
      <w:r w:rsidRPr="005403B2">
        <w:t> </w:t>
      </w:r>
    </w:p>
    <w:p w:rsidR="005403B2" w:rsidRPr="005403B2" w:rsidRDefault="005403B2" w:rsidP="00D70140">
      <w:pPr>
        <w:pStyle w:val="NoSpacing"/>
      </w:pPr>
      <w:r w:rsidRPr="005403B2">
        <w:t> </w:t>
      </w:r>
    </w:p>
    <w:p w:rsidR="005403B2" w:rsidRPr="005403B2" w:rsidRDefault="005403B2" w:rsidP="00D70140">
      <w:pPr>
        <w:pStyle w:val="NoSpacing"/>
      </w:pPr>
      <w:r w:rsidRPr="005403B2">
        <w:t> </w:t>
      </w:r>
    </w:p>
    <w:p w:rsidR="005403B2" w:rsidRPr="005403B2" w:rsidRDefault="005403B2" w:rsidP="00D70140">
      <w:pPr>
        <w:pStyle w:val="NoSpacing"/>
      </w:pPr>
      <w:r w:rsidRPr="005403B2">
        <w:t> </w:t>
      </w:r>
    </w:p>
    <w:p w:rsidR="005403B2" w:rsidRPr="005403B2" w:rsidRDefault="005403B2" w:rsidP="00D70140">
      <w:pPr>
        <w:pStyle w:val="NoSpacing"/>
      </w:pPr>
      <w:r w:rsidRPr="005403B2">
        <w:t xml:space="preserve">Section 14A of the Income-tax Act, 1961 - Expenditure incurred in relation to exempt income - Assessment years 2001-02 and 2002-03 - Whether in view of provisions of section 14A, as they stood prior to amendment by Finance Act 2006 w.e.f. 1-4-2007, only </w:t>
      </w:r>
      <w:r w:rsidRPr="005403B2">
        <w:rPr>
          <w:bCs/>
        </w:rPr>
        <w:t xml:space="preserve">expenditure which has been proved to be incurred in relation to earning of tax free income can be disallowed and section cannot be extended to disallow even expenditure which is assumed to have been incurred for earning tax free income - Held, yes - Whether where Assessing Officer by invoking provisions of section 14A wants </w:t>
      </w:r>
      <w:r w:rsidRPr="005403B2">
        <w:t>to disallow expenditure incurred for earning exempted income, he has to pin point particular expenditure which is alleged to be incurred for earning such exempted income and he has no authority to artificially attribute or apportion a part of expenditure which is otherwise incurred for purpose of a</w:t>
      </w:r>
      <w:r w:rsidRPr="005403B2">
        <w:rPr>
          <w:iCs/>
        </w:rPr>
        <w:t xml:space="preserve">ssessee’s </w:t>
      </w:r>
      <w:r w:rsidRPr="005403B2">
        <w:t>business - Held, yes - Whether after introduction of sub-sections (2) and (3) in section 14A by Finance Act, 2006 w.e.f. 1-4-2007, Assessing Officer has authority to determine on basis prescribed therein amount of expenditure incurred in relation to income which is exempt from tax - Held, yes</w:t>
      </w:r>
    </w:p>
    <w:p w:rsidR="005403B2" w:rsidRPr="005403B2" w:rsidRDefault="005403B2" w:rsidP="00D70140">
      <w:pPr>
        <w:pStyle w:val="NoSpacing"/>
      </w:pPr>
      <w:r w:rsidRPr="005403B2">
        <w:t> </w:t>
      </w:r>
    </w:p>
    <w:p w:rsidR="005403B2" w:rsidRPr="005403B2" w:rsidRDefault="005403B2" w:rsidP="00D70140">
      <w:pPr>
        <w:pStyle w:val="NoSpacing"/>
      </w:pPr>
      <w:r w:rsidRPr="005403B2">
        <w:t>FACTS</w:t>
      </w:r>
    </w:p>
    <w:p w:rsidR="005403B2" w:rsidRPr="005403B2" w:rsidRDefault="005403B2" w:rsidP="00D70140">
      <w:pPr>
        <w:pStyle w:val="NoSpacing"/>
      </w:pPr>
      <w:r w:rsidRPr="005403B2">
        <w:t xml:space="preserve">For the relevant assessment years 2001-02 and 2002-03, the assessee </w:t>
      </w:r>
      <w:r w:rsidRPr="005403B2">
        <w:rPr>
          <w:bCs/>
        </w:rPr>
        <w:t xml:space="preserve">claimed dividend income </w:t>
      </w:r>
      <w:r w:rsidRPr="005403B2">
        <w:rPr>
          <w:bCs/>
          <w:iCs/>
        </w:rPr>
        <w:t xml:space="preserve">as </w:t>
      </w:r>
      <w:r w:rsidRPr="005403B2">
        <w:rPr>
          <w:bCs/>
        </w:rPr>
        <w:t xml:space="preserve">exempt under section 10(33). The Assessing Officer asked the </w:t>
      </w:r>
      <w:r w:rsidRPr="005403B2">
        <w:rPr>
          <w:bCs/>
          <w:iCs/>
        </w:rPr>
        <w:t xml:space="preserve">assessee </w:t>
      </w:r>
      <w:r w:rsidRPr="005403B2">
        <w:rPr>
          <w:bCs/>
        </w:rPr>
        <w:t xml:space="preserve">to explain as to why disallowance under section 14A be not made in respect of expenditure incurred by it for earning dividend income claimed to be exempt under </w:t>
      </w:r>
      <w:r w:rsidRPr="005403B2">
        <w:rPr>
          <w:bCs/>
          <w:iCs/>
        </w:rPr>
        <w:t xml:space="preserve">section </w:t>
      </w:r>
      <w:r w:rsidRPr="005403B2">
        <w:rPr>
          <w:bCs/>
        </w:rPr>
        <w:t xml:space="preserve">10(33). It was explained by the </w:t>
      </w:r>
      <w:r w:rsidRPr="005403B2">
        <w:rPr>
          <w:bCs/>
          <w:iCs/>
        </w:rPr>
        <w:t xml:space="preserve">assessee </w:t>
      </w:r>
      <w:r w:rsidRPr="005403B2">
        <w:rPr>
          <w:bCs/>
        </w:rPr>
        <w:t xml:space="preserve">that no expenditure was incurred by it </w:t>
      </w:r>
      <w:r w:rsidR="00AD2A64" w:rsidRPr="00AD2A64">
        <w:rPr>
          <w:rFonts w:ascii="Arial" w:hAnsi="Arial" w:cs="Arial"/>
          <w:sz w:val="20"/>
          <w:szCs w:val="20"/>
        </w:rPr>
        <w:pict>
          <v:line id="_x0000_s1026" style="position:absolute;z-index:251658240;mso-position-horizontal-relative:margin;mso-position-vertical-relative:text" from="-39.9pt,629.25pt" to="-39.9pt,640.5pt" o:allowincell="f" strokeweight=".35pt">
            <w10:wrap anchorx="margin"/>
          </v:line>
        </w:pict>
      </w:r>
      <w:r w:rsidRPr="005403B2">
        <w:t xml:space="preserve">for earning the dividend income and also filed details of investments made and dividend received in support of its reply. However, the Assessing Officer did not agree with the </w:t>
      </w:r>
      <w:r w:rsidRPr="005403B2">
        <w:rPr>
          <w:iCs/>
        </w:rPr>
        <w:t xml:space="preserve">assessee’s </w:t>
      </w:r>
      <w:r w:rsidRPr="005403B2">
        <w:t>submission and made a proportionate disallowance by invoking the provisions of section 14A.</w:t>
      </w:r>
    </w:p>
    <w:p w:rsidR="005403B2" w:rsidRPr="005403B2" w:rsidRDefault="005403B2" w:rsidP="00D70140">
      <w:pPr>
        <w:pStyle w:val="NoSpacing"/>
      </w:pPr>
      <w:r w:rsidRPr="005403B2">
        <w:t>On appeal, the Commissioner (Appeals) confirmed the disallowance made by the Assessing Officer observing that in view of introduction of section 14A any expenditure incurred for not earning taxable income was liable to be disallowed.</w:t>
      </w:r>
    </w:p>
    <w:p w:rsidR="005403B2" w:rsidRPr="005403B2" w:rsidRDefault="005403B2" w:rsidP="00D70140">
      <w:pPr>
        <w:pStyle w:val="NoSpacing"/>
      </w:pPr>
      <w:r w:rsidRPr="005403B2">
        <w:t>On second appeal</w:t>
      </w:r>
    </w:p>
    <w:p w:rsidR="005403B2" w:rsidRPr="005403B2" w:rsidRDefault="005403B2" w:rsidP="00D70140">
      <w:pPr>
        <w:pStyle w:val="NoSpacing"/>
      </w:pPr>
      <w:r w:rsidRPr="005403B2">
        <w:t>HELD</w:t>
      </w:r>
    </w:p>
    <w:p w:rsidR="005403B2" w:rsidRPr="005403B2" w:rsidRDefault="005403B2" w:rsidP="00D70140">
      <w:pPr>
        <w:pStyle w:val="NoSpacing"/>
      </w:pPr>
      <w:r w:rsidRPr="005403B2">
        <w:t xml:space="preserve">Section 14A has been introduced to disallow the expenses identified as </w:t>
      </w:r>
      <w:r w:rsidRPr="005403B2">
        <w:rPr>
          <w:bCs/>
        </w:rPr>
        <w:t xml:space="preserve">having been incurred for earning exempted income. On plain construction of section 14A, it is very much clear that only the expenditure which has been proved to be incurred in relation to earning of tax free income can be disallowed and the section cannot be extended to disallow even the expenditure which is assumed to have been incurred for earning tax free income. Accordingly, common expenditure incurred cannot be broken artificially to attribute for apportioning a part thereof to the earning of the tax free income on the assumption that such part of the common expenditure was incurred in relation to the tax </w:t>
      </w:r>
      <w:r w:rsidRPr="005403B2">
        <w:rPr>
          <w:bCs/>
        </w:rPr>
        <w:br/>
        <w:t>free income.  [Para 6]</w:t>
      </w:r>
    </w:p>
    <w:p w:rsidR="005403B2" w:rsidRPr="005403B2" w:rsidRDefault="005403B2" w:rsidP="00D70140">
      <w:pPr>
        <w:pStyle w:val="NoSpacing"/>
      </w:pPr>
      <w:r w:rsidRPr="005403B2">
        <w:rPr>
          <w:bCs/>
        </w:rPr>
        <w:lastRenderedPageBreak/>
        <w:t xml:space="preserve">Unlike the other provisions of the Act relating to allowance of various expenditure while computing business income, the provisions of section 14A deals with </w:t>
      </w:r>
      <w:r w:rsidRPr="005403B2">
        <w:t xml:space="preserve">disallowance of expenditure incurred in relation to income not includible in total income. Where the </w:t>
      </w:r>
      <w:r w:rsidRPr="005403B2">
        <w:rPr>
          <w:iCs/>
        </w:rPr>
        <w:t xml:space="preserve">assessee </w:t>
      </w:r>
      <w:r w:rsidRPr="005403B2">
        <w:t xml:space="preserve">claims expenditure, the burden is on the assessee to prove incurring of expenditure and its relation to the business of the </w:t>
      </w:r>
      <w:r w:rsidRPr="005403B2">
        <w:rPr>
          <w:iCs/>
        </w:rPr>
        <w:t xml:space="preserve">assessee. </w:t>
      </w:r>
      <w:r w:rsidRPr="005403B2">
        <w:t xml:space="preserve">However, when the Assessing Officer wants to disallow such expenses by invoking provisions of </w:t>
      </w:r>
      <w:r w:rsidRPr="005403B2">
        <w:rPr>
          <w:iCs/>
        </w:rPr>
        <w:t xml:space="preserve">section </w:t>
      </w:r>
      <w:r w:rsidRPr="005403B2">
        <w:t xml:space="preserve">14A, the burden is on the Assessing Officer to prove that these expenses were incurred for the purpose of earning the income which is claimed to be exempt. Under the provisions of </w:t>
      </w:r>
      <w:r w:rsidRPr="005403B2">
        <w:rPr>
          <w:iCs/>
        </w:rPr>
        <w:t xml:space="preserve">section </w:t>
      </w:r>
      <w:r w:rsidRPr="005403B2">
        <w:t>14A, where the Assessing Officer wants to disallow expenditure incurred for earning the exempted income, he has to pin point the particular expenditure which is alleged to be incurred for earning such exempted income. He has no authority to artificially attribute or apportion a part of the expenditure which is otherwise incurred for the purpose of a</w:t>
      </w:r>
      <w:r w:rsidRPr="005403B2">
        <w:rPr>
          <w:iCs/>
        </w:rPr>
        <w:t xml:space="preserve">ssessee’s </w:t>
      </w:r>
      <w:r w:rsidRPr="005403B2">
        <w:t xml:space="preserve">business. Not only the incurring of the expenditure but also its relationship to the exempted income must be clear and must be capable of being ascertained. In the instant case, there was </w:t>
      </w:r>
      <w:r w:rsidRPr="005403B2">
        <w:rPr>
          <w:bCs/>
        </w:rPr>
        <w:t xml:space="preserve">no specific finding by any of the lower authorities to the effect that any particular expenses of such nature had been really incurred in relation to the dividend income claimed </w:t>
      </w:r>
      <w:r w:rsidRPr="005403B2">
        <w:rPr>
          <w:bCs/>
          <w:iCs/>
        </w:rPr>
        <w:t xml:space="preserve">as </w:t>
      </w:r>
      <w:r w:rsidRPr="005403B2">
        <w:rPr>
          <w:bCs/>
        </w:rPr>
        <w:t xml:space="preserve">exempt under section 10(33). On the other hand, the </w:t>
      </w:r>
      <w:r w:rsidRPr="005403B2">
        <w:rPr>
          <w:bCs/>
          <w:iCs/>
        </w:rPr>
        <w:t xml:space="preserve">assessee </w:t>
      </w:r>
      <w:r w:rsidRPr="005403B2">
        <w:rPr>
          <w:bCs/>
        </w:rPr>
        <w:t xml:space="preserve">had categorically denied of having incurred any expenditure for earning such exempted income. Further sub-sections (2) and (3) of section 14A were introduced by Finance Act 2006 which were to come into force w.e.f. assessment year 2007-08 onwards, according to which authority was given to the Assessing Officer to determine on the basis prescribed therein, the amount of expenditure incurred in relation to income which is exempt from income-tax. In the instant case, the relevant assessment years under consideration were 2001-02 and 2002-03, to which the provisions of sub-sections (2) and (3) of section 14A were not applicable. </w:t>
      </w:r>
      <w:r w:rsidRPr="005403B2">
        <w:t>Further, the a</w:t>
      </w:r>
      <w:r w:rsidRPr="005403B2">
        <w:rPr>
          <w:iCs/>
        </w:rPr>
        <w:t xml:space="preserve">ssessee </w:t>
      </w:r>
      <w:r w:rsidRPr="005403B2">
        <w:t>had given full details of the exempted income earned and the expenditure incurred, and claimed that no expenditure was incurred for earning such exempted income. The Assessing Officer was, therefore, not justified in assuming proportionate expenses as having been incurred for earning dividend income, without pin pointing the so called expenditure.  [Para 7]</w:t>
      </w:r>
    </w:p>
    <w:p w:rsidR="005403B2" w:rsidRPr="005403B2" w:rsidRDefault="005403B2" w:rsidP="00D70140">
      <w:pPr>
        <w:pStyle w:val="NoSpacing"/>
      </w:pPr>
      <w:r w:rsidRPr="005403B2">
        <w:t>Therefore, the disallowance of expenses made by the Assessing Officer and confirmed by the Commissioner (Appeals) was not justified and liable to be deleted.</w:t>
      </w:r>
    </w:p>
    <w:p w:rsidR="005403B2" w:rsidRPr="005403B2" w:rsidRDefault="005403B2" w:rsidP="00D70140">
      <w:pPr>
        <w:pStyle w:val="NoSpacing"/>
      </w:pPr>
      <w:r w:rsidRPr="005403B2">
        <w:t xml:space="preserve">CASE REVIEW </w:t>
      </w:r>
    </w:p>
    <w:p w:rsidR="005403B2" w:rsidRPr="005403B2" w:rsidRDefault="005403B2" w:rsidP="00D70140">
      <w:pPr>
        <w:pStyle w:val="NoSpacing"/>
      </w:pPr>
      <w:r w:rsidRPr="005403B2">
        <w:rPr>
          <w:i/>
        </w:rPr>
        <w:t>Wimco Seedling Ltd.</w:t>
      </w:r>
      <w:r w:rsidRPr="005403B2">
        <w:t xml:space="preserve"> v. Dy. CIT [2007] 107 ITD 267 (Delhi) (TM) - </w:t>
      </w:r>
      <w:r w:rsidRPr="005403B2">
        <w:rPr>
          <w:i/>
        </w:rPr>
        <w:t>Followed</w:t>
      </w:r>
      <w:r w:rsidRPr="005403B2">
        <w:t>.</w:t>
      </w:r>
    </w:p>
    <w:p w:rsidR="005403B2" w:rsidRDefault="005403B2"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Default="004B5A26" w:rsidP="00D70140">
      <w:pPr>
        <w:pStyle w:val="NoSpacing"/>
      </w:pPr>
    </w:p>
    <w:p w:rsidR="004B5A26" w:rsidRPr="00557AB5" w:rsidRDefault="00AD2A64" w:rsidP="004B5A26">
      <w:pPr>
        <w:spacing w:after="0" w:line="240" w:lineRule="auto"/>
        <w:jc w:val="center"/>
        <w:rPr>
          <w:rFonts w:ascii="Verdana" w:eastAsia="Times New Roman" w:hAnsi="Verdana" w:cs="Times New Roman"/>
          <w:color w:val="333333"/>
          <w:sz w:val="24"/>
          <w:szCs w:val="24"/>
        </w:rPr>
      </w:pPr>
      <w:r w:rsidRPr="00557AB5">
        <w:rPr>
          <w:rFonts w:ascii="Verdana" w:eastAsia="Times New Roman" w:hAnsi="Verdana" w:cs="Times New Roman"/>
          <w:color w:val="333333"/>
          <w:sz w:val="24"/>
          <w:szCs w:val="24"/>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ole="">
            <v:imagedata r:id="rId4" o:title=""/>
          </v:shape>
          <w:control r:id="rId5" w:name="atff" w:shapeid="_x0000_i1027"/>
        </w:object>
      </w:r>
    </w:p>
    <w:p w:rsidR="004B5A26" w:rsidRPr="00557AB5" w:rsidRDefault="00AD2A64" w:rsidP="004B5A26">
      <w:pPr>
        <w:spacing w:after="0" w:line="240" w:lineRule="auto"/>
        <w:jc w:val="center"/>
        <w:rPr>
          <w:rFonts w:ascii="Times" w:eastAsia="Times New Roman" w:hAnsi="Times" w:cs="Times"/>
          <w:color w:val="333333"/>
          <w:sz w:val="29"/>
          <w:szCs w:val="29"/>
        </w:rPr>
      </w:pPr>
      <w:hyperlink r:id="rId6" w:anchor="main" w:history="1">
        <w:r w:rsidR="004B5A26" w:rsidRPr="00557AB5">
          <w:rPr>
            <w:rFonts w:ascii="Times" w:eastAsia="Times New Roman" w:hAnsi="Times" w:cs="Times"/>
            <w:vanish/>
            <w:color w:val="00468C"/>
            <w:sz w:val="29"/>
            <w:u w:val="single"/>
          </w:rPr>
          <w:t xml:space="preserve">skip to main </w:t>
        </w:r>
      </w:hyperlink>
      <w:r w:rsidR="004B5A26" w:rsidRPr="00557AB5">
        <w:rPr>
          <w:rFonts w:ascii="Times" w:eastAsia="Times New Roman" w:hAnsi="Times" w:cs="Times"/>
          <w:vanish/>
          <w:color w:val="333333"/>
          <w:sz w:val="29"/>
          <w:szCs w:val="29"/>
        </w:rPr>
        <w:t xml:space="preserve">| </w:t>
      </w:r>
      <w:hyperlink r:id="rId7" w:anchor="sidebar" w:history="1">
        <w:r w:rsidR="004B5A26" w:rsidRPr="00557AB5">
          <w:rPr>
            <w:rFonts w:ascii="Times" w:eastAsia="Times New Roman" w:hAnsi="Times" w:cs="Times"/>
            <w:vanish/>
            <w:color w:val="00468C"/>
            <w:sz w:val="29"/>
            <w:u w:val="single"/>
          </w:rPr>
          <w:t>skip to sidebar</w:t>
        </w:r>
      </w:hyperlink>
      <w:r w:rsidR="004B5A26" w:rsidRPr="00557AB5">
        <w:rPr>
          <w:rFonts w:ascii="Times" w:eastAsia="Times New Roman" w:hAnsi="Times" w:cs="Times"/>
          <w:vanish/>
          <w:color w:val="333333"/>
          <w:sz w:val="29"/>
          <w:szCs w:val="29"/>
        </w:rPr>
        <w:t xml:space="preserve"> </w:t>
      </w:r>
    </w:p>
    <w:tbl>
      <w:tblPr>
        <w:tblW w:w="0" w:type="auto"/>
        <w:jc w:val="center"/>
        <w:tblLook w:val="04A0"/>
      </w:tblPr>
      <w:tblGrid>
        <w:gridCol w:w="317"/>
        <w:gridCol w:w="8978"/>
        <w:gridCol w:w="281"/>
      </w:tblGrid>
      <w:tr w:rsidR="00713AB7" w:rsidRPr="00713AB7" w:rsidTr="00713AB7">
        <w:trPr>
          <w:trHeight w:val="324"/>
          <w:jc w:val="center"/>
        </w:trPr>
        <w:tc>
          <w:tcPr>
            <w:tcW w:w="351" w:type="dxa"/>
            <w:shd w:val="clear" w:color="auto" w:fill="993366"/>
            <w:hideMark/>
          </w:tcPr>
          <w:p w:rsidR="00713AB7" w:rsidRPr="00713AB7" w:rsidRDefault="00713AB7" w:rsidP="00713AB7">
            <w:pPr>
              <w:tabs>
                <w:tab w:val="left" w:pos="720"/>
                <w:tab w:val="center" w:pos="4320"/>
                <w:tab w:val="right" w:pos="8640"/>
              </w:tabs>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c>
          <w:tcPr>
            <w:tcW w:w="15840"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Arial Unicode MS" w:eastAsia="Arial Unicode MS" w:hAnsi="Arial Unicode MS" w:cs="Arial Unicode MS" w:hint="eastAsia"/>
                <w:sz w:val="24"/>
                <w:szCs w:val="24"/>
              </w:rPr>
              <w:t> </w:t>
            </w:r>
          </w:p>
        </w:tc>
        <w:tc>
          <w:tcPr>
            <w:tcW w:w="287"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r>
      <w:tr w:rsidR="00713AB7" w:rsidRPr="00713AB7" w:rsidTr="00713AB7">
        <w:trPr>
          <w:trHeight w:val="755"/>
          <w:jc w:val="center"/>
        </w:trPr>
        <w:tc>
          <w:tcPr>
            <w:tcW w:w="351"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c>
          <w:tcPr>
            <w:tcW w:w="15840" w:type="dxa"/>
            <w:shd w:val="clear" w:color="auto" w:fill="CCFFFF"/>
            <w:hideMark/>
          </w:tcPr>
          <w:p w:rsidR="00713AB7" w:rsidRPr="00713AB7" w:rsidRDefault="00713AB7" w:rsidP="00713AB7">
            <w:pPr>
              <w:keepNext/>
              <w:spacing w:before="200" w:line="240" w:lineRule="auto"/>
              <w:jc w:val="center"/>
              <w:outlineLvl w:val="1"/>
              <w:rPr>
                <w:rFonts w:ascii="Times New Roman" w:eastAsia="Times New Roman" w:hAnsi="Times New Roman" w:cs="Times New Roman"/>
                <w:b/>
                <w:bCs/>
                <w:color w:val="800000"/>
                <w:sz w:val="28"/>
                <w:szCs w:val="20"/>
              </w:rPr>
            </w:pPr>
            <w:r w:rsidRPr="00713AB7">
              <w:rPr>
                <w:rFonts w:ascii="Times New Roman" w:eastAsia="Times New Roman" w:hAnsi="Times New Roman" w:cs="Times New Roman"/>
                <w:b/>
                <w:bCs/>
                <w:color w:val="800000"/>
                <w:sz w:val="28"/>
                <w:szCs w:val="20"/>
              </w:rPr>
              <w:t>APPLICABILITY OF SECTION 14A OF IT ACT QUA DIVIDEND INCOME EARNED BY AN ASSESSEE DEALING IN SHARES AND SECURITIES</w:t>
            </w:r>
          </w:p>
        </w:tc>
        <w:tc>
          <w:tcPr>
            <w:tcW w:w="287"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r>
      <w:tr w:rsidR="00713AB7" w:rsidRPr="00713AB7" w:rsidTr="00713AB7">
        <w:trPr>
          <w:trHeight w:val="1485"/>
          <w:jc w:val="center"/>
        </w:trPr>
        <w:tc>
          <w:tcPr>
            <w:tcW w:w="351"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c>
          <w:tcPr>
            <w:tcW w:w="15840" w:type="dxa"/>
            <w:shd w:val="clear" w:color="auto" w:fill="CCFFFF"/>
            <w:hideMark/>
          </w:tcPr>
          <w:p w:rsidR="00713AB7" w:rsidRPr="00713AB7" w:rsidRDefault="00713AB7" w:rsidP="00713AB7">
            <w:pPr>
              <w:spacing w:before="200" w:line="240" w:lineRule="auto"/>
              <w:jc w:val="center"/>
              <w:rPr>
                <w:rFonts w:ascii="Times New Roman" w:eastAsia="Times New Roman" w:hAnsi="Times New Roman" w:cs="Times New Roman"/>
                <w:color w:val="800000"/>
                <w:sz w:val="24"/>
                <w:szCs w:val="24"/>
              </w:rPr>
            </w:pPr>
            <w:r w:rsidRPr="00713AB7">
              <w:rPr>
                <w:rFonts w:ascii="Times New Roman" w:eastAsia="Arial Unicode MS" w:hAnsi="Times New Roman" w:cs="Times New Roman"/>
                <w:i/>
                <w:iCs/>
                <w:color w:val="800000"/>
                <w:sz w:val="24"/>
                <w:szCs w:val="20"/>
              </w:rPr>
              <w:t>A dealer in shares generally does not acquire shares and securities to earn dividend income; the dominant and immediate object behind acquisition of shares is to earn profit on the sale of shares at the earliest point of time which is chargeable to tax under the Act; since the existence of dominant and immediate connection is the condition precedent for invoking the provisions of section 14A, the mere receipt of dividend income incidentally in the case of dealer in shares would not be sufficient for invoking the provisions of section 14A.</w:t>
            </w:r>
          </w:p>
        </w:tc>
        <w:tc>
          <w:tcPr>
            <w:tcW w:w="287"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r>
      <w:tr w:rsidR="00713AB7" w:rsidRPr="00713AB7" w:rsidTr="00713AB7">
        <w:trPr>
          <w:trHeight w:val="261"/>
          <w:jc w:val="center"/>
        </w:trPr>
        <w:tc>
          <w:tcPr>
            <w:tcW w:w="351"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Arial Unicode MS" w:eastAsia="Arial Unicode MS" w:hAnsi="Arial Unicode MS" w:cs="Arial Unicode MS" w:hint="eastAsia"/>
                <w:sz w:val="24"/>
                <w:szCs w:val="24"/>
              </w:rPr>
              <w:t> </w:t>
            </w:r>
          </w:p>
        </w:tc>
        <w:tc>
          <w:tcPr>
            <w:tcW w:w="15840"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Arial Unicode MS" w:eastAsia="Arial Unicode MS" w:hAnsi="Arial Unicode MS" w:cs="Arial Unicode MS" w:hint="eastAsia"/>
                <w:sz w:val="24"/>
                <w:szCs w:val="24"/>
              </w:rPr>
              <w:t> </w:t>
            </w:r>
          </w:p>
        </w:tc>
        <w:tc>
          <w:tcPr>
            <w:tcW w:w="287" w:type="dxa"/>
            <w:shd w:val="clear" w:color="auto" w:fill="993366"/>
            <w:hideMark/>
          </w:tcPr>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tc>
      </w:tr>
    </w:tbl>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p w:rsidR="00713AB7" w:rsidRPr="00713AB7" w:rsidRDefault="00713AB7" w:rsidP="00713AB7">
      <w:pPr>
        <w:spacing w:after="120" w:line="240" w:lineRule="auto"/>
        <w:rPr>
          <w:rFonts w:ascii="Times New Roman" w:eastAsia="Times New Roman" w:hAnsi="Times New Roman" w:cs="Times New Roman"/>
          <w:sz w:val="24"/>
          <w:szCs w:val="20"/>
        </w:rPr>
      </w:pPr>
      <w:r w:rsidRPr="00713AB7">
        <w:rPr>
          <w:rFonts w:ascii="Times New Roman" w:eastAsia="Times New Roman" w:hAnsi="Times New Roman" w:cs="Times New Roman"/>
          <w:sz w:val="24"/>
          <w:szCs w:val="20"/>
        </w:rPr>
        <w:t> </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IN THE ITAT, SPECIAL BENCH, MUMBAI</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 </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ITO</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 </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v.</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 </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Daga Capital Management Pvt. Ltd.</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 </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ITA No. 8057/Mum/2003</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 </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October 20, 2008</w:t>
      </w:r>
    </w:p>
    <w:p w:rsidR="00713AB7" w:rsidRPr="00713AB7" w:rsidRDefault="00713AB7" w:rsidP="00713AB7">
      <w:pPr>
        <w:spacing w:after="0" w:line="240" w:lineRule="auto"/>
        <w:rPr>
          <w:rFonts w:ascii="Times New Roman" w:eastAsia="Arial Unicode MS" w:hAnsi="Times New Roman" w:cs="Times New Roman"/>
          <w:b/>
          <w:bCs/>
          <w:color w:val="800000"/>
          <w:sz w:val="24"/>
          <w:szCs w:val="20"/>
        </w:rPr>
      </w:pPr>
      <w:r w:rsidRPr="00713AB7">
        <w:rPr>
          <w:rFonts w:ascii="Times New Roman" w:eastAsia="Arial Unicode MS" w:hAnsi="Times New Roman" w:cs="Times New Roman"/>
          <w:b/>
          <w:bCs/>
          <w:color w:val="800000"/>
          <w:sz w:val="24"/>
          <w:szCs w:val="20"/>
        </w:rPr>
        <w:t> </w:t>
      </w:r>
    </w:p>
    <w:p w:rsidR="00713AB7" w:rsidRPr="00713AB7" w:rsidRDefault="00713AB7" w:rsidP="00713AB7">
      <w:pPr>
        <w:spacing w:after="0" w:line="240" w:lineRule="auto"/>
        <w:jc w:val="right"/>
        <w:rPr>
          <w:rFonts w:ascii="Times New Roman" w:eastAsia="Arial Unicode MS" w:hAnsi="Times New Roman" w:cs="Times New Roman"/>
          <w:b/>
          <w:bCs/>
          <w:sz w:val="24"/>
          <w:szCs w:val="20"/>
        </w:rPr>
      </w:pPr>
      <w:r w:rsidRPr="00713AB7">
        <w:rPr>
          <w:rFonts w:ascii="Times New Roman" w:eastAsia="Arial Unicode MS" w:hAnsi="Times New Roman" w:cs="Times New Roman"/>
          <w:b/>
          <w:bCs/>
          <w:sz w:val="24"/>
          <w:szCs w:val="20"/>
        </w:rPr>
        <w:t> </w:t>
      </w:r>
    </w:p>
    <w:p w:rsidR="00713AB7" w:rsidRPr="00713AB7" w:rsidRDefault="00713AB7" w:rsidP="00713AB7">
      <w:pPr>
        <w:spacing w:after="0" w:line="240" w:lineRule="auto"/>
        <w:jc w:val="right"/>
        <w:rPr>
          <w:rFonts w:ascii="Times New Roman" w:eastAsia="Arial Unicode MS" w:hAnsi="Times New Roman" w:cs="Times New Roman"/>
          <w:b/>
          <w:bCs/>
          <w:color w:val="FF0000"/>
          <w:sz w:val="24"/>
          <w:szCs w:val="20"/>
        </w:rPr>
      </w:pPr>
      <w:r w:rsidRPr="00713AB7">
        <w:rPr>
          <w:rFonts w:ascii="Times New Roman" w:eastAsia="Arial Unicode MS" w:hAnsi="Times New Roman" w:cs="Times New Roman"/>
          <w:b/>
          <w:bCs/>
          <w:color w:val="FF0000"/>
          <w:sz w:val="24"/>
          <w:szCs w:val="20"/>
        </w:rPr>
        <w:t> </w:t>
      </w:r>
    </w:p>
    <w:p w:rsidR="00713AB7" w:rsidRPr="00713AB7" w:rsidRDefault="00713AB7" w:rsidP="00713AB7">
      <w:pPr>
        <w:spacing w:after="0" w:line="240" w:lineRule="auto"/>
        <w:jc w:val="both"/>
        <w:rPr>
          <w:rFonts w:ascii="Times New Roman" w:eastAsia="Arial Unicode MS" w:hAnsi="Times New Roman" w:cs="Times New Roman"/>
          <w:b/>
          <w:bCs/>
          <w:sz w:val="24"/>
          <w:szCs w:val="20"/>
        </w:rPr>
      </w:pPr>
      <w:r w:rsidRPr="00713AB7">
        <w:rPr>
          <w:rFonts w:ascii="Times New Roman" w:eastAsia="Arial Unicode MS" w:hAnsi="Times New Roman" w:cs="Times New Roman"/>
          <w:b/>
          <w:bCs/>
          <w:color w:val="FF0000"/>
          <w:sz w:val="24"/>
          <w:szCs w:val="20"/>
        </w:rPr>
        <w:t>RELEVANT EXTRACTS :</w:t>
      </w:r>
    </w:p>
    <w:p w:rsidR="00713AB7" w:rsidRPr="00713AB7" w:rsidRDefault="00713AB7" w:rsidP="00713AB7">
      <w:pPr>
        <w:spacing w:after="0" w:line="240" w:lineRule="auto"/>
        <w:jc w:val="both"/>
        <w:rPr>
          <w:rFonts w:ascii="Times New Roman" w:eastAsia="Arial Unicode MS" w:hAnsi="Times New Roman" w:cs="Times New Roman"/>
          <w:b/>
          <w:bCs/>
          <w:sz w:val="24"/>
          <w:szCs w:val="20"/>
        </w:rPr>
      </w:pPr>
      <w:r w:rsidRPr="00713AB7">
        <w:rPr>
          <w:rFonts w:ascii="Times New Roman" w:eastAsia="Arial Unicode MS" w:hAnsi="Times New Roman" w:cs="Times New Roman"/>
          <w:b/>
          <w:bCs/>
          <w:sz w:val="24"/>
          <w:szCs w:val="20"/>
        </w:rPr>
        <w:t> </w:t>
      </w:r>
    </w:p>
    <w:p w:rsidR="00713AB7" w:rsidRPr="00713AB7" w:rsidRDefault="00713AB7" w:rsidP="00713AB7">
      <w:pPr>
        <w:spacing w:after="0" w:line="240" w:lineRule="auto"/>
        <w:jc w:val="both"/>
        <w:rPr>
          <w:rFonts w:ascii="Times New Roman" w:eastAsia="Arial Unicode MS" w:hAnsi="Times New Roman" w:cs="Times New Roman"/>
          <w:b/>
          <w:bCs/>
          <w:sz w:val="24"/>
          <w:szCs w:val="20"/>
        </w:rPr>
      </w:pPr>
      <w:r w:rsidRPr="00713AB7">
        <w:rPr>
          <w:rFonts w:ascii="Times New Roman" w:eastAsia="Arial Unicode MS" w:hAnsi="Times New Roman" w:cs="Times New Roman"/>
          <w:b/>
          <w:bCs/>
          <w:sz w:val="24"/>
          <w:szCs w:val="20"/>
        </w:rPr>
        <w:t>**</w:t>
      </w:r>
      <w:r w:rsidRPr="00713AB7">
        <w:rPr>
          <w:rFonts w:ascii="Times New Roman" w:eastAsia="Arial Unicode MS" w:hAnsi="Times New Roman" w:cs="Times New Roman"/>
          <w:b/>
          <w:bCs/>
          <w:sz w:val="24"/>
          <w:szCs w:val="20"/>
        </w:rPr>
        <w:tab/>
      </w:r>
      <w:r w:rsidRPr="00713AB7">
        <w:rPr>
          <w:rFonts w:ascii="Times New Roman" w:eastAsia="Arial Unicode MS" w:hAnsi="Times New Roman" w:cs="Times New Roman"/>
          <w:b/>
          <w:bCs/>
          <w:sz w:val="24"/>
          <w:szCs w:val="20"/>
        </w:rPr>
        <w:tab/>
        <w:t>**</w:t>
      </w:r>
      <w:r w:rsidRPr="00713AB7">
        <w:rPr>
          <w:rFonts w:ascii="Times New Roman" w:eastAsia="Arial Unicode MS" w:hAnsi="Times New Roman" w:cs="Times New Roman"/>
          <w:b/>
          <w:bCs/>
          <w:sz w:val="24"/>
          <w:szCs w:val="20"/>
        </w:rPr>
        <w:tab/>
      </w:r>
      <w:r w:rsidRPr="00713AB7">
        <w:rPr>
          <w:rFonts w:ascii="Times New Roman" w:eastAsia="Arial Unicode MS" w:hAnsi="Times New Roman" w:cs="Times New Roman"/>
          <w:b/>
          <w:bCs/>
          <w:sz w:val="24"/>
          <w:szCs w:val="20"/>
        </w:rPr>
        <w:tab/>
        <w:t>**</w:t>
      </w:r>
      <w:r w:rsidRPr="00713AB7">
        <w:rPr>
          <w:rFonts w:ascii="Times New Roman" w:eastAsia="Arial Unicode MS" w:hAnsi="Times New Roman" w:cs="Times New Roman"/>
          <w:b/>
          <w:bCs/>
          <w:sz w:val="24"/>
          <w:szCs w:val="20"/>
        </w:rPr>
        <w:tab/>
      </w:r>
      <w:r w:rsidRPr="00713AB7">
        <w:rPr>
          <w:rFonts w:ascii="Times New Roman" w:eastAsia="Arial Unicode MS" w:hAnsi="Times New Roman" w:cs="Times New Roman"/>
          <w:b/>
          <w:bCs/>
          <w:sz w:val="24"/>
          <w:szCs w:val="20"/>
        </w:rPr>
        <w:tab/>
        <w:t>**</w:t>
      </w:r>
      <w:r w:rsidRPr="00713AB7">
        <w:rPr>
          <w:rFonts w:ascii="Times New Roman" w:eastAsia="Arial Unicode MS" w:hAnsi="Times New Roman" w:cs="Times New Roman"/>
          <w:b/>
          <w:bCs/>
          <w:sz w:val="24"/>
          <w:szCs w:val="20"/>
        </w:rPr>
        <w:tab/>
      </w:r>
      <w:r w:rsidRPr="00713AB7">
        <w:rPr>
          <w:rFonts w:ascii="Times New Roman" w:eastAsia="Arial Unicode MS" w:hAnsi="Times New Roman" w:cs="Times New Roman"/>
          <w:b/>
          <w:bCs/>
          <w:sz w:val="24"/>
          <w:szCs w:val="20"/>
        </w:rPr>
        <w:tab/>
        <w:t>**</w:t>
      </w:r>
      <w:r w:rsidRPr="00713AB7">
        <w:rPr>
          <w:rFonts w:ascii="Times New Roman" w:eastAsia="Arial Unicode MS" w:hAnsi="Times New Roman" w:cs="Times New Roman"/>
          <w:b/>
          <w:bCs/>
          <w:sz w:val="24"/>
          <w:szCs w:val="20"/>
        </w:rPr>
        <w:tab/>
      </w:r>
      <w:r w:rsidRPr="00713AB7">
        <w:rPr>
          <w:rFonts w:ascii="Times New Roman" w:eastAsia="Arial Unicode MS" w:hAnsi="Times New Roman" w:cs="Times New Roman"/>
          <w:b/>
          <w:bCs/>
          <w:sz w:val="24"/>
          <w:szCs w:val="20"/>
        </w:rPr>
        <w:tab/>
        <w:t>**</w:t>
      </w:r>
    </w:p>
    <w:p w:rsidR="00713AB7" w:rsidRPr="00713AB7" w:rsidRDefault="00713AB7" w:rsidP="00713AB7">
      <w:pPr>
        <w:spacing w:after="0" w:line="240" w:lineRule="auto"/>
        <w:jc w:val="both"/>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 xml:space="preserve">18. The scheme of the Act shows that total income of assessee is to be computed under various heads of income specified in Section 14. The provisions for computation of income under various heads are provided in sections 15 to 57 of the Act. The Legislature in its wisdom thought that expenditure in relation to income exempted from taxation should not be allowed deduction while computing the income chargeable to tax. Accordingly, the Legislature, instead of making various provisions for disallowance under various heads, inserted Section 14A at the inception i.e. prior to the computational provisions under various heads. Thus, intention of the legislature is </w:t>
      </w:r>
      <w:r w:rsidRPr="00713AB7">
        <w:rPr>
          <w:rFonts w:ascii="Times New Roman" w:eastAsia="Arial Unicode MS" w:hAnsi="Times New Roman" w:cs="Times New Roman"/>
          <w:sz w:val="24"/>
          <w:szCs w:val="20"/>
        </w:rPr>
        <w:lastRenderedPageBreak/>
        <w:t>clear to disallow all the expenditures incurred in relation to income not forming part of total income. Contextual interpretation of Section 14A clearly suggests that expenditure in relation to exempted income has to be disallowed even though such expenditure would have been allowable under the computational provisions relating to various heads of income. Hence, we are in agreement with the contention of the learned Sr. D.R. that Section 14A has an overriding effect over the computational provisions under various heads. We hold accordingly. To hold otherwise would amount to rendering the provisions of section 14A as otiose/redundant which is not permissible in law. Hence, we do not find force in the contention of Mr. Patel that no disallowance can be made u/s. 14A if the deduction is permissible u/s. 36(1) (iii) of the Act. Consequently, in the case of an assessee carrying on a business activity, any expenditure incurred by him even though allowable under section 36(1)(iii) or section 37 can be disallowed u/s. 14A if such expenditure has been incurred in relation to the income not forming part of total income.</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19. Coming to the scope of Section 14A of the Act, the perusal of the said section reveals that any expenditure incurred in relation to income not forming part of total income has to be disallowed. Thus, the scope of this section entirely depends upon the meaning of the expression 'in relation to' used by the legislature in this section. Such expression has not been defined in the Act. However, we find that such expression has been judicially defined by the Constitution Bench of Eleven Judges of the Hon'ble Supreme Court in the case of</w:t>
      </w:r>
      <w:r w:rsidRPr="00713AB7">
        <w:rPr>
          <w:rFonts w:ascii="Times New Roman" w:eastAsia="Arial Unicode MS" w:hAnsi="Times New Roman" w:cs="Times New Roman"/>
          <w:i/>
          <w:iCs/>
          <w:sz w:val="24"/>
        </w:rPr>
        <w:t xml:space="preserve"> H.H. Miharajadhiraja Madhav Rao Jivaji Rao Scindia Bahadur of Gwalior &amp; Others vs. Union of India (1971) 1 SCC 85.</w:t>
      </w:r>
      <w:r w:rsidRPr="00713AB7">
        <w:rPr>
          <w:rFonts w:ascii="Times New Roman" w:eastAsia="Arial Unicode MS" w:hAnsi="Times New Roman" w:cs="Times New Roman"/>
          <w:sz w:val="24"/>
          <w:szCs w:val="20"/>
        </w:rPr>
        <w:t xml:space="preserve"> Their Lordships considered the scope of the expression 'provisions of this Constitution relating to' appearing in Article 363 of the Constitution of India. Their Lordships, in para 135 of the judgment, held that such expression means 'provisions having a dominant &amp; immediate connection with'. It was also held that it does not mean merely having a reference to.</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 xml:space="preserve">20. It is the settled legal position that if a word or an expression has been judicially defined by the court then it should be presumed that the legislature was well aware of such meaning while enacting an enactment and consequently, such word or expression in the enactment should be understood in the same sense in which it was judicially defined. Reference can be made to the decision of the Hon'ble Supreme Court in the case of </w:t>
      </w:r>
      <w:r w:rsidRPr="00713AB7">
        <w:rPr>
          <w:rFonts w:ascii="Times New Roman" w:eastAsia="Arial Unicode MS" w:hAnsi="Times New Roman" w:cs="Times New Roman"/>
          <w:i/>
          <w:iCs/>
          <w:sz w:val="24"/>
        </w:rPr>
        <w:t>Ahmed G.H. Ariff vs. CWT 76 ITR 471 (SC)</w:t>
      </w:r>
      <w:r w:rsidRPr="00713AB7">
        <w:rPr>
          <w:rFonts w:ascii="Times New Roman" w:eastAsia="Arial Unicode MS" w:hAnsi="Times New Roman" w:cs="Times New Roman"/>
          <w:sz w:val="24"/>
          <w:szCs w:val="20"/>
        </w:rPr>
        <w:t xml:space="preserve"> wherein it was observed as under:</w:t>
      </w:r>
    </w:p>
    <w:p w:rsidR="00713AB7" w:rsidRPr="00713AB7" w:rsidRDefault="00713AB7" w:rsidP="00713AB7">
      <w:pPr>
        <w:spacing w:before="100" w:beforeAutospacing="1" w:after="100" w:afterAutospacing="1" w:line="240" w:lineRule="auto"/>
        <w:ind w:left="720" w:right="720"/>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"It is well-settled that where the Legislature uses a legal term which has received judicial interpretation, the courts must assume that the term has been used in the sense in which it has been judicially interpreted."</w:t>
      </w:r>
    </w:p>
    <w:p w:rsidR="00713AB7" w:rsidRPr="00713AB7" w:rsidRDefault="00713AB7" w:rsidP="00713AB7">
      <w:pPr>
        <w:spacing w:before="100" w:beforeAutospacing="1" w:after="100" w:afterAutospacing="1" w:line="240" w:lineRule="auto"/>
        <w:ind w:left="720" w:right="720"/>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Similar view was taken by the apex court in the case of</w:t>
      </w:r>
      <w:r w:rsidRPr="00713AB7">
        <w:rPr>
          <w:rFonts w:ascii="Times New Roman" w:eastAsia="Arial Unicode MS" w:hAnsi="Times New Roman" w:cs="Times New Roman"/>
          <w:i/>
          <w:iCs/>
          <w:sz w:val="24"/>
        </w:rPr>
        <w:t xml:space="preserve"> Keshavji Ravji and Company vs. CIT 183 ITR 1 </w:t>
      </w:r>
      <w:r w:rsidRPr="00713AB7">
        <w:rPr>
          <w:rFonts w:ascii="Times New Roman" w:eastAsia="Arial Unicode MS" w:hAnsi="Times New Roman" w:cs="Times New Roman"/>
          <w:sz w:val="24"/>
          <w:szCs w:val="20"/>
        </w:rPr>
        <w:t>by observing as under:</w:t>
      </w:r>
    </w:p>
    <w:p w:rsidR="00713AB7" w:rsidRPr="00713AB7" w:rsidRDefault="00713AB7" w:rsidP="00713AB7">
      <w:pPr>
        <w:spacing w:before="100" w:beforeAutospacing="1" w:after="100" w:afterAutospacing="1" w:line="240" w:lineRule="auto"/>
        <w:ind w:left="720" w:right="720"/>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"When words acquire a particular meaning or sense because of their authoritative construction by superior courts, they are presumed to have been used in the same sense when used in a subsequent legislation in the same or similar context"</w:t>
      </w:r>
    </w:p>
    <w:p w:rsidR="00713AB7" w:rsidRPr="003F7387" w:rsidRDefault="00713AB7" w:rsidP="00713AB7">
      <w:pPr>
        <w:spacing w:after="0" w:line="240" w:lineRule="auto"/>
        <w:jc w:val="both"/>
        <w:rPr>
          <w:rFonts w:ascii="Times New Roman" w:eastAsia="Arial Unicode MS" w:hAnsi="Times New Roman" w:cs="Times New Roman"/>
          <w:color w:val="FF0000"/>
          <w:sz w:val="24"/>
          <w:szCs w:val="18"/>
        </w:rPr>
      </w:pPr>
      <w:r w:rsidRPr="00713AB7">
        <w:rPr>
          <w:rFonts w:ascii="Times New Roman" w:eastAsia="Arial Unicode MS" w:hAnsi="Times New Roman" w:cs="Times New Roman"/>
          <w:sz w:val="24"/>
          <w:szCs w:val="20"/>
        </w:rPr>
        <w:t xml:space="preserve">21. In view of the above legal position, it is held that the expression 'in relation to' in section 14A of the Act must be understood in the same sense in which their Lordships of the apex court understood in the case of H.H. Maharajadhiraja Madhav Rao Jivaji Rao Scindia Bahadur of Gwalior &amp; Others (supra). </w:t>
      </w:r>
      <w:r w:rsidRPr="003F7387">
        <w:rPr>
          <w:rFonts w:ascii="Times New Roman" w:eastAsia="Arial Unicode MS" w:hAnsi="Times New Roman" w:cs="Times New Roman"/>
          <w:b/>
          <w:color w:val="FF0000"/>
          <w:sz w:val="24"/>
          <w:szCs w:val="20"/>
        </w:rPr>
        <w:t xml:space="preserve">Accordingly, the expression 'in relation to' would mean dominant </w:t>
      </w:r>
      <w:r w:rsidRPr="003F7387">
        <w:rPr>
          <w:rFonts w:ascii="Times New Roman" w:eastAsia="Arial Unicode MS" w:hAnsi="Times New Roman" w:cs="Times New Roman"/>
          <w:b/>
          <w:color w:val="FF0000"/>
          <w:sz w:val="24"/>
          <w:szCs w:val="20"/>
        </w:rPr>
        <w:lastRenderedPageBreak/>
        <w:t>&amp;</w:t>
      </w:r>
      <w:r w:rsidRPr="00713AB7">
        <w:rPr>
          <w:rFonts w:ascii="Times New Roman" w:eastAsia="Arial Unicode MS" w:hAnsi="Times New Roman" w:cs="Times New Roman"/>
          <w:sz w:val="24"/>
          <w:szCs w:val="20"/>
        </w:rPr>
        <w:t xml:space="preserve"> </w:t>
      </w:r>
      <w:r w:rsidRPr="003F7387">
        <w:rPr>
          <w:rFonts w:ascii="Times New Roman" w:eastAsia="Arial Unicode MS" w:hAnsi="Times New Roman" w:cs="Times New Roman"/>
          <w:b/>
          <w:color w:val="FF0000"/>
          <w:sz w:val="24"/>
          <w:szCs w:val="20"/>
        </w:rPr>
        <w:t>immediate connection</w:t>
      </w:r>
      <w:r w:rsidRPr="00713AB7">
        <w:rPr>
          <w:rFonts w:ascii="Times New Roman" w:eastAsia="Arial Unicode MS" w:hAnsi="Times New Roman" w:cs="Times New Roman"/>
          <w:sz w:val="24"/>
          <w:szCs w:val="20"/>
        </w:rPr>
        <w:t xml:space="preserve">. This means that disallowance of expenditure u/s. 14A can be made only when there is dominant and immediate connection between the expenditure incurred and the income not forming part of the total income. As a necessary corollary, it would mean that disallowance cannot be made if the connection is not dominant and immediate but is merely incidental, ancillary or remote one. </w:t>
      </w:r>
      <w:r w:rsidRPr="003F7387">
        <w:rPr>
          <w:rFonts w:ascii="Times New Roman" w:eastAsia="Arial Unicode MS" w:hAnsi="Times New Roman" w:cs="Times New Roman"/>
          <w:color w:val="FF0000"/>
          <w:sz w:val="24"/>
          <w:szCs w:val="20"/>
        </w:rPr>
        <w:t>The contention of the revenue that the expression 'in relation to' would mean any and every relation except remote is, therefore, rejected.</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22. The decision of the Hon'ble Supreme Court in the case of M/s. Doypack Systems Pvt. Ltd., (supra) has been relied on by the revenue for the proposition that the expression 'in relation to' would include direct as well as indirect connection. A perusal of this decision shows that it was rendered by Bench of two Judges without considering the decision of the Constitution Bench of Eleven Judges in the case of H.H. Maharajadhiraja Madhav Rao Jivaji Rao Scindia Bahadur of Gwalior &amp; Others (supra). It is a settled rule of precedence that in case of any conflict of opinion between the views expressed by different Benches of a Court then the view taken by the Larger Bench would prevail since the division Bench cannot enlarge the scope of the decision rendered by the Larger Bench. Therefore, in our opinion, the later decision cannot be applied to determine the scope of section 14A of the Act.</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 xml:space="preserve">23. Having held as above, the next question is how to determine the nature of the connection between the expenditure incurred and the income earned by the assessee. In our opinion, the </w:t>
      </w:r>
      <w:r w:rsidRPr="003F7387">
        <w:rPr>
          <w:rFonts w:ascii="Times New Roman" w:eastAsia="Arial Unicode MS" w:hAnsi="Times New Roman" w:cs="Times New Roman"/>
          <w:color w:val="FF0000"/>
          <w:sz w:val="24"/>
          <w:szCs w:val="20"/>
        </w:rPr>
        <w:t>answer to this question would depend upon the intention/object with which the expenditure was incurred.</w:t>
      </w:r>
      <w:r w:rsidRPr="00713AB7">
        <w:rPr>
          <w:rFonts w:ascii="Times New Roman" w:eastAsia="Arial Unicode MS" w:hAnsi="Times New Roman" w:cs="Times New Roman"/>
          <w:sz w:val="24"/>
          <w:szCs w:val="20"/>
        </w:rPr>
        <w:t xml:space="preserve"> If the expenditure is incurred with a view to earn the taxable income then it can be said that dominant and immediate connection exists between the expenditure incurred and the taxable income and consequently</w:t>
      </w:r>
      <w:r w:rsidRPr="003F7387">
        <w:rPr>
          <w:rFonts w:ascii="Times New Roman" w:eastAsia="Arial Unicode MS" w:hAnsi="Times New Roman" w:cs="Times New Roman"/>
          <w:color w:val="FF0000"/>
          <w:sz w:val="24"/>
          <w:szCs w:val="20"/>
        </w:rPr>
        <w:t>, no disallowance u/s 14A can be made even where some tax-free income is received incidentally.</w:t>
      </w:r>
      <w:r w:rsidRPr="00713AB7">
        <w:rPr>
          <w:rFonts w:ascii="Times New Roman" w:eastAsia="Arial Unicode MS" w:hAnsi="Times New Roman" w:cs="Times New Roman"/>
          <w:sz w:val="24"/>
          <w:szCs w:val="20"/>
        </w:rPr>
        <w:t xml:space="preserve"> On the other hand, if the expenditure is incurred mainly with a view to earn the tax-free income then it can be said that the dominant and immediate connection exists between the expenditure incurred and in the tax-free income and consequently disallowance u/s. 14A can be made even though some taxable income may arise incidentally.</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 xml:space="preserve">24. However, there may also be cases where the expenditure may be incurred with a view to earn tax-free as well as taxable income simultaneously from an indivisible activity. Reference can be made to the decision of Hon'ble Supreme Court in the case of </w:t>
      </w:r>
      <w:r w:rsidRPr="00713AB7">
        <w:rPr>
          <w:rFonts w:ascii="Times New Roman" w:eastAsia="Arial Unicode MS" w:hAnsi="Times New Roman" w:cs="Times New Roman"/>
          <w:i/>
          <w:iCs/>
          <w:sz w:val="24"/>
        </w:rPr>
        <w:t>Maharashtra Sugar Mills Ltd. 82 ITR 452 (SC)</w:t>
      </w:r>
      <w:r w:rsidRPr="00713AB7">
        <w:rPr>
          <w:rFonts w:ascii="Times New Roman" w:eastAsia="Arial Unicode MS" w:hAnsi="Times New Roman" w:cs="Times New Roman"/>
          <w:sz w:val="24"/>
          <w:szCs w:val="20"/>
        </w:rPr>
        <w:t xml:space="preserve"> where the assessee was carrying on the composite business of growing sugarcane and manufacturing sugar therefrom. The assessee claimed deduction in respect of managing agency commission paid by it but the Assessing Officer partly disallowed the same on the ground that part of such expenditure related to management of sugarcane cultivation income from which was exempt from tax. However the Supreme Court held that there is no basis for the view that the only expenditure incurred in respect of a business activity giving rise to taxable income can be allowed as deduction under section 10(2)(xv) and not otherwise. If the allowance claimed is permissible under the Act, then the same has to be deducted from the gross profit and if it is not permissible under the Act, it has to be rejected. For the similar reasons, the apex court held in the case of </w:t>
      </w:r>
      <w:r w:rsidRPr="00713AB7">
        <w:rPr>
          <w:rFonts w:ascii="Times New Roman" w:eastAsia="Arial Unicode MS" w:hAnsi="Times New Roman" w:cs="Times New Roman"/>
          <w:i/>
          <w:iCs/>
          <w:sz w:val="24"/>
        </w:rPr>
        <w:t>Rajasthan State Warehousing Corporation 242 ITR 451</w:t>
      </w:r>
      <w:r w:rsidRPr="00713AB7">
        <w:rPr>
          <w:rFonts w:ascii="Times New Roman" w:eastAsia="Arial Unicode MS" w:hAnsi="Times New Roman" w:cs="Times New Roman"/>
          <w:sz w:val="24"/>
          <w:szCs w:val="20"/>
        </w:rPr>
        <w:t xml:space="preserve"> that where assessee was carrying on one indivisible business then deduction in respect of an expenditure could not be disallowed merely because part of the income from such business was exempt from tax. In both the cases, the expenditure was incurred with a view to earn tax-free as well as taxable income simultaneously and therefore it can be said that dominant and immediate connection exists in </w:t>
      </w:r>
      <w:r w:rsidRPr="00713AB7">
        <w:rPr>
          <w:rFonts w:ascii="Times New Roman" w:eastAsia="Arial Unicode MS" w:hAnsi="Times New Roman" w:cs="Times New Roman"/>
          <w:sz w:val="24"/>
          <w:szCs w:val="20"/>
        </w:rPr>
        <w:lastRenderedPageBreak/>
        <w:t>such cases between the expenditure incurred and the tax-free as well as taxable income earned by the assessee. Therefore, in such cases, in our opinion, the disallowance can be made u/s 14A on proportionate basis in accordance with the provisions of sub-section (2) &amp; (3) of Section 14A of the Act. At this stage, it may also be pointed out that section 14A was inserted with a view to overcome the effect of the decision of the Supreme Court in the case of Rajasthan State Warehousing Corporation (supra).</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25. In view of the above legal position, the next question which arises for our consideration is whether any disallowance u/s. 14A can be made in the case of a dealer in shares. Generally, in our opinion, a dealer in shares does not acquire shares and securities to earn dividend income. The dominant and immediate object behind acquisition of shares is to earn profit on the sale of shares at the earliest point of time which is chargeable to tax under the Act. Sometimes, such person by chance may also get the dividend on the shares held by him as 'stock-in-trade'. Since such dividend income is never intended at the time of purchase of shares, in our opinion, the connection between the expenditure incurred and the dividend income can be said to be incidental only since the dominant and immediate connection exists only between the expenditure incurred and profit on sale of shares. Since the existence of dominant and immediate connection is the condition precedent for invoking the provisions of section 14A of the Act, in our opinion, the mere receipt of dividend income incidentally in the case of dealer in shares would not be sufficient for invoking the provisions of section 14A of the Act.</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20"/>
        </w:rPr>
        <w:t xml:space="preserve">26. However, on facts, there may be instances where even a dealer in shares may choose to acquire shares with the main object of earning dividend income. In various cases, it has been seen that the shares/securities are purchased only with a view to earn dividend income despite knowing well in advance that there would be loss on the sale of such shares/ securities. For example, Unit Trust of India usually notifies a date for declaration of dividend. In such cases, market price of units rises abnormally before the notified date and falls also abnormally after the notified date. Even in such situation, the assessee buys units at a high price before the notified date, receives the tax free dividend and then sells the units shortly thereafter at a loss. Reference can be made to the case of </w:t>
      </w:r>
      <w:r w:rsidRPr="00713AB7">
        <w:rPr>
          <w:rFonts w:ascii="Times New Roman" w:eastAsia="Arial Unicode MS" w:hAnsi="Times New Roman" w:cs="Times New Roman"/>
          <w:i/>
          <w:iCs/>
          <w:sz w:val="24"/>
        </w:rPr>
        <w:t xml:space="preserve">Walfort Shares and Stock Brokers Ltd. 96 ITD 1 (SB) </w:t>
      </w:r>
      <w:r w:rsidRPr="00713AB7">
        <w:rPr>
          <w:rFonts w:ascii="Times New Roman" w:eastAsia="Arial Unicode MS" w:hAnsi="Times New Roman" w:cs="Times New Roman"/>
          <w:sz w:val="24"/>
          <w:szCs w:val="20"/>
        </w:rPr>
        <w:t>where such facts existed. The dividend income earned is exempt from tax while the loss is the business loss which gets adjusted against other business profits. In such cases, it cannot be said that dominant and immediate object is to earn profit on sale of securities. On the other hand, the dominant and immediate object of assessee is self evident i.e. to earn dividend income which is exempt from tax u/s. 10(33) of the Act. Therefore, in our considered opinion, the disallowance u/s. 14A can be made in such cases in respect of expenditure incurred. However, onus would be heavy on the revenue to establish such connection because the settled legal proposition is that onus of proof lies on the person who invoices a particular provision or alleges that a fact exists. If Assessing Officer wants to invoke the provisions of section 14A then onus would be on him to establish that there exists dominant and immediate connection between the expenditure incurred and the income not forming part of total income. On the other hand, where the assessee claims deduction u/s. 36(1)(iii) or sec 37, the onus would be on the assessee to prove that expenditure was for the purpose of the business. Once this onus is discharged, it would shift to the Assessing Officer to establish that there exists dominant and immediate connection between expenditure incurred and income exempt from tax if section 14A is to be invoked by him. We hold accordingly.</w:t>
      </w:r>
    </w:p>
    <w:p w:rsidR="00713AB7" w:rsidRPr="00713AB7" w:rsidRDefault="00713AB7" w:rsidP="00713AB7">
      <w:pPr>
        <w:spacing w:after="0" w:line="240" w:lineRule="auto"/>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lastRenderedPageBreak/>
        <w:t xml:space="preserve">27. </w:t>
      </w:r>
      <w:r w:rsidRPr="003F7387">
        <w:rPr>
          <w:rFonts w:ascii="Times New Roman" w:eastAsia="Arial Unicode MS" w:hAnsi="Times New Roman" w:cs="Times New Roman"/>
          <w:color w:val="FF0000"/>
          <w:sz w:val="24"/>
          <w:szCs w:val="20"/>
        </w:rPr>
        <w:t xml:space="preserve">Coming to the scope of sub-section (2) &amp; (3) of section 14A, we find that these are the procedural provisions for determining the disallowance of the expenditure in relation to income not forming part of the total income. These sub-sections provide the procedure for making disallowance u/s. 14A. The Hon'ble Supreme Court, in the case of </w:t>
      </w:r>
      <w:r w:rsidRPr="003F7387">
        <w:rPr>
          <w:rFonts w:ascii="Times New Roman" w:eastAsia="Arial Unicode MS" w:hAnsi="Times New Roman" w:cs="Times New Roman"/>
          <w:i/>
          <w:iCs/>
          <w:color w:val="FF0000"/>
          <w:sz w:val="24"/>
        </w:rPr>
        <w:t>CIT vs. Sharwan Kumar Swarup &amp; Others reported in 210 ITR 886</w:t>
      </w:r>
      <w:r w:rsidRPr="003F7387">
        <w:rPr>
          <w:rFonts w:ascii="Times New Roman" w:eastAsia="Arial Unicode MS" w:hAnsi="Times New Roman" w:cs="Times New Roman"/>
          <w:color w:val="FF0000"/>
          <w:sz w:val="24"/>
          <w:szCs w:val="20"/>
        </w:rPr>
        <w:t xml:space="preserve">, has held that procedural law, generally speaking, is applicable to all pending cases since no person has a vested right in the procedure. </w:t>
      </w:r>
      <w:r w:rsidRPr="00713AB7">
        <w:rPr>
          <w:rFonts w:ascii="Times New Roman" w:eastAsia="Arial Unicode MS" w:hAnsi="Times New Roman" w:cs="Times New Roman"/>
          <w:sz w:val="24"/>
          <w:szCs w:val="20"/>
        </w:rPr>
        <w:t xml:space="preserve">In view of this legal position, we are in agreement with the contention of the learned Sr. D.R. that such provisions </w:t>
      </w:r>
      <w:r w:rsidRPr="003F7387">
        <w:rPr>
          <w:rFonts w:ascii="Times New Roman" w:eastAsia="Arial Unicode MS" w:hAnsi="Times New Roman" w:cs="Times New Roman"/>
          <w:color w:val="FF0000"/>
          <w:sz w:val="24"/>
          <w:szCs w:val="20"/>
        </w:rPr>
        <w:t>would be applicable to all pending matters</w:t>
      </w:r>
      <w:r w:rsidRPr="00713AB7">
        <w:rPr>
          <w:rFonts w:ascii="Times New Roman" w:eastAsia="Arial Unicode MS" w:hAnsi="Times New Roman" w:cs="Times New Roman"/>
          <w:sz w:val="24"/>
          <w:szCs w:val="20"/>
        </w:rPr>
        <w:t xml:space="preserve">. Therefore, the contention of Mr. Kunal Reshamwala, that provisions of sub-section (2) &amp; (3) of Section 14A cannot be applied to earlier years cannot be accepted. However, we are unable to agree with his contention that disallowance under sub-sections (2) &amp; (3) can be made even if sub-section (1) does not apply, in our opinion, sub-sections (2) &amp; (3) being procedural provisions cannot control the substantive provisions of sub-section (1) of section 14A. Subsection (2) &amp; (3) would apply only when sub-section (1) applies to the facts of the case. </w:t>
      </w:r>
      <w:r w:rsidRPr="003F7387">
        <w:rPr>
          <w:rFonts w:ascii="Times New Roman" w:eastAsia="Arial Unicode MS" w:hAnsi="Times New Roman" w:cs="Times New Roman"/>
          <w:color w:val="FF0000"/>
          <w:sz w:val="24"/>
          <w:szCs w:val="20"/>
        </w:rPr>
        <w:t>If the Assessing Officer finds that there is dominant and immediate connection between the expenditure incurred and the income not forming part of the total income then only the provisions of sub-section (2) &amp;(3) would come into play</w:t>
      </w:r>
      <w:r w:rsidRPr="00713AB7">
        <w:rPr>
          <w:rFonts w:ascii="Times New Roman" w:eastAsia="Arial Unicode MS" w:hAnsi="Times New Roman" w:cs="Times New Roman"/>
          <w:sz w:val="24"/>
          <w:szCs w:val="20"/>
        </w:rPr>
        <w:t xml:space="preserve"> and not otherwise. We hold accordingly.</w:t>
      </w:r>
    </w:p>
    <w:p w:rsidR="00713AB7" w:rsidRPr="00713AB7" w:rsidRDefault="00713AB7" w:rsidP="00713AB7">
      <w:pPr>
        <w:spacing w:after="0" w:line="240" w:lineRule="auto"/>
        <w:jc w:val="both"/>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w:t>
      </w:r>
      <w:r w:rsidRPr="00713AB7">
        <w:rPr>
          <w:rFonts w:ascii="Times New Roman" w:eastAsia="Arial Unicode MS" w:hAnsi="Times New Roman" w:cs="Times New Roman"/>
          <w:sz w:val="24"/>
          <w:szCs w:val="20"/>
        </w:rPr>
        <w:tab/>
      </w:r>
      <w:r w:rsidRPr="00713AB7">
        <w:rPr>
          <w:rFonts w:ascii="Times New Roman" w:eastAsia="Arial Unicode MS" w:hAnsi="Times New Roman" w:cs="Times New Roman"/>
          <w:sz w:val="24"/>
          <w:szCs w:val="20"/>
        </w:rPr>
        <w:tab/>
        <w:t>**</w:t>
      </w:r>
      <w:r w:rsidRPr="00713AB7">
        <w:rPr>
          <w:rFonts w:ascii="Times New Roman" w:eastAsia="Arial Unicode MS" w:hAnsi="Times New Roman" w:cs="Times New Roman"/>
          <w:sz w:val="24"/>
          <w:szCs w:val="20"/>
        </w:rPr>
        <w:tab/>
      </w:r>
      <w:r w:rsidRPr="00713AB7">
        <w:rPr>
          <w:rFonts w:ascii="Times New Roman" w:eastAsia="Arial Unicode MS" w:hAnsi="Times New Roman" w:cs="Times New Roman"/>
          <w:sz w:val="24"/>
          <w:szCs w:val="20"/>
        </w:rPr>
        <w:tab/>
        <w:t>**</w:t>
      </w:r>
      <w:r w:rsidRPr="00713AB7">
        <w:rPr>
          <w:rFonts w:ascii="Times New Roman" w:eastAsia="Arial Unicode MS" w:hAnsi="Times New Roman" w:cs="Times New Roman"/>
          <w:sz w:val="24"/>
          <w:szCs w:val="20"/>
        </w:rPr>
        <w:tab/>
      </w:r>
      <w:r w:rsidRPr="00713AB7">
        <w:rPr>
          <w:rFonts w:ascii="Times New Roman" w:eastAsia="Arial Unicode MS" w:hAnsi="Times New Roman" w:cs="Times New Roman"/>
          <w:sz w:val="24"/>
          <w:szCs w:val="20"/>
        </w:rPr>
        <w:tab/>
        <w:t>**</w:t>
      </w:r>
      <w:r w:rsidRPr="00713AB7">
        <w:rPr>
          <w:rFonts w:ascii="Times New Roman" w:eastAsia="Arial Unicode MS" w:hAnsi="Times New Roman" w:cs="Times New Roman"/>
          <w:sz w:val="24"/>
          <w:szCs w:val="20"/>
        </w:rPr>
        <w:tab/>
      </w:r>
      <w:r w:rsidRPr="00713AB7">
        <w:rPr>
          <w:rFonts w:ascii="Times New Roman" w:eastAsia="Arial Unicode MS" w:hAnsi="Times New Roman" w:cs="Times New Roman"/>
          <w:sz w:val="24"/>
          <w:szCs w:val="20"/>
        </w:rPr>
        <w:tab/>
        <w:t>**</w:t>
      </w:r>
      <w:r w:rsidRPr="00713AB7">
        <w:rPr>
          <w:rFonts w:ascii="Times New Roman" w:eastAsia="Arial Unicode MS" w:hAnsi="Times New Roman" w:cs="Times New Roman"/>
          <w:sz w:val="24"/>
          <w:szCs w:val="20"/>
        </w:rPr>
        <w:tab/>
      </w:r>
      <w:r w:rsidRPr="00713AB7">
        <w:rPr>
          <w:rFonts w:ascii="Times New Roman" w:eastAsia="Arial Unicode MS" w:hAnsi="Times New Roman" w:cs="Times New Roman"/>
          <w:sz w:val="24"/>
          <w:szCs w:val="20"/>
        </w:rPr>
        <w:tab/>
        <w:t>**</w:t>
      </w:r>
    </w:p>
    <w:p w:rsidR="00713AB7" w:rsidRPr="00713AB7" w:rsidRDefault="00713AB7" w:rsidP="00713AB7">
      <w:pPr>
        <w:spacing w:after="0" w:line="240" w:lineRule="auto"/>
        <w:jc w:val="both"/>
        <w:rPr>
          <w:rFonts w:ascii="Times New Roman" w:eastAsia="Arial Unicode MS" w:hAnsi="Times New Roman" w:cs="Times New Roman"/>
          <w:sz w:val="24"/>
          <w:szCs w:val="20"/>
        </w:rPr>
      </w:pPr>
      <w:r w:rsidRPr="00713AB7">
        <w:rPr>
          <w:rFonts w:ascii="Times New Roman" w:eastAsia="Arial Unicode MS" w:hAnsi="Times New Roman" w:cs="Times New Roman"/>
          <w:sz w:val="24"/>
          <w:szCs w:val="20"/>
        </w:rPr>
        <w:t> </w:t>
      </w:r>
    </w:p>
    <w:p w:rsidR="00713AB7" w:rsidRPr="00713AB7" w:rsidRDefault="00713AB7" w:rsidP="00713AB7">
      <w:pPr>
        <w:spacing w:after="0" w:line="240" w:lineRule="auto"/>
        <w:jc w:val="both"/>
        <w:rPr>
          <w:rFonts w:ascii="Times New Roman" w:eastAsia="Arial Unicode MS" w:hAnsi="Times New Roman" w:cs="Times New Roman"/>
          <w:sz w:val="24"/>
          <w:szCs w:val="18"/>
        </w:rPr>
      </w:pPr>
      <w:r w:rsidRPr="00713AB7">
        <w:rPr>
          <w:rFonts w:ascii="Times New Roman" w:eastAsia="Arial Unicode MS" w:hAnsi="Times New Roman" w:cs="Times New Roman"/>
          <w:sz w:val="24"/>
          <w:szCs w:val="18"/>
        </w:rPr>
        <w:t> </w:t>
      </w:r>
    </w:p>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p w:rsidR="00713AB7" w:rsidRPr="00713AB7" w:rsidRDefault="00713AB7" w:rsidP="00713AB7">
      <w:pPr>
        <w:spacing w:after="0" w:line="240" w:lineRule="auto"/>
        <w:rPr>
          <w:rFonts w:ascii="Times New Roman" w:eastAsia="Times New Roman" w:hAnsi="Times New Roman" w:cs="Times New Roman"/>
          <w:sz w:val="24"/>
          <w:szCs w:val="24"/>
        </w:rPr>
      </w:pPr>
      <w:r w:rsidRPr="00713AB7">
        <w:rPr>
          <w:rFonts w:ascii="Times New Roman" w:eastAsia="Times New Roman" w:hAnsi="Times New Roman" w:cs="Times New Roman"/>
          <w:sz w:val="24"/>
          <w:szCs w:val="24"/>
        </w:rPr>
        <w:t> </w:t>
      </w:r>
    </w:p>
    <w:p w:rsidR="00713AB7" w:rsidRDefault="00713AB7" w:rsidP="004B5A26">
      <w:pPr>
        <w:shd w:val="clear" w:color="auto" w:fill="FFFFFF"/>
        <w:spacing w:before="360" w:after="0" w:line="240" w:lineRule="auto"/>
        <w:outlineLvl w:val="1"/>
        <w:rPr>
          <w:rFonts w:ascii="Times" w:eastAsia="Times New Roman" w:hAnsi="Times" w:cs="Times"/>
          <w:color w:val="00468C"/>
          <w:sz w:val="26"/>
          <w:szCs w:val="26"/>
        </w:rPr>
      </w:pPr>
    </w:p>
    <w:p w:rsidR="004B5A26" w:rsidRPr="00557AB5" w:rsidRDefault="004B5A26" w:rsidP="004B5A26">
      <w:pPr>
        <w:shd w:val="clear" w:color="auto" w:fill="FFFFFF"/>
        <w:spacing w:before="360" w:after="0" w:line="240" w:lineRule="auto"/>
        <w:outlineLvl w:val="1"/>
        <w:rPr>
          <w:rFonts w:ascii="Times" w:eastAsia="Times New Roman" w:hAnsi="Times" w:cs="Times"/>
          <w:color w:val="00468C"/>
          <w:sz w:val="26"/>
          <w:szCs w:val="26"/>
        </w:rPr>
      </w:pPr>
      <w:r w:rsidRPr="00557AB5">
        <w:rPr>
          <w:rFonts w:ascii="Times" w:eastAsia="Times New Roman" w:hAnsi="Times" w:cs="Times"/>
          <w:color w:val="00468C"/>
          <w:sz w:val="26"/>
          <w:szCs w:val="26"/>
        </w:rPr>
        <w:t>Tuesday, November 18, 2008</w:t>
      </w:r>
    </w:p>
    <w:bookmarkStart w:id="0" w:name="5709288318492693346"/>
    <w:bookmarkEnd w:id="0"/>
    <w:p w:rsidR="004B5A26" w:rsidRPr="00557AB5" w:rsidRDefault="00AD2A64" w:rsidP="004B5A26">
      <w:pPr>
        <w:shd w:val="clear" w:color="auto" w:fill="FFFFFF"/>
        <w:spacing w:after="0" w:line="264" w:lineRule="atLeast"/>
        <w:outlineLvl w:val="2"/>
        <w:rPr>
          <w:rFonts w:ascii="Times" w:eastAsia="Times New Roman" w:hAnsi="Times" w:cs="Times"/>
          <w:b/>
          <w:bCs/>
          <w:color w:val="333333"/>
          <w:sz w:val="36"/>
          <w:szCs w:val="36"/>
        </w:rPr>
      </w:pPr>
      <w:r w:rsidRPr="00557AB5">
        <w:rPr>
          <w:rFonts w:ascii="Times" w:eastAsia="Times New Roman" w:hAnsi="Times" w:cs="Times"/>
          <w:b/>
          <w:bCs/>
          <w:color w:val="333333"/>
          <w:sz w:val="36"/>
          <w:szCs w:val="36"/>
        </w:rPr>
        <w:fldChar w:fldCharType="begin"/>
      </w:r>
      <w:r w:rsidR="004B5A26" w:rsidRPr="00557AB5">
        <w:rPr>
          <w:rFonts w:ascii="Times" w:eastAsia="Times New Roman" w:hAnsi="Times" w:cs="Times"/>
          <w:b/>
          <w:bCs/>
          <w:color w:val="333333"/>
          <w:sz w:val="36"/>
          <w:szCs w:val="36"/>
        </w:rPr>
        <w:instrText xml:space="preserve"> HYPERLINK "http://indiacorplaw.blogspot.com/2008/11/daga-capital-decision-with-implications.html" </w:instrText>
      </w:r>
      <w:r w:rsidRPr="00557AB5">
        <w:rPr>
          <w:rFonts w:ascii="Times" w:eastAsia="Times New Roman" w:hAnsi="Times" w:cs="Times"/>
          <w:b/>
          <w:bCs/>
          <w:color w:val="333333"/>
          <w:sz w:val="36"/>
          <w:szCs w:val="36"/>
        </w:rPr>
        <w:fldChar w:fldCharType="separate"/>
      </w:r>
      <w:r w:rsidR="004B5A26" w:rsidRPr="00557AB5">
        <w:rPr>
          <w:rFonts w:ascii="Times" w:eastAsia="Times New Roman" w:hAnsi="Times" w:cs="Times"/>
          <w:b/>
          <w:bCs/>
          <w:color w:val="00468C"/>
          <w:sz w:val="36"/>
          <w:u w:val="single"/>
        </w:rPr>
        <w:t>Daga Capital - A decision with implications for trade in shares and securities</w:t>
      </w:r>
      <w:r w:rsidRPr="00557AB5">
        <w:rPr>
          <w:rFonts w:ascii="Times" w:eastAsia="Times New Roman" w:hAnsi="Times" w:cs="Times"/>
          <w:b/>
          <w:bCs/>
          <w:color w:val="333333"/>
          <w:sz w:val="36"/>
          <w:szCs w:val="36"/>
        </w:rPr>
        <w:fldChar w:fldCharType="end"/>
      </w:r>
      <w:r w:rsidR="004B5A26" w:rsidRPr="00557AB5">
        <w:rPr>
          <w:rFonts w:ascii="Times" w:eastAsia="Times New Roman" w:hAnsi="Times" w:cs="Times"/>
          <w:b/>
          <w:bCs/>
          <w:color w:val="333333"/>
          <w:sz w:val="36"/>
          <w:szCs w:val="36"/>
        </w:rPr>
        <w:t xml:space="preserve"> </w:t>
      </w:r>
    </w:p>
    <w:p w:rsidR="004B5A26" w:rsidRPr="00557AB5" w:rsidRDefault="004B5A26" w:rsidP="004B5A26">
      <w:pPr>
        <w:shd w:val="clear" w:color="auto" w:fill="FFFFFF"/>
        <w:spacing w:before="100" w:beforeAutospacing="1" w:after="100" w:afterAutospacing="1" w:line="240" w:lineRule="auto"/>
        <w:rPr>
          <w:rFonts w:ascii="Times" w:eastAsia="Times New Roman" w:hAnsi="Times" w:cs="Times"/>
          <w:color w:val="333333"/>
          <w:sz w:val="29"/>
          <w:szCs w:val="29"/>
        </w:rPr>
      </w:pPr>
      <w:r w:rsidRPr="00557AB5">
        <w:rPr>
          <w:rFonts w:ascii="Times" w:eastAsia="Times New Roman" w:hAnsi="Times" w:cs="Times"/>
          <w:color w:val="333333"/>
          <w:sz w:val="29"/>
          <w:szCs w:val="29"/>
        </w:rPr>
        <w:t xml:space="preserve">In a case decided less than a month back, a special (3 member) bench of the Bombay ITAT considered and decided a number of tax issues arising with respect to entities dealing in shares and securities. Given the considerable attention devoted on late to financial institutions and mutual funds, this decision is one of enormous significance. </w:t>
      </w:r>
      <w:r w:rsidRPr="00557AB5">
        <w:rPr>
          <w:rFonts w:ascii="Times" w:eastAsia="Times New Roman" w:hAnsi="Times" w:cs="Times"/>
          <w:color w:val="333333"/>
          <w:sz w:val="29"/>
          <w:szCs w:val="29"/>
        </w:rPr>
        <w:br/>
      </w:r>
      <w:r w:rsidRPr="00557AB5">
        <w:rPr>
          <w:rFonts w:ascii="Times" w:eastAsia="Times New Roman" w:hAnsi="Times" w:cs="Times"/>
          <w:color w:val="333333"/>
          <w:sz w:val="29"/>
          <w:szCs w:val="29"/>
        </w:rPr>
        <w:br/>
        <w:t xml:space="preserve">The Bench considered three appeals together, one by the Revenue in a case involving M/s Daga Capital Management Pvt. Ltd., and two by assessees (M/s Cheminvest Ltd., New Delhi and M/s Maxopp Investments Ltd., New Delhi). Daga Capital dealt in shares and securities, and had incurred expenditure in the form of losses incurred in dealing in shares and securities and also interest on </w:t>
      </w:r>
      <w:r w:rsidRPr="00557AB5">
        <w:rPr>
          <w:rFonts w:ascii="Times" w:eastAsia="Times New Roman" w:hAnsi="Times" w:cs="Times"/>
          <w:color w:val="333333"/>
          <w:sz w:val="29"/>
          <w:szCs w:val="29"/>
        </w:rPr>
        <w:lastRenderedPageBreak/>
        <w:t xml:space="preserve">the moneys borrowed for the purposes of purchasing shares. There was some income earned in the form of dividend, which was exempt under s. 10(33), Income tax Act. The Assessing Officer allowed the losses to be deducted, but didn’t allow the interest on moneys borrowed, on the basis of s. 14A, Income Tax Act. S. 14A(1) states: “For the purposes of computing the total income under this Chapter, no deduction shall be allowed in respect of expenditure incurred by the assessee in relation to income which does not form part of the total income under this Act.” The AO held that the interest was expenditure incurred ‘in relation to’ to the dividend income, which ‘did not form part of total income’ due to the exemption under s. 10(33). On this basis, he disallowed the expenditure. On appeal, the CIT(A) reversed the decision, which was appealed against by the Revenue. The cases of Cheminvest and Maxopp also involved allowability of interest on moneys borrowed for purchasing shares. However, the facts differed slightly, in that, the two were investment companies with largely stable shareholding and not too many transactions in shares. </w:t>
      </w:r>
      <w:r w:rsidRPr="00557AB5">
        <w:rPr>
          <w:rFonts w:ascii="Times" w:eastAsia="Times New Roman" w:hAnsi="Times" w:cs="Times"/>
          <w:color w:val="333333"/>
          <w:sz w:val="29"/>
          <w:szCs w:val="29"/>
        </w:rPr>
        <w:br/>
      </w:r>
      <w:r w:rsidRPr="00557AB5">
        <w:rPr>
          <w:rFonts w:ascii="Times" w:eastAsia="Times New Roman" w:hAnsi="Times" w:cs="Times"/>
          <w:color w:val="333333"/>
          <w:sz w:val="29"/>
          <w:szCs w:val="29"/>
        </w:rPr>
        <w:br/>
        <w:t xml:space="preserve">In this factual matrix, the three major issues arose before the Court: (1) relationship between s. 14A and the rest of the Act; (2) the retrospectivity of ss. 14A(2) &amp; (3), which are procedural provisions dealing with computation under s. 14A(1); and (3) the meaning on ‘in relation to’ as used in s. 14A(1). Of these, the first and the third and relevant for the purposes of this discussion, while the second was decided largely on the basis of the presumption of retrospectivity of procedural and clarificatory provisions, relying on the recent decision of the Supreme Court in Gold Coin health Foods Ltd. [(2008) 304 ITR 308 (SC)]. </w:t>
      </w:r>
      <w:r w:rsidRPr="00557AB5">
        <w:rPr>
          <w:rFonts w:ascii="Times" w:eastAsia="Times New Roman" w:hAnsi="Times" w:cs="Times"/>
          <w:color w:val="333333"/>
          <w:sz w:val="29"/>
          <w:szCs w:val="29"/>
        </w:rPr>
        <w:br/>
      </w:r>
      <w:r w:rsidRPr="00557AB5">
        <w:rPr>
          <w:rFonts w:ascii="Times" w:eastAsia="Times New Roman" w:hAnsi="Times" w:cs="Times"/>
          <w:color w:val="333333"/>
          <w:sz w:val="29"/>
          <w:szCs w:val="29"/>
        </w:rPr>
        <w:br/>
        <w:t xml:space="preserve">With regard to the first issue, all the members of the tribunal were unanimous in holding that the provision overrode the rest of the provisions of the Act. The assessee had contended that if an amount is deductible as business expenditure under s. 36, it cannot be disallowed under s. 14A. The Tribunal rightly held that such an interpretation would render s. 14A nugatory and should be rejected. Thus, irrespective of the allowability of expenditure under any other provision, if covered by s. 14A, the expenditure would be disallowed. </w:t>
      </w:r>
      <w:r w:rsidRPr="00557AB5">
        <w:rPr>
          <w:rFonts w:ascii="Times" w:eastAsia="Times New Roman" w:hAnsi="Times" w:cs="Times"/>
          <w:color w:val="333333"/>
          <w:sz w:val="29"/>
          <w:szCs w:val="29"/>
        </w:rPr>
        <w:br/>
      </w:r>
      <w:r w:rsidRPr="00557AB5">
        <w:rPr>
          <w:rFonts w:ascii="Times" w:eastAsia="Times New Roman" w:hAnsi="Times" w:cs="Times"/>
          <w:color w:val="333333"/>
          <w:sz w:val="29"/>
          <w:szCs w:val="29"/>
        </w:rPr>
        <w:br/>
        <w:t xml:space="preserve">I now come to the crux of the case, the meaning of ‘in relation to’, on which the Vice-President of the Tribunal dissented from the other two members. The tribunal had before it two decisions of the Supreme Court – a 11 judge bench decision in H.H. Maharajadhiraja Madhav Rao Jivaji Rao Scindia Bahadur of Gwalior v. Union of India [(1971) 1 SCC 85] and a 2 judge decision in Doypack </w:t>
      </w:r>
      <w:r w:rsidRPr="00557AB5">
        <w:rPr>
          <w:rFonts w:ascii="Times" w:eastAsia="Times New Roman" w:hAnsi="Times" w:cs="Times"/>
          <w:color w:val="333333"/>
          <w:sz w:val="29"/>
          <w:szCs w:val="29"/>
        </w:rPr>
        <w:lastRenderedPageBreak/>
        <w:t xml:space="preserve">Systems Pvt. Ltd. V. Union of India [(1988) 2 SCC 299]. In Scindia, the Court had held that ‘in relation to’ meant ‘dominant and immediate connection’. On the other hand, Doypack held that the phrase includes ‘direct and indirect connection’. The Vice-President relied on a couple of Supreme Court dicta to hold that the meaning of a phrase as decided by prior decisions can be considered relevant when determining the meaning of the phrase when subsequently used by the legislature, which is deemed to be aware of these decisions. Given that Doypack was a smaller bench and had failed to cite Scindia, he opined that Doypack need not be followed. Thus, ‘in relation to’ required a dominant and immediate connection, which would have to be determined based on the intent of the parties. Having made this finding on law, he applied it to the facts at hand. He held that in the case of Daga Capital, the intent at the time of borrowing the money was to use it for purchasing and selling shares and securities and not making an investment. Hence, the expenditure was not in relation to the exempt income, and was allowable. However, for the other two assessees, he held that given the scarcity of share transactions entered into by them, their intent was to hold investments and not to trade in shares. Hence, the expenditure was not allowable due to s. 14A. </w:t>
      </w:r>
      <w:r w:rsidRPr="00557AB5">
        <w:rPr>
          <w:rFonts w:ascii="Times" w:eastAsia="Times New Roman" w:hAnsi="Times" w:cs="Times"/>
          <w:color w:val="333333"/>
          <w:sz w:val="29"/>
          <w:szCs w:val="29"/>
        </w:rPr>
        <w:br/>
      </w:r>
      <w:r w:rsidRPr="00557AB5">
        <w:rPr>
          <w:rFonts w:ascii="Times" w:eastAsia="Times New Roman" w:hAnsi="Times" w:cs="Times"/>
          <w:color w:val="333333"/>
          <w:sz w:val="29"/>
          <w:szCs w:val="29"/>
        </w:rPr>
        <w:br/>
        <w:t xml:space="preserve">The majority of two members, in a decision marked by acute and literal statutory interpretation, held that even the expenditure incurred by Daga Capital should not be allowed. Starting first with the conflict between Scindia and Doypack, they disagreed with the view that the meaning of phrases in one statute could be blindly imported into another. On the other hand, they opined that the context in which the phrase was used in the statute is significant. Applying this, they held that while Scindia dealt with constitutional interpretation, Doypack dealt with a tax-related matter, and was of greater relevance. They also held, interestingly, that the phrase in question in Scindia was ‘relating to’ and not ‘in relation to’ further detracting from its application to the issue at hand. In addition, they opined that even applying the ‘dominant and immediate’ test, the expenditure would be disallowed. For arriving at this decision, they applied the but-for test, stating that it was only due to the moneys borrowed that the dividend income was earned, thus satisfying the ‘dominant and immediate’ test. On the interpretation of the statute, they pointed out that the provision does not talk of looking at the expenditure and then looking for income resulting from it. Instead, it mandates an examination of the exempt income followed by an examination of the expenditure which has been incurred ‘in relation to’ such exempt income. Thus, the dissenting decision, in their </w:t>
      </w:r>
      <w:r w:rsidRPr="00557AB5">
        <w:rPr>
          <w:rFonts w:ascii="Times" w:eastAsia="Times New Roman" w:hAnsi="Times" w:cs="Times"/>
          <w:color w:val="333333"/>
          <w:sz w:val="29"/>
          <w:szCs w:val="29"/>
        </w:rPr>
        <w:lastRenderedPageBreak/>
        <w:t xml:space="preserve">opinion, put the proverbial ‘cart before the horse’. They supported this interpretation by pointing out that the Rules meant for computation under s. 14A provided for interest and similar other indirect expenditures, which would not have been the case had the provision to be read narrowly. Next, the assessee contended that Rule 8D used the term ‘value of investment’, suggesting that only expenditure meant for an investment was envisaged by the provision and not money spent in something like trading in shares and securities. The members again drew a distinction between ‘value of investment’ and ‘value of assets held as investment’, holding that the former refers to any money spent, while the latter would refer to money spent in the form of a long-term investment. Finally, dealing with the argument of intent, they held that intent was irrelevant now that the ‘dominant and immediate’ test was rejected. Also, since there was no distinction drawn in the Act between directly and incidentally earned income, the mere fact that the dividend income was incidentally earned had no tax implications. Finally, the Tribunal looked at a few decisions prior to the introduction of s. 14A, which had held that if the business in indivisible, expenditure in relation to all the income should be allowed, notwithstanding the fact that some of the income was tax-exempt. The Tribunal observed that s. 14A was introduced precisely in order to remedy this situation. Hence, even if the business was indivisible, the tax-exempt income was to be computed and the expenditure proportionately spent in relation to it to be determined. </w:t>
      </w:r>
      <w:r w:rsidRPr="00557AB5">
        <w:rPr>
          <w:rFonts w:ascii="Times" w:eastAsia="Times New Roman" w:hAnsi="Times" w:cs="Times"/>
          <w:color w:val="333333"/>
          <w:sz w:val="29"/>
          <w:szCs w:val="29"/>
        </w:rPr>
        <w:br/>
      </w:r>
      <w:r w:rsidRPr="00557AB5">
        <w:rPr>
          <w:rFonts w:ascii="Times" w:eastAsia="Times New Roman" w:hAnsi="Times" w:cs="Times"/>
          <w:color w:val="333333"/>
          <w:sz w:val="29"/>
          <w:szCs w:val="29"/>
        </w:rPr>
        <w:br/>
        <w:t>Thus, as things stand today, the interpretation of s. 14A, with regard to allowability of expenditures on exempt income is as follows:</w:t>
      </w:r>
      <w:r w:rsidRPr="00557AB5">
        <w:rPr>
          <w:rFonts w:ascii="Times" w:eastAsia="Times New Roman" w:hAnsi="Times" w:cs="Times"/>
          <w:color w:val="333333"/>
          <w:sz w:val="29"/>
          <w:szCs w:val="29"/>
        </w:rPr>
        <w:br/>
        <w:t>• The first inquiry is to determine the income which is exempt under any provision of the Act</w:t>
      </w:r>
      <w:r w:rsidRPr="00557AB5">
        <w:rPr>
          <w:rFonts w:ascii="Times" w:eastAsia="Times New Roman" w:hAnsi="Times" w:cs="Times"/>
          <w:color w:val="333333"/>
          <w:sz w:val="29"/>
          <w:szCs w:val="29"/>
        </w:rPr>
        <w:br/>
        <w:t>• Next, determine the expenditure which is, in any way, related to this income</w:t>
      </w:r>
      <w:r w:rsidRPr="00557AB5">
        <w:rPr>
          <w:rFonts w:ascii="Times" w:eastAsia="Times New Roman" w:hAnsi="Times" w:cs="Times"/>
          <w:color w:val="333333"/>
          <w:sz w:val="29"/>
          <w:szCs w:val="29"/>
        </w:rPr>
        <w:br/>
        <w:t>• Such expenditure as is related is not allowed, the rest is</w:t>
      </w:r>
      <w:r w:rsidRPr="00557AB5">
        <w:rPr>
          <w:rFonts w:ascii="Times" w:eastAsia="Times New Roman" w:hAnsi="Times" w:cs="Times"/>
          <w:color w:val="333333"/>
          <w:sz w:val="29"/>
          <w:szCs w:val="29"/>
        </w:rPr>
        <w:br/>
        <w:t>• The intent of the parties at the time of making the investment is not relevant</w:t>
      </w:r>
      <w:r w:rsidRPr="00557AB5">
        <w:rPr>
          <w:rFonts w:ascii="Times" w:eastAsia="Times New Roman" w:hAnsi="Times" w:cs="Times"/>
          <w:color w:val="333333"/>
          <w:sz w:val="29"/>
          <w:szCs w:val="29"/>
        </w:rPr>
        <w:br/>
        <w:t>• Allowability of the expenditure under any provision of the Act is overridden by s. 14A</w:t>
      </w:r>
      <w:r w:rsidRPr="00557AB5">
        <w:rPr>
          <w:rFonts w:ascii="Times" w:eastAsia="Times New Roman" w:hAnsi="Times" w:cs="Times"/>
          <w:color w:val="333333"/>
          <w:sz w:val="29"/>
          <w:szCs w:val="29"/>
        </w:rPr>
        <w:br/>
        <w:t>• Indivisibility of the business is not relevant, and the tax-exempt income is to be computed and the expenditure proportionate to it to be determined and disallowed</w:t>
      </w:r>
    </w:p>
    <w:p w:rsidR="004B5A26" w:rsidRDefault="004B5A26" w:rsidP="004B5A26"/>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lastRenderedPageBreak/>
        <w:t>Where the Special Bench had to consider whether s. 14A applied with respect to dividend earned by an assessee trading in shares and holding shares as stock-in-trade, HELD:</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b/>
          <w:bCs/>
          <w:color w:val="000000"/>
          <w:sz w:val="20"/>
        </w:rPr>
        <w:t>By the Bench:</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(i) S. 14A has an overriding effect and applies to all expenditure in relation to exempt income even though such expenditure would have been allowable under other provisions such as 36 (1) (iii);</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(ii) Sub-sections (2) and (3) of s. 14A, though inserted by the F. A. 2006 w.e.f. 1.4.2007, read with Rule 8D, are procedural and clarificatory in nature and apply to pending matters;</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b/>
          <w:bCs/>
          <w:color w:val="000000"/>
          <w:sz w:val="20"/>
        </w:rPr>
        <w:t>By the Majority:</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(iii) The words “in relation to” in s. 14A encompass not only the direct expense but also the indirect expense which has any relation to the exempt income. The argument that the words contemplate a “direct and immediate connection” between the expenditure and the exempt income cannot be accepted. Accordingly, the argument that s. 14A cannot apply to shares held as stock-in-trade cannot be accepted. The fact that the dividend income is “incidental” to the purchase of shares is also irrelevant. The question as to whether the onus is on the assessee or the AO for bringing an item of expenditure within s. 14A is also irrelevant in view of Rule 8D;</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b/>
          <w:bCs/>
          <w:color w:val="000000"/>
          <w:sz w:val="20"/>
        </w:rPr>
        <w:t>By the VP, dissenting:</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(iv) The words “in relation to” in s. 14A mean a “dominant and immediate connection” between the expenditure and the exempt income. To determine whether there is such a connection, one has to see the object with which the expenditure is incurred. If the expenditure is incurred mainly to earn taxable income and the tax-free income is incidental, there is no such connection and s. 14A does not apply. The onus is on the AO to establish that there is a “dominant and immediate connection” between the expenditure and the exempt income;</w:t>
      </w:r>
    </w:p>
    <w:p w:rsidR="004B5A26" w:rsidRPr="003E710A" w:rsidRDefault="004B5A26" w:rsidP="004B5A26">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w:t>
      </w:r>
    </w:p>
    <w:p w:rsidR="004B5A26" w:rsidRPr="00B0199F" w:rsidRDefault="004B5A26" w:rsidP="00B0199F">
      <w:pPr>
        <w:spacing w:before="30" w:after="30" w:line="360" w:lineRule="atLeast"/>
        <w:jc w:val="both"/>
        <w:rPr>
          <w:rFonts w:ascii="Georgia" w:eastAsia="Times New Roman" w:hAnsi="Georgia" w:cs="Arial"/>
          <w:color w:val="000000"/>
          <w:sz w:val="20"/>
          <w:szCs w:val="20"/>
        </w:rPr>
      </w:pPr>
      <w:r w:rsidRPr="003E710A">
        <w:rPr>
          <w:rFonts w:ascii="Georgia" w:eastAsia="Times New Roman" w:hAnsi="Georgia" w:cs="Arial"/>
          <w:color w:val="000000"/>
          <w:sz w:val="20"/>
          <w:szCs w:val="20"/>
        </w:rPr>
        <w:t xml:space="preserve">(v) In the case of a dealer in shares, the dominant object of acquiring shares is not to earn dividend and consequently s. 14A does not apply. </w:t>
      </w:r>
    </w:p>
    <w:sectPr w:rsidR="004B5A26" w:rsidRPr="00B0199F" w:rsidSect="00766D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25CF"/>
    <w:rsid w:val="001D5A72"/>
    <w:rsid w:val="003F7387"/>
    <w:rsid w:val="004B5A26"/>
    <w:rsid w:val="005403B2"/>
    <w:rsid w:val="005B5A26"/>
    <w:rsid w:val="00713AB7"/>
    <w:rsid w:val="00766DE8"/>
    <w:rsid w:val="008625CF"/>
    <w:rsid w:val="009E2B61"/>
    <w:rsid w:val="00AD2A64"/>
    <w:rsid w:val="00B0199F"/>
    <w:rsid w:val="00B32626"/>
    <w:rsid w:val="00C20F76"/>
    <w:rsid w:val="00C7102E"/>
    <w:rsid w:val="00D425B9"/>
    <w:rsid w:val="00D70140"/>
    <w:rsid w:val="00E92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DE8"/>
  </w:style>
  <w:style w:type="paragraph" w:styleId="Heading2">
    <w:name w:val="heading 2"/>
    <w:basedOn w:val="Normal"/>
    <w:next w:val="Normal"/>
    <w:link w:val="Heading2Char"/>
    <w:uiPriority w:val="9"/>
    <w:qFormat/>
    <w:rsid w:val="00713AB7"/>
    <w:pPr>
      <w:keepNext/>
      <w:spacing w:before="140" w:after="140" w:line="240" w:lineRule="auto"/>
      <w:jc w:val="center"/>
      <w:outlineLvl w:val="1"/>
    </w:pPr>
    <w:rPr>
      <w:rFonts w:ascii="Times New Roman" w:eastAsia="Times New Roman" w:hAnsi="Times New Roman" w:cs="Times New Roman"/>
      <w:b/>
      <w:bCs/>
      <w:color w:val="8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403B2"/>
    <w:pPr>
      <w:widowControl w:val="0"/>
      <w:autoSpaceDE w:val="0"/>
      <w:autoSpaceDN w:val="0"/>
      <w:adjustRightInd w:val="0"/>
      <w:spacing w:after="0" w:line="480" w:lineRule="auto"/>
      <w:jc w:val="center"/>
    </w:pPr>
    <w:rPr>
      <w:rFonts w:ascii="Times New Roman" w:eastAsia="Times New Roman" w:hAnsi="Times New Roman" w:cs="Times New Roman"/>
      <w:b/>
      <w:sz w:val="24"/>
      <w:szCs w:val="24"/>
      <w:lang w:val="pt-BR"/>
    </w:rPr>
  </w:style>
  <w:style w:type="character" w:customStyle="1" w:styleId="TitleChar">
    <w:name w:val="Title Char"/>
    <w:basedOn w:val="DefaultParagraphFont"/>
    <w:link w:val="Title"/>
    <w:uiPriority w:val="10"/>
    <w:rsid w:val="005403B2"/>
    <w:rPr>
      <w:rFonts w:ascii="Times New Roman" w:eastAsia="Times New Roman" w:hAnsi="Times New Roman" w:cs="Times New Roman"/>
      <w:b/>
      <w:sz w:val="24"/>
      <w:szCs w:val="24"/>
      <w:lang w:val="pt-BR"/>
    </w:rPr>
  </w:style>
  <w:style w:type="paragraph" w:styleId="NoSpacing">
    <w:name w:val="No Spacing"/>
    <w:uiPriority w:val="1"/>
    <w:qFormat/>
    <w:rsid w:val="00D70140"/>
    <w:pPr>
      <w:spacing w:after="0" w:line="240" w:lineRule="auto"/>
    </w:pPr>
  </w:style>
  <w:style w:type="character" w:customStyle="1" w:styleId="Heading2Char">
    <w:name w:val="Heading 2 Char"/>
    <w:basedOn w:val="DefaultParagraphFont"/>
    <w:link w:val="Heading2"/>
    <w:uiPriority w:val="9"/>
    <w:rsid w:val="00713AB7"/>
    <w:rPr>
      <w:rFonts w:ascii="Times New Roman" w:eastAsia="Times New Roman" w:hAnsi="Times New Roman" w:cs="Times New Roman"/>
      <w:b/>
      <w:bCs/>
      <w:color w:val="800000"/>
      <w:sz w:val="28"/>
      <w:szCs w:val="20"/>
    </w:rPr>
  </w:style>
  <w:style w:type="paragraph" w:styleId="NormalWeb">
    <w:name w:val="Normal (Web)"/>
    <w:basedOn w:val="Normal"/>
    <w:uiPriority w:val="99"/>
    <w:unhideWhenUsed/>
    <w:rsid w:val="00713AB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713AB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13AB7"/>
    <w:rPr>
      <w:rFonts w:ascii="Times New Roman" w:eastAsia="Times New Roman" w:hAnsi="Times New Roman" w:cs="Times New Roman"/>
      <w:sz w:val="24"/>
      <w:szCs w:val="24"/>
    </w:rPr>
  </w:style>
  <w:style w:type="character" w:styleId="Emphasis">
    <w:name w:val="Emphasis"/>
    <w:basedOn w:val="DefaultParagraphFont"/>
    <w:uiPriority w:val="20"/>
    <w:qFormat/>
    <w:rsid w:val="00713AB7"/>
    <w:rPr>
      <w:i/>
      <w:iCs/>
    </w:rPr>
  </w:style>
</w:styles>
</file>

<file path=word/webSettings.xml><?xml version="1.0" encoding="utf-8"?>
<w:webSettings xmlns:r="http://schemas.openxmlformats.org/officeDocument/2006/relationships" xmlns:w="http://schemas.openxmlformats.org/wordprocessingml/2006/main">
  <w:divs>
    <w:div w:id="438836045">
      <w:bodyDiv w:val="1"/>
      <w:marLeft w:val="0"/>
      <w:marRight w:val="0"/>
      <w:marTop w:val="0"/>
      <w:marBottom w:val="0"/>
      <w:divBdr>
        <w:top w:val="none" w:sz="0" w:space="0" w:color="auto"/>
        <w:left w:val="none" w:sz="0" w:space="0" w:color="auto"/>
        <w:bottom w:val="none" w:sz="0" w:space="0" w:color="auto"/>
        <w:right w:val="none" w:sz="0" w:space="0" w:color="auto"/>
      </w:divBdr>
    </w:div>
    <w:div w:id="493760550">
      <w:bodyDiv w:val="1"/>
      <w:marLeft w:val="0"/>
      <w:marRight w:val="0"/>
      <w:marTop w:val="0"/>
      <w:marBottom w:val="0"/>
      <w:divBdr>
        <w:top w:val="none" w:sz="0" w:space="0" w:color="auto"/>
        <w:left w:val="none" w:sz="0" w:space="0" w:color="auto"/>
        <w:bottom w:val="none" w:sz="0" w:space="0" w:color="auto"/>
        <w:right w:val="none" w:sz="0" w:space="0" w:color="auto"/>
      </w:divBdr>
    </w:div>
    <w:div w:id="785196225">
      <w:bodyDiv w:val="1"/>
      <w:marLeft w:val="0"/>
      <w:marRight w:val="0"/>
      <w:marTop w:val="0"/>
      <w:marBottom w:val="0"/>
      <w:divBdr>
        <w:top w:val="none" w:sz="0" w:space="0" w:color="auto"/>
        <w:left w:val="none" w:sz="0" w:space="0" w:color="auto"/>
        <w:bottom w:val="none" w:sz="0" w:space="0" w:color="auto"/>
        <w:right w:val="none" w:sz="0" w:space="0" w:color="auto"/>
      </w:divBdr>
    </w:div>
    <w:div w:id="12307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diacorplaw.blogspot.com/2008/11/daga-capital-decision-with-implication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corplaw.blogspot.com/2008/11/daga-capital-decision-with-implications.html" TargetMode="External"/><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activeX1.xml><?xml version="1.0" encoding="utf-8"?>
<ax:ocx xmlns:ax="http://schemas.microsoft.com/office/2006/activeX" xmlns:r="http://schemas.openxmlformats.org/officeDocument/2006/relationships" ax:classid="{D27CDB6E-AE6D-11CF-96B8-444553540000}" ax:persistence="persistPropertyBag">
  <ax:ocxPr ax:name="_cx" ax:value="26"/>
  <ax:ocxPr ax:name="_cy" ax:value="26"/>
  <ax:ocxPr ax:name="FlashVars" ax:value=""/>
  <ax:ocxPr ax:name="Movie" ax:value="http://bin.clearspring.com/at/v/1/button1.swf"/>
  <ax:ocxPr ax:name="Src" ax:value="http://bin.clearspring.com/at/v/1/button1.swf"/>
  <ax:ocxPr ax:name="WMode" ax:value="Transparent"/>
  <ax:ocxPr ax:name="Play" ax:value="0"/>
  <ax:ocxPr ax:name="Loop" ax:value="-1"/>
  <ax:ocxPr ax:name="Quality" ax:value="High"/>
  <ax:ocxPr ax:name="SAlign" ax:value=""/>
  <ax:ocxPr ax:name="Menu" ax:value="-1"/>
  <ax:ocxPr ax:name="Base" ax:value=""/>
  <ax:ocxPr ax:name="AllowScriptAccess" ax:value="always"/>
  <ax:ocxPr ax:name="Scale" ax:value="ShowAll"/>
  <ax:ocxPr ax:name="DeviceFont" ax:value="0"/>
  <ax:ocxPr ax:name="EmbedMovie" ax:value="0"/>
  <ax:ocxPr ax:name="BGColor" ax:value=""/>
  <ax:ocxPr ax:name="SWRemote" ax:value=""/>
  <ax:ocxPr ax:name="MovieData" ax:value=""/>
  <ax:ocxPr ax:name="SeamlessTabbing" ax:value="1"/>
  <ax:ocxPr ax:name="Profile" ax:value="0"/>
  <ax:ocxPr ax:name="ProfileAddress" ax:value=""/>
  <ax:ocxPr ax:name="ProfilePort" ax:value="0"/>
  <ax:ocxPr ax:name="AllowNetworking" ax:value="all"/>
  <ax:ocxPr ax:name="AllowFullScreen" ax:value="false"/>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20</Pages>
  <Words>9245</Words>
  <Characters>52701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Comp</cp:lastModifiedBy>
  <cp:revision>9</cp:revision>
  <dcterms:created xsi:type="dcterms:W3CDTF">2007-12-13T13:35:00Z</dcterms:created>
  <dcterms:modified xsi:type="dcterms:W3CDTF">2008-12-15T10:10:00Z</dcterms:modified>
</cp:coreProperties>
</file>