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500" w:type="pct"/>
        <w:jc w:val="center"/>
        <w:tblCellMar>
          <w:left w:w="0" w:type="dxa"/>
          <w:right w:w="0" w:type="dxa"/>
        </w:tblCellMar>
        <w:tblLook w:val="04A0"/>
      </w:tblPr>
      <w:tblGrid>
        <w:gridCol w:w="4212"/>
        <w:gridCol w:w="4212"/>
      </w:tblGrid>
      <w:tr w:rsidR="00872F2E" w:rsidRPr="00872F2E">
        <w:trPr>
          <w:jc w:val="center"/>
        </w:trPr>
        <w:tc>
          <w:tcPr>
            <w:tcW w:w="5000" w:type="pct"/>
            <w:gridSpan w:val="2"/>
            <w:tcBorders>
              <w:top w:val="nil"/>
              <w:left w:val="nil"/>
              <w:bottom w:val="nil"/>
              <w:right w:val="nil"/>
            </w:tcBorders>
            <w:vAlign w:val="center"/>
            <w:hideMark/>
          </w:tcPr>
          <w:p w:rsidR="00872F2E" w:rsidRPr="00872F2E" w:rsidRDefault="00872F2E" w:rsidP="00872F2E">
            <w:pPr>
              <w:spacing w:before="100" w:beforeAutospacing="1" w:after="100" w:afterAutospacing="1" w:line="240" w:lineRule="auto"/>
              <w:jc w:val="center"/>
              <w:outlineLvl w:val="2"/>
              <w:rPr>
                <w:rFonts w:ascii="Verdana" w:eastAsia="Times New Roman" w:hAnsi="Verdana" w:cs="Times New Roman"/>
                <w:b/>
                <w:bCs/>
                <w:sz w:val="27"/>
                <w:szCs w:val="27"/>
              </w:rPr>
            </w:pPr>
            <w:r w:rsidRPr="00872F2E">
              <w:rPr>
                <w:rFonts w:ascii="Verdana" w:eastAsia="Times New Roman" w:hAnsi="Verdana" w:cs="Times New Roman"/>
                <w:b/>
                <w:bCs/>
                <w:sz w:val="27"/>
                <w:szCs w:val="27"/>
              </w:rPr>
              <w:t>Reason for enacting Section 2(22</w:t>
            </w:r>
            <w:proofErr w:type="gramStart"/>
            <w:r w:rsidRPr="00872F2E">
              <w:rPr>
                <w:rFonts w:ascii="Verdana" w:eastAsia="Times New Roman" w:hAnsi="Verdana" w:cs="Times New Roman"/>
                <w:b/>
                <w:bCs/>
                <w:sz w:val="27"/>
                <w:szCs w:val="27"/>
              </w:rPr>
              <w:t>)(</w:t>
            </w:r>
            <w:proofErr w:type="gramEnd"/>
            <w:r w:rsidRPr="00872F2E">
              <w:rPr>
                <w:rFonts w:ascii="Verdana" w:eastAsia="Times New Roman" w:hAnsi="Verdana" w:cs="Times New Roman"/>
                <w:b/>
                <w:bCs/>
                <w:sz w:val="27"/>
                <w:szCs w:val="27"/>
              </w:rPr>
              <w:t>e).</w:t>
            </w:r>
          </w:p>
          <w:p w:rsidR="00872F2E" w:rsidRPr="00872F2E" w:rsidRDefault="0000315C" w:rsidP="00872F2E">
            <w:pPr>
              <w:spacing w:after="0" w:line="240" w:lineRule="auto"/>
              <w:rPr>
                <w:rFonts w:ascii="Verdana" w:eastAsia="Times New Roman" w:hAnsi="Verdana" w:cs="Times New Roman"/>
                <w:sz w:val="16"/>
                <w:szCs w:val="16"/>
              </w:rPr>
            </w:pPr>
            <w:r w:rsidRPr="0000315C">
              <w:rPr>
                <w:rFonts w:ascii="Verdana" w:eastAsia="Times New Roman" w:hAnsi="Verdana" w:cs="Times New Roman"/>
                <w:sz w:val="16"/>
                <w:szCs w:val="16"/>
              </w:rPr>
              <w:pict>
                <v:rect id="_x0000_i1025" style="width:0;height:1.5pt" o:hralign="center" o:hrstd="t" o:hrnoshade="t" o:hr="t" fillcolor="black" stroked="f"/>
              </w:pict>
            </w:r>
          </w:p>
          <w:p w:rsidR="00872F2E" w:rsidRPr="00872F2E" w:rsidRDefault="00872F2E" w:rsidP="00872F2E">
            <w:pPr>
              <w:spacing w:before="100" w:beforeAutospacing="1" w:after="100" w:afterAutospacing="1" w:line="240" w:lineRule="auto"/>
              <w:rPr>
                <w:rFonts w:ascii="Verdana" w:eastAsia="Times New Roman" w:hAnsi="Verdana" w:cs="Times New Roman"/>
                <w:sz w:val="16"/>
                <w:szCs w:val="16"/>
              </w:rPr>
            </w:pPr>
            <w:r w:rsidRPr="00872F2E">
              <w:rPr>
                <w:rFonts w:ascii="Verdana" w:eastAsia="Times New Roman" w:hAnsi="Verdana" w:cs="Times New Roman"/>
                <w:b/>
                <w:bCs/>
                <w:sz w:val="16"/>
                <w:szCs w:val="16"/>
              </w:rPr>
              <w:t>Court</w:t>
            </w:r>
            <w:r w:rsidRPr="00872F2E">
              <w:rPr>
                <w:rFonts w:ascii="Verdana" w:eastAsia="Times New Roman" w:hAnsi="Verdana" w:cs="Times New Roman"/>
                <w:sz w:val="16"/>
                <w:szCs w:val="16"/>
              </w:rPr>
              <w:t xml:space="preserve"> : SUPREME COURT</w:t>
            </w:r>
          </w:p>
          <w:p w:rsidR="00872F2E" w:rsidRPr="00872F2E" w:rsidRDefault="00872F2E" w:rsidP="00872F2E">
            <w:pPr>
              <w:spacing w:before="100" w:beforeAutospacing="1" w:after="100" w:afterAutospacing="1" w:line="240" w:lineRule="auto"/>
              <w:rPr>
                <w:rFonts w:ascii="Verdana" w:eastAsia="Times New Roman" w:hAnsi="Verdana" w:cs="Times New Roman"/>
                <w:sz w:val="16"/>
                <w:szCs w:val="16"/>
              </w:rPr>
            </w:pPr>
            <w:r w:rsidRPr="00872F2E">
              <w:rPr>
                <w:rFonts w:ascii="Verdana" w:eastAsia="Times New Roman" w:hAnsi="Verdana" w:cs="Times New Roman"/>
                <w:b/>
                <w:bCs/>
                <w:sz w:val="16"/>
                <w:szCs w:val="16"/>
              </w:rPr>
              <w:t>Brief</w:t>
            </w:r>
            <w:r w:rsidRPr="00872F2E">
              <w:rPr>
                <w:rFonts w:ascii="Verdana" w:eastAsia="Times New Roman" w:hAnsi="Verdana" w:cs="Times New Roman"/>
                <w:sz w:val="16"/>
                <w:szCs w:val="16"/>
              </w:rPr>
              <w:t xml:space="preserve"> : : The companies having accumulated profits and the companies in which substantial voting power lies in the hands of the person other than the public (controlled companies) are required to distribute accumulated profits as dividends to the shareholders. In such companies, the controlling group can do what it likes with the management of the company, its affairs and its profits. It is for this group to decide whether the profits should be distributed as dividends or not. The declaration of dividend is entirely within the discretion of this group. Therefore, the Legislature realized that though funds were available with the company in the form of profits, the controlling group refused to distribute accumulated profits as dividends to the shareholders but adopted the device of advancing the said profits by way of loan to one of its shareholders so as to avoid payment of tax on accumulated profits. This was the main reason for enacting section 2(22</w:t>
            </w:r>
            <w:proofErr w:type="gramStart"/>
            <w:r w:rsidRPr="00872F2E">
              <w:rPr>
                <w:rFonts w:ascii="Verdana" w:eastAsia="Times New Roman" w:hAnsi="Verdana" w:cs="Times New Roman"/>
                <w:sz w:val="16"/>
                <w:szCs w:val="16"/>
              </w:rPr>
              <w:t>)(</w:t>
            </w:r>
            <w:proofErr w:type="gramEnd"/>
            <w:r w:rsidRPr="00872F2E">
              <w:rPr>
                <w:rFonts w:ascii="Verdana" w:eastAsia="Times New Roman" w:hAnsi="Verdana" w:cs="Times New Roman"/>
                <w:sz w:val="16"/>
                <w:szCs w:val="16"/>
              </w:rPr>
              <w:t>e).</w:t>
            </w:r>
          </w:p>
        </w:tc>
      </w:tr>
      <w:tr w:rsidR="00872F2E" w:rsidRPr="00872F2E">
        <w:trPr>
          <w:jc w:val="center"/>
        </w:trPr>
        <w:tc>
          <w:tcPr>
            <w:tcW w:w="5000" w:type="pct"/>
            <w:gridSpan w:val="2"/>
            <w:tcBorders>
              <w:top w:val="nil"/>
              <w:left w:val="nil"/>
              <w:bottom w:val="nil"/>
              <w:right w:val="nil"/>
            </w:tcBorders>
            <w:vAlign w:val="center"/>
            <w:hideMark/>
          </w:tcPr>
          <w:p w:rsidR="00872F2E" w:rsidRPr="00872F2E" w:rsidRDefault="00872F2E" w:rsidP="00872F2E">
            <w:pPr>
              <w:spacing w:after="0" w:line="240" w:lineRule="auto"/>
              <w:rPr>
                <w:rFonts w:ascii="Verdana" w:eastAsia="Times New Roman" w:hAnsi="Verdana" w:cs="Times New Roman"/>
                <w:sz w:val="16"/>
                <w:szCs w:val="16"/>
              </w:rPr>
            </w:pPr>
          </w:p>
          <w:p w:rsidR="00872F2E" w:rsidRPr="00872F2E" w:rsidRDefault="00872F2E" w:rsidP="00872F2E">
            <w:pPr>
              <w:spacing w:before="100" w:beforeAutospacing="1" w:after="100" w:afterAutospacing="1" w:line="240" w:lineRule="auto"/>
              <w:rPr>
                <w:rFonts w:ascii="Verdana" w:eastAsia="Times New Roman" w:hAnsi="Verdana" w:cs="Times New Roman"/>
                <w:sz w:val="16"/>
                <w:szCs w:val="16"/>
              </w:rPr>
            </w:pPr>
            <w:r w:rsidRPr="00872F2E">
              <w:rPr>
                <w:rFonts w:ascii="Verdana" w:eastAsia="Times New Roman" w:hAnsi="Verdana" w:cs="Times New Roman"/>
                <w:b/>
                <w:bCs/>
                <w:sz w:val="16"/>
                <w:szCs w:val="16"/>
              </w:rPr>
              <w:t xml:space="preserve">Citation : </w:t>
            </w:r>
            <w:r w:rsidRPr="00872F2E">
              <w:rPr>
                <w:rFonts w:ascii="Verdana" w:eastAsia="Times New Roman" w:hAnsi="Verdana" w:cs="Times New Roman"/>
                <w:sz w:val="16"/>
                <w:szCs w:val="16"/>
              </w:rPr>
              <w:t xml:space="preserve">Commissioner of Income-tax, Kolkata v. </w:t>
            </w:r>
            <w:proofErr w:type="spellStart"/>
            <w:r w:rsidRPr="00872F2E">
              <w:rPr>
                <w:rFonts w:ascii="Verdana" w:eastAsia="Times New Roman" w:hAnsi="Verdana" w:cs="Times New Roman"/>
                <w:sz w:val="16"/>
                <w:szCs w:val="16"/>
              </w:rPr>
              <w:t>Mukundray</w:t>
            </w:r>
            <w:proofErr w:type="spellEnd"/>
            <w:r w:rsidRPr="00872F2E">
              <w:rPr>
                <w:rFonts w:ascii="Verdana" w:eastAsia="Times New Roman" w:hAnsi="Verdana" w:cs="Times New Roman"/>
                <w:sz w:val="16"/>
                <w:szCs w:val="16"/>
              </w:rPr>
              <w:t xml:space="preserve"> K. Shah CIVIL APPEAL NO. 1873 OF 2007 DECIDED ON 10-4- 2007 </w:t>
            </w:r>
          </w:p>
          <w:p w:rsidR="00872F2E" w:rsidRPr="00872F2E" w:rsidRDefault="00872F2E" w:rsidP="00872F2E">
            <w:pPr>
              <w:spacing w:before="100" w:beforeAutospacing="1" w:after="100" w:afterAutospacing="1" w:line="240" w:lineRule="auto"/>
              <w:rPr>
                <w:rFonts w:ascii="Verdana" w:eastAsia="Times New Roman" w:hAnsi="Verdana" w:cs="Times New Roman"/>
                <w:sz w:val="16"/>
                <w:szCs w:val="16"/>
              </w:rPr>
            </w:pPr>
            <w:r w:rsidRPr="00872F2E">
              <w:rPr>
                <w:rFonts w:ascii="Verdana" w:eastAsia="Times New Roman" w:hAnsi="Verdana" w:cs="Times New Roman"/>
                <w:b/>
                <w:bCs/>
                <w:sz w:val="16"/>
                <w:szCs w:val="16"/>
              </w:rPr>
              <w:t>Judgment :</w:t>
            </w:r>
            <w:r w:rsidRPr="00872F2E">
              <w:rPr>
                <w:rFonts w:ascii="Verdana" w:eastAsia="Times New Roman" w:hAnsi="Verdana" w:cs="Times New Roman"/>
                <w:sz w:val="16"/>
                <w:szCs w:val="16"/>
              </w:rPr>
              <w:t xml:space="preserve"> </w:t>
            </w:r>
          </w:p>
          <w:p w:rsidR="00872F2E" w:rsidRPr="00872F2E" w:rsidRDefault="00872F2E" w:rsidP="00872F2E">
            <w:pPr>
              <w:spacing w:before="100" w:beforeAutospacing="1" w:after="240" w:line="240" w:lineRule="auto"/>
              <w:rPr>
                <w:rFonts w:ascii="Verdana" w:eastAsia="Times New Roman" w:hAnsi="Verdana" w:cs="Times New Roman"/>
                <w:sz w:val="16"/>
                <w:szCs w:val="16"/>
              </w:rPr>
            </w:pPr>
            <w:r w:rsidRPr="00872F2E">
              <w:rPr>
                <w:rFonts w:ascii="Verdana" w:eastAsia="Times New Roman" w:hAnsi="Verdana" w:cs="Times New Roman"/>
                <w:sz w:val="16"/>
                <w:szCs w:val="16"/>
              </w:rPr>
              <w:t xml:space="preserve">S.H. </w:t>
            </w:r>
            <w:proofErr w:type="spellStart"/>
            <w:r w:rsidRPr="00872F2E">
              <w:rPr>
                <w:rFonts w:ascii="Verdana" w:eastAsia="Times New Roman" w:hAnsi="Verdana" w:cs="Times New Roman"/>
                <w:sz w:val="16"/>
                <w:szCs w:val="16"/>
              </w:rPr>
              <w:t>Kapadia</w:t>
            </w:r>
            <w:proofErr w:type="spellEnd"/>
            <w:r w:rsidRPr="00872F2E">
              <w:rPr>
                <w:rFonts w:ascii="Verdana" w:eastAsia="Times New Roman" w:hAnsi="Verdana" w:cs="Times New Roman"/>
                <w:sz w:val="16"/>
                <w:szCs w:val="16"/>
              </w:rPr>
              <w:t>, J. –</w:t>
            </w:r>
            <w:r w:rsidRPr="00872F2E">
              <w:rPr>
                <w:rFonts w:ascii="Verdana" w:eastAsia="Times New Roman" w:hAnsi="Verdana" w:cs="Times New Roman"/>
                <w:sz w:val="16"/>
                <w:szCs w:val="16"/>
              </w:rPr>
              <w:br/>
              <w:t>1. Leave granted.</w:t>
            </w:r>
            <w:r w:rsidRPr="00872F2E">
              <w:rPr>
                <w:rFonts w:ascii="Verdana" w:eastAsia="Times New Roman" w:hAnsi="Verdana" w:cs="Times New Roman"/>
                <w:sz w:val="16"/>
                <w:szCs w:val="16"/>
              </w:rPr>
              <w:br/>
              <w:t>2. A short question which arises for determination in this civil appeal filed by the Department: whether payments made by M.K. Shah Exports Pvt. Ltd. (for short, ‘MKSEPL’) during the accounting year ending 31-3-2000 (assessment year 2000-01) amounting to Rs. 5.99 crores was made to the two firms M/s. M.K. Foundation (for short, ‘MKF’) and M/s. M.K. Industries (for short, ‘MKI’) for the benefit of respondent-</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herein, </w:t>
            </w:r>
            <w:proofErr w:type="spellStart"/>
            <w:r w:rsidRPr="00872F2E">
              <w:rPr>
                <w:rFonts w:ascii="Verdana" w:eastAsia="Times New Roman" w:hAnsi="Verdana" w:cs="Times New Roman"/>
                <w:sz w:val="16"/>
                <w:szCs w:val="16"/>
              </w:rPr>
              <w:t>Mukundrai</w:t>
            </w:r>
            <w:proofErr w:type="spellEnd"/>
            <w:r w:rsidRPr="00872F2E">
              <w:rPr>
                <w:rFonts w:ascii="Verdana" w:eastAsia="Times New Roman" w:hAnsi="Verdana" w:cs="Times New Roman"/>
                <w:sz w:val="16"/>
                <w:szCs w:val="16"/>
              </w:rPr>
              <w:t xml:space="preserve"> K. Shah.</w:t>
            </w:r>
            <w:r w:rsidRPr="00872F2E">
              <w:rPr>
                <w:rFonts w:ascii="Verdana" w:eastAsia="Times New Roman" w:hAnsi="Verdana" w:cs="Times New Roman"/>
                <w:sz w:val="16"/>
                <w:szCs w:val="16"/>
              </w:rPr>
              <w:br/>
              <w:t xml:space="preserve">3. Department sought to tax the said amount of Rs. 5.99 crores as undisclosed income in the hands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On 24-8-2000, the Department searched the premises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under section 132 of Income-tax Act, 1961 (for short, ‘the Act’). During the search apart from cash and </w:t>
            </w:r>
            <w:proofErr w:type="spellStart"/>
            <w:r w:rsidRPr="00872F2E">
              <w:rPr>
                <w:rFonts w:ascii="Verdana" w:eastAsia="Times New Roman" w:hAnsi="Verdana" w:cs="Times New Roman"/>
                <w:sz w:val="16"/>
                <w:szCs w:val="16"/>
              </w:rPr>
              <w:t>jewellery</w:t>
            </w:r>
            <w:proofErr w:type="spellEnd"/>
            <w:r w:rsidRPr="00872F2E">
              <w:rPr>
                <w:rFonts w:ascii="Verdana" w:eastAsia="Times New Roman" w:hAnsi="Verdana" w:cs="Times New Roman"/>
                <w:sz w:val="16"/>
                <w:szCs w:val="16"/>
              </w:rPr>
              <w:t xml:space="preserve"> a diary titled “ML-20” was seized. On 16-11-2000, during the search the statement of </w:t>
            </w:r>
            <w:proofErr w:type="spellStart"/>
            <w:r w:rsidRPr="00872F2E">
              <w:rPr>
                <w:rFonts w:ascii="Verdana" w:eastAsia="Times New Roman" w:hAnsi="Verdana" w:cs="Times New Roman"/>
                <w:sz w:val="16"/>
                <w:szCs w:val="16"/>
              </w:rPr>
              <w:t>Kalpesh</w:t>
            </w:r>
            <w:proofErr w:type="spellEnd"/>
            <w:r w:rsidRPr="00872F2E">
              <w:rPr>
                <w:rFonts w:ascii="Verdana" w:eastAsia="Times New Roman" w:hAnsi="Verdana" w:cs="Times New Roman"/>
                <w:sz w:val="16"/>
                <w:szCs w:val="16"/>
              </w:rPr>
              <w:t xml:space="preserve"> Shah, son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was also recorded under section 132(4) of the said Act. Statement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was also recorded on that date. The diary indicated investment of Rs. 26.35 crores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in 9 per cent RBI Relief Bonds during the accounting year ending 31-3-2000. By the Assessment Order dated 29-11-2002, the said amount of Rs. 5.99 crores was assessed as a deemed dividend under section 2(22)(e) of the said Act. The assessing officer took into </w:t>
            </w:r>
            <w:proofErr w:type="spellStart"/>
            <w:r w:rsidRPr="00872F2E">
              <w:rPr>
                <w:rFonts w:ascii="Verdana" w:eastAsia="Times New Roman" w:hAnsi="Verdana" w:cs="Times New Roman"/>
                <w:sz w:val="16"/>
                <w:szCs w:val="16"/>
              </w:rPr>
              <w:t>conside</w:t>
            </w:r>
            <w:proofErr w:type="spellEnd"/>
            <w:r w:rsidRPr="00872F2E">
              <w:rPr>
                <w:rFonts w:ascii="Verdana" w:eastAsia="Times New Roman" w:hAnsi="Verdana" w:cs="Times New Roman"/>
                <w:sz w:val="16"/>
                <w:szCs w:val="16"/>
              </w:rPr>
              <w:t xml:space="preserve">-ration the income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for the block period, under Chapter XIV-B at Rs. 65.77 crores. This was for the block period 1-4-1990 to 24-8-2000 (for short, “block period”). The diary was seized from the premises of MKSEPL. It belonged to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was asked to explain the sources of investment of Rs. 26.35 crores in purchase of 9 per cent RBI Relief Bonds during Financial year 1999-2000. The said Bonds were purchased between 17-11-1999 and 11-2-2000. The Assessing Officer found that the said Bonds were purchased from the money received from MKF and MKI (for short, ‘two firms’) in which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was the partner. In the books of account, the said two firms were shown to have received back the loans and advances from three companies M.K. Tea (P.) Ltd. (for short, ‘MKTPL’), Safari Capital (P.) Ltd. (for short, ‘SCPL’) and MKSEPL, which three companies were closely related companies, in which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controlling interest. All three companies were private limited companies in which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considerable voting power. However on the basis of the said diary and the cash flow chart, the Assessing Officer concluded that Rs. 5.99 crores was paid by MKSEPL (including SCPL) and Rs. 94 </w:t>
            </w:r>
            <w:proofErr w:type="spellStart"/>
            <w:r w:rsidRPr="00872F2E">
              <w:rPr>
                <w:rFonts w:ascii="Verdana" w:eastAsia="Times New Roman" w:hAnsi="Verdana" w:cs="Times New Roman"/>
                <w:sz w:val="16"/>
                <w:szCs w:val="16"/>
              </w:rPr>
              <w:t>lakhs</w:t>
            </w:r>
            <w:proofErr w:type="spellEnd"/>
            <w:r w:rsidRPr="00872F2E">
              <w:rPr>
                <w:rFonts w:ascii="Verdana" w:eastAsia="Times New Roman" w:hAnsi="Verdana" w:cs="Times New Roman"/>
                <w:sz w:val="16"/>
                <w:szCs w:val="16"/>
              </w:rPr>
              <w:t xml:space="preserve"> by MKTPL in the Accounting Year 1999-2000 to MKF and MKI respectively for the purchase of 9 per cent RBI Relief Bonds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In the circumstances, by the Assessment Order, the Department assessed the said sum as deemed dividend in the hands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under section 2(22)(e) of the Act. It was held that MKSEPL, SCPL and MKTPL (for short, three companies) were the companies in which the public was not substantially interested;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was one of the shareholders having more than 10 per cent total voting rights of MKSEPL and SCPL; that in MKTPL the total shareholding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was 9.3 per cent and, therefore, he was not the beneficial owner of the shares of the said companies. It was further held by the Assessing Officer that SCPL stood merged with MKSEPL with effect from 18-5-1998. This was by the Order of the Calcutta High Court dated 5-7-2001. Therefore, according to the Order of Assessment, the alleged repayments by MKSEPL including SCPL were not repayments but they were payments made by MKSEPL (including SCPL) to MKF and MKI for the individual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amounting to Rs. 5.99 crores which was held to be a deemed </w:t>
            </w:r>
            <w:r w:rsidRPr="00872F2E">
              <w:rPr>
                <w:rFonts w:ascii="Verdana" w:eastAsia="Times New Roman" w:hAnsi="Verdana" w:cs="Times New Roman"/>
                <w:sz w:val="16"/>
                <w:szCs w:val="16"/>
              </w:rPr>
              <w:lastRenderedPageBreak/>
              <w:t xml:space="preserve">dividend under section 2(22)(e) of the Act. Before the Assessing Officer,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contended that during the financial year 1999-2000, his shareholding in MKTPL was only 9.3 per cent and, therefore, he was not having substantial interest in the said company; that similarly he was not having substantial interest in SCPL in which his shareholding in the Financial year 1999-2000 was only 0.2 per cent;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was one of the partners in MKF and MKI and that the said two firms did not have substantial interest in MKSEPL, SCPL and MKTPL; that reserves and surplus of MKSEPL cannot be taken as reserves and surplus of SCPL which was merged with the company with effect from 18-5-1998; that MKI had advanced loan to SCPL which was repaid; that payment made by MKSEPL to MKF was through the current account and that the withdrawal made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from the two firms were debited to his capital account in the books of MKF and MKI and, therefore,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contended that the said payments were not made to the said two firms for his individual benefit. These arguments were rejected by the Assessing Officer. It was held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substantial interest in MKSEPL in which SCPL stood merged with effect from 18-5-1998; that there was no merit in the contention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that the two firms, in which he was the partner, were not beneficial owner of shares of MKSEPL and SCPL; that the only relevant criteria was whether payments made to the said two firms was for the individual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who was the shareholder in MKSEPL. This point, according to the Assessing Officer, became relevant since the only issue which arose for determination in this case was the issue of deemed dividend under section 2(22)(e) of the Act. According to the Assessing Officer, </w:t>
            </w:r>
            <w:proofErr w:type="spellStart"/>
            <w:r w:rsidRPr="00872F2E">
              <w:rPr>
                <w:rFonts w:ascii="Verdana" w:eastAsia="Times New Roman" w:hAnsi="Verdana" w:cs="Times New Roman"/>
                <w:sz w:val="16"/>
                <w:szCs w:val="16"/>
              </w:rPr>
              <w:t>the</w:t>
            </w:r>
            <w:proofErr w:type="spellEnd"/>
            <w:r w:rsidRPr="00872F2E">
              <w:rPr>
                <w:rFonts w:ascii="Verdana" w:eastAsia="Times New Roman" w:hAnsi="Verdana" w:cs="Times New Roman"/>
                <w:sz w:val="16"/>
                <w:szCs w:val="16"/>
              </w:rPr>
              <w:t xml:space="preserve"> said two firms - MKI and MKF, were the conduits enabling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to take out the money from the company by using the said two firms as conduits. According to the Assessing Officer, payment of Rs. 5.99 crores was not made directly to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by MKSEPL but through the above-mentioned two firms - MKF and MKI. At this stage, it needs to be mentioned that there is no dispute that 9 per cent RBI Relief Bonds were purchased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out of the funds available with MKI and MKF who in turn were funded by MKSEPL including SCPL. It is also not in dispute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the majority of the voting power in MKSEPL. It is not in dispute that the said company, MKSEPL, had accumulated profits but according to the Assessing Officer, </w:t>
            </w:r>
            <w:proofErr w:type="spellStart"/>
            <w:r w:rsidRPr="00872F2E">
              <w:rPr>
                <w:rFonts w:ascii="Verdana" w:eastAsia="Times New Roman" w:hAnsi="Verdana" w:cs="Times New Roman"/>
                <w:sz w:val="16"/>
                <w:szCs w:val="16"/>
              </w:rPr>
              <w:t>the</w:t>
            </w:r>
            <w:proofErr w:type="spellEnd"/>
            <w:r w:rsidRPr="00872F2E">
              <w:rPr>
                <w:rFonts w:ascii="Verdana" w:eastAsia="Times New Roman" w:hAnsi="Verdana" w:cs="Times New Roman"/>
                <w:sz w:val="16"/>
                <w:szCs w:val="16"/>
              </w:rPr>
              <w:t xml:space="preserve"> said company deliberately refused to distribute the said accumulated profits as dividends to its shareholders and instead adopted the device of advancing the said accumulated profits as loan to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who was the shareholder of the said company. According to the Assessing Officer, it was a device to evade payment of tax on accumulated profits.</w:t>
            </w:r>
            <w:r w:rsidRPr="00872F2E">
              <w:rPr>
                <w:rFonts w:ascii="Verdana" w:eastAsia="Times New Roman" w:hAnsi="Verdana" w:cs="Times New Roman"/>
                <w:sz w:val="16"/>
                <w:szCs w:val="16"/>
              </w:rPr>
              <w:br/>
              <w:t xml:space="preserve">4. Aggrieved by the Assessment Order dated 29-11-2002,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went in appeal to Commissioner of Income-tax (Appeals) [for short, ‘CIT(A)’] under section 158BC(c) read with section 143(3) of the Act. By the Order dated 21-2-2003, it was held by CIT(A)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did not possess any substantial interest in MKTPL or in SCPL during Financial year 1999-2000; that MKF and MKI had no substantial interest in MKSEPL, SCPL and MKTPL during Financial year 1999-2000; that SCPL did not make any loan to MKI during the financial year 1999-2000; that SCPL had borrowed money from MKI and all payments made by SCPL during Financial year 1999-2000 were repayments of loans advanced by MKI;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16 per cent share in MKF; that MKSEPL had a current account in the books of MKF and that in most cases MKF had advanced loans to MKSEPL. According to CIT(A), MKSEPL have repaid those loans to MKF in which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substantial interest. According to CIT(A), the nature of transactions between MKF and MKSEPL consisted of a running account; it consisted of giving of loans and repayments thereof. According to CIT(A), none of the two firms had any substantial interest in MKSEPL, SCPL and MKTPL. According to CIT(A), all withdrawals made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from MKF and MKI including the impugned sum were debited to the </w:t>
            </w:r>
            <w:proofErr w:type="spellStart"/>
            <w:r w:rsidRPr="00872F2E">
              <w:rPr>
                <w:rFonts w:ascii="Verdana" w:eastAsia="Times New Roman" w:hAnsi="Verdana" w:cs="Times New Roman"/>
                <w:sz w:val="16"/>
                <w:szCs w:val="16"/>
              </w:rPr>
              <w:t>assessee’s</w:t>
            </w:r>
            <w:proofErr w:type="spellEnd"/>
            <w:r w:rsidRPr="00872F2E">
              <w:rPr>
                <w:rFonts w:ascii="Verdana" w:eastAsia="Times New Roman" w:hAnsi="Verdana" w:cs="Times New Roman"/>
                <w:sz w:val="16"/>
                <w:szCs w:val="16"/>
              </w:rPr>
              <w:t xml:space="preserve"> capital account in the books of MKF and MKI. According to CIT(A), MKSEPL and SCPL had a regular account in MKF and MKI even before the purchase of the said Bonds and that the said two firms had advanced loans to MKSEPL and SCPL even in the earlier years as well as in the financial year 1999-2000 and, therefore, there was no motive in the debtor companies repaying their debts to MKF and MKI. According to CIT(A), merely because repayments were made by MKSEPL and SCPL through MKF and MKI in January/February 2000 and merely because the said amounts were partly utilized by the said two firms in making payments to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who bought 9 per cent RBI Relief Bonds </w:t>
            </w:r>
            <w:proofErr w:type="spellStart"/>
            <w:r w:rsidRPr="00872F2E">
              <w:rPr>
                <w:rFonts w:ascii="Verdana" w:eastAsia="Times New Roman" w:hAnsi="Verdana" w:cs="Times New Roman"/>
                <w:sz w:val="16"/>
                <w:szCs w:val="16"/>
              </w:rPr>
              <w:t>therefrom</w:t>
            </w:r>
            <w:proofErr w:type="spellEnd"/>
            <w:r w:rsidRPr="00872F2E">
              <w:rPr>
                <w:rFonts w:ascii="Verdana" w:eastAsia="Times New Roman" w:hAnsi="Verdana" w:cs="Times New Roman"/>
                <w:sz w:val="16"/>
                <w:szCs w:val="16"/>
              </w:rPr>
              <w:t xml:space="preserve">, did not necessarily mean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routed the funds of MKSEPL through MKF and MKI for his individual benefit. According to CIT(A), MKF and MKI were two separate entities; that there was no material to show that MKF and MKI were used as conduits for routing the money from MKSEPL to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According to CIT(A), while the total investment made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in purchase of Bonds during Financial year 1999-2000 was Rs. 26.35 crores, the Department has sought to assess only Rs. 5.99 crores as deemed dividend and, therefore, according to CIT, the allegation made by the Assessing Officer was baseless. According to CIT(A) there was no material to show that MKSEPL and SCPL had made payments to the said two firms for the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enabling him to purchase the said Bonds in Financial year 1999-2000. According to CIT(A), MKSEPL and SCPL were the debtors of MKF and MKI in the regular course of business and, therefore, payments made by MKSEPL to MKF and MKI were repayments of loans and that the said payments were not for purchase of Bonds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Accordingly, the appeal was allowed by CIT(A).</w:t>
            </w:r>
            <w:r w:rsidRPr="00872F2E">
              <w:rPr>
                <w:rFonts w:ascii="Verdana" w:eastAsia="Times New Roman" w:hAnsi="Verdana" w:cs="Times New Roman"/>
                <w:sz w:val="16"/>
                <w:szCs w:val="16"/>
              </w:rPr>
              <w:br/>
              <w:t xml:space="preserve">5. Aggrieved by the decision dated 21-2-2003, the matter was carried in appeal by the Department to the Tribunal. By the judgment dated 28-1-2005, the Tribunal held that in this case section 2(22)(e) was attracted since disbursement was made by MKSEPL (company); that SCPL had no independent </w:t>
            </w:r>
            <w:r w:rsidRPr="00872F2E">
              <w:rPr>
                <w:rFonts w:ascii="Verdana" w:eastAsia="Times New Roman" w:hAnsi="Verdana" w:cs="Times New Roman"/>
                <w:sz w:val="16"/>
                <w:szCs w:val="16"/>
              </w:rPr>
              <w:lastRenderedPageBreak/>
              <w:t xml:space="preserve">existence in law in January/February 2000 when payments were made by MKI and MKF to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who bought the said Bonds; that SCPL disbursed Rs. 2.04 crores and Rs. 75 </w:t>
            </w:r>
            <w:proofErr w:type="spellStart"/>
            <w:r w:rsidRPr="00872F2E">
              <w:rPr>
                <w:rFonts w:ascii="Verdana" w:eastAsia="Times New Roman" w:hAnsi="Verdana" w:cs="Times New Roman"/>
                <w:sz w:val="16"/>
                <w:szCs w:val="16"/>
              </w:rPr>
              <w:t>lakhs</w:t>
            </w:r>
            <w:proofErr w:type="spellEnd"/>
            <w:r w:rsidRPr="00872F2E">
              <w:rPr>
                <w:rFonts w:ascii="Verdana" w:eastAsia="Times New Roman" w:hAnsi="Verdana" w:cs="Times New Roman"/>
                <w:sz w:val="16"/>
                <w:szCs w:val="16"/>
              </w:rPr>
              <w:t xml:space="preserve"> in January 2000; that SCPL stood merged in MKSEPL vide Order of the High Court dated 5-7-2001 with retrospective effect, i.e., 18-5-1998; that in January 2000, SCPL had no legal existence since the merger had taken place with effect from 18-5-1998; that merger had taken place under a voluntary scheme in which every shareholder of the two companies agreed; that, therefore, there was no merit in the contention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that his shareholding in SCPL and the accumulated profits of SCPL were not liable to be taken into account; according to the Tribunal, in the </w:t>
            </w:r>
            <w:proofErr w:type="spellStart"/>
            <w:r w:rsidRPr="00872F2E">
              <w:rPr>
                <w:rFonts w:ascii="Verdana" w:eastAsia="Times New Roman" w:hAnsi="Verdana" w:cs="Times New Roman"/>
                <w:sz w:val="16"/>
                <w:szCs w:val="16"/>
              </w:rPr>
              <w:t>aforestated</w:t>
            </w:r>
            <w:proofErr w:type="spellEnd"/>
            <w:r w:rsidRPr="00872F2E">
              <w:rPr>
                <w:rFonts w:ascii="Verdana" w:eastAsia="Times New Roman" w:hAnsi="Verdana" w:cs="Times New Roman"/>
                <w:sz w:val="16"/>
                <w:szCs w:val="16"/>
              </w:rPr>
              <w:t xml:space="preserve"> circumstances, all payments should be taken to have originated from MKSEPL; the Tribunal further found that the accumulated reserves of MKSEPL was Rs. 55 crores, nearly ten times in excess of Rs. 5.99 crores taxed as deemed dividend. It is not in dispute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more than 10 per cent of the total voting power in MKSEPL. In the circumstances, the Tribunal took the view that MKSEPL made payment to the said two firms for the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who thereafter bought the said Bonds. According to the Tribunal, MKSEPL was the only company which made the disbursement through MKF and MKI. According to the Tribunal, it is true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bought the said Bonds for Rs. 26.35 crores but the Assessing Officer had taxed only a fraction of Rs. 5.99 crores. However, according to the Tribunal, for the purposes of applicability of section 2(22)(e) of the said Act payment has to originate from a company. After excluding known company sources, according to the Tribunal, the Assessing Officer was right in restricting the deemed dividend amount to Rs. 5.99 crores since known company sources had to be eliminated. According to the Tribunal, the Assessing Officer was right in identifying MKSEPL as the originating company, the identity of the ultimate beneficiary, the amount to be taxed, that is, Rs. 5.99 crores and the sufficiency of accumulated profits of MKSEPL in which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more than 10 per cent voting power. Accordingly, the Tribunal allowed the Department’s appeal.</w:t>
            </w:r>
            <w:r w:rsidRPr="00872F2E">
              <w:rPr>
                <w:rFonts w:ascii="Verdana" w:eastAsia="Times New Roman" w:hAnsi="Verdana" w:cs="Times New Roman"/>
                <w:sz w:val="16"/>
                <w:szCs w:val="16"/>
              </w:rPr>
              <w:br/>
              <w:t xml:space="preserve">6. Aggrieved by the decision of the Tribunal dated 28-1-2005,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carried the matter in appeal to the High Court under section 260A of the said Act. By the impugned judgment, the High Court held in favour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on two counts. According to the High Court,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declared the primary facts in the Returns. According to the High Court, the present case did not fall under Chapter XIV-B of the said Act. According to the High Court, this was not the case of undisclosed income. According to the High Court, this was a matter of regular assessment. According to the High Court, none of the Authorities below have held that the entries in the books of account were fictitious. According to the High Court, full details were disclosed during the block period in the Returns filed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According to the High Court, all payments were made by cheque. According to the High Court, moneys were lent and advanced by MKSEPL to MKF and MKI in normal course of business. According to the High Court, the Tribunal had erred in holding that MKF and MKI were conduits for routing the money from MKSEPL through the two firms to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that there was no evidence in that regard; that the two firms did not have substantial interest in MKSEPL; that there was no evidence to show that payments were made by MKSEPL for the individual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and to enable him to purchase 9 per cent RBI Relief Bonds; that CIT(A) was right in holding that when Rs. 26.35 crores was invested in the above financial year then Assessing Officer had no reason to treat Rs. 5.99 crores as deemed dividend under section 2(22)(e) and for the above reasons the High Court set aside the judgment of the Tribunal dated 28-1-2005. Hence this civil appeal.</w:t>
            </w:r>
            <w:r w:rsidRPr="00872F2E">
              <w:rPr>
                <w:rFonts w:ascii="Verdana" w:eastAsia="Times New Roman" w:hAnsi="Verdana" w:cs="Times New Roman"/>
                <w:sz w:val="16"/>
                <w:szCs w:val="16"/>
              </w:rPr>
              <w:br/>
              <w:t xml:space="preserve">7. According to Mr. Mohan </w:t>
            </w:r>
            <w:proofErr w:type="spellStart"/>
            <w:r w:rsidRPr="00872F2E">
              <w:rPr>
                <w:rFonts w:ascii="Verdana" w:eastAsia="Times New Roman" w:hAnsi="Verdana" w:cs="Times New Roman"/>
                <w:sz w:val="16"/>
                <w:szCs w:val="16"/>
              </w:rPr>
              <w:t>Parasaran</w:t>
            </w:r>
            <w:proofErr w:type="spellEnd"/>
            <w:r w:rsidRPr="00872F2E">
              <w:rPr>
                <w:rFonts w:ascii="Verdana" w:eastAsia="Times New Roman" w:hAnsi="Verdana" w:cs="Times New Roman"/>
                <w:sz w:val="16"/>
                <w:szCs w:val="16"/>
              </w:rPr>
              <w:t xml:space="preserve">, learned Additional Solicitor General appearing for the appellant (Department), the High Court should not have interfered with the findings of facts recorded by the Tribunal; that there was no substantial question of law; that no perversity in the findings recorded by the Tribunal so as to warrant interference under section 260A of the Act; that the Department had searched the premises, it had seized the diary “ML-20” which contained entries subsequently corroborated by cash flow chart which indicated that money had originated from MKSEPL to the two firms through which it had gone to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and, therefore, the Department was right in assessing Rs. 5.99 crores as deemed dividend in the hands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under section 2(22)(e). Learned counsel urged that the five entries discovered in the search represented five transactions/payments for purchase of 9 per cent RBI Relief Bonds. These, according to the learned counsel, were not repayment of loans, they were payments for purchase of the said bonds during the Financial year 1999-2000.</w:t>
            </w:r>
            <w:r w:rsidRPr="00872F2E">
              <w:rPr>
                <w:rFonts w:ascii="Verdana" w:eastAsia="Times New Roman" w:hAnsi="Verdana" w:cs="Times New Roman"/>
                <w:sz w:val="16"/>
                <w:szCs w:val="16"/>
              </w:rPr>
              <w:br/>
              <w:t xml:space="preserve">8. On behalf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(respondent), Mr. N.K. </w:t>
            </w:r>
            <w:proofErr w:type="spellStart"/>
            <w:r w:rsidRPr="00872F2E">
              <w:rPr>
                <w:rFonts w:ascii="Verdana" w:eastAsia="Times New Roman" w:hAnsi="Verdana" w:cs="Times New Roman"/>
                <w:sz w:val="16"/>
                <w:szCs w:val="16"/>
              </w:rPr>
              <w:t>Poddar</w:t>
            </w:r>
            <w:proofErr w:type="spellEnd"/>
            <w:r w:rsidRPr="00872F2E">
              <w:rPr>
                <w:rFonts w:ascii="Verdana" w:eastAsia="Times New Roman" w:hAnsi="Verdana" w:cs="Times New Roman"/>
                <w:sz w:val="16"/>
                <w:szCs w:val="16"/>
              </w:rPr>
              <w:t xml:space="preserve">, learned senior counsel, submitted that the impugned block assessment was wholly without jurisdiction having regard to the fact that the alleged deemed dividend of Rs. 5.99 crores relate to transactions recorded and reflected in the regular books and tax records even before the search; that no incriminating document or evidence was found by the Department during the search which falsify such transactions entered into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in the normal course; that the expression “undisclosed income” has been defined in section 158B(b) of the said Act and since block assessment was relatable to such evidence recovered during search in the present case, section 158BB(1) was not applicable in this case since no such evidence was recovered during the search. Learned counsel submitted that Chapter XIV-B was put on the Statute Book to enable assessment of undisclosed income detected on evidence found during the search. According to the learned counsel, the block assessment was intended to be an assessment in addition to the regular assessment. Learned counsel submitted that in the present case for want of such evidence, the Department was not entitled to make additions on account of deemed dividend to the tune of Rs. 5.99 crores. During the search, according to the learned counsel, nothing except a cash flow chart giving </w:t>
            </w:r>
            <w:r w:rsidRPr="00872F2E">
              <w:rPr>
                <w:rFonts w:ascii="Verdana" w:eastAsia="Times New Roman" w:hAnsi="Verdana" w:cs="Times New Roman"/>
                <w:sz w:val="16"/>
                <w:szCs w:val="16"/>
              </w:rPr>
              <w:lastRenderedPageBreak/>
              <w:t xml:space="preserve">details of investments made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in purchase of the said Bonds of the value of Rs. 26.35 crores was furnished. According to the learned counsel, the diary “ML-20” was the ledger copy of the investment account in 9 per cent RBI Relief Bonds which copy was a print-out from the regular accounts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that the investment of Rs. 26.35 crores, reflected in ML-20, was made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out of his disclosed funds and through regular books of account, and that the seized diary did not contained any incriminating information. Learned counsel urged that in the course of block assessment proceedings, the Assessing Officer directed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to furnish details as to the source of funds out of which Rs. 26.35 crores was made and when it was explained to the Assessing Officer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made such investments in 9 per cent RBI Relief Bonds out of the moneys withdrawn from MKF and MKI and that books of account maintained regularly by the said two firms indicated such withdrawals the Assessing Officer directed the authorized representatives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to prepare a statement indicating the source from which moneys came in the hands of the two firms and out of which withdrawals were made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to make investment in the 9 per cent RBI Relief Bonds, therefore, according to the learned counsel, no incriminating material whatsoever was found in the course of the search which could enable the Assessing Officer to invoke section 2(22)(e) of the Act. According to the learned counsel, in the above circumstance, Chapter XIV-B dealing with block assessment was wrongly invoked by the Assessing Officer.</w:t>
            </w:r>
            <w:r w:rsidRPr="00872F2E">
              <w:rPr>
                <w:rFonts w:ascii="Verdana" w:eastAsia="Times New Roman" w:hAnsi="Verdana" w:cs="Times New Roman"/>
                <w:sz w:val="16"/>
                <w:szCs w:val="16"/>
              </w:rPr>
              <w:br/>
              <w:t xml:space="preserve">9. On the nature of the transactions, learned counsel urged that during the Financial year 1999-2000,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invested Rs. 26.35 crores in the purchase of bonds; that the said investment was made out of the disclosed sources through cheques and that the said investment was mentioned in the bank accounts and in the tax records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long before the search. Learned Counsel urged that the immediate source of investment was the withdrawal of Rs. 26.35 crores from the partners’ capital account with MKF and MKI. It was urged that the cash flow statement was not an admission on the part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and, therefore, it was not open to the Department to invoke Chapter XIV-B. Learned counsel submitted that the Tribunal had erred in holding that the fact that SCPL had a running current account with MKI in the usual course of business, was irrelevant. Learned counsel submitted that SCPL had borrowed substantial amounts from MKI and in January 2000. SCPL repaid Rs. 2.79 crores to MKI which were not on behalf of or for the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It was urged that MKI had never borrowed money from SCPL at any time. Learned counsel urged that the Tribunal was wrong in holding that the fact that MKI had never borrowed money from SCPL, was irrelevant. Learned counsel urged that Rs. 2.79 crores were withdrawn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from his firm styled MKI on 28-1-2000 and such withdrawal was debited by MKI to the capital account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It was urged that MKSEPL had borrowed substantial amounts from MKF; and MKSEPL had made repayments to MKF during the Financial year 1999-2000 against the earlier debt owed by MKSEPL to MKF. Learned counsel submitted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a credit balance of Rs. 6.72 crores in his capital account standing in the books of partnership firm of MKF as on 1-4-1999. Learned counsel urged that the withdrawals made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from MKF were only out of his capital account with MKF and that the said withdrawals were debited by MKF to the capital account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Learned counsel further urged that there was no evidence on record to show that payments by SCPL to MKI and/or the payment by MKSEPL to MKF was for the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Learned counsel submitted that payments were made by each of the two companies, namely, SCPL and MKSEPL to MKI and MKF respectively in liquidation of their respective dues owed by each of the two companies to the said two firms. Learned counsel urged that no payment was ever made by SCPL and MKSEPL to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Learned counsel urged that the existence of reserves in the balance-sheet of MKSEPL in the sum of Rs. 55 crores as on 31-3-1999 is wholly irrelevant for the purposes of section 2(22)(e) of the Act. Learned counsel urged that similarly the fact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owed Rs. 8.18 crores to MKI as on 31-3-2000, was wholly irrelevant for the purposes of section 2(22)(e) of the Act. Learned counsel submitted that section 2(22)(e) had no application in the matter of the above two facts. Learned counsel urged that the Tribunal failed to appreciate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did not hold any shares in SCPL on or after 1-4-1999 and, therefore, he did not have any interest in SCPL on the dates when Rs. 2.79 crores were repaid by SCPL to MKI.</w:t>
            </w:r>
            <w:r w:rsidRPr="00872F2E">
              <w:rPr>
                <w:rFonts w:ascii="Verdana" w:eastAsia="Times New Roman" w:hAnsi="Verdana" w:cs="Times New Roman"/>
                <w:sz w:val="16"/>
                <w:szCs w:val="16"/>
              </w:rPr>
              <w:br/>
              <w:t>10. Learned counsel contended that the accumulated profits of MKSEPL could not be treated in law as the accumulated profits of SCPL in spite of the Order dated 5-7-2001 passed by the High Court approving the merger of SCPL with MKSEPL, even when such merger was made effective from 18-5-1998. Learned counsel submitted that the Tribunal had failed to appreciate that MKSEPL had not merged with SCPL but it is SCPL which had merged with MKSEPL. As a result of the said merger, the accumulated profits of MKSEPL did not vest in SCPL. Learned counsel, therefore, submitted that the subsequent event of the Court’s Order dated 5-7-2001 approving merger of SCPL with MKSEPL cannot enable the Revenue to treat the accumulated profits of MKSEPL as part of the accumulated profits of SCPL. Learned counsel further submitted that MKF never held any shares in MKSEPL. Learned counsel urged that Rs. 2.04 crores were paid on 11-1-2000 and Rs. 75 were paid on 28-1-2000 by SCPL to MKI. Therefore, according to the learned counsel, if SCPL wanted to declare dividends it could have done so only to the extent of accumulated profits in its own hands and since SCPL on the above two dates could not have declared dividends in excess of its accumulated profits, the Department was wrong in treating the accumulated profits of MKSEPL as accumulated profits of SCPL merely because the merger became effective retrospectively with effect from 18-5-1998.</w:t>
            </w:r>
            <w:r w:rsidRPr="00872F2E">
              <w:rPr>
                <w:rFonts w:ascii="Verdana" w:eastAsia="Times New Roman" w:hAnsi="Verdana" w:cs="Times New Roman"/>
                <w:sz w:val="16"/>
                <w:szCs w:val="16"/>
              </w:rPr>
              <w:br/>
              <w:t xml:space="preserve">11. We find merit in this civil appeal. The companies having accumulated profits and the companies in </w:t>
            </w:r>
            <w:r w:rsidRPr="00872F2E">
              <w:rPr>
                <w:rFonts w:ascii="Verdana" w:eastAsia="Times New Roman" w:hAnsi="Verdana" w:cs="Times New Roman"/>
                <w:sz w:val="16"/>
                <w:szCs w:val="16"/>
              </w:rPr>
              <w:lastRenderedPageBreak/>
              <w:t>which substantial voting power lies in the hands of the person other than the public (controlled companies) are required to distribute accumulated profits as dividends to the share-holders. In such companies, the controlling group can do what it likes with the management of the company, its affairs and its profits. It is for this group to decide whether the profits should be distributed as dividends or not. The declaration of dividend is entirely within the discretion of this group. Therefore, the Legislature realized that though funds were available with the company in the form of profits, the controlling group refused to distribute accumulated profits as dividends to the shareholders but adopted the device of advancing the said profits by way of loan to one of its shareholders so as to avoid payment of tax on accumulated profits. This was the main reason for enacting section 2(22)(e) of the Act.</w:t>
            </w:r>
            <w:r w:rsidRPr="00872F2E">
              <w:rPr>
                <w:rFonts w:ascii="Verdana" w:eastAsia="Times New Roman" w:hAnsi="Verdana" w:cs="Times New Roman"/>
                <w:sz w:val="16"/>
                <w:szCs w:val="16"/>
              </w:rPr>
              <w:br/>
              <w:t xml:space="preserve">12. In the case of CIT v. L. </w:t>
            </w:r>
            <w:proofErr w:type="spellStart"/>
            <w:r w:rsidRPr="00872F2E">
              <w:rPr>
                <w:rFonts w:ascii="Verdana" w:eastAsia="Times New Roman" w:hAnsi="Verdana" w:cs="Times New Roman"/>
                <w:sz w:val="16"/>
                <w:szCs w:val="16"/>
              </w:rPr>
              <w:t>Alagusundaram</w:t>
            </w:r>
            <w:proofErr w:type="spellEnd"/>
            <w:r w:rsidRPr="00872F2E">
              <w:rPr>
                <w:rFonts w:ascii="Verdana" w:eastAsia="Times New Roman" w:hAnsi="Verdana" w:cs="Times New Roman"/>
                <w:sz w:val="16"/>
                <w:szCs w:val="16"/>
              </w:rPr>
              <w:t xml:space="preserve"> </w:t>
            </w:r>
            <w:proofErr w:type="spellStart"/>
            <w:r w:rsidRPr="00872F2E">
              <w:rPr>
                <w:rFonts w:ascii="Verdana" w:eastAsia="Times New Roman" w:hAnsi="Verdana" w:cs="Times New Roman"/>
                <w:sz w:val="16"/>
                <w:szCs w:val="16"/>
              </w:rPr>
              <w:t>Chettiar</w:t>
            </w:r>
            <w:proofErr w:type="spellEnd"/>
            <w:r w:rsidRPr="00872F2E">
              <w:rPr>
                <w:rFonts w:ascii="Verdana" w:eastAsia="Times New Roman" w:hAnsi="Verdana" w:cs="Times New Roman"/>
                <w:sz w:val="16"/>
                <w:szCs w:val="16"/>
              </w:rPr>
              <w:t xml:space="preserve"> [1977] 109 ITR 508, the Madras High Court held that the word “payment” in the said section means the act of paying and, therefore, in that case it was held that payment by the company to </w:t>
            </w:r>
            <w:proofErr w:type="spellStart"/>
            <w:r w:rsidRPr="00872F2E">
              <w:rPr>
                <w:rFonts w:ascii="Verdana" w:eastAsia="Times New Roman" w:hAnsi="Verdana" w:cs="Times New Roman"/>
                <w:sz w:val="16"/>
                <w:szCs w:val="16"/>
              </w:rPr>
              <w:t>Karuppiah</w:t>
            </w:r>
            <w:proofErr w:type="spellEnd"/>
            <w:r w:rsidRPr="00872F2E">
              <w:rPr>
                <w:rFonts w:ascii="Verdana" w:eastAsia="Times New Roman" w:hAnsi="Verdana" w:cs="Times New Roman"/>
                <w:sz w:val="16"/>
                <w:szCs w:val="16"/>
              </w:rPr>
              <w:t xml:space="preserve"> </w:t>
            </w:r>
            <w:proofErr w:type="spellStart"/>
            <w:r w:rsidRPr="00872F2E">
              <w:rPr>
                <w:rFonts w:ascii="Verdana" w:eastAsia="Times New Roman" w:hAnsi="Verdana" w:cs="Times New Roman"/>
                <w:sz w:val="16"/>
                <w:szCs w:val="16"/>
              </w:rPr>
              <w:t>Chettiar</w:t>
            </w:r>
            <w:proofErr w:type="spellEnd"/>
            <w:r w:rsidRPr="00872F2E">
              <w:rPr>
                <w:rFonts w:ascii="Verdana" w:eastAsia="Times New Roman" w:hAnsi="Verdana" w:cs="Times New Roman"/>
                <w:sz w:val="16"/>
                <w:szCs w:val="16"/>
              </w:rPr>
              <w:t xml:space="preserve"> was for the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the Managing Director of the company, L. </w:t>
            </w:r>
            <w:proofErr w:type="spellStart"/>
            <w:r w:rsidRPr="00872F2E">
              <w:rPr>
                <w:rFonts w:ascii="Verdana" w:eastAsia="Times New Roman" w:hAnsi="Verdana" w:cs="Times New Roman"/>
                <w:sz w:val="16"/>
                <w:szCs w:val="16"/>
              </w:rPr>
              <w:t>Alagusundaram</w:t>
            </w:r>
            <w:proofErr w:type="spellEnd"/>
            <w:r w:rsidRPr="00872F2E">
              <w:rPr>
                <w:rFonts w:ascii="Verdana" w:eastAsia="Times New Roman" w:hAnsi="Verdana" w:cs="Times New Roman"/>
                <w:sz w:val="16"/>
                <w:szCs w:val="16"/>
              </w:rPr>
              <w:t xml:space="preserve"> </w:t>
            </w:r>
            <w:proofErr w:type="spellStart"/>
            <w:r w:rsidRPr="00872F2E">
              <w:rPr>
                <w:rFonts w:ascii="Verdana" w:eastAsia="Times New Roman" w:hAnsi="Verdana" w:cs="Times New Roman"/>
                <w:sz w:val="16"/>
                <w:szCs w:val="16"/>
              </w:rPr>
              <w:t>Chettiar</w:t>
            </w:r>
            <w:proofErr w:type="spellEnd"/>
            <w:r w:rsidRPr="00872F2E">
              <w:rPr>
                <w:rFonts w:ascii="Verdana" w:eastAsia="Times New Roman" w:hAnsi="Verdana" w:cs="Times New Roman"/>
                <w:sz w:val="16"/>
                <w:szCs w:val="16"/>
              </w:rPr>
              <w:t xml:space="preserve">, and was, therefore, assessable as dividend in the hands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In the said judgment it has been held that the basic test to be applied in such cases is not whether loan given is a benefit but whether payment by the company to </w:t>
            </w:r>
            <w:proofErr w:type="spellStart"/>
            <w:r w:rsidRPr="00872F2E">
              <w:rPr>
                <w:rFonts w:ascii="Verdana" w:eastAsia="Times New Roman" w:hAnsi="Verdana" w:cs="Times New Roman"/>
                <w:sz w:val="16"/>
                <w:szCs w:val="16"/>
              </w:rPr>
              <w:t>Karuppiah</w:t>
            </w:r>
            <w:proofErr w:type="spellEnd"/>
            <w:r w:rsidRPr="00872F2E">
              <w:rPr>
                <w:rFonts w:ascii="Verdana" w:eastAsia="Times New Roman" w:hAnsi="Verdana" w:cs="Times New Roman"/>
                <w:sz w:val="16"/>
                <w:szCs w:val="16"/>
              </w:rPr>
              <w:t xml:space="preserve"> </w:t>
            </w:r>
            <w:proofErr w:type="spellStart"/>
            <w:r w:rsidRPr="00872F2E">
              <w:rPr>
                <w:rFonts w:ascii="Verdana" w:eastAsia="Times New Roman" w:hAnsi="Verdana" w:cs="Times New Roman"/>
                <w:sz w:val="16"/>
                <w:szCs w:val="16"/>
              </w:rPr>
              <w:t>Chettiar</w:t>
            </w:r>
            <w:proofErr w:type="spellEnd"/>
            <w:r w:rsidRPr="00872F2E">
              <w:rPr>
                <w:rFonts w:ascii="Verdana" w:eastAsia="Times New Roman" w:hAnsi="Verdana" w:cs="Times New Roman"/>
                <w:sz w:val="16"/>
                <w:szCs w:val="16"/>
              </w:rPr>
              <w:t xml:space="preserve"> was for the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who was the Managing Director of the paying company. Applying the above test to the facts of the present case, we are of the view that the Tribunal was right in holding, on examination of the cash flow statement, that MKSEPL had made payments to MKF and MKI for the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which enabled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to buy 9 per cent RBI Relief Bonds in the Financial year 1999-2000. It is in this sense that the Tribunal was right in holding that the two firms were used as conduits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It is not in dispute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more than 10 per cent of voting power in MKSEPL during the block period. It is not in dispute that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substantial interest of about 16 per cent in MKF. It is not in dispute that the three companies were the controlled companies. There is one more point which needs to be mentioned. The timing of so-called repayments by the company to MKF and MKI and the immediate withdrawal of the funds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-cum-Director-cum-shareholder-cum-partner and the timing of investment in purchase of Bonds were around the same time. Moreover, in MKSEPL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is not only a shareholder having more than 10 per cent of total voting power, he is also a Director of that company. The said company is also a partner in MKF and MKI which explains why the amount of Rs. 5.99 crores was routed by splitting the said amount into two parts of Rs. 2.79 crores and Rs. 3.20 crores. In the present case, the most important aspect, which has not been considered by the High Court, was that withdrawal of money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from his capital account, in the books of MKI, during Financial year 1999-2000 led to a debit balance of Rs. 8.18 crores as on 31-3-2000. To this extent, the finding given by the Assessing Officer and by the Tribunal remains unchallenged. Lastly, on the maintainability of the block assessment, we are of the view that the Department was right in assessing the said amount as deemed dividend in the hands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under section 2(22)(e) of the Act. The impugned Assessment Order was passed under section 158BC. That assessment originated on account of a search conducted under section 132(1) of the Act. In that search the diary “ML-20” was identified. That identification was the starting point of connected enquiries resulting in the detection of undisclosed income of Rs. 5.99 crores. In other words, undisclosed income, in the nature of deemed dividend, did not arise from any scrutiny proceedings, tax evasion petitions, surveys, information received from external agency, etc. The undisclosed income was detected by the Assessing Officer wholly and exclusively as a result of a search and, therefore, the Department was right in invoking the provisions of Chapter XIV-B. There is one more aspect in this regard. From the facts, indicated above, the Department has established a sort of circular trading in this case. One of the important features of circular trading is to route the funds through conduits. In such cases the picture emerges only after seeing the cash flow statements. In the present case, ML-20 made the Assessing Officer to hold enquiries and in that enquiry the cash flow statement emerged, therefore, the Department was right in invoking the provisions of Chapter XIV-B in the present case. The five payments had direct co-relation with Rs. 5.99 crores paid by MKSEPL to MKF and MKI and payments by the said two firms to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who used the said money to buy 9 per cent RBI Relief Bonds. Therefore, the said payment by the company through the two firms was for the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Therefore, the said funds were not repayment of loans, they were for purchase of 9 per cent RBI Relief Bonds by the respondent.</w:t>
            </w:r>
            <w:r w:rsidRPr="00872F2E">
              <w:rPr>
                <w:rFonts w:ascii="Verdana" w:eastAsia="Times New Roman" w:hAnsi="Verdana" w:cs="Times New Roman"/>
                <w:sz w:val="16"/>
                <w:szCs w:val="16"/>
              </w:rPr>
              <w:br/>
              <w:t xml:space="preserve">13. As regards the contention advanced on behalf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that the accumulated profits of MKSEPL could not be treated as the accumulated profits of SCPL in spite of the Order of merger with effect from 18-5-1998, we agree with the view expressed by the Assessing Officer that on merger the accounts of the two companies had merged and, therefore, the reserves had to be taken on the basis of merged account. Moreover,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had substantial interest in MKSEPL right from the inception. Lastly, in the present case, we are concerned with the block assessment which covers the period 1-4-1990 to 24-8-2000.</w:t>
            </w:r>
            <w:r w:rsidRPr="00872F2E">
              <w:rPr>
                <w:rFonts w:ascii="Verdana" w:eastAsia="Times New Roman" w:hAnsi="Verdana" w:cs="Times New Roman"/>
                <w:sz w:val="16"/>
                <w:szCs w:val="16"/>
              </w:rPr>
              <w:br/>
              <w:t xml:space="preserve">Before concluding, we quote </w:t>
            </w:r>
            <w:proofErr w:type="spellStart"/>
            <w:r w:rsidRPr="00872F2E">
              <w:rPr>
                <w:rFonts w:ascii="Verdana" w:eastAsia="Times New Roman" w:hAnsi="Verdana" w:cs="Times New Roman"/>
                <w:sz w:val="16"/>
                <w:szCs w:val="16"/>
              </w:rPr>
              <w:t>hereinbelow</w:t>
            </w:r>
            <w:proofErr w:type="spellEnd"/>
            <w:r w:rsidRPr="00872F2E">
              <w:rPr>
                <w:rFonts w:ascii="Verdana" w:eastAsia="Times New Roman" w:hAnsi="Verdana" w:cs="Times New Roman"/>
                <w:sz w:val="16"/>
                <w:szCs w:val="16"/>
              </w:rPr>
              <w:t xml:space="preserve"> the relevant paragraphs from the judgment of the Calcutta High Court in the case of </w:t>
            </w:r>
            <w:proofErr w:type="spellStart"/>
            <w:r w:rsidRPr="00872F2E">
              <w:rPr>
                <w:rFonts w:ascii="Verdana" w:eastAsia="Times New Roman" w:hAnsi="Verdana" w:cs="Times New Roman"/>
                <w:sz w:val="16"/>
                <w:szCs w:val="16"/>
              </w:rPr>
              <w:t>Nandlal</w:t>
            </w:r>
            <w:proofErr w:type="spellEnd"/>
            <w:r w:rsidRPr="00872F2E">
              <w:rPr>
                <w:rFonts w:ascii="Verdana" w:eastAsia="Times New Roman" w:hAnsi="Verdana" w:cs="Times New Roman"/>
                <w:sz w:val="16"/>
                <w:szCs w:val="16"/>
              </w:rPr>
              <w:t xml:space="preserve"> </w:t>
            </w:r>
            <w:proofErr w:type="spellStart"/>
            <w:r w:rsidRPr="00872F2E">
              <w:rPr>
                <w:rFonts w:ascii="Verdana" w:eastAsia="Times New Roman" w:hAnsi="Verdana" w:cs="Times New Roman"/>
                <w:sz w:val="16"/>
                <w:szCs w:val="16"/>
              </w:rPr>
              <w:t>Kanoria</w:t>
            </w:r>
            <w:proofErr w:type="spellEnd"/>
            <w:r w:rsidRPr="00872F2E">
              <w:rPr>
                <w:rFonts w:ascii="Verdana" w:eastAsia="Times New Roman" w:hAnsi="Verdana" w:cs="Times New Roman"/>
                <w:sz w:val="16"/>
                <w:szCs w:val="16"/>
              </w:rPr>
              <w:t xml:space="preserve"> v. CIT [1980] 122 ITR 405 :</w:t>
            </w:r>
            <w:r w:rsidRPr="00872F2E">
              <w:rPr>
                <w:rFonts w:ascii="Verdana" w:eastAsia="Times New Roman" w:hAnsi="Verdana" w:cs="Times New Roman"/>
                <w:sz w:val="16"/>
                <w:szCs w:val="16"/>
              </w:rPr>
              <w:br/>
              <w:t xml:space="preserve">“The only question which remains to be considered is that whether the said company made the payments of the said sum of Rs. 75,000 and Rs. 4,80,000 to </w:t>
            </w:r>
            <w:proofErr w:type="spellStart"/>
            <w:r w:rsidRPr="00872F2E">
              <w:rPr>
                <w:rFonts w:ascii="Verdana" w:eastAsia="Times New Roman" w:hAnsi="Verdana" w:cs="Times New Roman"/>
                <w:sz w:val="16"/>
                <w:szCs w:val="16"/>
              </w:rPr>
              <w:t>Indira</w:t>
            </w:r>
            <w:proofErr w:type="spellEnd"/>
            <w:r w:rsidRPr="00872F2E">
              <w:rPr>
                <w:rFonts w:ascii="Verdana" w:eastAsia="Times New Roman" w:hAnsi="Verdana" w:cs="Times New Roman"/>
                <w:sz w:val="16"/>
                <w:szCs w:val="16"/>
              </w:rPr>
              <w:t xml:space="preserve"> &amp; Co. for the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So far as Rs. 75,000 is concerned it is found by the Tribunal, though not very clearly, that this amount was received by </w:t>
            </w:r>
            <w:proofErr w:type="spellStart"/>
            <w:r w:rsidRPr="00872F2E">
              <w:rPr>
                <w:rFonts w:ascii="Verdana" w:eastAsia="Times New Roman" w:hAnsi="Verdana" w:cs="Times New Roman"/>
                <w:sz w:val="16"/>
                <w:szCs w:val="16"/>
              </w:rPr>
              <w:t>Indira</w:t>
            </w:r>
            <w:proofErr w:type="spellEnd"/>
            <w:r w:rsidRPr="00872F2E">
              <w:rPr>
                <w:rFonts w:ascii="Verdana" w:eastAsia="Times New Roman" w:hAnsi="Verdana" w:cs="Times New Roman"/>
                <w:sz w:val="16"/>
                <w:szCs w:val="16"/>
              </w:rPr>
              <w:t xml:space="preserve"> &amp; Co. from the said company and the same amount was given to </w:t>
            </w:r>
            <w:r w:rsidRPr="00872F2E">
              <w:rPr>
                <w:rFonts w:ascii="Verdana" w:eastAsia="Times New Roman" w:hAnsi="Verdana" w:cs="Times New Roman"/>
                <w:sz w:val="16"/>
                <w:szCs w:val="16"/>
              </w:rPr>
              <w:lastRenderedPageBreak/>
              <w:t xml:space="preserve">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by </w:t>
            </w:r>
            <w:proofErr w:type="spellStart"/>
            <w:r w:rsidRPr="00872F2E">
              <w:rPr>
                <w:rFonts w:ascii="Verdana" w:eastAsia="Times New Roman" w:hAnsi="Verdana" w:cs="Times New Roman"/>
                <w:sz w:val="16"/>
                <w:szCs w:val="16"/>
              </w:rPr>
              <w:t>Indira</w:t>
            </w:r>
            <w:proofErr w:type="spellEnd"/>
            <w:r w:rsidRPr="00872F2E">
              <w:rPr>
                <w:rFonts w:ascii="Verdana" w:eastAsia="Times New Roman" w:hAnsi="Verdana" w:cs="Times New Roman"/>
                <w:sz w:val="16"/>
                <w:szCs w:val="16"/>
              </w:rPr>
              <w:t xml:space="preserve"> &amp; Co. The Tribunal inferred from the said facts that this was a payment by the said company meant for the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This conclusion involves two findings of fact, namely, the factum of payment by the company and the motive or intention of the company making such payment, namely, a benefit accruing to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These are essentially findings of fact and have not been challenged by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by an appropriate question.” [Emphasis supplied] (p. 415)</w:t>
            </w:r>
            <w:r w:rsidRPr="00872F2E">
              <w:rPr>
                <w:rFonts w:ascii="Verdana" w:eastAsia="Times New Roman" w:hAnsi="Verdana" w:cs="Times New Roman"/>
                <w:sz w:val="16"/>
                <w:szCs w:val="16"/>
              </w:rPr>
              <w:br/>
              <w:t xml:space="preserve">14. We also quote </w:t>
            </w:r>
            <w:proofErr w:type="spellStart"/>
            <w:r w:rsidRPr="00872F2E">
              <w:rPr>
                <w:rFonts w:ascii="Verdana" w:eastAsia="Times New Roman" w:hAnsi="Verdana" w:cs="Times New Roman"/>
                <w:sz w:val="16"/>
                <w:szCs w:val="16"/>
              </w:rPr>
              <w:t>hereinbelow</w:t>
            </w:r>
            <w:proofErr w:type="spellEnd"/>
            <w:r w:rsidRPr="00872F2E">
              <w:rPr>
                <w:rFonts w:ascii="Verdana" w:eastAsia="Times New Roman" w:hAnsi="Verdana" w:cs="Times New Roman"/>
                <w:sz w:val="16"/>
                <w:szCs w:val="16"/>
              </w:rPr>
              <w:t xml:space="preserve"> </w:t>
            </w:r>
            <w:proofErr w:type="spellStart"/>
            <w:r w:rsidRPr="00872F2E">
              <w:rPr>
                <w:rFonts w:ascii="Verdana" w:eastAsia="Times New Roman" w:hAnsi="Verdana" w:cs="Times New Roman"/>
                <w:sz w:val="16"/>
                <w:szCs w:val="16"/>
              </w:rPr>
              <w:t>para</w:t>
            </w:r>
            <w:proofErr w:type="spellEnd"/>
            <w:r w:rsidRPr="00872F2E">
              <w:rPr>
                <w:rFonts w:ascii="Verdana" w:eastAsia="Times New Roman" w:hAnsi="Verdana" w:cs="Times New Roman"/>
                <w:sz w:val="16"/>
                <w:szCs w:val="16"/>
              </w:rPr>
              <w:t xml:space="preserve"> 19 and </w:t>
            </w:r>
            <w:proofErr w:type="spellStart"/>
            <w:r w:rsidRPr="00872F2E">
              <w:rPr>
                <w:rFonts w:ascii="Verdana" w:eastAsia="Times New Roman" w:hAnsi="Verdana" w:cs="Times New Roman"/>
                <w:sz w:val="16"/>
                <w:szCs w:val="16"/>
              </w:rPr>
              <w:t>para</w:t>
            </w:r>
            <w:proofErr w:type="spellEnd"/>
            <w:r w:rsidRPr="00872F2E">
              <w:rPr>
                <w:rFonts w:ascii="Verdana" w:eastAsia="Times New Roman" w:hAnsi="Verdana" w:cs="Times New Roman"/>
                <w:sz w:val="16"/>
                <w:szCs w:val="16"/>
              </w:rPr>
              <w:t xml:space="preserve"> 21 of the judgment of the Bombay High Court in the case of CIT v. P.K. </w:t>
            </w:r>
            <w:proofErr w:type="spellStart"/>
            <w:r w:rsidRPr="00872F2E">
              <w:rPr>
                <w:rFonts w:ascii="Verdana" w:eastAsia="Times New Roman" w:hAnsi="Verdana" w:cs="Times New Roman"/>
                <w:sz w:val="16"/>
                <w:szCs w:val="16"/>
              </w:rPr>
              <w:t>Badiani</w:t>
            </w:r>
            <w:proofErr w:type="spellEnd"/>
            <w:r w:rsidRPr="00872F2E">
              <w:rPr>
                <w:rFonts w:ascii="Verdana" w:eastAsia="Times New Roman" w:hAnsi="Verdana" w:cs="Times New Roman"/>
                <w:sz w:val="16"/>
                <w:szCs w:val="16"/>
              </w:rPr>
              <w:t xml:space="preserve"> [1970] 76 ITR 369 :</w:t>
            </w:r>
            <w:r w:rsidRPr="00872F2E">
              <w:rPr>
                <w:rFonts w:ascii="Verdana" w:eastAsia="Times New Roman" w:hAnsi="Verdana" w:cs="Times New Roman"/>
                <w:sz w:val="16"/>
                <w:szCs w:val="16"/>
              </w:rPr>
              <w:br/>
              <w:t xml:space="preserve">“19. Now, the </w:t>
            </w:r>
            <w:proofErr w:type="spellStart"/>
            <w:r w:rsidRPr="00872F2E">
              <w:rPr>
                <w:rFonts w:ascii="Verdana" w:eastAsia="Times New Roman" w:hAnsi="Verdana" w:cs="Times New Roman"/>
                <w:sz w:val="16"/>
                <w:szCs w:val="16"/>
              </w:rPr>
              <w:t>assessee’s</w:t>
            </w:r>
            <w:proofErr w:type="spellEnd"/>
            <w:r w:rsidRPr="00872F2E">
              <w:rPr>
                <w:rFonts w:ascii="Verdana" w:eastAsia="Times New Roman" w:hAnsi="Verdana" w:cs="Times New Roman"/>
                <w:sz w:val="16"/>
                <w:szCs w:val="16"/>
              </w:rPr>
              <w:t xml:space="preserve"> account for 1st April, 1957 to 31st March, 1958, shows that there are credits as well as debits. What has to be ascertained is whether the debits are ‘loans’, so that they can be deemed as dividends. The account is a mutual, open, and current account. Every debit, i.e., every payment by the company to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may not be a loan. To be treated as a loan, every amount paid must make the company a creditor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for that amount. If, however, at the time when the payment is made by the company is already a debtor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the payment would be merely a repayment by the company towards its already existing debt. It would be a loan by the company only if the payment exceeds the amount of its already existing debt and that too only to the extent of the excess. Therefore, the position as regards each debit will have to be individually considered, because it may or may not be a loan. The two basic principles are, that only a loan, which would include the other payments mentioned in section 2(6A)(e), can be deemed to be dividend and that too only to the extent that the company has at the date of the payment ‘accumulated profits’ after deducting </w:t>
            </w:r>
            <w:proofErr w:type="spellStart"/>
            <w:r w:rsidRPr="00872F2E">
              <w:rPr>
                <w:rFonts w:ascii="Verdana" w:eastAsia="Times New Roman" w:hAnsi="Verdana" w:cs="Times New Roman"/>
                <w:sz w:val="16"/>
                <w:szCs w:val="16"/>
              </w:rPr>
              <w:t>therefrom</w:t>
            </w:r>
            <w:proofErr w:type="spellEnd"/>
            <w:r w:rsidRPr="00872F2E">
              <w:rPr>
                <w:rFonts w:ascii="Verdana" w:eastAsia="Times New Roman" w:hAnsi="Verdana" w:cs="Times New Roman"/>
                <w:sz w:val="16"/>
                <w:szCs w:val="16"/>
              </w:rPr>
              <w:t xml:space="preserve"> all items legitimately deductible </w:t>
            </w:r>
            <w:proofErr w:type="spellStart"/>
            <w:r w:rsidRPr="00872F2E">
              <w:rPr>
                <w:rFonts w:ascii="Verdana" w:eastAsia="Times New Roman" w:hAnsi="Verdana" w:cs="Times New Roman"/>
                <w:sz w:val="16"/>
                <w:szCs w:val="16"/>
              </w:rPr>
              <w:t>therefrom</w:t>
            </w:r>
            <w:proofErr w:type="spellEnd"/>
            <w:r w:rsidRPr="00872F2E">
              <w:rPr>
                <w:rFonts w:ascii="Verdana" w:eastAsia="Times New Roman" w:hAnsi="Verdana" w:cs="Times New Roman"/>
                <w:sz w:val="16"/>
                <w:szCs w:val="16"/>
              </w:rPr>
              <w:t>.</w:t>
            </w:r>
            <w:r w:rsidRPr="00872F2E">
              <w:rPr>
                <w:rFonts w:ascii="Verdana" w:eastAsia="Times New Roman" w:hAnsi="Verdana" w:cs="Times New Roman"/>
                <w:sz w:val="16"/>
                <w:szCs w:val="16"/>
              </w:rPr>
              <w:br/>
              <w:t>** ** **</w:t>
            </w:r>
            <w:r w:rsidRPr="00872F2E">
              <w:rPr>
                <w:rFonts w:ascii="Verdana" w:eastAsia="Times New Roman" w:hAnsi="Verdana" w:cs="Times New Roman"/>
                <w:sz w:val="16"/>
                <w:szCs w:val="16"/>
              </w:rPr>
              <w:br/>
              <w:t xml:space="preserve">21. As regards question Nos. 3 and 4, Mr. </w:t>
            </w:r>
            <w:proofErr w:type="spellStart"/>
            <w:r w:rsidRPr="00872F2E">
              <w:rPr>
                <w:rFonts w:ascii="Verdana" w:eastAsia="Times New Roman" w:hAnsi="Verdana" w:cs="Times New Roman"/>
                <w:sz w:val="16"/>
                <w:szCs w:val="16"/>
              </w:rPr>
              <w:t>Rajgopal</w:t>
            </w:r>
            <w:proofErr w:type="spellEnd"/>
            <w:r w:rsidRPr="00872F2E">
              <w:rPr>
                <w:rFonts w:ascii="Verdana" w:eastAsia="Times New Roman" w:hAnsi="Verdana" w:cs="Times New Roman"/>
                <w:sz w:val="16"/>
                <w:szCs w:val="16"/>
              </w:rPr>
              <w:t xml:space="preserve"> contended that the debit balance, if any, at the last date of the </w:t>
            </w:r>
            <w:proofErr w:type="spellStart"/>
            <w:r w:rsidRPr="00872F2E">
              <w:rPr>
                <w:rFonts w:ascii="Verdana" w:eastAsia="Times New Roman" w:hAnsi="Verdana" w:cs="Times New Roman"/>
                <w:sz w:val="16"/>
                <w:szCs w:val="16"/>
              </w:rPr>
              <w:t>assessee’s</w:t>
            </w:r>
            <w:proofErr w:type="spellEnd"/>
            <w:r w:rsidRPr="00872F2E">
              <w:rPr>
                <w:rFonts w:ascii="Verdana" w:eastAsia="Times New Roman" w:hAnsi="Verdana" w:cs="Times New Roman"/>
                <w:sz w:val="16"/>
                <w:szCs w:val="16"/>
              </w:rPr>
              <w:t xml:space="preserve"> accounting year 1st April, 1957 to 31st March, 1958, should be taken as the amount to be treated as dividend and as the </w:t>
            </w:r>
            <w:proofErr w:type="spellStart"/>
            <w:r w:rsidRPr="00872F2E">
              <w:rPr>
                <w:rFonts w:ascii="Verdana" w:eastAsia="Times New Roman" w:hAnsi="Verdana" w:cs="Times New Roman"/>
                <w:sz w:val="16"/>
                <w:szCs w:val="16"/>
              </w:rPr>
              <w:t>assessee’s</w:t>
            </w:r>
            <w:proofErr w:type="spellEnd"/>
            <w:r w:rsidRPr="00872F2E">
              <w:rPr>
                <w:rFonts w:ascii="Verdana" w:eastAsia="Times New Roman" w:hAnsi="Verdana" w:cs="Times New Roman"/>
                <w:sz w:val="16"/>
                <w:szCs w:val="16"/>
              </w:rPr>
              <w:t xml:space="preserve"> account is on the last day to his credit, no amount can be deemed to be dividend. As already pointed out, the position has to be ascertained at the date of each payment by the company to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and this contention must, therefore, be rejected. If Mr. </w:t>
            </w:r>
            <w:proofErr w:type="spellStart"/>
            <w:r w:rsidRPr="00872F2E">
              <w:rPr>
                <w:rFonts w:ascii="Verdana" w:eastAsia="Times New Roman" w:hAnsi="Verdana" w:cs="Times New Roman"/>
                <w:sz w:val="16"/>
                <w:szCs w:val="16"/>
              </w:rPr>
              <w:t>Rajgopal’s</w:t>
            </w:r>
            <w:proofErr w:type="spellEnd"/>
            <w:r w:rsidRPr="00872F2E">
              <w:rPr>
                <w:rFonts w:ascii="Verdana" w:eastAsia="Times New Roman" w:hAnsi="Verdana" w:cs="Times New Roman"/>
                <w:sz w:val="16"/>
                <w:szCs w:val="16"/>
              </w:rPr>
              <w:t xml:space="preserve"> contention was to be accepted, the result would be that if a shareholder borrows a large amount during the year, but repays it on the last day of the year, it would not be considered to be a loan, though the facts show that he did borrow a loan. Such a contradiction of the real fact would result if Mr. </w:t>
            </w:r>
            <w:proofErr w:type="spellStart"/>
            <w:r w:rsidRPr="00872F2E">
              <w:rPr>
                <w:rFonts w:ascii="Verdana" w:eastAsia="Times New Roman" w:hAnsi="Verdana" w:cs="Times New Roman"/>
                <w:sz w:val="16"/>
                <w:szCs w:val="16"/>
              </w:rPr>
              <w:t>Rajgopal’s</w:t>
            </w:r>
            <w:proofErr w:type="spellEnd"/>
            <w:r w:rsidRPr="00872F2E">
              <w:rPr>
                <w:rFonts w:ascii="Verdana" w:eastAsia="Times New Roman" w:hAnsi="Verdana" w:cs="Times New Roman"/>
                <w:sz w:val="16"/>
                <w:szCs w:val="16"/>
              </w:rPr>
              <w:t xml:space="preserve"> contention were to be accepted. Mr. </w:t>
            </w:r>
            <w:proofErr w:type="spellStart"/>
            <w:r w:rsidRPr="00872F2E">
              <w:rPr>
                <w:rFonts w:ascii="Verdana" w:eastAsia="Times New Roman" w:hAnsi="Verdana" w:cs="Times New Roman"/>
                <w:sz w:val="16"/>
                <w:szCs w:val="16"/>
              </w:rPr>
              <w:t>Rajgopal</w:t>
            </w:r>
            <w:proofErr w:type="spellEnd"/>
            <w:r w:rsidRPr="00872F2E">
              <w:rPr>
                <w:rFonts w:ascii="Verdana" w:eastAsia="Times New Roman" w:hAnsi="Verdana" w:cs="Times New Roman"/>
                <w:sz w:val="16"/>
                <w:szCs w:val="16"/>
              </w:rPr>
              <w:t xml:space="preserve"> further contended that in any event the highest amount to the </w:t>
            </w:r>
            <w:proofErr w:type="spellStart"/>
            <w:r w:rsidRPr="00872F2E">
              <w:rPr>
                <w:rFonts w:ascii="Verdana" w:eastAsia="Times New Roman" w:hAnsi="Verdana" w:cs="Times New Roman"/>
                <w:sz w:val="16"/>
                <w:szCs w:val="16"/>
              </w:rPr>
              <w:t>assessee’s</w:t>
            </w:r>
            <w:proofErr w:type="spellEnd"/>
            <w:r w:rsidRPr="00872F2E">
              <w:rPr>
                <w:rFonts w:ascii="Verdana" w:eastAsia="Times New Roman" w:hAnsi="Verdana" w:cs="Times New Roman"/>
                <w:sz w:val="16"/>
                <w:szCs w:val="16"/>
              </w:rPr>
              <w:t xml:space="preserve"> debit on any day of the year should be the amount to be deemed to be dividend. This argument, again, ignores the principle laid down by us, that the position at the date of each payment must be considered. Moreover, there is another reason and that is that if it were to be so done, it would not enable the position of the balance of the ‘accumulated profits’ being taken into account, as more than one shareholder may have borrowed loans from the company in an account similar to that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All these contentions of Mr. </w:t>
            </w:r>
            <w:proofErr w:type="spellStart"/>
            <w:r w:rsidRPr="00872F2E">
              <w:rPr>
                <w:rFonts w:ascii="Verdana" w:eastAsia="Times New Roman" w:hAnsi="Verdana" w:cs="Times New Roman"/>
                <w:sz w:val="16"/>
                <w:szCs w:val="16"/>
              </w:rPr>
              <w:t>Rajgopal</w:t>
            </w:r>
            <w:proofErr w:type="spellEnd"/>
            <w:r w:rsidRPr="00872F2E">
              <w:rPr>
                <w:rFonts w:ascii="Verdana" w:eastAsia="Times New Roman" w:hAnsi="Verdana" w:cs="Times New Roman"/>
                <w:sz w:val="16"/>
                <w:szCs w:val="16"/>
              </w:rPr>
              <w:t xml:space="preserve"> ignore the basic fact that section 2(6A)(e) uses the words ‘any payment’ which means, every payment, and section 2(6A)(e) requires the determination of two factors, viz., whether the payment is a loan and whether at the date when the payment is made there were accumulated profits and that these two factors are to be correlated and the result must be ascertained at the date of each such payment.” [Emphasis supplied] (p. 380)</w:t>
            </w:r>
            <w:r w:rsidRPr="00872F2E">
              <w:rPr>
                <w:rFonts w:ascii="Verdana" w:eastAsia="Times New Roman" w:hAnsi="Verdana" w:cs="Times New Roman"/>
                <w:sz w:val="16"/>
                <w:szCs w:val="16"/>
              </w:rPr>
              <w:br/>
              <w:t xml:space="preserve">The above two judgments indicate that the question as to whether payment made by the company is for the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xml:space="preserve"> is a question of fact. In this case, the Tribunal has concluded that the payment routed through MKF and MKI was for the benefit of the </w:t>
            </w:r>
            <w:proofErr w:type="spellStart"/>
            <w:r w:rsidRPr="00872F2E">
              <w:rPr>
                <w:rFonts w:ascii="Verdana" w:eastAsia="Times New Roman" w:hAnsi="Verdana" w:cs="Times New Roman"/>
                <w:sz w:val="16"/>
                <w:szCs w:val="16"/>
              </w:rPr>
              <w:t>assessee</w:t>
            </w:r>
            <w:proofErr w:type="spellEnd"/>
            <w:r w:rsidRPr="00872F2E">
              <w:rPr>
                <w:rFonts w:ascii="Verdana" w:eastAsia="Times New Roman" w:hAnsi="Verdana" w:cs="Times New Roman"/>
                <w:sz w:val="16"/>
                <w:szCs w:val="16"/>
              </w:rPr>
              <w:t>. This was a finding of fact. It was not perverse. Therefore, the High Court should not have interfered with the said finding. Further, the above two judgments lay down that the concept of deemed dividend under section 2(22)(e) of the Act postulates two factors, namely, whether payment is a loan and whether on the date of payment there existed “accumulated profits”. These two factors have to be correlated. This correlation has been done by the Tribunal coupled with the fact that all withdrawals were debited in the capital account of the firm leading to the debit balance of Rs. 8.18 crores. The High Court has erred in disturbing the findings of fact.</w:t>
            </w:r>
            <w:r w:rsidRPr="00872F2E">
              <w:rPr>
                <w:rFonts w:ascii="Verdana" w:eastAsia="Times New Roman" w:hAnsi="Verdana" w:cs="Times New Roman"/>
                <w:sz w:val="16"/>
                <w:szCs w:val="16"/>
              </w:rPr>
              <w:br/>
              <w:t>15. For the above reasons, we set aside the impugned judgment of the High Court. Accordingly, the appeal stands allowed with no order as to costs.</w:t>
            </w:r>
          </w:p>
        </w:tc>
      </w:tr>
      <w:tr w:rsidR="00872F2E" w:rsidRPr="00872F2E">
        <w:trPr>
          <w:jc w:val="center"/>
        </w:trPr>
        <w:tc>
          <w:tcPr>
            <w:tcW w:w="2500" w:type="pct"/>
            <w:tcBorders>
              <w:top w:val="nil"/>
              <w:left w:val="nil"/>
              <w:bottom w:val="nil"/>
              <w:right w:val="nil"/>
            </w:tcBorders>
            <w:vAlign w:val="center"/>
            <w:hideMark/>
          </w:tcPr>
          <w:p w:rsidR="00872F2E" w:rsidRPr="00872F2E" w:rsidRDefault="00872F2E" w:rsidP="00872F2E">
            <w:pPr>
              <w:spacing w:after="0" w:line="240" w:lineRule="auto"/>
              <w:rPr>
                <w:rFonts w:ascii="Verdana" w:eastAsia="Times New Roman" w:hAnsi="Verdana" w:cs="Times New Roman"/>
                <w:sz w:val="16"/>
                <w:szCs w:val="16"/>
              </w:rPr>
            </w:pPr>
            <w:r w:rsidRPr="00872F2E">
              <w:rPr>
                <w:rFonts w:ascii="Verdana" w:eastAsia="Times New Roman" w:hAnsi="Verdana" w:cs="Times New Roman"/>
                <w:b/>
                <w:bCs/>
                <w:sz w:val="16"/>
                <w:szCs w:val="16"/>
              </w:rPr>
              <w:lastRenderedPageBreak/>
              <w:t>Posted by</w:t>
            </w:r>
            <w:r w:rsidRPr="00872F2E">
              <w:rPr>
                <w:rFonts w:ascii="Verdana" w:eastAsia="Times New Roman" w:hAnsi="Verdana" w:cs="Times New Roman"/>
                <w:sz w:val="16"/>
                <w:szCs w:val="16"/>
              </w:rPr>
              <w:t xml:space="preserve"> : </w:t>
            </w:r>
            <w:hyperlink r:id="rId5" w:history="1">
              <w:proofErr w:type="spellStart"/>
              <w:r w:rsidRPr="00872F2E">
                <w:rPr>
                  <w:rFonts w:ascii="Verdana" w:eastAsia="Times New Roman" w:hAnsi="Verdana" w:cs="Times New Roman"/>
                  <w:color w:val="637EAD"/>
                  <w:sz w:val="16"/>
                </w:rPr>
                <w:t>kavita</w:t>
              </w:r>
              <w:proofErr w:type="spellEnd"/>
              <w:r w:rsidRPr="00872F2E">
                <w:rPr>
                  <w:rFonts w:ascii="Verdana" w:eastAsia="Times New Roman" w:hAnsi="Verdana" w:cs="Times New Roman"/>
                  <w:color w:val="637EAD"/>
                  <w:sz w:val="16"/>
                </w:rPr>
                <w:t xml:space="preserve"> </w:t>
              </w:r>
              <w:proofErr w:type="spellStart"/>
              <w:r w:rsidRPr="00872F2E">
                <w:rPr>
                  <w:rFonts w:ascii="Verdana" w:eastAsia="Times New Roman" w:hAnsi="Verdana" w:cs="Times New Roman"/>
                  <w:color w:val="637EAD"/>
                  <w:sz w:val="16"/>
                </w:rPr>
                <w:t>jain</w:t>
              </w:r>
              <w:proofErr w:type="spellEnd"/>
            </w:hyperlink>
            <w:r w:rsidRPr="00872F2E">
              <w:rPr>
                <w:rFonts w:ascii="Verdana" w:eastAsia="Times New Roman" w:hAnsi="Verdana" w:cs="Times New Roman"/>
                <w:sz w:val="16"/>
                <w:szCs w:val="16"/>
              </w:rPr>
              <w:t xml:space="preserve"> </w:t>
            </w:r>
            <w:r w:rsidRPr="00872F2E">
              <w:rPr>
                <w:rFonts w:ascii="Verdana" w:eastAsia="Times New Roman" w:hAnsi="Verdana" w:cs="Times New Roman"/>
                <w:sz w:val="15"/>
                <w:szCs w:val="15"/>
              </w:rPr>
              <w:t>[Scorecard : 107]</w:t>
            </w:r>
            <w:r w:rsidRPr="00872F2E">
              <w:rPr>
                <w:rFonts w:ascii="Verdana" w:eastAsia="Times New Roman" w:hAnsi="Verdana" w:cs="Times New Roman"/>
                <w:sz w:val="16"/>
                <w:szCs w:val="16"/>
              </w:rPr>
              <w:t xml:space="preserve"> </w:t>
            </w:r>
          </w:p>
        </w:tc>
        <w:tc>
          <w:tcPr>
            <w:tcW w:w="2500" w:type="pct"/>
            <w:tcBorders>
              <w:top w:val="nil"/>
              <w:left w:val="nil"/>
              <w:bottom w:val="nil"/>
              <w:right w:val="nil"/>
            </w:tcBorders>
            <w:vAlign w:val="center"/>
            <w:hideMark/>
          </w:tcPr>
          <w:p w:rsidR="00872F2E" w:rsidRPr="00872F2E" w:rsidRDefault="00872F2E" w:rsidP="00872F2E">
            <w:pPr>
              <w:spacing w:before="100" w:beforeAutospacing="1" w:after="100" w:afterAutospacing="1" w:line="240" w:lineRule="auto"/>
              <w:jc w:val="right"/>
              <w:rPr>
                <w:rFonts w:ascii="Verdana" w:eastAsia="Times New Roman" w:hAnsi="Verdana" w:cs="Times New Roman"/>
                <w:sz w:val="16"/>
                <w:szCs w:val="16"/>
              </w:rPr>
            </w:pPr>
            <w:r w:rsidRPr="00872F2E">
              <w:rPr>
                <w:rFonts w:ascii="Verdana" w:eastAsia="Times New Roman" w:hAnsi="Verdana" w:cs="Times New Roman"/>
                <w:b/>
                <w:bCs/>
                <w:sz w:val="16"/>
                <w:szCs w:val="16"/>
              </w:rPr>
              <w:t>Posted on</w:t>
            </w:r>
            <w:r w:rsidRPr="00872F2E">
              <w:rPr>
                <w:rFonts w:ascii="Verdana" w:eastAsia="Times New Roman" w:hAnsi="Verdana" w:cs="Times New Roman"/>
                <w:sz w:val="16"/>
                <w:szCs w:val="16"/>
              </w:rPr>
              <w:t xml:space="preserve"> 14 January 2008</w:t>
            </w:r>
          </w:p>
        </w:tc>
      </w:tr>
    </w:tbl>
    <w:p w:rsidR="00C666EE" w:rsidRDefault="00C666EE"/>
    <w:p w:rsidR="004354D1" w:rsidRDefault="004354D1"/>
    <w:p w:rsidR="004354D1" w:rsidRDefault="004354D1"/>
    <w:p w:rsidR="004354D1" w:rsidRDefault="004354D1"/>
    <w:tbl>
      <w:tblPr>
        <w:tblW w:w="0" w:type="auto"/>
        <w:shd w:val="clear" w:color="auto" w:fill="CCFFFF"/>
        <w:tblLook w:val="04A0"/>
      </w:tblPr>
      <w:tblGrid>
        <w:gridCol w:w="9576"/>
      </w:tblGrid>
      <w:tr w:rsidR="004354D1" w:rsidTr="004354D1">
        <w:tc>
          <w:tcPr>
            <w:tcW w:w="16552" w:type="dxa"/>
            <w:shd w:val="clear" w:color="auto" w:fill="CCFFFF"/>
            <w:hideMark/>
          </w:tcPr>
          <w:p w:rsidR="004354D1" w:rsidRDefault="004354D1">
            <w:pPr>
              <w:pStyle w:val="BodyText"/>
              <w:rPr>
                <w:color w:val="000080"/>
              </w:rPr>
            </w:pPr>
            <w:r>
              <w:rPr>
                <w:color w:val="000080"/>
              </w:rPr>
              <w:lastRenderedPageBreak/>
              <w:t>APPLICATION OF THE DEEMING PROVISIONS OF SECTION 2(22)(E) OF THE INCOME-TAX ACT, 1961 IN RESPECT OF THE SHARE PREMIUM ACCOUNT USED FOR DISTRIBUTION OF DIVIDEND</w:t>
            </w:r>
          </w:p>
        </w:tc>
      </w:tr>
      <w:tr w:rsidR="004354D1" w:rsidTr="004354D1">
        <w:tc>
          <w:tcPr>
            <w:tcW w:w="16552" w:type="dxa"/>
            <w:shd w:val="clear" w:color="auto" w:fill="CCFFFF"/>
            <w:hideMark/>
          </w:tcPr>
          <w:p w:rsidR="004354D1" w:rsidRDefault="004354D1">
            <w:pPr>
              <w:pStyle w:val="Heading2"/>
              <w:spacing w:after="120" w:line="240" w:lineRule="auto"/>
              <w:rPr>
                <w:color w:val="000080"/>
              </w:rPr>
            </w:pPr>
            <w:r>
              <w:rPr>
                <w:color w:val="000080"/>
              </w:rPr>
              <w:t>RATIO DECIDENDI</w:t>
            </w:r>
          </w:p>
        </w:tc>
      </w:tr>
      <w:tr w:rsidR="004354D1" w:rsidTr="004354D1">
        <w:tc>
          <w:tcPr>
            <w:tcW w:w="16552" w:type="dxa"/>
            <w:shd w:val="clear" w:color="auto" w:fill="CCFFFF"/>
            <w:hideMark/>
          </w:tcPr>
          <w:p w:rsidR="004354D1" w:rsidRDefault="004354D1">
            <w:pPr>
              <w:pStyle w:val="BodyText3"/>
              <w:spacing w:after="120" w:line="240" w:lineRule="auto"/>
              <w:rPr>
                <w:i/>
                <w:iCs/>
                <w:color w:val="000080"/>
                <w:sz w:val="24"/>
              </w:rPr>
            </w:pPr>
            <w:r>
              <w:rPr>
                <w:i/>
                <w:iCs/>
                <w:color w:val="000080"/>
                <w:sz w:val="24"/>
              </w:rPr>
              <w:t>When there is a statutory bar on the share premium account being used for distribution of dividend, the deeming provision of section 2(22)(e) cannot apply.</w:t>
            </w:r>
          </w:p>
        </w:tc>
      </w:tr>
    </w:tbl>
    <w:p w:rsidR="004354D1" w:rsidRDefault="004354D1" w:rsidP="004354D1">
      <w:pPr>
        <w:spacing w:after="120"/>
        <w:jc w:val="both"/>
        <w:rPr>
          <w:color w:val="000080"/>
        </w:rPr>
      </w:pPr>
      <w:r>
        <w:rPr>
          <w:color w:val="000080"/>
        </w:rPr>
        <w:t> </w:t>
      </w:r>
    </w:p>
    <w:p w:rsidR="004354D1" w:rsidRDefault="004354D1" w:rsidP="004354D1">
      <w:pPr>
        <w:spacing w:after="120"/>
        <w:jc w:val="both"/>
        <w:rPr>
          <w:color w:val="000080"/>
        </w:rPr>
      </w:pPr>
      <w:r>
        <w:rPr>
          <w:color w:val="000080"/>
        </w:rPr>
        <w:t> </w:t>
      </w:r>
    </w:p>
    <w:p w:rsidR="004354D1" w:rsidRDefault="004354D1" w:rsidP="004354D1">
      <w:pPr>
        <w:spacing w:after="120"/>
        <w:rPr>
          <w:b/>
          <w:bCs/>
          <w:color w:val="000080"/>
        </w:rPr>
      </w:pPr>
      <w:r>
        <w:rPr>
          <w:b/>
          <w:bCs/>
          <w:color w:val="000080"/>
        </w:rPr>
        <w:t>IN THE ITAT (DELHI BENCH ‘A’) NEW DELHI</w:t>
      </w:r>
    </w:p>
    <w:p w:rsidR="004354D1" w:rsidRDefault="004354D1" w:rsidP="004354D1">
      <w:pPr>
        <w:pStyle w:val="Heading1"/>
        <w:rPr>
          <w:color w:val="000080"/>
        </w:rPr>
      </w:pPr>
      <w:r>
        <w:t>DCIT</w:t>
      </w:r>
    </w:p>
    <w:p w:rsidR="004354D1" w:rsidRDefault="004354D1" w:rsidP="004354D1">
      <w:pPr>
        <w:spacing w:after="120"/>
        <w:rPr>
          <w:b/>
          <w:bCs/>
          <w:color w:val="000080"/>
        </w:rPr>
      </w:pPr>
      <w:r>
        <w:rPr>
          <w:b/>
          <w:bCs/>
          <w:color w:val="000080"/>
        </w:rPr>
        <w:t>v.</w:t>
      </w:r>
    </w:p>
    <w:p w:rsidR="004354D1" w:rsidRDefault="004354D1" w:rsidP="004354D1">
      <w:pPr>
        <w:spacing w:after="120"/>
        <w:rPr>
          <w:b/>
          <w:bCs/>
          <w:color w:val="000080"/>
        </w:rPr>
      </w:pPr>
      <w:proofErr w:type="spellStart"/>
      <w:r>
        <w:rPr>
          <w:b/>
          <w:bCs/>
          <w:color w:val="000080"/>
        </w:rPr>
        <w:t>Maipo</w:t>
      </w:r>
      <w:proofErr w:type="spellEnd"/>
      <w:r>
        <w:rPr>
          <w:b/>
          <w:bCs/>
          <w:color w:val="000080"/>
        </w:rPr>
        <w:t xml:space="preserve"> India Ltd.</w:t>
      </w:r>
    </w:p>
    <w:p w:rsidR="004354D1" w:rsidRDefault="004354D1" w:rsidP="004354D1">
      <w:pPr>
        <w:spacing w:after="120"/>
        <w:rPr>
          <w:b/>
          <w:bCs/>
          <w:color w:val="000080"/>
        </w:rPr>
      </w:pPr>
      <w:r>
        <w:rPr>
          <w:b/>
          <w:bCs/>
          <w:color w:val="000080"/>
        </w:rPr>
        <w:t>ITA NO. 2266/Del./2005</w:t>
      </w:r>
    </w:p>
    <w:p w:rsidR="004354D1" w:rsidRDefault="004354D1" w:rsidP="004354D1">
      <w:pPr>
        <w:spacing w:after="120"/>
        <w:rPr>
          <w:b/>
          <w:bCs/>
        </w:rPr>
      </w:pPr>
      <w:r>
        <w:rPr>
          <w:b/>
          <w:bCs/>
          <w:color w:val="000080"/>
        </w:rPr>
        <w:t>March 7, 2008</w:t>
      </w:r>
    </w:p>
    <w:p w:rsidR="004354D1" w:rsidRDefault="004354D1" w:rsidP="004354D1">
      <w:pPr>
        <w:spacing w:after="120"/>
        <w:jc w:val="right"/>
        <w:rPr>
          <w:b/>
          <w:bCs/>
        </w:rPr>
      </w:pPr>
      <w:r>
        <w:rPr>
          <w:b/>
          <w:bCs/>
        </w:rPr>
        <w:t> </w:t>
      </w:r>
    </w:p>
    <w:p w:rsidR="004354D1" w:rsidRDefault="004354D1" w:rsidP="004354D1">
      <w:pPr>
        <w:pStyle w:val="BodyText"/>
      </w:pPr>
      <w:r>
        <w:t>RELEVANT EXTRACTS OF THE TRIBUNAL’S ORDER :</w:t>
      </w:r>
    </w:p>
    <w:p w:rsidR="004354D1" w:rsidRDefault="004354D1" w:rsidP="004354D1">
      <w:pPr>
        <w:pStyle w:val="BodyText3"/>
        <w:spacing w:after="120" w:line="240" w:lineRule="auto"/>
        <w:rPr>
          <w:sz w:val="24"/>
        </w:rPr>
      </w:pPr>
      <w:r>
        <w:rPr>
          <w:sz w:val="24"/>
        </w:rPr>
        <w:t>**</w:t>
      </w:r>
      <w:r>
        <w:rPr>
          <w:sz w:val="24"/>
        </w:rPr>
        <w:tab/>
      </w:r>
      <w:r>
        <w:rPr>
          <w:sz w:val="24"/>
        </w:rPr>
        <w:tab/>
        <w:t>**</w:t>
      </w:r>
      <w:r>
        <w:rPr>
          <w:sz w:val="24"/>
        </w:rPr>
        <w:tab/>
      </w:r>
      <w:r>
        <w:rPr>
          <w:sz w:val="24"/>
        </w:rPr>
        <w:tab/>
        <w:t>**</w:t>
      </w:r>
      <w:r>
        <w:rPr>
          <w:sz w:val="24"/>
        </w:rPr>
        <w:tab/>
      </w:r>
      <w:r>
        <w:rPr>
          <w:sz w:val="24"/>
        </w:rPr>
        <w:tab/>
        <w:t>**</w:t>
      </w:r>
      <w:r>
        <w:rPr>
          <w:sz w:val="24"/>
        </w:rPr>
        <w:tab/>
      </w:r>
      <w:r>
        <w:rPr>
          <w:sz w:val="24"/>
        </w:rPr>
        <w:tab/>
        <w:t>**</w:t>
      </w:r>
      <w:r>
        <w:rPr>
          <w:sz w:val="24"/>
        </w:rPr>
        <w:tab/>
      </w:r>
      <w:r>
        <w:rPr>
          <w:sz w:val="24"/>
        </w:rPr>
        <w:tab/>
        <w:t>**</w:t>
      </w:r>
    </w:p>
    <w:p w:rsidR="004354D1" w:rsidRDefault="004354D1" w:rsidP="004354D1">
      <w:pPr>
        <w:pStyle w:val="BodyText3"/>
        <w:spacing w:after="120" w:line="240" w:lineRule="auto"/>
        <w:rPr>
          <w:sz w:val="24"/>
        </w:rPr>
      </w:pPr>
      <w:r>
        <w:rPr>
          <w:sz w:val="24"/>
        </w:rPr>
        <w:t xml:space="preserve">8. We have carefully considered the rival contentions and we are inclined to uphold the decision of the CIT (Appeals).  There is no dispute that a sum of </w:t>
      </w:r>
    </w:p>
    <w:p w:rsidR="004354D1" w:rsidRDefault="004354D1" w:rsidP="004354D1">
      <w:pPr>
        <w:pStyle w:val="BodyText3"/>
        <w:spacing w:after="120" w:line="240" w:lineRule="auto"/>
        <w:rPr>
          <w:sz w:val="24"/>
        </w:rPr>
      </w:pPr>
      <w:r>
        <w:rPr>
          <w:sz w:val="24"/>
        </w:rPr>
        <w:t> </w:t>
      </w:r>
    </w:p>
    <w:p w:rsidR="004354D1" w:rsidRDefault="004354D1" w:rsidP="004354D1">
      <w:pPr>
        <w:pStyle w:val="BodyText3"/>
        <w:spacing w:after="120" w:line="240" w:lineRule="auto"/>
        <w:rPr>
          <w:sz w:val="24"/>
        </w:rPr>
      </w:pPr>
      <w:r>
        <w:rPr>
          <w:sz w:val="24"/>
        </w:rPr>
        <w:t>Rs. 1,90,00,000 out of the reserves and surplus account of Gorgeous Chemical Pvt. Ltd. as on 31-3-1996 represented share premium collected by the said company.  Section 78(1) of the Companies Act deals with the application of premium received on issue of shares.  It says that the premium received shall be transferred to a separate account styled “the share premium account” and further says that the provisions of the Companies Act relating to the reduction of the share capital of the company shall apply as if the share premium account were paid up share capital of the company.  Sub-section (2) mentions five purposes for which alone the share premium account may be applied without attracting the provisions of the Companies Act relating to the reduction of the share capital.  These are :</w:t>
      </w:r>
    </w:p>
    <w:p w:rsidR="004354D1" w:rsidRDefault="004354D1" w:rsidP="004354D1">
      <w:pPr>
        <w:spacing w:after="120"/>
        <w:jc w:val="both"/>
        <w:rPr>
          <w:sz w:val="24"/>
        </w:rPr>
      </w:pPr>
      <w:r>
        <w:t> </w:t>
      </w:r>
    </w:p>
    <w:p w:rsidR="004354D1" w:rsidRDefault="004354D1" w:rsidP="004354D1">
      <w:pPr>
        <w:numPr>
          <w:ilvl w:val="0"/>
          <w:numId w:val="1"/>
        </w:numPr>
        <w:tabs>
          <w:tab w:val="num" w:pos="540"/>
        </w:tabs>
        <w:spacing w:after="120" w:line="240" w:lineRule="auto"/>
        <w:ind w:left="0"/>
        <w:jc w:val="both"/>
      </w:pPr>
      <w:r>
        <w:t>(</w:t>
      </w:r>
      <w:proofErr w:type="spellStart"/>
      <w:r>
        <w:t>i</w:t>
      </w:r>
      <w:proofErr w:type="spellEnd"/>
      <w:r>
        <w:t>)</w:t>
      </w:r>
      <w:r>
        <w:rPr>
          <w:sz w:val="14"/>
          <w:szCs w:val="14"/>
        </w:rPr>
        <w:t xml:space="preserve">                                    </w:t>
      </w:r>
      <w:r>
        <w:t>To pay up fully paid bonus shares to be issued to the members.</w:t>
      </w:r>
    </w:p>
    <w:p w:rsidR="004354D1" w:rsidRDefault="004354D1" w:rsidP="004354D1">
      <w:pPr>
        <w:numPr>
          <w:ilvl w:val="0"/>
          <w:numId w:val="1"/>
        </w:numPr>
        <w:tabs>
          <w:tab w:val="num" w:pos="540"/>
        </w:tabs>
        <w:spacing w:after="120" w:line="240" w:lineRule="auto"/>
        <w:ind w:left="0"/>
        <w:jc w:val="both"/>
      </w:pPr>
      <w:r>
        <w:t>(ii)</w:t>
      </w:r>
      <w:r>
        <w:rPr>
          <w:sz w:val="14"/>
          <w:szCs w:val="14"/>
        </w:rPr>
        <w:t xml:space="preserve">                                  </w:t>
      </w:r>
      <w:r>
        <w:t>To write off preliminary expenses of the company.</w:t>
      </w:r>
    </w:p>
    <w:p w:rsidR="004354D1" w:rsidRDefault="004354D1" w:rsidP="004354D1">
      <w:pPr>
        <w:numPr>
          <w:ilvl w:val="0"/>
          <w:numId w:val="1"/>
        </w:numPr>
        <w:tabs>
          <w:tab w:val="num" w:pos="540"/>
        </w:tabs>
        <w:spacing w:after="120" w:line="240" w:lineRule="auto"/>
        <w:ind w:left="0"/>
        <w:jc w:val="both"/>
      </w:pPr>
      <w:r>
        <w:t>(iii)</w:t>
      </w:r>
      <w:r>
        <w:rPr>
          <w:sz w:val="14"/>
          <w:szCs w:val="14"/>
        </w:rPr>
        <w:t xml:space="preserve">                                 </w:t>
      </w:r>
      <w:r>
        <w:t>To write off expenses of issue of shares or debentures or under-writing commission paid or discount allowed on such issues.</w:t>
      </w:r>
    </w:p>
    <w:p w:rsidR="004354D1" w:rsidRDefault="004354D1" w:rsidP="004354D1">
      <w:pPr>
        <w:numPr>
          <w:ilvl w:val="0"/>
          <w:numId w:val="1"/>
        </w:numPr>
        <w:tabs>
          <w:tab w:val="num" w:pos="540"/>
        </w:tabs>
        <w:spacing w:after="120" w:line="240" w:lineRule="auto"/>
        <w:ind w:left="0"/>
        <w:jc w:val="both"/>
      </w:pPr>
      <w:r>
        <w:lastRenderedPageBreak/>
        <w:t>(iv)</w:t>
      </w:r>
      <w:r>
        <w:rPr>
          <w:sz w:val="14"/>
          <w:szCs w:val="14"/>
        </w:rPr>
        <w:t xml:space="preserve">                                </w:t>
      </w:r>
      <w:r>
        <w:t>To pay premium on the redemption of redeemable shares of debentures issued by the company</w:t>
      </w:r>
    </w:p>
    <w:p w:rsidR="004354D1" w:rsidRDefault="004354D1" w:rsidP="004354D1">
      <w:pPr>
        <w:numPr>
          <w:ilvl w:val="0"/>
          <w:numId w:val="1"/>
        </w:numPr>
        <w:tabs>
          <w:tab w:val="num" w:pos="540"/>
        </w:tabs>
        <w:spacing w:after="120" w:line="240" w:lineRule="auto"/>
        <w:ind w:left="0"/>
        <w:jc w:val="both"/>
      </w:pPr>
      <w:r>
        <w:t>(v)</w:t>
      </w:r>
      <w:r>
        <w:rPr>
          <w:sz w:val="14"/>
          <w:szCs w:val="14"/>
        </w:rPr>
        <w:t xml:space="preserve">                                  </w:t>
      </w:r>
      <w:r>
        <w:t>Purchase of its own shares or other specified securities in terms of section 77A.</w:t>
      </w:r>
    </w:p>
    <w:p w:rsidR="004354D1" w:rsidRDefault="004354D1" w:rsidP="004354D1">
      <w:pPr>
        <w:spacing w:after="120"/>
        <w:jc w:val="both"/>
      </w:pPr>
      <w:r>
        <w:t xml:space="preserve">Except in the above five cases, any other application of proceeds of the share premium account will be treated as a reduction of the company’s share capital and the provisions of the Companies Act dealing with this subject stand attracted.  The share premium account cannot be used otherwise than for the specific purposes mentioned above and this position has been recognized by the Supreme Court in CIT, West Bengal &amp; </w:t>
      </w:r>
      <w:proofErr w:type="spellStart"/>
      <w:r>
        <w:t>Anr</w:t>
      </w:r>
      <w:proofErr w:type="spellEnd"/>
      <w:r>
        <w:t xml:space="preserve"> vs. Allahabad Bank Limited AIR SC 1058.  In this case, it was held that the share premium account is liable to be included in the paid up capital for the purpose of computing the rebate allowable under paragraph D, Part 2 of the Finance Act.  The object and scope of section 78 of the Companies Act has been stated as follows at page 989 of “Guide to the Companies Act” by A. </w:t>
      </w:r>
      <w:proofErr w:type="spellStart"/>
      <w:r>
        <w:t>Ramaiya</w:t>
      </w:r>
      <w:proofErr w:type="spellEnd"/>
      <w:r>
        <w:t xml:space="preserve">, Sixteenth Edition by Justice Y.V. </w:t>
      </w:r>
      <w:proofErr w:type="spellStart"/>
      <w:r>
        <w:t>Chandrachud</w:t>
      </w:r>
      <w:proofErr w:type="spellEnd"/>
      <w:r>
        <w:t>, Former Chief Justice of India :</w:t>
      </w:r>
    </w:p>
    <w:p w:rsidR="004354D1" w:rsidRDefault="004354D1" w:rsidP="004354D1">
      <w:pPr>
        <w:spacing w:after="120"/>
        <w:jc w:val="both"/>
      </w:pPr>
      <w:r>
        <w:t> </w:t>
      </w:r>
    </w:p>
    <w:p w:rsidR="004354D1" w:rsidRDefault="004354D1" w:rsidP="004354D1">
      <w:pPr>
        <w:pStyle w:val="BlockText"/>
        <w:spacing w:after="120" w:line="240" w:lineRule="auto"/>
        <w:ind w:left="0" w:right="0"/>
        <w:rPr>
          <w:sz w:val="24"/>
        </w:rPr>
      </w:pPr>
      <w:r>
        <w:rPr>
          <w:sz w:val="24"/>
        </w:rPr>
        <w:t>“There was no corresponding provision in the previous Act, and in the absence of any statutory prohibition, share premium amounts were being freely distributed as dividends, and the misuse of the funds collected as premiums was not lacking.  The object of the present section is to lay down specifically how the premiums collected on the issue of shares should be utilized.”</w:t>
      </w:r>
    </w:p>
    <w:p w:rsidR="004354D1" w:rsidRDefault="004354D1" w:rsidP="004354D1">
      <w:pPr>
        <w:spacing w:after="120"/>
        <w:jc w:val="both"/>
        <w:rPr>
          <w:sz w:val="24"/>
        </w:rPr>
      </w:pPr>
      <w:r>
        <w:t>At page 990 of the above treaties, the nature of share premium account has been described as follows :</w:t>
      </w:r>
    </w:p>
    <w:p w:rsidR="004354D1" w:rsidRDefault="004354D1" w:rsidP="004354D1">
      <w:pPr>
        <w:spacing w:after="120"/>
        <w:jc w:val="both"/>
      </w:pPr>
      <w:r>
        <w:t> </w:t>
      </w:r>
    </w:p>
    <w:p w:rsidR="004354D1" w:rsidRDefault="004354D1" w:rsidP="004354D1">
      <w:pPr>
        <w:spacing w:after="120"/>
        <w:jc w:val="both"/>
      </w:pPr>
      <w:r>
        <w:t>“The effect of this section is to create a new class of capital of a company which is not share capital but not distributable as income any more than any other capital asset.  On a winding up the surplus monies in the share [now securities] premium account will be returned to the shareholders as capital and so long as the company is a going concern, the same monies can never be returned to the shareholders except through the medium of a reduction petition or, in other words, except under exactly the same conditions as those under which any other capital asset can reach the shareholder’s hands.  [Re, Duff’s Settlement Trusts, (1951) 1 All ER 869 (following Re. Bates Mountain v. Bates, (1928) Ch 682 affirmed in (1951) 2 All 534].  See also, Addl. CIT v. Om Oils and Oil Seed Exchange Ltd., (1985) 57 Com Cases 592 (Del), where it has been held that premium on issue of shares is to be regarded as money paid on capital account and not as revenue receipt.</w:t>
      </w:r>
    </w:p>
    <w:p w:rsidR="004354D1" w:rsidRDefault="004354D1" w:rsidP="004354D1">
      <w:pPr>
        <w:spacing w:after="120"/>
        <w:jc w:val="both"/>
      </w:pPr>
      <w:r>
        <w:t> </w:t>
      </w:r>
    </w:p>
    <w:p w:rsidR="004354D1" w:rsidRDefault="004354D1" w:rsidP="004354D1">
      <w:pPr>
        <w:spacing w:after="120"/>
        <w:jc w:val="both"/>
      </w:pPr>
      <w:r>
        <w:t>Another effect of the section is that distribution of share [now securities] premium amount as dividend is not permitted, and it is taken out of the category of divisible profits.  But premiums received on the issue of shares, under the 1913 Act, were profits and so could be distributed as dividends.  Bharat Fire and General Insurance Ltd. v. CIT (1964) 34 Com Cases (SC).  Any distribution of the amount among shareholders except in any of the modes specified in sub-section (2) can only be by way of reduction of capital and this will require the sanctions of the court and the procedure laid down in section 100 et seq.”</w:t>
      </w:r>
    </w:p>
    <w:p w:rsidR="004354D1" w:rsidRDefault="004354D1" w:rsidP="004354D1">
      <w:pPr>
        <w:spacing w:after="120"/>
        <w:jc w:val="both"/>
      </w:pPr>
      <w:r>
        <w:t> </w:t>
      </w:r>
    </w:p>
    <w:p w:rsidR="004354D1" w:rsidRDefault="004354D1" w:rsidP="004354D1">
      <w:pPr>
        <w:spacing w:after="120"/>
        <w:jc w:val="both"/>
      </w:pPr>
      <w:r>
        <w:lastRenderedPageBreak/>
        <w:t xml:space="preserve">The above view based on the interpretation of section 78 of the Companies Act settles the dispute before us in favour of the </w:t>
      </w:r>
      <w:proofErr w:type="spellStart"/>
      <w:r>
        <w:t>assessee</w:t>
      </w:r>
      <w:proofErr w:type="spellEnd"/>
      <w:r>
        <w:t xml:space="preserve">.  When there is a statutory bar on the share premium account being used for distribution of dividend, the deeming provision of section 2(22)(e) cannot apply.  Not only is there a prohibition on the distribution of the share premium account as dividend under the Companies Act, the same is obliged to be treated as part of the share capital of the company and this is made clear in section 78(1) of the Companies Act which says that any payment out of the share premium account, except for purposes authorized by sub-section (2), will be treated as reduction of share capital attracting the provisions of the Companies Act in relation thereto.  This provision of the Companies Act takes care of the argument of the revenue that section 2(22)(e) of the Income-tax Act does not use the expression “whether capitalized or not”.  These words can have application only where the profits are capable of being capitalized.  They are not applicable where the receipt in question forms part of the share capital of the company under the provisions of the Companies Act.  This position has been recognized by the Supreme Court in CIT v. </w:t>
      </w:r>
      <w:proofErr w:type="spellStart"/>
      <w:r>
        <w:t>Urmila</w:t>
      </w:r>
      <w:proofErr w:type="spellEnd"/>
      <w:r>
        <w:t xml:space="preserve"> </w:t>
      </w:r>
      <w:proofErr w:type="spellStart"/>
      <w:r>
        <w:t>Ramesh</w:t>
      </w:r>
      <w:proofErr w:type="spellEnd"/>
      <w:r>
        <w:t xml:space="preserve"> (supra) where at pages 434 – 435 the following observations were made :</w:t>
      </w:r>
    </w:p>
    <w:p w:rsidR="004354D1" w:rsidRDefault="004354D1" w:rsidP="004354D1">
      <w:pPr>
        <w:spacing w:after="120"/>
        <w:jc w:val="both"/>
      </w:pPr>
      <w:r>
        <w:t> </w:t>
      </w:r>
    </w:p>
    <w:p w:rsidR="004354D1" w:rsidRDefault="004354D1" w:rsidP="004354D1">
      <w:pPr>
        <w:pStyle w:val="BlockText"/>
        <w:spacing w:after="120" w:line="240" w:lineRule="auto"/>
        <w:ind w:left="0" w:right="0"/>
        <w:rPr>
          <w:sz w:val="24"/>
        </w:rPr>
      </w:pPr>
      <w:r>
        <w:rPr>
          <w:sz w:val="24"/>
        </w:rPr>
        <w:t>“Section 2(22) of the Act used the expression “accumulated profits”, whether capitalized or not”.  This expression tends to show that under section 2(22) it is only the distribution of the accumulated profits which are deemed to be dividends in the hands of the shareholders.  By using the expression “whether capitalized or not” the legislative intent clearly is that the profits which are deemed to be dividend would be those which were capable of being accumulated and which would also be capable of being capitalized.  The amounts should, in other words, be in the nature of profits which the company would have distributed to its shareholders.  This would clearly exclude return of part of a capital to the company, as the same cannot be regarded as profit capable of being capitalized, the return being of capital itself.”</w:t>
      </w:r>
    </w:p>
    <w:p w:rsidR="004354D1" w:rsidRDefault="004354D1" w:rsidP="004354D1">
      <w:pPr>
        <w:spacing w:after="120"/>
        <w:jc w:val="both"/>
        <w:rPr>
          <w:sz w:val="24"/>
        </w:rPr>
      </w:pPr>
      <w:r>
        <w:t xml:space="preserve">In P.K. </w:t>
      </w:r>
      <w:proofErr w:type="spellStart"/>
      <w:r>
        <w:t>Badiani</w:t>
      </w:r>
      <w:proofErr w:type="spellEnd"/>
      <w:r>
        <w:t xml:space="preserve"> v. CIT (supra), it was held by the Supreme Court that the term “Profits” occurring in section 2(6A)(c) of the 1922 Act means profits in the commercial sense, that is to say, the profits made by the company in the real and true sense of the term.  The share premium account cannot be stated to be commercial profits in the true sense of the term, having regard to the provisions of the Companies Act, referred to above.  Applying the judgment in </w:t>
      </w:r>
      <w:proofErr w:type="spellStart"/>
      <w:r>
        <w:t>Badiani’s</w:t>
      </w:r>
      <w:proofErr w:type="spellEnd"/>
      <w:r>
        <w:t xml:space="preserve"> case (supra), it was held in </w:t>
      </w:r>
      <w:proofErr w:type="spellStart"/>
      <w:r>
        <w:t>Urmila</w:t>
      </w:r>
      <w:proofErr w:type="spellEnd"/>
      <w:r>
        <w:t xml:space="preserve"> </w:t>
      </w:r>
      <w:proofErr w:type="spellStart"/>
      <w:r>
        <w:t>Ramesh</w:t>
      </w:r>
      <w:proofErr w:type="spellEnd"/>
      <w:r>
        <w:t xml:space="preserve"> (supra) that where assets of the company were sold at a price less than the purchase price, the amount so received, apart from being in the nature of capital, cannot represent profits of the company.</w:t>
      </w:r>
    </w:p>
    <w:p w:rsidR="004354D1" w:rsidRDefault="004354D1" w:rsidP="004354D1">
      <w:pPr>
        <w:spacing w:after="120"/>
        <w:jc w:val="both"/>
      </w:pPr>
      <w:r>
        <w:t> </w:t>
      </w:r>
    </w:p>
    <w:p w:rsidR="004354D1" w:rsidRDefault="004354D1" w:rsidP="004354D1">
      <w:pPr>
        <w:spacing w:after="120"/>
        <w:jc w:val="both"/>
      </w:pPr>
      <w:r>
        <w:t>9. For the above reasons, we are in agreement with the decision of the CIT (Appeals) that the amount of Rs. 1,85,821 alone out of the amount of Rs. 25,42,772 can be assessed as deemed dividend under section 2(22)(e) of the Income-tax Act.  We affirm his order on this point and dismiss the appeal filed by the revenue with no order as to costs.</w:t>
      </w:r>
    </w:p>
    <w:p w:rsidR="004354D1" w:rsidRDefault="004354D1" w:rsidP="004354D1">
      <w:pPr>
        <w:spacing w:after="120"/>
        <w:jc w:val="both"/>
      </w:pPr>
      <w:r>
        <w:t> </w:t>
      </w:r>
    </w:p>
    <w:p w:rsidR="004354D1" w:rsidRDefault="004354D1" w:rsidP="004354D1">
      <w:pPr>
        <w:spacing w:after="120"/>
      </w:pPr>
      <w:r>
        <w:t> </w:t>
      </w:r>
    </w:p>
    <w:p w:rsidR="004354D1" w:rsidRDefault="004354D1"/>
    <w:tbl>
      <w:tblPr>
        <w:tblW w:w="0" w:type="auto"/>
        <w:shd w:val="clear" w:color="auto" w:fill="CCFFFF"/>
        <w:tblLook w:val="04A0"/>
      </w:tblPr>
      <w:tblGrid>
        <w:gridCol w:w="9576"/>
      </w:tblGrid>
      <w:tr w:rsidR="000A352A" w:rsidTr="000A352A">
        <w:tc>
          <w:tcPr>
            <w:tcW w:w="16635" w:type="dxa"/>
            <w:shd w:val="clear" w:color="auto" w:fill="CCFFFF"/>
            <w:hideMark/>
          </w:tcPr>
          <w:p w:rsidR="000A352A" w:rsidRDefault="000A352A">
            <w:pPr>
              <w:pStyle w:val="BodyText"/>
              <w:rPr>
                <w:color w:val="000080"/>
              </w:rPr>
            </w:pPr>
            <w:r>
              <w:rPr>
                <w:color w:val="000080"/>
              </w:rPr>
              <w:lastRenderedPageBreak/>
              <w:t>TRANSACTION FALLING WITHIN THE PURVIEW OF SECTION 2(22)(E) OF THE INCOME-TAX ACT, 1961</w:t>
            </w:r>
          </w:p>
        </w:tc>
      </w:tr>
      <w:tr w:rsidR="000A352A" w:rsidTr="000A352A">
        <w:tc>
          <w:tcPr>
            <w:tcW w:w="16635" w:type="dxa"/>
            <w:shd w:val="clear" w:color="auto" w:fill="CCFFFF"/>
            <w:hideMark/>
          </w:tcPr>
          <w:p w:rsidR="000A352A" w:rsidRDefault="000A352A">
            <w:pPr>
              <w:pStyle w:val="Heading2"/>
              <w:spacing w:after="120"/>
              <w:rPr>
                <w:color w:val="000080"/>
              </w:rPr>
            </w:pPr>
            <w:r>
              <w:rPr>
                <w:color w:val="000080"/>
              </w:rPr>
              <w:t>RATIO DECIDENDI</w:t>
            </w:r>
          </w:p>
        </w:tc>
      </w:tr>
      <w:tr w:rsidR="000A352A" w:rsidTr="000A352A">
        <w:tc>
          <w:tcPr>
            <w:tcW w:w="16635" w:type="dxa"/>
            <w:shd w:val="clear" w:color="auto" w:fill="CCFFFF"/>
            <w:hideMark/>
          </w:tcPr>
          <w:p w:rsidR="000A352A" w:rsidRDefault="000A352A">
            <w:pPr>
              <w:pStyle w:val="BodyText2"/>
              <w:rPr>
                <w:color w:val="000080"/>
              </w:rPr>
            </w:pPr>
            <w:r>
              <w:rPr>
                <w:color w:val="000080"/>
              </w:rPr>
              <w:t>If the payments of any sum by way of advance or loan are given by one company to other company in which there is a common shareholder and that shareholder has/have the beneficial interest in both the companies, then the loans and advances shall be deemed dividend under section 2(22)(e).</w:t>
            </w:r>
          </w:p>
        </w:tc>
      </w:tr>
    </w:tbl>
    <w:p w:rsidR="000A352A" w:rsidRDefault="000A352A" w:rsidP="000A352A">
      <w:pPr>
        <w:spacing w:after="120"/>
        <w:jc w:val="both"/>
        <w:rPr>
          <w:color w:val="000080"/>
        </w:rPr>
      </w:pPr>
      <w:r>
        <w:rPr>
          <w:color w:val="000080"/>
        </w:rPr>
        <w:t> </w:t>
      </w:r>
    </w:p>
    <w:p w:rsidR="000A352A" w:rsidRDefault="000A352A" w:rsidP="000A352A">
      <w:pPr>
        <w:spacing w:after="120"/>
        <w:jc w:val="both"/>
        <w:rPr>
          <w:color w:val="000080"/>
        </w:rPr>
      </w:pPr>
      <w:r>
        <w:rPr>
          <w:color w:val="000080"/>
        </w:rPr>
        <w:t> </w:t>
      </w:r>
    </w:p>
    <w:p w:rsidR="000A352A" w:rsidRDefault="000A352A" w:rsidP="000A352A">
      <w:pPr>
        <w:spacing w:after="120"/>
        <w:rPr>
          <w:b/>
          <w:color w:val="000080"/>
        </w:rPr>
      </w:pPr>
      <w:r>
        <w:rPr>
          <w:b/>
          <w:color w:val="000080"/>
        </w:rPr>
        <w:t>IN THE ITAT, MUMBAI BENCEHS ‘SMC’ BENCH : MUMBAI</w:t>
      </w:r>
    </w:p>
    <w:p w:rsidR="000A352A" w:rsidRDefault="000A352A" w:rsidP="000A352A">
      <w:pPr>
        <w:spacing w:after="120"/>
        <w:rPr>
          <w:b/>
          <w:color w:val="000080"/>
        </w:rPr>
      </w:pPr>
      <w:r>
        <w:rPr>
          <w:b/>
          <w:color w:val="000080"/>
        </w:rPr>
        <w:t>Skyline India Recruit.com Pvt. Ltd.</w:t>
      </w:r>
    </w:p>
    <w:p w:rsidR="000A352A" w:rsidRDefault="000A352A" w:rsidP="000A352A">
      <w:pPr>
        <w:spacing w:after="120"/>
        <w:rPr>
          <w:b/>
          <w:i/>
          <w:color w:val="000080"/>
        </w:rPr>
      </w:pPr>
      <w:r>
        <w:rPr>
          <w:b/>
          <w:i/>
          <w:color w:val="000080"/>
        </w:rPr>
        <w:t>v.</w:t>
      </w:r>
    </w:p>
    <w:p w:rsidR="000A352A" w:rsidRDefault="000A352A" w:rsidP="000A352A">
      <w:pPr>
        <w:spacing w:after="120"/>
        <w:rPr>
          <w:b/>
          <w:color w:val="000080"/>
        </w:rPr>
      </w:pPr>
      <w:r>
        <w:rPr>
          <w:b/>
          <w:color w:val="000080"/>
        </w:rPr>
        <w:t>ITO</w:t>
      </w:r>
    </w:p>
    <w:p w:rsidR="000A352A" w:rsidRDefault="000A352A" w:rsidP="000A352A">
      <w:pPr>
        <w:spacing w:after="120"/>
        <w:rPr>
          <w:b/>
          <w:color w:val="000080"/>
        </w:rPr>
      </w:pPr>
      <w:r>
        <w:rPr>
          <w:b/>
          <w:color w:val="000080"/>
        </w:rPr>
        <w:t>ITA Nos. 868 &amp; 869/Mum/2008</w:t>
      </w:r>
    </w:p>
    <w:p w:rsidR="000A352A" w:rsidRDefault="000A352A" w:rsidP="000A352A">
      <w:pPr>
        <w:spacing w:after="120"/>
        <w:rPr>
          <w:b/>
          <w:color w:val="000080"/>
        </w:rPr>
      </w:pPr>
      <w:r>
        <w:rPr>
          <w:b/>
          <w:color w:val="000080"/>
        </w:rPr>
        <w:t>May 14, 2008</w:t>
      </w:r>
    </w:p>
    <w:p w:rsidR="000A352A" w:rsidRDefault="000A352A" w:rsidP="000A352A">
      <w:pPr>
        <w:spacing w:after="120"/>
        <w:jc w:val="both"/>
        <w:rPr>
          <w:b/>
        </w:rPr>
      </w:pPr>
      <w:r>
        <w:rPr>
          <w:b/>
        </w:rPr>
        <w:t> </w:t>
      </w:r>
    </w:p>
    <w:p w:rsidR="000A352A" w:rsidRDefault="000A352A" w:rsidP="000A352A">
      <w:pPr>
        <w:spacing w:after="120"/>
        <w:jc w:val="both"/>
        <w:rPr>
          <w:b/>
        </w:rPr>
      </w:pPr>
      <w:r>
        <w:rPr>
          <w:b/>
        </w:rPr>
        <w:t> </w:t>
      </w:r>
    </w:p>
    <w:p w:rsidR="000A352A" w:rsidRDefault="000A352A" w:rsidP="000A352A">
      <w:pPr>
        <w:spacing w:after="120"/>
        <w:jc w:val="both"/>
        <w:rPr>
          <w:b/>
        </w:rPr>
      </w:pPr>
      <w:r>
        <w:rPr>
          <w:b/>
        </w:rPr>
        <w:t>RELEVANT EXTRACTS :</w:t>
      </w:r>
    </w:p>
    <w:p w:rsidR="000A352A" w:rsidRDefault="000A352A" w:rsidP="000A352A">
      <w:pPr>
        <w:tabs>
          <w:tab w:val="left" w:pos="2805"/>
          <w:tab w:val="left" w:pos="5049"/>
          <w:tab w:val="left" w:pos="7293"/>
        </w:tabs>
        <w:spacing w:after="120"/>
        <w:jc w:val="both"/>
      </w:pPr>
      <w:r>
        <w:t>**</w:t>
      </w:r>
      <w:r>
        <w:tab/>
        <w:t>**</w:t>
      </w:r>
      <w:r>
        <w:tab/>
        <w:t>**</w:t>
      </w:r>
      <w:r>
        <w:tab/>
        <w:t>**</w:t>
      </w:r>
    </w:p>
    <w:p w:rsidR="000A352A" w:rsidRDefault="000A352A" w:rsidP="000A352A">
      <w:pPr>
        <w:shd w:val="clear" w:color="auto" w:fill="FFFFFF"/>
        <w:spacing w:after="120"/>
        <w:jc w:val="both"/>
      </w:pPr>
      <w:r>
        <w:t xml:space="preserve">11. We have heard the rival submissions and carefully perused the orders of the authorities below and documents placed on record. No doubt, the </w:t>
      </w:r>
      <w:proofErr w:type="spellStart"/>
      <w:r>
        <w:t>assessee</w:t>
      </w:r>
      <w:proofErr w:type="spellEnd"/>
      <w:r>
        <w:t xml:space="preserve"> has purchased the assets from M/s </w:t>
      </w:r>
      <w:proofErr w:type="spellStart"/>
      <w:r>
        <w:t>Sinar</w:t>
      </w:r>
      <w:proofErr w:type="spellEnd"/>
      <w:r>
        <w:t xml:space="preserve"> Engineering </w:t>
      </w:r>
      <w:r>
        <w:rPr>
          <w:iCs/>
        </w:rPr>
        <w:t xml:space="preserve">Co. </w:t>
      </w:r>
      <w:r>
        <w:t xml:space="preserve">Pvt. Ltd for a sum </w:t>
      </w:r>
      <w:r>
        <w:rPr>
          <w:iCs/>
        </w:rPr>
        <w:t xml:space="preserve">of </w:t>
      </w:r>
      <w:r>
        <w:t xml:space="preserve">Rs.3,81,471/-. But, nothing was paid to them. Only a general entry was passed as on 1-4-1999. It is also evident from the record that this amount was shown as loan and advanced given to the </w:t>
      </w:r>
      <w:proofErr w:type="spellStart"/>
      <w:r>
        <w:t>assessee</w:t>
      </w:r>
      <w:proofErr w:type="spellEnd"/>
      <w:r>
        <w:t xml:space="preserve"> company in the books of accounts </w:t>
      </w:r>
      <w:r>
        <w:rPr>
          <w:iCs/>
        </w:rPr>
        <w:t xml:space="preserve">of </w:t>
      </w:r>
      <w:r>
        <w:t xml:space="preserve">M/s. </w:t>
      </w:r>
      <w:proofErr w:type="spellStart"/>
      <w:r>
        <w:t>Sinar</w:t>
      </w:r>
      <w:proofErr w:type="spellEnd"/>
      <w:r>
        <w:t xml:space="preserve"> Engineering Co. Pvt. Ltd for assessment year 1999-2000 and this liability outstanding in the next year as on 31-3-2000. This amount was also shown in the </w:t>
      </w:r>
      <w:proofErr w:type="spellStart"/>
      <w:r>
        <w:t>assessee's</w:t>
      </w:r>
      <w:proofErr w:type="spellEnd"/>
      <w:r>
        <w:t xml:space="preserve"> books of accounts as receipts from M/s. </w:t>
      </w:r>
      <w:proofErr w:type="spellStart"/>
      <w:r>
        <w:t>Sinar</w:t>
      </w:r>
      <w:proofErr w:type="spellEnd"/>
      <w:r>
        <w:t xml:space="preserve"> Engineering Co. Pvt. Ltd and remain outstanding as on 31-3-1999. Though the assets were purchased by the </w:t>
      </w:r>
      <w:proofErr w:type="spellStart"/>
      <w:r>
        <w:t>assessee</w:t>
      </w:r>
      <w:proofErr w:type="spellEnd"/>
      <w:r>
        <w:t xml:space="preserve">. but, the cost of it was shown to be as loan and advances in the books of accounts in both the companies. Since the </w:t>
      </w:r>
      <w:proofErr w:type="spellStart"/>
      <w:r>
        <w:t>assessee</w:t>
      </w:r>
      <w:proofErr w:type="spellEnd"/>
      <w:r>
        <w:t xml:space="preserve"> itself has given a </w:t>
      </w:r>
      <w:proofErr w:type="spellStart"/>
      <w:r>
        <w:t>colour</w:t>
      </w:r>
      <w:proofErr w:type="spellEnd"/>
      <w:r>
        <w:t xml:space="preserve"> of this transaction as loan advances, he cannot take a contrary stand before the revenue authorities. Now the question comes whether </w:t>
      </w:r>
      <w:proofErr w:type="spellStart"/>
      <w:r>
        <w:t>assessee's</w:t>
      </w:r>
      <w:proofErr w:type="spellEnd"/>
      <w:r>
        <w:t xml:space="preserve"> case falls within the purview of section 2(22)(e) of the Act, we are of the view that it is not necessary that die </w:t>
      </w:r>
      <w:proofErr w:type="spellStart"/>
      <w:r>
        <w:t>payor</w:t>
      </w:r>
      <w:proofErr w:type="spellEnd"/>
      <w:r>
        <w:t xml:space="preserve"> or the payee must have share holdings in other company. If the loans and advances are given by one company to other company in which the share holder is common having sufficient holding or has a </w:t>
      </w:r>
      <w:r>
        <w:lastRenderedPageBreak/>
        <w:t>beneficial interest in both the companies, provisions of section 2 (22) (e) can be invoked. For the sake of reference, we extract the provisions of section 2 (22) (e) as under :</w:t>
      </w:r>
    </w:p>
    <w:p w:rsidR="000A352A" w:rsidRDefault="000A352A" w:rsidP="000A352A">
      <w:pPr>
        <w:shd w:val="clear" w:color="auto" w:fill="FFFFFF"/>
        <w:tabs>
          <w:tab w:val="left" w:pos="720"/>
        </w:tabs>
        <w:spacing w:after="120"/>
        <w:jc w:val="both"/>
      </w:pPr>
      <w:r>
        <w:rPr>
          <w:iCs/>
        </w:rPr>
        <w:t>e)</w:t>
      </w:r>
      <w:r>
        <w:rPr>
          <w:rFonts w:cs="Arial"/>
          <w:iCs/>
        </w:rPr>
        <w:tab/>
      </w:r>
      <w:r>
        <w:rPr>
          <w:iCs/>
        </w:rPr>
        <w:t xml:space="preserve">"any payment by a company, not being a company in which </w:t>
      </w:r>
      <w:proofErr w:type="spellStart"/>
      <w:r>
        <w:rPr>
          <w:iCs/>
        </w:rPr>
        <w:t>ihe</w:t>
      </w:r>
      <w:proofErr w:type="spellEnd"/>
      <w:r>
        <w:rPr>
          <w:iCs/>
        </w:rPr>
        <w:t xml:space="preserve"> public are substantially interested, of any sum (whether as representing a part of the assets of the company or otherwise) [made after the 31st day of May. 1987, by way of advance or loan to a shareholder, being a person who is the beneficial owner of shares (not being shares entitled to a fixed rate of dividend whether with or without a right </w:t>
      </w:r>
      <w:r>
        <w:t>to</w:t>
      </w:r>
      <w:r>
        <w:rPr>
          <w:iCs/>
        </w:rPr>
        <w:t xml:space="preserve"> participate in profits) holding not less than ten per cent of the voting power, or to any concern in which such shareholder is a member or a partner and in which he has a </w:t>
      </w:r>
      <w:proofErr w:type="spellStart"/>
      <w:r>
        <w:rPr>
          <w:iCs/>
        </w:rPr>
        <w:t>subsiantial</w:t>
      </w:r>
      <w:proofErr w:type="spellEnd"/>
      <w:r>
        <w:rPr>
          <w:iCs/>
        </w:rPr>
        <w:t xml:space="preserve"> </w:t>
      </w:r>
      <w:proofErr w:type="spellStart"/>
      <w:r>
        <w:rPr>
          <w:iCs/>
        </w:rPr>
        <w:t>interst</w:t>
      </w:r>
      <w:proofErr w:type="spellEnd"/>
      <w:r>
        <w:rPr>
          <w:iCs/>
        </w:rPr>
        <w:t xml:space="preserve"> (hereafter in this clause referred to as the said </w:t>
      </w:r>
      <w:r>
        <w:t xml:space="preserve">concern)] or </w:t>
      </w:r>
      <w:r>
        <w:rPr>
          <w:iCs/>
        </w:rPr>
        <w:t xml:space="preserve">any payment by any </w:t>
      </w:r>
      <w:r>
        <w:t xml:space="preserve">such company </w:t>
      </w:r>
      <w:r>
        <w:rPr>
          <w:iCs/>
        </w:rPr>
        <w:t xml:space="preserve">on behalf, or </w:t>
      </w:r>
      <w:r>
        <w:t xml:space="preserve">for the </w:t>
      </w:r>
      <w:r>
        <w:rPr>
          <w:iCs/>
        </w:rPr>
        <w:t>individual benefit, of any such shareholder, to the extent to which the company in either case possesses accumulated profits";</w:t>
      </w:r>
    </w:p>
    <w:p w:rsidR="000A352A" w:rsidRDefault="000A352A" w:rsidP="000A352A">
      <w:pPr>
        <w:shd w:val="clear" w:color="auto" w:fill="FFFFFF"/>
        <w:tabs>
          <w:tab w:val="left" w:pos="1402"/>
        </w:tabs>
        <w:spacing w:after="120"/>
        <w:jc w:val="both"/>
      </w:pPr>
      <w:r>
        <w:t>12.</w:t>
      </w:r>
      <w:r>
        <w:rPr>
          <w:rFonts w:cs="Arial"/>
        </w:rPr>
        <w:tab/>
      </w:r>
      <w:r>
        <w:t>From a plain reading of this section it is manifestly clear that</w:t>
      </w:r>
      <w:r>
        <w:rPr>
          <w:iCs/>
        </w:rPr>
        <w:t xml:space="preserve"> </w:t>
      </w:r>
      <w:r>
        <w:t>if any payment is made by a company not being a company in which the public are substantially interested of any sum whether as representing part of an asset of the company or otherwise by way of advance or loans to share holder, holding less than 10% of the voting power or to any concern in which such share holder is a Member or partner and in which he has substantial interest, the provisions of this section can be invoked. The word "concern" has been defined in Explanation 3 (a) below this sub-section, according to which, concern means - a Hindu Undivided Family or a Firm or an Association of person or a body of individuals or a company. Meaning thereby, if the payments of any sum by way of advance or loan is given to company in which there is a common share holder and that share holder has/have the beneficial interest in both the companies. The loans and advances shall be deemed dividend under section 2 (22) (e) of the Act.</w:t>
      </w:r>
    </w:p>
    <w:p w:rsidR="000A352A" w:rsidRDefault="000A352A" w:rsidP="000A352A">
      <w:pPr>
        <w:shd w:val="clear" w:color="auto" w:fill="FFFFFF"/>
        <w:tabs>
          <w:tab w:val="left" w:pos="1709"/>
        </w:tabs>
        <w:spacing w:after="120"/>
        <w:jc w:val="both"/>
      </w:pPr>
      <w:r>
        <w:t>13.</w:t>
      </w:r>
      <w:r>
        <w:rPr>
          <w:rFonts w:cs="Arial"/>
        </w:rPr>
        <w:tab/>
      </w:r>
      <w:r>
        <w:t xml:space="preserve">Turning to the facts of the case, undisputedly, Mr. </w:t>
      </w:r>
      <w:proofErr w:type="spellStart"/>
      <w:r>
        <w:t>Ramesh</w:t>
      </w:r>
      <w:proofErr w:type="spellEnd"/>
      <w:r>
        <w:t xml:space="preserve"> G. </w:t>
      </w:r>
      <w:proofErr w:type="spellStart"/>
      <w:r>
        <w:t>Chabna</w:t>
      </w:r>
      <w:proofErr w:type="spellEnd"/>
      <w:r>
        <w:t xml:space="preserve"> has 59 shares out of total equity shares of the assesses company besides having a share holding of 5400 shares out of 5500 equity shares of M/s. </w:t>
      </w:r>
      <w:proofErr w:type="spellStart"/>
      <w:r>
        <w:t>Sinar</w:t>
      </w:r>
      <w:proofErr w:type="spellEnd"/>
      <w:r>
        <w:t xml:space="preserve"> Engineering Co. Pvt. Ltd. Meaning thereby, Mr. </w:t>
      </w:r>
      <w:proofErr w:type="spellStart"/>
      <w:r>
        <w:t>Ramesh</w:t>
      </w:r>
      <w:proofErr w:type="spellEnd"/>
      <w:r>
        <w:t xml:space="preserve"> G. </w:t>
      </w:r>
      <w:proofErr w:type="spellStart"/>
      <w:r>
        <w:t>Chabria</w:t>
      </w:r>
      <w:proofErr w:type="spellEnd"/>
      <w:r>
        <w:t xml:space="preserve"> has a beneficial interest in both the companies. If the legal provisions as discussed above are applied to the present facts of the case, one would find that loans and advances given by M/s. </w:t>
      </w:r>
      <w:proofErr w:type="spellStart"/>
      <w:r>
        <w:t>Sinar</w:t>
      </w:r>
      <w:proofErr w:type="spellEnd"/>
      <w:r>
        <w:t xml:space="preserve"> Engineering </w:t>
      </w:r>
      <w:r>
        <w:rPr>
          <w:iCs/>
        </w:rPr>
        <w:t xml:space="preserve">Co. Pvt. </w:t>
      </w:r>
      <w:r>
        <w:t xml:space="preserve">Ltd to the </w:t>
      </w:r>
      <w:proofErr w:type="spellStart"/>
      <w:r>
        <w:t>assessee</w:t>
      </w:r>
      <w:proofErr w:type="spellEnd"/>
      <w:r>
        <w:t xml:space="preserve"> company is a deemed dividend We have also carefully examined the Order of the Tribunal in the case of </w:t>
      </w:r>
      <w:proofErr w:type="spellStart"/>
      <w:r>
        <w:t>Seamist</w:t>
      </w:r>
      <w:proofErr w:type="spellEnd"/>
      <w:r>
        <w:t xml:space="preserve"> Properties (P) Ltd. vs. 1TO (supra), but, it was rendered different set </w:t>
      </w:r>
      <w:r>
        <w:rPr>
          <w:iCs/>
        </w:rPr>
        <w:t xml:space="preserve">of </w:t>
      </w:r>
      <w:r>
        <w:t xml:space="preserve">facts, as such, the ratio laid down in that case, cannot be applicable to the present facts </w:t>
      </w:r>
      <w:r>
        <w:rPr>
          <w:iCs/>
        </w:rPr>
        <w:t xml:space="preserve">of </w:t>
      </w:r>
      <w:r>
        <w:t xml:space="preserve">the case. In the light of this legal propositions as stated above, we are of the view that the CIT (A) has rightly adjudicated the issue in both the appeals. We, therefore, confirm his order. </w:t>
      </w:r>
    </w:p>
    <w:p w:rsidR="000A352A" w:rsidRDefault="000A352A" w:rsidP="000A352A">
      <w:pPr>
        <w:tabs>
          <w:tab w:val="left" w:pos="2805"/>
          <w:tab w:val="left" w:pos="5049"/>
          <w:tab w:val="left" w:pos="7293"/>
        </w:tabs>
        <w:spacing w:after="120"/>
        <w:jc w:val="both"/>
      </w:pPr>
      <w:r>
        <w:t>**</w:t>
      </w:r>
      <w:r>
        <w:tab/>
        <w:t>**</w:t>
      </w:r>
      <w:r>
        <w:tab/>
        <w:t>**</w:t>
      </w:r>
      <w:r>
        <w:tab/>
        <w:t>**</w:t>
      </w:r>
    </w:p>
    <w:p w:rsidR="004354D1" w:rsidRDefault="004354D1"/>
    <w:p w:rsidR="00B214BC" w:rsidRDefault="00B214BC"/>
    <w:p w:rsidR="00B214BC" w:rsidRDefault="00B214BC"/>
    <w:p w:rsidR="00B214BC" w:rsidRDefault="00B214BC"/>
    <w:p w:rsidR="00B214BC" w:rsidRDefault="00B214BC"/>
    <w:tbl>
      <w:tblPr>
        <w:tblW w:w="0" w:type="auto"/>
        <w:shd w:val="clear" w:color="auto" w:fill="CCFFFF"/>
        <w:tblLook w:val="04A0"/>
      </w:tblPr>
      <w:tblGrid>
        <w:gridCol w:w="9576"/>
      </w:tblGrid>
      <w:tr w:rsidR="00B214BC" w:rsidTr="00B214BC">
        <w:tc>
          <w:tcPr>
            <w:tcW w:w="16448" w:type="dxa"/>
            <w:shd w:val="clear" w:color="auto" w:fill="CCFFFF"/>
            <w:hideMark/>
          </w:tcPr>
          <w:p w:rsidR="00B214BC" w:rsidRDefault="00B214BC">
            <w:pPr>
              <w:spacing w:after="120"/>
              <w:jc w:val="both"/>
              <w:rPr>
                <w:b/>
                <w:color w:val="000080"/>
                <w:sz w:val="24"/>
                <w:szCs w:val="24"/>
              </w:rPr>
            </w:pPr>
            <w:r>
              <w:rPr>
                <w:b/>
                <w:color w:val="000080"/>
              </w:rPr>
              <w:lastRenderedPageBreak/>
              <w:t>PRIMARY REQUIREMENT OF SECTION 2(22</w:t>
            </w:r>
            <w:proofErr w:type="gramStart"/>
            <w:r>
              <w:rPr>
                <w:b/>
                <w:color w:val="000080"/>
              </w:rPr>
              <w:t>)(</w:t>
            </w:r>
            <w:proofErr w:type="gramEnd"/>
            <w:r>
              <w:rPr>
                <w:b/>
                <w:color w:val="000080"/>
              </w:rPr>
              <w:t>E) OF THE INCOME-TAX ACT, 1961 FOR ASSESSMENT OF DEEMED DIVIDEND.</w:t>
            </w:r>
          </w:p>
        </w:tc>
      </w:tr>
      <w:tr w:rsidR="00B214BC" w:rsidTr="00B214BC">
        <w:tc>
          <w:tcPr>
            <w:tcW w:w="16448" w:type="dxa"/>
            <w:shd w:val="clear" w:color="auto" w:fill="CCFFFF"/>
            <w:hideMark/>
          </w:tcPr>
          <w:p w:rsidR="00B214BC" w:rsidRDefault="00B214BC">
            <w:pPr>
              <w:pStyle w:val="Heading2"/>
              <w:spacing w:after="120"/>
              <w:rPr>
                <w:rFonts w:eastAsia="Arial Unicode MS"/>
                <w:color w:val="000080"/>
              </w:rPr>
            </w:pPr>
            <w:r>
              <w:rPr>
                <w:rFonts w:eastAsia="Arial Unicode MS"/>
                <w:color w:val="000080"/>
              </w:rPr>
              <w:t>RATIO DECIDENDI</w:t>
            </w:r>
          </w:p>
        </w:tc>
      </w:tr>
      <w:tr w:rsidR="00B214BC" w:rsidTr="00B214BC">
        <w:tc>
          <w:tcPr>
            <w:tcW w:w="16448" w:type="dxa"/>
            <w:shd w:val="clear" w:color="auto" w:fill="CCFFFF"/>
            <w:hideMark/>
          </w:tcPr>
          <w:p w:rsidR="00B214BC" w:rsidRDefault="00B214BC">
            <w:pPr>
              <w:pStyle w:val="BodyText"/>
              <w:rPr>
                <w:color w:val="000080"/>
              </w:rPr>
            </w:pPr>
            <w:r>
              <w:rPr>
                <w:color w:val="000080"/>
              </w:rPr>
              <w:t>The deemed dividend cannot be assessed in the hands of a non-shareholder as the primary requirement for a dividend to be received rests with a shareholder and none else.</w:t>
            </w:r>
          </w:p>
        </w:tc>
      </w:tr>
    </w:tbl>
    <w:p w:rsidR="00B214BC" w:rsidRDefault="00B214BC" w:rsidP="00B214BC">
      <w:pPr>
        <w:spacing w:after="120"/>
        <w:jc w:val="both"/>
        <w:rPr>
          <w:color w:val="000080"/>
        </w:rPr>
      </w:pPr>
      <w:r>
        <w:rPr>
          <w:color w:val="000080"/>
        </w:rPr>
        <w:t> </w:t>
      </w:r>
    </w:p>
    <w:p w:rsidR="00B214BC" w:rsidRDefault="00B214BC" w:rsidP="00B214BC">
      <w:pPr>
        <w:spacing w:after="120"/>
        <w:jc w:val="both"/>
        <w:rPr>
          <w:color w:val="000080"/>
        </w:rPr>
      </w:pPr>
      <w:r>
        <w:rPr>
          <w:color w:val="000080"/>
        </w:rPr>
        <w:t> </w:t>
      </w:r>
    </w:p>
    <w:p w:rsidR="00B214BC" w:rsidRDefault="00B214BC" w:rsidP="00B214BC">
      <w:pPr>
        <w:spacing w:after="120"/>
        <w:rPr>
          <w:b/>
          <w:color w:val="000080"/>
        </w:rPr>
      </w:pPr>
      <w:r>
        <w:rPr>
          <w:b/>
          <w:color w:val="000080"/>
        </w:rPr>
        <w:t xml:space="preserve">IN THE ITAT, DELHI BENCHES </w:t>
      </w:r>
      <w:proofErr w:type="gramStart"/>
      <w:r>
        <w:rPr>
          <w:b/>
          <w:color w:val="000080"/>
        </w:rPr>
        <w:t>‘C’ :</w:t>
      </w:r>
      <w:proofErr w:type="gramEnd"/>
      <w:r>
        <w:rPr>
          <w:b/>
          <w:color w:val="000080"/>
        </w:rPr>
        <w:t xml:space="preserve"> NEW DELHI</w:t>
      </w:r>
    </w:p>
    <w:p w:rsidR="00B214BC" w:rsidRDefault="00B214BC" w:rsidP="00B214BC">
      <w:pPr>
        <w:spacing w:after="120"/>
        <w:rPr>
          <w:b/>
          <w:color w:val="000080"/>
        </w:rPr>
      </w:pPr>
      <w:proofErr w:type="spellStart"/>
      <w:r>
        <w:rPr>
          <w:b/>
          <w:color w:val="000080"/>
        </w:rPr>
        <w:t>Ankitech</w:t>
      </w:r>
      <w:proofErr w:type="spellEnd"/>
      <w:r>
        <w:rPr>
          <w:b/>
          <w:color w:val="000080"/>
        </w:rPr>
        <w:t xml:space="preserve"> Pvt. Ltd.</w:t>
      </w:r>
    </w:p>
    <w:p w:rsidR="00B214BC" w:rsidRDefault="00B214BC" w:rsidP="00B214BC">
      <w:pPr>
        <w:spacing w:after="120"/>
        <w:rPr>
          <w:b/>
          <w:i/>
          <w:color w:val="000080"/>
        </w:rPr>
      </w:pPr>
      <w:proofErr w:type="gramStart"/>
      <w:r>
        <w:rPr>
          <w:b/>
          <w:i/>
          <w:color w:val="000080"/>
        </w:rPr>
        <w:t>v</w:t>
      </w:r>
      <w:proofErr w:type="gramEnd"/>
      <w:r>
        <w:rPr>
          <w:b/>
          <w:i/>
          <w:color w:val="000080"/>
        </w:rPr>
        <w:t>.</w:t>
      </w:r>
    </w:p>
    <w:p w:rsidR="00B214BC" w:rsidRDefault="00B214BC" w:rsidP="00B214BC">
      <w:pPr>
        <w:spacing w:after="120"/>
        <w:rPr>
          <w:b/>
          <w:color w:val="000080"/>
        </w:rPr>
      </w:pPr>
      <w:r>
        <w:rPr>
          <w:b/>
          <w:color w:val="000080"/>
        </w:rPr>
        <w:t>JCIT</w:t>
      </w:r>
    </w:p>
    <w:p w:rsidR="00B214BC" w:rsidRDefault="00B214BC" w:rsidP="00B214BC">
      <w:pPr>
        <w:spacing w:after="120"/>
        <w:rPr>
          <w:b/>
          <w:color w:val="000080"/>
        </w:rPr>
      </w:pPr>
      <w:r>
        <w:rPr>
          <w:b/>
          <w:color w:val="000080"/>
        </w:rPr>
        <w:t>ITA No. 388(Del)/07</w:t>
      </w:r>
    </w:p>
    <w:p w:rsidR="00B214BC" w:rsidRDefault="00B214BC" w:rsidP="00B214BC">
      <w:pPr>
        <w:spacing w:after="120"/>
        <w:rPr>
          <w:b/>
        </w:rPr>
      </w:pPr>
      <w:r>
        <w:rPr>
          <w:b/>
          <w:color w:val="000080"/>
        </w:rPr>
        <w:t>June 6, 2008</w:t>
      </w:r>
    </w:p>
    <w:p w:rsidR="00B214BC" w:rsidRDefault="00B214BC" w:rsidP="00B214BC">
      <w:pPr>
        <w:spacing w:after="120"/>
        <w:rPr>
          <w:b/>
        </w:rPr>
      </w:pPr>
      <w:r>
        <w:rPr>
          <w:b/>
        </w:rPr>
        <w:t> </w:t>
      </w:r>
    </w:p>
    <w:p w:rsidR="00B214BC" w:rsidRDefault="00B214BC" w:rsidP="00B214BC">
      <w:pPr>
        <w:spacing w:after="120"/>
        <w:rPr>
          <w:b/>
        </w:rPr>
      </w:pPr>
      <w:r>
        <w:rPr>
          <w:b/>
        </w:rPr>
        <w:t> </w:t>
      </w:r>
    </w:p>
    <w:p w:rsidR="00B214BC" w:rsidRDefault="00B214BC" w:rsidP="00B214BC">
      <w:pPr>
        <w:spacing w:after="120"/>
        <w:jc w:val="both"/>
        <w:rPr>
          <w:b/>
        </w:rPr>
      </w:pPr>
      <w:r>
        <w:rPr>
          <w:b/>
        </w:rPr>
        <w:t xml:space="preserve">RELEVANT </w:t>
      </w:r>
      <w:proofErr w:type="gramStart"/>
      <w:r>
        <w:rPr>
          <w:b/>
        </w:rPr>
        <w:t>EXTRACTS :</w:t>
      </w:r>
      <w:proofErr w:type="gramEnd"/>
    </w:p>
    <w:p w:rsidR="00B214BC" w:rsidRDefault="00B214BC" w:rsidP="00B214BC">
      <w:pPr>
        <w:tabs>
          <w:tab w:val="left" w:pos="2992"/>
          <w:tab w:val="left" w:pos="5049"/>
          <w:tab w:val="left" w:pos="7218"/>
        </w:tabs>
        <w:spacing w:after="120"/>
        <w:jc w:val="both"/>
      </w:pPr>
      <w:r>
        <w:t>**</w:t>
      </w:r>
      <w:r>
        <w:tab/>
        <w:t>**</w:t>
      </w:r>
      <w:r>
        <w:tab/>
        <w:t>**</w:t>
      </w:r>
      <w:r>
        <w:tab/>
        <w:t>**</w:t>
      </w:r>
    </w:p>
    <w:p w:rsidR="00B214BC" w:rsidRDefault="00B214BC" w:rsidP="00B214BC">
      <w:pPr>
        <w:shd w:val="clear" w:color="auto" w:fill="FFFFFF"/>
        <w:spacing w:after="120"/>
        <w:jc w:val="both"/>
      </w:pPr>
      <w:r>
        <w:rPr>
          <w:szCs w:val="28"/>
        </w:rPr>
        <w:t xml:space="preserve">13. The modification to the provision of section 2(22) (e) as done by the Finance Act to include advances or loans made to any concern in which such shareholder is a member or partner and in which he has substantial interest shows </w:t>
      </w:r>
      <w:proofErr w:type="spellStart"/>
      <w:r>
        <w:rPr>
          <w:szCs w:val="28"/>
        </w:rPr>
        <w:t>thai</w:t>
      </w:r>
      <w:proofErr w:type="spellEnd"/>
      <w:r>
        <w:rPr>
          <w:szCs w:val="28"/>
        </w:rPr>
        <w:t xml:space="preserve"> the legislature intended to bring to tax even such cases where the concern per se might not be a shareholder in the payer company but the shareholder or the members or the partners in the payer company has substantial interest in the payee company. The explanation 3 (b) specifies that the person shall be deemed to have a substantial interest in a concern if he is beneficially entitled to not less than 20 % income in such concern. In the present case it is noticed that Shri Mahesh Kumar </w:t>
      </w:r>
      <w:proofErr w:type="spellStart"/>
      <w:r>
        <w:rPr>
          <w:szCs w:val="28"/>
        </w:rPr>
        <w:t>Gupra</w:t>
      </w:r>
      <w:proofErr w:type="spellEnd"/>
      <w:r>
        <w:rPr>
          <w:szCs w:val="28"/>
        </w:rPr>
        <w:t xml:space="preserve"> and so also Ms. </w:t>
      </w:r>
      <w:proofErr w:type="spellStart"/>
      <w:r>
        <w:rPr>
          <w:szCs w:val="28"/>
        </w:rPr>
        <w:t>Rukmani</w:t>
      </w:r>
      <w:proofErr w:type="spellEnd"/>
      <w:r>
        <w:rPr>
          <w:szCs w:val="28"/>
        </w:rPr>
        <w:t xml:space="preserve"> Gupta who arc husband and wife respectively are shareholders of JGPL and they hold 45.1% shares each in the </w:t>
      </w:r>
      <w:proofErr w:type="spellStart"/>
      <w:r>
        <w:rPr>
          <w:szCs w:val="28"/>
        </w:rPr>
        <w:t>assessee</w:t>
      </w:r>
      <w:proofErr w:type="spellEnd"/>
      <w:r>
        <w:rPr>
          <w:szCs w:val="28"/>
        </w:rPr>
        <w:t xml:space="preserve"> company being payee company and who would have to be held as a concern in which the shareholder Shri M.K. Gupta and </w:t>
      </w:r>
      <w:proofErr w:type="spellStart"/>
      <w:r>
        <w:rPr>
          <w:szCs w:val="28"/>
        </w:rPr>
        <w:t>Ms.Rukmani</w:t>
      </w:r>
      <w:proofErr w:type="spellEnd"/>
      <w:r>
        <w:rPr>
          <w:szCs w:val="28"/>
        </w:rPr>
        <w:t xml:space="preserve"> Gupta are members and who are beneficially entitled to not less than 20% of the income of the </w:t>
      </w:r>
      <w:proofErr w:type="spellStart"/>
      <w:r>
        <w:rPr>
          <w:szCs w:val="28"/>
        </w:rPr>
        <w:t>assessee</w:t>
      </w:r>
      <w:proofErr w:type="spellEnd"/>
      <w:r>
        <w:rPr>
          <w:szCs w:val="28"/>
        </w:rPr>
        <w:t xml:space="preserve"> company being the payee concern. The decision of the </w:t>
      </w:r>
      <w:proofErr w:type="spellStart"/>
      <w:r>
        <w:rPr>
          <w:szCs w:val="28"/>
        </w:rPr>
        <w:t>Hon'ble</w:t>
      </w:r>
      <w:proofErr w:type="spellEnd"/>
      <w:r>
        <w:rPr>
          <w:szCs w:val="28"/>
        </w:rPr>
        <w:t xml:space="preserve"> Supreme</w:t>
      </w:r>
      <w:r>
        <w:t xml:space="preserve"> </w:t>
      </w:r>
      <w:r>
        <w:rPr>
          <w:szCs w:val="26"/>
        </w:rPr>
        <w:t xml:space="preserve">Court in the case of </w:t>
      </w:r>
      <w:proofErr w:type="spellStart"/>
      <w:r>
        <w:rPr>
          <w:szCs w:val="26"/>
        </w:rPr>
        <w:t>Sarathi</w:t>
      </w:r>
      <w:proofErr w:type="spellEnd"/>
      <w:r>
        <w:rPr>
          <w:szCs w:val="26"/>
        </w:rPr>
        <w:t xml:space="preserve"> </w:t>
      </w:r>
      <w:proofErr w:type="spellStart"/>
      <w:r>
        <w:rPr>
          <w:szCs w:val="26"/>
        </w:rPr>
        <w:t>Muthaliar</w:t>
      </w:r>
      <w:proofErr w:type="spellEnd"/>
      <w:r>
        <w:rPr>
          <w:szCs w:val="26"/>
        </w:rPr>
        <w:t xml:space="preserve"> referred to supra wherein it had been held that the shareholder referred to section 2(6A)(e) referred to a registered shareholder would not apply to the post amended provisions of section 2(22) (e) </w:t>
      </w:r>
      <w:proofErr w:type="spellStart"/>
      <w:r>
        <w:rPr>
          <w:szCs w:val="26"/>
        </w:rPr>
        <w:t>w.e.f</w:t>
      </w:r>
      <w:proofErr w:type="spellEnd"/>
      <w:r>
        <w:rPr>
          <w:szCs w:val="26"/>
        </w:rPr>
        <w:t xml:space="preserve">. the Assessment Year 1988-89 in so far as from the Assessment Year 1988-89 "the firm or any concern in which such shareholder is a member or partner and in which he holds substantial interest" has been introduced. On the similar lines the decision of the </w:t>
      </w:r>
      <w:proofErr w:type="spellStart"/>
      <w:r>
        <w:rPr>
          <w:szCs w:val="26"/>
        </w:rPr>
        <w:t>Hon'ble</w:t>
      </w:r>
      <w:proofErr w:type="spellEnd"/>
      <w:r>
        <w:rPr>
          <w:szCs w:val="26"/>
        </w:rPr>
        <w:t xml:space="preserve"> Supreme Court in the case of </w:t>
      </w:r>
      <w:proofErr w:type="spellStart"/>
      <w:r>
        <w:rPr>
          <w:szCs w:val="26"/>
        </w:rPr>
        <w:t>Rameswarlal</w:t>
      </w:r>
      <w:proofErr w:type="spellEnd"/>
      <w:r>
        <w:rPr>
          <w:szCs w:val="26"/>
        </w:rPr>
        <w:t xml:space="preserve"> </w:t>
      </w:r>
      <w:proofErr w:type="spellStart"/>
      <w:r>
        <w:rPr>
          <w:szCs w:val="26"/>
        </w:rPr>
        <w:t>Sanwarmal</w:t>
      </w:r>
      <w:proofErr w:type="spellEnd"/>
      <w:r>
        <w:rPr>
          <w:szCs w:val="26"/>
        </w:rPr>
        <w:t xml:space="preserve"> reported in 122 1TR I would also not apply as the law as laid down by the </w:t>
      </w:r>
      <w:proofErr w:type="spellStart"/>
      <w:r>
        <w:rPr>
          <w:szCs w:val="26"/>
        </w:rPr>
        <w:t>Hon'ble</w:t>
      </w:r>
      <w:proofErr w:type="spellEnd"/>
      <w:r>
        <w:rPr>
          <w:szCs w:val="26"/>
        </w:rPr>
        <w:t xml:space="preserve"> Supreme </w:t>
      </w:r>
      <w:r>
        <w:rPr>
          <w:szCs w:val="26"/>
        </w:rPr>
        <w:lastRenderedPageBreak/>
        <w:t>Court in those decisions were applicable to the provisions as the provisions of section 2(22</w:t>
      </w:r>
      <w:proofErr w:type="gramStart"/>
      <w:r>
        <w:rPr>
          <w:szCs w:val="26"/>
        </w:rPr>
        <w:t>)(</w:t>
      </w:r>
      <w:proofErr w:type="gramEnd"/>
      <w:r>
        <w:rPr>
          <w:szCs w:val="26"/>
        </w:rPr>
        <w:t>e) was available prior to the amendment by the Finance Act 1987. In view of the above, we are of the view that the Assessing Officer was right in law in holding that the provisions of section 2(22</w:t>
      </w:r>
      <w:proofErr w:type="gramStart"/>
      <w:r>
        <w:rPr>
          <w:szCs w:val="26"/>
        </w:rPr>
        <w:t>)(</w:t>
      </w:r>
      <w:proofErr w:type="gramEnd"/>
      <w:r>
        <w:rPr>
          <w:szCs w:val="26"/>
        </w:rPr>
        <w:t xml:space="preserve">e) would apply insofar as the advances/loans paid by JGPL to the </w:t>
      </w:r>
      <w:proofErr w:type="spellStart"/>
      <w:r>
        <w:rPr>
          <w:szCs w:val="26"/>
        </w:rPr>
        <w:t>assessee</w:t>
      </w:r>
      <w:proofErr w:type="spellEnd"/>
      <w:r>
        <w:rPr>
          <w:szCs w:val="26"/>
        </w:rPr>
        <w:t xml:space="preserve"> API - as the </w:t>
      </w:r>
      <w:proofErr w:type="spellStart"/>
      <w:r>
        <w:rPr>
          <w:szCs w:val="26"/>
        </w:rPr>
        <w:t>Guptas</w:t>
      </w:r>
      <w:proofErr w:type="spellEnd"/>
      <w:r>
        <w:rPr>
          <w:szCs w:val="26"/>
        </w:rPr>
        <w:t xml:space="preserve"> were holding 69.65% of shares in JGPL and 90.2% of the shares in the </w:t>
      </w:r>
      <w:proofErr w:type="spellStart"/>
      <w:r>
        <w:rPr>
          <w:szCs w:val="26"/>
        </w:rPr>
        <w:t>assessee</w:t>
      </w:r>
      <w:proofErr w:type="spellEnd"/>
      <w:r>
        <w:rPr>
          <w:szCs w:val="26"/>
        </w:rPr>
        <w:t xml:space="preserve"> company and they had substantial interest in the </w:t>
      </w:r>
      <w:proofErr w:type="spellStart"/>
      <w:r>
        <w:rPr>
          <w:szCs w:val="26"/>
        </w:rPr>
        <w:t>assessee</w:t>
      </w:r>
      <w:proofErr w:type="spellEnd"/>
      <w:r>
        <w:rPr>
          <w:szCs w:val="26"/>
        </w:rPr>
        <w:t xml:space="preserve"> company as specified in the provisions of section 2(22)(e). Now, the question that arises is whether the amount received by APL is deemed dividend in the hands of the </w:t>
      </w:r>
      <w:proofErr w:type="spellStart"/>
      <w:r>
        <w:rPr>
          <w:szCs w:val="26"/>
        </w:rPr>
        <w:t>assessee</w:t>
      </w:r>
      <w:proofErr w:type="spellEnd"/>
      <w:r>
        <w:rPr>
          <w:szCs w:val="26"/>
        </w:rPr>
        <w:t>. The provision of section 2(22</w:t>
      </w:r>
      <w:proofErr w:type="gramStart"/>
      <w:r>
        <w:rPr>
          <w:szCs w:val="26"/>
        </w:rPr>
        <w:t>)(</w:t>
      </w:r>
      <w:proofErr w:type="gramEnd"/>
      <w:r>
        <w:rPr>
          <w:szCs w:val="26"/>
        </w:rPr>
        <w:t>e) specify that the dividend is to include such payments made to a concern in which the shareholders have</w:t>
      </w:r>
      <w:r>
        <w:t xml:space="preserve"> </w:t>
      </w:r>
      <w:r>
        <w:rPr>
          <w:szCs w:val="26"/>
        </w:rPr>
        <w:t xml:space="preserve">a substantial interest. A dividend cannot be paid to a non-shareholder. APL, the </w:t>
      </w:r>
      <w:proofErr w:type="spellStart"/>
      <w:r>
        <w:rPr>
          <w:szCs w:val="26"/>
        </w:rPr>
        <w:t>assessee</w:t>
      </w:r>
      <w:proofErr w:type="spellEnd"/>
      <w:r>
        <w:rPr>
          <w:szCs w:val="26"/>
        </w:rPr>
        <w:t xml:space="preserve"> herein is not a shareholder of JGPL. It is the shareholders who have substantial interest in APL who are the shareholders in JGPL. Thus, the deemed dividend cannot be assessed in the hands of the </w:t>
      </w:r>
      <w:proofErr w:type="spellStart"/>
      <w:r>
        <w:rPr>
          <w:szCs w:val="26"/>
        </w:rPr>
        <w:t>assessee</w:t>
      </w:r>
      <w:proofErr w:type="spellEnd"/>
      <w:r>
        <w:rPr>
          <w:szCs w:val="26"/>
        </w:rPr>
        <w:t xml:space="preserve"> herein being APL, as the primary requirement for a dividend to be received rests with a shareholder and none else. We get support of this principle from the reading of sub-clause 2(22</w:t>
      </w:r>
      <w:proofErr w:type="gramStart"/>
      <w:r>
        <w:rPr>
          <w:szCs w:val="26"/>
        </w:rPr>
        <w:t>)(</w:t>
      </w:r>
      <w:proofErr w:type="gramEnd"/>
      <w:r>
        <w:rPr>
          <w:szCs w:val="26"/>
        </w:rPr>
        <w:t>e)(iii). This is because for the purpose of computing deemed dividend under the provisions of section 2(22</w:t>
      </w:r>
      <w:proofErr w:type="gramStart"/>
      <w:r>
        <w:rPr>
          <w:szCs w:val="26"/>
        </w:rPr>
        <w:t>)(</w:t>
      </w:r>
      <w:proofErr w:type="gramEnd"/>
      <w:r>
        <w:rPr>
          <w:szCs w:val="26"/>
        </w:rPr>
        <w:t xml:space="preserve">e), dividend is not to include any dividend paid by a company which is set off by a company against the whole or in p art of any sum previously paid by it and treated as a dividend within the meaning of sub-clause (e) to the extent to which it is so set off. If the </w:t>
      </w:r>
      <w:proofErr w:type="spellStart"/>
      <w:r>
        <w:rPr>
          <w:szCs w:val="26"/>
        </w:rPr>
        <w:t>assessee</w:t>
      </w:r>
      <w:proofErr w:type="spellEnd"/>
      <w:r>
        <w:rPr>
          <w:szCs w:val="26"/>
        </w:rPr>
        <w:t xml:space="preserve"> herein is held to have received deemed dividend then the provisions of sub-clause (iii) would become otiose and unworkable. In these circumstances, though we have held earlier that the loan/payment received by the </w:t>
      </w:r>
      <w:proofErr w:type="spellStart"/>
      <w:r>
        <w:rPr>
          <w:szCs w:val="26"/>
        </w:rPr>
        <w:t>assessee</w:t>
      </w:r>
      <w:proofErr w:type="spellEnd"/>
      <w:r>
        <w:rPr>
          <w:szCs w:val="26"/>
        </w:rPr>
        <w:t xml:space="preserve"> herein from JGPL is hit by the provisions of section 2(22</w:t>
      </w:r>
      <w:proofErr w:type="gramStart"/>
      <w:r>
        <w:rPr>
          <w:szCs w:val="26"/>
        </w:rPr>
        <w:t>)(</w:t>
      </w:r>
      <w:proofErr w:type="gramEnd"/>
      <w:r>
        <w:rPr>
          <w:szCs w:val="26"/>
        </w:rPr>
        <w:t xml:space="preserve">e) of the Act still the same cannot be taxed in the hands of the </w:t>
      </w:r>
      <w:proofErr w:type="spellStart"/>
      <w:r>
        <w:rPr>
          <w:szCs w:val="26"/>
        </w:rPr>
        <w:t>assessee</w:t>
      </w:r>
      <w:proofErr w:type="spellEnd"/>
      <w:r>
        <w:rPr>
          <w:szCs w:val="26"/>
        </w:rPr>
        <w:t xml:space="preserve"> herein, but would have to be taxed if at all in the hands of the shareholder, who have a substantial interest in the </w:t>
      </w:r>
      <w:proofErr w:type="spellStart"/>
      <w:r>
        <w:rPr>
          <w:szCs w:val="26"/>
        </w:rPr>
        <w:t>assessee</w:t>
      </w:r>
      <w:proofErr w:type="spellEnd"/>
      <w:r>
        <w:rPr>
          <w:szCs w:val="26"/>
        </w:rPr>
        <w:t xml:space="preserve"> concern herein. In the circumstances, the addition made by the Assessing authority</w:t>
      </w:r>
      <w:r>
        <w:t xml:space="preserve"> </w:t>
      </w:r>
      <w:r>
        <w:rPr>
          <w:szCs w:val="26"/>
        </w:rPr>
        <w:t>by invoking the provisions of section 2(22</w:t>
      </w:r>
      <w:proofErr w:type="gramStart"/>
      <w:r>
        <w:rPr>
          <w:szCs w:val="26"/>
        </w:rPr>
        <w:t>)(</w:t>
      </w:r>
      <w:proofErr w:type="gramEnd"/>
      <w:r>
        <w:rPr>
          <w:szCs w:val="26"/>
        </w:rPr>
        <w:t>e) as also the finding of the CIT(A) in confirming such addition stands deleted.</w:t>
      </w:r>
    </w:p>
    <w:p w:rsidR="00B214BC" w:rsidRDefault="00B214BC" w:rsidP="00B214BC">
      <w:pPr>
        <w:shd w:val="clear" w:color="auto" w:fill="FFFFFF"/>
        <w:spacing w:after="120"/>
        <w:jc w:val="both"/>
      </w:pPr>
      <w:r>
        <w:rPr>
          <w:szCs w:val="26"/>
        </w:rPr>
        <w:t xml:space="preserve">14. In regard to the submissions that the person referred to in section 2(22)(e) referred to individual and not to a company, firm, etc., we are of the view that as the Income Tax Act 1961 itself has given a definition to the term person in section 2(31) of the Act. Such definition would be applicable to all the provisions of the Act until and unless specifically excluded. This is because the opening words of the provisions of section (2) specify that "in this Act unless the context otherwise requires" the definitions are specified. The section 2(22) (e) does not give a context to give the term "person" another definition other than </w:t>
      </w:r>
      <w:proofErr w:type="spellStart"/>
      <w:r>
        <w:rPr>
          <w:szCs w:val="26"/>
        </w:rPr>
        <w:t>thai</w:t>
      </w:r>
      <w:proofErr w:type="spellEnd"/>
      <w:r>
        <w:rPr>
          <w:szCs w:val="26"/>
        </w:rPr>
        <w:t xml:space="preserve"> which is provided under the Act in section 2(31). Our view finds support from the decision of the </w:t>
      </w:r>
      <w:proofErr w:type="spellStart"/>
      <w:r>
        <w:rPr>
          <w:szCs w:val="26"/>
        </w:rPr>
        <w:t>Hon'ble</w:t>
      </w:r>
      <w:proofErr w:type="spellEnd"/>
      <w:r>
        <w:rPr>
          <w:szCs w:val="26"/>
        </w:rPr>
        <w:t xml:space="preserve"> Bombay High Court in the case of </w:t>
      </w:r>
      <w:proofErr w:type="spellStart"/>
      <w:r>
        <w:rPr>
          <w:szCs w:val="26"/>
        </w:rPr>
        <w:t>Sadana</w:t>
      </w:r>
      <w:proofErr w:type="spellEnd"/>
      <w:r>
        <w:rPr>
          <w:szCs w:val="26"/>
        </w:rPr>
        <w:t xml:space="preserve"> Textile Mills Pvt. Ltd. reported in 188 ITR 318. In the circumstances, this submission made on behalf of the </w:t>
      </w:r>
      <w:proofErr w:type="spellStart"/>
      <w:r>
        <w:rPr>
          <w:szCs w:val="26"/>
        </w:rPr>
        <w:t>assessee</w:t>
      </w:r>
      <w:proofErr w:type="spellEnd"/>
      <w:r>
        <w:rPr>
          <w:szCs w:val="26"/>
        </w:rPr>
        <w:t xml:space="preserve"> stands rejected.</w:t>
      </w:r>
    </w:p>
    <w:p w:rsidR="00B214BC" w:rsidRDefault="00B214BC" w:rsidP="00B214BC">
      <w:pPr>
        <w:tabs>
          <w:tab w:val="left" w:pos="2992"/>
          <w:tab w:val="left" w:pos="5049"/>
          <w:tab w:val="left" w:pos="7218"/>
        </w:tabs>
        <w:spacing w:after="120"/>
        <w:jc w:val="both"/>
      </w:pPr>
      <w:r>
        <w:t>**</w:t>
      </w:r>
      <w:r>
        <w:tab/>
        <w:t>**</w:t>
      </w:r>
      <w:r>
        <w:tab/>
        <w:t>**</w:t>
      </w:r>
      <w:r>
        <w:tab/>
        <w:t>**</w:t>
      </w:r>
    </w:p>
    <w:p w:rsidR="00B214BC" w:rsidRDefault="00B214BC"/>
    <w:p w:rsidR="004942E9" w:rsidRDefault="004942E9"/>
    <w:p w:rsidR="004942E9" w:rsidRDefault="004942E9"/>
    <w:p w:rsidR="004942E9" w:rsidRDefault="004942E9"/>
    <w:p w:rsidR="004942E9" w:rsidRPr="004942E9" w:rsidRDefault="004942E9" w:rsidP="004942E9">
      <w:pPr>
        <w:adjustRightInd w:val="0"/>
        <w:spacing w:before="60" w:after="60" w:line="240" w:lineRule="auto"/>
        <w:jc w:val="center"/>
        <w:rPr>
          <w:rFonts w:ascii="Times New Roman" w:eastAsia="Times New Roman" w:hAnsi="Times New Roman" w:cs="Times New Roman"/>
          <w:b/>
          <w:bCs/>
          <w:caps/>
          <w:sz w:val="24"/>
        </w:rPr>
      </w:pPr>
      <w:r w:rsidRPr="004942E9">
        <w:rPr>
          <w:rFonts w:ascii="Times New Roman" w:eastAsia="Times New Roman" w:hAnsi="Times New Roman" w:cs="Times New Roman"/>
          <w:b/>
          <w:bCs/>
          <w:caps/>
          <w:sz w:val="24"/>
        </w:rPr>
        <w:lastRenderedPageBreak/>
        <w:t>In the ITAT Delhi Bench ‘A’</w:t>
      </w:r>
    </w:p>
    <w:p w:rsidR="004942E9" w:rsidRPr="004942E9" w:rsidRDefault="004942E9" w:rsidP="004942E9">
      <w:pPr>
        <w:adjustRightInd w:val="0"/>
        <w:spacing w:before="60" w:after="60" w:line="240" w:lineRule="auto"/>
        <w:jc w:val="center"/>
        <w:rPr>
          <w:rFonts w:ascii="Times New Roman" w:eastAsia="Times New Roman" w:hAnsi="Times New Roman" w:cs="Times New Roman"/>
          <w:b/>
          <w:bCs/>
          <w:sz w:val="24"/>
        </w:rPr>
      </w:pPr>
      <w:r w:rsidRPr="004942E9">
        <w:rPr>
          <w:rFonts w:ascii="Times New Roman" w:eastAsia="Times New Roman" w:hAnsi="Times New Roman" w:cs="Times New Roman"/>
          <w:b/>
          <w:bCs/>
          <w:sz w:val="24"/>
        </w:rPr>
        <w:t>Deputy Commissioner of Income-tax, Co. Circle 2(2), New Delhi</w:t>
      </w:r>
    </w:p>
    <w:p w:rsidR="004942E9" w:rsidRPr="004942E9" w:rsidRDefault="004942E9" w:rsidP="004942E9">
      <w:pPr>
        <w:adjustRightInd w:val="0"/>
        <w:spacing w:before="60" w:after="60" w:line="240" w:lineRule="auto"/>
        <w:jc w:val="center"/>
        <w:rPr>
          <w:rFonts w:ascii="Times New Roman" w:eastAsia="Times New Roman" w:hAnsi="Times New Roman" w:cs="Times New Roman"/>
          <w:b/>
          <w:bCs/>
          <w:sz w:val="24"/>
        </w:rPr>
      </w:pPr>
      <w:proofErr w:type="gramStart"/>
      <w:r w:rsidRPr="004942E9">
        <w:rPr>
          <w:rFonts w:ascii="Times New Roman" w:eastAsia="Times New Roman" w:hAnsi="Times New Roman" w:cs="Times New Roman"/>
          <w:b/>
          <w:bCs/>
          <w:i/>
          <w:iCs/>
          <w:sz w:val="24"/>
        </w:rPr>
        <w:t>v</w:t>
      </w:r>
      <w:proofErr w:type="gramEnd"/>
      <w:r w:rsidRPr="004942E9">
        <w:rPr>
          <w:rFonts w:ascii="Times New Roman" w:eastAsia="Times New Roman" w:hAnsi="Times New Roman" w:cs="Times New Roman"/>
          <w:b/>
          <w:bCs/>
          <w:i/>
          <w:iCs/>
          <w:sz w:val="24"/>
        </w:rPr>
        <w:t>.</w:t>
      </w:r>
    </w:p>
    <w:p w:rsidR="004942E9" w:rsidRPr="004942E9" w:rsidRDefault="004942E9" w:rsidP="004942E9">
      <w:pPr>
        <w:adjustRightInd w:val="0"/>
        <w:spacing w:before="60" w:after="60" w:line="240" w:lineRule="auto"/>
        <w:jc w:val="center"/>
        <w:rPr>
          <w:rFonts w:ascii="Times New Roman" w:eastAsia="Times New Roman" w:hAnsi="Times New Roman" w:cs="Times New Roman"/>
          <w:b/>
          <w:bCs/>
          <w:sz w:val="24"/>
        </w:rPr>
      </w:pPr>
      <w:r w:rsidRPr="004942E9">
        <w:rPr>
          <w:rFonts w:ascii="Times New Roman" w:eastAsia="Times New Roman" w:hAnsi="Times New Roman" w:cs="Times New Roman"/>
          <w:b/>
          <w:bCs/>
          <w:sz w:val="24"/>
        </w:rPr>
        <w:t xml:space="preserve">MAIPO India Ltd. </w:t>
      </w:r>
    </w:p>
    <w:p w:rsidR="004942E9" w:rsidRPr="004942E9" w:rsidRDefault="004942E9" w:rsidP="004942E9">
      <w:pPr>
        <w:adjustRightInd w:val="0"/>
        <w:spacing w:before="60" w:after="60" w:line="240" w:lineRule="auto"/>
        <w:jc w:val="center"/>
        <w:rPr>
          <w:rFonts w:ascii="Times New Roman" w:eastAsia="Times New Roman" w:hAnsi="Times New Roman" w:cs="Times New Roman"/>
          <w:b/>
          <w:bCs/>
          <w:caps/>
          <w:sz w:val="24"/>
          <w:szCs w:val="17"/>
        </w:rPr>
      </w:pPr>
      <w:r w:rsidRPr="004942E9">
        <w:rPr>
          <w:rFonts w:ascii="Times New Roman" w:eastAsia="Times New Roman" w:hAnsi="Times New Roman" w:cs="Times New Roman"/>
          <w:b/>
          <w:bCs/>
          <w:caps/>
          <w:sz w:val="24"/>
          <w:szCs w:val="17"/>
        </w:rPr>
        <w:t>R.V. Easwar, Vice President</w:t>
      </w:r>
    </w:p>
    <w:p w:rsidR="004942E9" w:rsidRPr="004942E9" w:rsidRDefault="004942E9" w:rsidP="004942E9">
      <w:pPr>
        <w:adjustRightInd w:val="0"/>
        <w:spacing w:before="60" w:after="60" w:line="240" w:lineRule="auto"/>
        <w:jc w:val="center"/>
        <w:rPr>
          <w:rFonts w:ascii="Times New Roman" w:eastAsia="Times New Roman" w:hAnsi="Times New Roman" w:cs="Times New Roman"/>
          <w:b/>
          <w:bCs/>
          <w:caps/>
          <w:sz w:val="24"/>
          <w:szCs w:val="17"/>
        </w:rPr>
      </w:pPr>
      <w:r w:rsidRPr="004942E9">
        <w:rPr>
          <w:rFonts w:ascii="Times New Roman" w:eastAsia="Times New Roman" w:hAnsi="Times New Roman" w:cs="Times New Roman"/>
          <w:b/>
          <w:bCs/>
          <w:caps/>
          <w:sz w:val="24"/>
          <w:szCs w:val="17"/>
        </w:rPr>
        <w:t>and K.D. Ranjan, Accountant Member</w:t>
      </w:r>
    </w:p>
    <w:p w:rsidR="004942E9" w:rsidRPr="004942E9" w:rsidRDefault="004942E9" w:rsidP="004942E9">
      <w:pPr>
        <w:adjustRightInd w:val="0"/>
        <w:spacing w:before="60" w:after="60" w:line="240" w:lineRule="auto"/>
        <w:jc w:val="center"/>
        <w:rPr>
          <w:rFonts w:ascii="Times New Roman" w:eastAsia="Times New Roman" w:hAnsi="Times New Roman" w:cs="Times New Roman"/>
          <w:caps/>
          <w:sz w:val="24"/>
          <w:szCs w:val="17"/>
        </w:rPr>
      </w:pPr>
      <w:r w:rsidRPr="004942E9">
        <w:rPr>
          <w:rFonts w:ascii="Times New Roman" w:eastAsia="Times New Roman" w:hAnsi="Times New Roman" w:cs="Times New Roman"/>
          <w:caps/>
          <w:sz w:val="24"/>
          <w:szCs w:val="17"/>
        </w:rPr>
        <w:t xml:space="preserve">IT </w:t>
      </w:r>
      <w:proofErr w:type="gramStart"/>
      <w:r w:rsidRPr="004942E9">
        <w:rPr>
          <w:rFonts w:ascii="Times New Roman" w:eastAsia="Times New Roman" w:hAnsi="Times New Roman" w:cs="Times New Roman"/>
          <w:caps/>
          <w:sz w:val="24"/>
          <w:szCs w:val="17"/>
        </w:rPr>
        <w:t>Appeal</w:t>
      </w:r>
      <w:proofErr w:type="gramEnd"/>
      <w:r w:rsidRPr="004942E9">
        <w:rPr>
          <w:rFonts w:ascii="Times New Roman" w:eastAsia="Times New Roman" w:hAnsi="Times New Roman" w:cs="Times New Roman"/>
          <w:caps/>
          <w:sz w:val="24"/>
          <w:szCs w:val="17"/>
        </w:rPr>
        <w:t xml:space="preserve"> No. 2266 (Delhi) of 2005</w:t>
      </w:r>
    </w:p>
    <w:p w:rsidR="004942E9" w:rsidRPr="004942E9" w:rsidRDefault="004942E9" w:rsidP="004942E9">
      <w:pPr>
        <w:adjustRightInd w:val="0"/>
        <w:spacing w:before="60" w:after="60" w:line="240" w:lineRule="auto"/>
        <w:jc w:val="center"/>
        <w:rPr>
          <w:rFonts w:ascii="Times New Roman" w:eastAsia="Times New Roman" w:hAnsi="Times New Roman" w:cs="Times New Roman"/>
          <w:caps/>
          <w:sz w:val="24"/>
          <w:szCs w:val="17"/>
        </w:rPr>
      </w:pPr>
      <w:r w:rsidRPr="004942E9">
        <w:rPr>
          <w:rFonts w:ascii="Times New Roman" w:eastAsia="Times New Roman" w:hAnsi="Times New Roman" w:cs="Times New Roman"/>
          <w:caps/>
          <w:sz w:val="24"/>
          <w:szCs w:val="17"/>
        </w:rPr>
        <w:t>[Assessment year 1996-97]</w:t>
      </w:r>
    </w:p>
    <w:p w:rsidR="004942E9" w:rsidRPr="004942E9" w:rsidRDefault="004942E9" w:rsidP="004942E9">
      <w:pPr>
        <w:adjustRightInd w:val="0"/>
        <w:spacing w:before="60" w:after="60" w:line="240" w:lineRule="auto"/>
        <w:jc w:val="center"/>
        <w:rPr>
          <w:rFonts w:ascii="Times New Roman" w:eastAsia="Times New Roman" w:hAnsi="Times New Roman" w:cs="Times New Roman"/>
          <w:caps/>
          <w:sz w:val="24"/>
          <w:szCs w:val="17"/>
        </w:rPr>
      </w:pPr>
      <w:r w:rsidRPr="004942E9">
        <w:rPr>
          <w:rFonts w:ascii="Times New Roman" w:eastAsia="Times New Roman" w:hAnsi="Times New Roman" w:cs="Times New Roman"/>
          <w:caps/>
          <w:sz w:val="24"/>
          <w:szCs w:val="17"/>
        </w:rPr>
        <w:t>March 7, 2008</w:t>
      </w:r>
    </w:p>
    <w:p w:rsidR="004942E9" w:rsidRPr="004942E9" w:rsidRDefault="004942E9" w:rsidP="004942E9">
      <w:pPr>
        <w:adjustRightInd w:val="0"/>
        <w:spacing w:before="60" w:after="60" w:line="240" w:lineRule="auto"/>
        <w:jc w:val="both"/>
        <w:rPr>
          <w:rFonts w:ascii="Times New Roman" w:eastAsia="Times New Roman" w:hAnsi="Times New Roman" w:cs="Times New Roman"/>
          <w:b/>
          <w:bCs/>
          <w:sz w:val="24"/>
          <w:szCs w:val="21"/>
        </w:rPr>
      </w:pPr>
      <w:r w:rsidRPr="004942E9">
        <w:rPr>
          <w:rFonts w:ascii="Times New Roman" w:eastAsia="Times New Roman" w:hAnsi="Times New Roman" w:cs="Times New Roman"/>
          <w:b/>
          <w:bCs/>
          <w:sz w:val="24"/>
          <w:szCs w:val="21"/>
        </w:rPr>
        <w:t>Section 2(22) of the Income-tax Act, 1961, read with section 78 of the Companies Act, 1956 - Deemed dividend - Assessment year 1996-97 - Whether since section 78 of 1956 Act puts a statutory bar on share premium account being used for distribution of dividend, deeming provisions of section 2(22)(e) cannot apply and, hence, payment made by a company out of its share premium account could not be brought to tax in hands of receiver as deemed dividend under section 2(22) - Held, yes</w:t>
      </w:r>
    </w:p>
    <w:p w:rsidR="004942E9" w:rsidRPr="004942E9" w:rsidRDefault="004942E9" w:rsidP="004942E9">
      <w:pPr>
        <w:adjustRightInd w:val="0"/>
        <w:spacing w:before="60" w:after="60" w:line="240" w:lineRule="auto"/>
        <w:jc w:val="both"/>
        <w:rPr>
          <w:rFonts w:ascii="Times New Roman" w:eastAsia="Times New Roman" w:hAnsi="Times New Roman" w:cs="Times New Roman"/>
          <w:b/>
          <w:bCs/>
          <w:caps/>
          <w:sz w:val="24"/>
          <w:szCs w:val="17"/>
        </w:rPr>
      </w:pPr>
      <w:r w:rsidRPr="004942E9">
        <w:rPr>
          <w:rFonts w:ascii="Times New Roman" w:eastAsia="Times New Roman" w:hAnsi="Times New Roman" w:cs="Times New Roman"/>
          <w:b/>
          <w:bCs/>
          <w:caps/>
          <w:sz w:val="24"/>
          <w:szCs w:val="17"/>
        </w:rPr>
        <w:t>Facts</w:t>
      </w:r>
    </w:p>
    <w:p w:rsidR="004942E9" w:rsidRPr="004942E9" w:rsidRDefault="004942E9" w:rsidP="004942E9">
      <w:pPr>
        <w:adjustRightInd w:val="0"/>
        <w:spacing w:before="60" w:after="60" w:line="240" w:lineRule="auto"/>
        <w:jc w:val="both"/>
        <w:rPr>
          <w:rFonts w:ascii="Times New Roman" w:eastAsia="Times New Roman" w:hAnsi="Times New Roman" w:cs="Times New Roman"/>
          <w:sz w:val="24"/>
          <w:szCs w:val="19"/>
        </w:rPr>
      </w:pPr>
      <w:r w:rsidRPr="004942E9">
        <w:rPr>
          <w:rFonts w:ascii="Times New Roman" w:eastAsia="Times New Roman" w:hAnsi="Times New Roman" w:cs="Times New Roman"/>
          <w:sz w:val="24"/>
          <w:szCs w:val="19"/>
        </w:rPr>
        <w:t>During the assessment year 1996-97, an amount of Rs. 25</w:t>
      </w:r>
      <w:proofErr w:type="gramStart"/>
      <w:r w:rsidRPr="004942E9">
        <w:rPr>
          <w:rFonts w:ascii="Times New Roman" w:eastAsia="Times New Roman" w:hAnsi="Times New Roman" w:cs="Times New Roman"/>
          <w:sz w:val="24"/>
          <w:szCs w:val="19"/>
        </w:rPr>
        <w:t>,42,772</w:t>
      </w:r>
      <w:proofErr w:type="gramEnd"/>
      <w:r w:rsidRPr="004942E9">
        <w:rPr>
          <w:rFonts w:ascii="Times New Roman" w:eastAsia="Times New Roman" w:hAnsi="Times New Roman" w:cs="Times New Roman"/>
          <w:sz w:val="24"/>
          <w:szCs w:val="19"/>
        </w:rPr>
        <w:t xml:space="preserve"> was advanced to the </w:t>
      </w:r>
      <w:proofErr w:type="spellStart"/>
      <w:r w:rsidRPr="004942E9">
        <w:rPr>
          <w:rFonts w:ascii="Times New Roman" w:eastAsia="Times New Roman" w:hAnsi="Times New Roman" w:cs="Times New Roman"/>
          <w:sz w:val="24"/>
          <w:szCs w:val="19"/>
        </w:rPr>
        <w:t>assessee</w:t>
      </w:r>
      <w:proofErr w:type="spellEnd"/>
      <w:r w:rsidRPr="004942E9">
        <w:rPr>
          <w:rFonts w:ascii="Times New Roman" w:eastAsia="Times New Roman" w:hAnsi="Times New Roman" w:cs="Times New Roman"/>
          <w:sz w:val="24"/>
          <w:szCs w:val="19"/>
        </w:rPr>
        <w:t xml:space="preserve">-company by another company ‘G’ Ltd., in which the </w:t>
      </w:r>
      <w:proofErr w:type="spellStart"/>
      <w:r w:rsidRPr="004942E9">
        <w:rPr>
          <w:rFonts w:ascii="Times New Roman" w:eastAsia="Times New Roman" w:hAnsi="Times New Roman" w:cs="Times New Roman"/>
          <w:sz w:val="24"/>
          <w:szCs w:val="19"/>
        </w:rPr>
        <w:t>assessee</w:t>
      </w:r>
      <w:proofErr w:type="spellEnd"/>
      <w:r w:rsidRPr="004942E9">
        <w:rPr>
          <w:rFonts w:ascii="Times New Roman" w:eastAsia="Times New Roman" w:hAnsi="Times New Roman" w:cs="Times New Roman"/>
          <w:sz w:val="24"/>
          <w:szCs w:val="19"/>
        </w:rPr>
        <w:t xml:space="preserve"> held 40 per cent of the shares. The amount was advanced in the nature of loans and advances. Towards the end of the year, the </w:t>
      </w:r>
      <w:proofErr w:type="spellStart"/>
      <w:r w:rsidRPr="004942E9">
        <w:rPr>
          <w:rFonts w:ascii="Times New Roman" w:eastAsia="Times New Roman" w:hAnsi="Times New Roman" w:cs="Times New Roman"/>
          <w:sz w:val="24"/>
          <w:szCs w:val="19"/>
        </w:rPr>
        <w:t>assessee</w:t>
      </w:r>
      <w:proofErr w:type="spellEnd"/>
      <w:r w:rsidRPr="004942E9">
        <w:rPr>
          <w:rFonts w:ascii="Times New Roman" w:eastAsia="Times New Roman" w:hAnsi="Times New Roman" w:cs="Times New Roman"/>
          <w:sz w:val="24"/>
          <w:szCs w:val="19"/>
        </w:rPr>
        <w:t xml:space="preserve"> repaid Rs. 14,31,000 and the Assessing Officer included the balance amount of Rs. 11,11,772 as deemed dividend in the hands of the </w:t>
      </w:r>
      <w:proofErr w:type="spellStart"/>
      <w:r w:rsidRPr="004942E9">
        <w:rPr>
          <w:rFonts w:ascii="Times New Roman" w:eastAsia="Times New Roman" w:hAnsi="Times New Roman" w:cs="Times New Roman"/>
          <w:sz w:val="24"/>
          <w:szCs w:val="19"/>
        </w:rPr>
        <w:t>assessee</w:t>
      </w:r>
      <w:proofErr w:type="spellEnd"/>
      <w:r w:rsidRPr="004942E9">
        <w:rPr>
          <w:rFonts w:ascii="Times New Roman" w:eastAsia="Times New Roman" w:hAnsi="Times New Roman" w:cs="Times New Roman"/>
          <w:sz w:val="24"/>
          <w:szCs w:val="19"/>
        </w:rPr>
        <w:t xml:space="preserve"> under section 2(</w:t>
      </w:r>
      <w:r w:rsidRPr="004942E9">
        <w:rPr>
          <w:rFonts w:ascii="Times New Roman" w:eastAsia="Times New Roman" w:hAnsi="Times New Roman" w:cs="Times New Roman"/>
          <w:i/>
          <w:iCs/>
          <w:sz w:val="24"/>
          <w:szCs w:val="19"/>
        </w:rPr>
        <w:t>22</w:t>
      </w:r>
      <w:r w:rsidRPr="004942E9">
        <w:rPr>
          <w:rFonts w:ascii="Times New Roman" w:eastAsia="Times New Roman" w:hAnsi="Times New Roman" w:cs="Times New Roman"/>
          <w:sz w:val="24"/>
          <w:szCs w:val="19"/>
        </w:rPr>
        <w:t>)(</w:t>
      </w:r>
      <w:r w:rsidRPr="004942E9">
        <w:rPr>
          <w:rFonts w:ascii="Times New Roman" w:eastAsia="Times New Roman" w:hAnsi="Times New Roman" w:cs="Times New Roman"/>
          <w:i/>
          <w:iCs/>
          <w:sz w:val="24"/>
          <w:szCs w:val="19"/>
        </w:rPr>
        <w:t>e</w:t>
      </w:r>
      <w:r w:rsidRPr="004942E9">
        <w:rPr>
          <w:rFonts w:ascii="Times New Roman" w:eastAsia="Times New Roman" w:hAnsi="Times New Roman" w:cs="Times New Roman"/>
          <w:sz w:val="24"/>
          <w:szCs w:val="19"/>
        </w:rPr>
        <w:t xml:space="preserve">). The case of the </w:t>
      </w:r>
      <w:proofErr w:type="spellStart"/>
      <w:r w:rsidRPr="004942E9">
        <w:rPr>
          <w:rFonts w:ascii="Times New Roman" w:eastAsia="Times New Roman" w:hAnsi="Times New Roman" w:cs="Times New Roman"/>
          <w:sz w:val="24"/>
          <w:szCs w:val="19"/>
        </w:rPr>
        <w:t>assessee</w:t>
      </w:r>
      <w:proofErr w:type="spellEnd"/>
      <w:r w:rsidRPr="004942E9">
        <w:rPr>
          <w:rFonts w:ascii="Times New Roman" w:eastAsia="Times New Roman" w:hAnsi="Times New Roman" w:cs="Times New Roman"/>
          <w:sz w:val="24"/>
          <w:szCs w:val="19"/>
        </w:rPr>
        <w:t xml:space="preserve"> was that entire reserve and surplus amount appearing in the books of ‘G’ Ltd. consisted of share premium which was a capital receipt and could not have been distributed as dividend. The Assessing Officer rejected the said contention, holding that in sub-clause (</w:t>
      </w:r>
      <w:r w:rsidRPr="004942E9">
        <w:rPr>
          <w:rFonts w:ascii="Times New Roman" w:eastAsia="Times New Roman" w:hAnsi="Times New Roman" w:cs="Times New Roman"/>
          <w:i/>
          <w:iCs/>
          <w:sz w:val="24"/>
          <w:szCs w:val="19"/>
        </w:rPr>
        <w:t>e</w:t>
      </w:r>
      <w:r w:rsidRPr="004942E9">
        <w:rPr>
          <w:rFonts w:ascii="Times New Roman" w:eastAsia="Times New Roman" w:hAnsi="Times New Roman" w:cs="Times New Roman"/>
          <w:sz w:val="24"/>
          <w:szCs w:val="19"/>
        </w:rPr>
        <w:t>) of clause (</w:t>
      </w:r>
      <w:r w:rsidRPr="004942E9">
        <w:rPr>
          <w:rFonts w:ascii="Times New Roman" w:eastAsia="Times New Roman" w:hAnsi="Times New Roman" w:cs="Times New Roman"/>
          <w:i/>
          <w:iCs/>
          <w:sz w:val="24"/>
          <w:szCs w:val="19"/>
        </w:rPr>
        <w:t>22</w:t>
      </w:r>
      <w:r w:rsidRPr="004942E9">
        <w:rPr>
          <w:rFonts w:ascii="Times New Roman" w:eastAsia="Times New Roman" w:hAnsi="Times New Roman" w:cs="Times New Roman"/>
          <w:sz w:val="24"/>
          <w:szCs w:val="19"/>
        </w:rPr>
        <w:t xml:space="preserve">) of section 2, the words ‘whether </w:t>
      </w:r>
      <w:proofErr w:type="spellStart"/>
      <w:r w:rsidRPr="004942E9">
        <w:rPr>
          <w:rFonts w:ascii="Times New Roman" w:eastAsia="Times New Roman" w:hAnsi="Times New Roman" w:cs="Times New Roman"/>
          <w:sz w:val="24"/>
          <w:szCs w:val="19"/>
        </w:rPr>
        <w:t>capitalised</w:t>
      </w:r>
      <w:proofErr w:type="spellEnd"/>
      <w:r w:rsidRPr="004942E9">
        <w:rPr>
          <w:rFonts w:ascii="Times New Roman" w:eastAsia="Times New Roman" w:hAnsi="Times New Roman" w:cs="Times New Roman"/>
          <w:sz w:val="24"/>
          <w:szCs w:val="19"/>
        </w:rPr>
        <w:t xml:space="preserve"> or not’ did not appear, in contrast with the earlier clauses of the section where these words found a place and, therefore, it was immaterial that the reserve and surplus consisted only of capital receipt by way of share premium. On appeal, the Commissioner (Appeals) accepted the case of the </w:t>
      </w:r>
      <w:proofErr w:type="spellStart"/>
      <w:r w:rsidRPr="004942E9">
        <w:rPr>
          <w:rFonts w:ascii="Times New Roman" w:eastAsia="Times New Roman" w:hAnsi="Times New Roman" w:cs="Times New Roman"/>
          <w:sz w:val="24"/>
          <w:szCs w:val="19"/>
        </w:rPr>
        <w:t>assessee</w:t>
      </w:r>
      <w:proofErr w:type="spellEnd"/>
      <w:r w:rsidRPr="004942E9">
        <w:rPr>
          <w:rFonts w:ascii="Times New Roman" w:eastAsia="Times New Roman" w:hAnsi="Times New Roman" w:cs="Times New Roman"/>
          <w:sz w:val="24"/>
          <w:szCs w:val="19"/>
        </w:rPr>
        <w:t xml:space="preserve">. He, however, found that out of the reserve and surplus account of ‘G’ Ltd., Rs. 190 </w:t>
      </w:r>
      <w:proofErr w:type="spellStart"/>
      <w:r w:rsidRPr="004942E9">
        <w:rPr>
          <w:rFonts w:ascii="Times New Roman" w:eastAsia="Times New Roman" w:hAnsi="Times New Roman" w:cs="Times New Roman"/>
          <w:sz w:val="24"/>
          <w:szCs w:val="19"/>
        </w:rPr>
        <w:t>lakhs</w:t>
      </w:r>
      <w:proofErr w:type="spellEnd"/>
      <w:r w:rsidRPr="004942E9">
        <w:rPr>
          <w:rFonts w:ascii="Times New Roman" w:eastAsia="Times New Roman" w:hAnsi="Times New Roman" w:cs="Times New Roman"/>
          <w:sz w:val="24"/>
          <w:szCs w:val="19"/>
        </w:rPr>
        <w:t xml:space="preserve"> represented share premium and Rs. 1</w:t>
      </w:r>
      <w:proofErr w:type="gramStart"/>
      <w:r w:rsidRPr="004942E9">
        <w:rPr>
          <w:rFonts w:ascii="Times New Roman" w:eastAsia="Times New Roman" w:hAnsi="Times New Roman" w:cs="Times New Roman"/>
          <w:sz w:val="24"/>
          <w:szCs w:val="19"/>
        </w:rPr>
        <w:t>,85,821</w:t>
      </w:r>
      <w:proofErr w:type="gramEnd"/>
      <w:r w:rsidRPr="004942E9">
        <w:rPr>
          <w:rFonts w:ascii="Times New Roman" w:eastAsia="Times New Roman" w:hAnsi="Times New Roman" w:cs="Times New Roman"/>
          <w:sz w:val="24"/>
          <w:szCs w:val="19"/>
        </w:rPr>
        <w:t xml:space="preserve"> was on account of balance in the profit and loss account. Accordingly, he sustained the addition of Rs. 1</w:t>
      </w:r>
      <w:proofErr w:type="gramStart"/>
      <w:r w:rsidRPr="004942E9">
        <w:rPr>
          <w:rFonts w:ascii="Times New Roman" w:eastAsia="Times New Roman" w:hAnsi="Times New Roman" w:cs="Times New Roman"/>
          <w:sz w:val="24"/>
          <w:szCs w:val="19"/>
        </w:rPr>
        <w:t>,85,821</w:t>
      </w:r>
      <w:proofErr w:type="gramEnd"/>
      <w:r w:rsidRPr="004942E9">
        <w:rPr>
          <w:rFonts w:ascii="Times New Roman" w:eastAsia="Times New Roman" w:hAnsi="Times New Roman" w:cs="Times New Roman"/>
          <w:sz w:val="24"/>
          <w:szCs w:val="19"/>
        </w:rPr>
        <w:t xml:space="preserve"> only and deleted the balance.</w:t>
      </w:r>
    </w:p>
    <w:p w:rsidR="004942E9" w:rsidRPr="004942E9" w:rsidRDefault="004942E9" w:rsidP="004942E9">
      <w:pPr>
        <w:adjustRightInd w:val="0"/>
        <w:spacing w:before="60" w:after="60" w:line="240" w:lineRule="auto"/>
        <w:jc w:val="both"/>
        <w:rPr>
          <w:rFonts w:ascii="Times New Roman" w:eastAsia="Times New Roman" w:hAnsi="Times New Roman" w:cs="Times New Roman"/>
          <w:sz w:val="24"/>
          <w:szCs w:val="19"/>
        </w:rPr>
      </w:pPr>
      <w:r w:rsidRPr="004942E9">
        <w:rPr>
          <w:rFonts w:ascii="Times New Roman" w:eastAsia="Times New Roman" w:hAnsi="Times New Roman" w:cs="Times New Roman"/>
          <w:sz w:val="24"/>
          <w:szCs w:val="19"/>
        </w:rPr>
        <w:t>On revenue’s appeal:</w:t>
      </w:r>
    </w:p>
    <w:p w:rsidR="004942E9" w:rsidRPr="004942E9" w:rsidRDefault="004942E9" w:rsidP="004942E9">
      <w:pPr>
        <w:adjustRightInd w:val="0"/>
        <w:spacing w:before="60" w:after="60" w:line="240" w:lineRule="auto"/>
        <w:jc w:val="both"/>
        <w:rPr>
          <w:rFonts w:ascii="Times New Roman" w:eastAsia="Times New Roman" w:hAnsi="Times New Roman" w:cs="Times New Roman"/>
          <w:b/>
          <w:bCs/>
          <w:caps/>
          <w:sz w:val="24"/>
          <w:szCs w:val="17"/>
        </w:rPr>
      </w:pPr>
      <w:r w:rsidRPr="004942E9">
        <w:rPr>
          <w:rFonts w:ascii="Times New Roman" w:eastAsia="Times New Roman" w:hAnsi="Times New Roman" w:cs="Times New Roman"/>
          <w:b/>
          <w:bCs/>
          <w:caps/>
          <w:sz w:val="24"/>
          <w:szCs w:val="17"/>
        </w:rPr>
        <w:t>Held</w:t>
      </w:r>
    </w:p>
    <w:p w:rsidR="004942E9" w:rsidRPr="004942E9" w:rsidRDefault="004942E9" w:rsidP="004942E9">
      <w:pPr>
        <w:adjustRightInd w:val="0"/>
        <w:spacing w:before="60" w:after="60" w:line="240" w:lineRule="auto"/>
        <w:jc w:val="both"/>
        <w:rPr>
          <w:rFonts w:ascii="Times New Roman" w:eastAsia="Times New Roman" w:hAnsi="Times New Roman" w:cs="Times New Roman"/>
          <w:i/>
          <w:iCs/>
          <w:sz w:val="24"/>
          <w:szCs w:val="19"/>
        </w:rPr>
      </w:pPr>
      <w:r w:rsidRPr="004942E9">
        <w:rPr>
          <w:rFonts w:ascii="Times New Roman" w:eastAsia="Times New Roman" w:hAnsi="Times New Roman" w:cs="Times New Roman"/>
          <w:i/>
          <w:iCs/>
          <w:sz w:val="24"/>
          <w:szCs w:val="19"/>
        </w:rPr>
        <w:t>There was no dispute that a sum of Rs. 1,90,00,000 out of the reserves and surplus account of ‘G’ Ltd. as on 31-3-1996 represented share premium collected by the said company. Section 78(1) of the 1956 Act deals with the application of premium received on issue of shares. It says that the premium received shall be transferred to a separate account styled ‘the share premium account’ and further says that the provisions of the 1956 Act relating to the reduction of the share capital of the company shall apply as if the share premium account was paid-up share capital of the company. Sub-section (2) mentions five purposes for which alone the share premium account may be applied without attracting the provisions of the 1956 Act relating to the reduction of the share capital. These are:</w:t>
      </w:r>
    </w:p>
    <w:p w:rsidR="004942E9" w:rsidRPr="004942E9" w:rsidRDefault="004942E9" w:rsidP="004942E9">
      <w:pPr>
        <w:adjustRightInd w:val="0"/>
        <w:spacing w:before="60" w:after="60" w:line="240" w:lineRule="auto"/>
        <w:jc w:val="both"/>
        <w:rPr>
          <w:rFonts w:ascii="Times New Roman" w:eastAsia="Times New Roman" w:hAnsi="Times New Roman" w:cs="Times New Roman"/>
          <w:i/>
          <w:iCs/>
          <w:sz w:val="24"/>
          <w:szCs w:val="19"/>
        </w:rPr>
      </w:pPr>
      <w:r w:rsidRPr="004942E9">
        <w:rPr>
          <w:rFonts w:ascii="Times New Roman" w:eastAsia="Times New Roman" w:hAnsi="Times New Roman" w:cs="Times New Roman"/>
          <w:i/>
          <w:iCs/>
          <w:sz w:val="24"/>
          <w:szCs w:val="19"/>
        </w:rPr>
        <w:lastRenderedPageBreak/>
        <w:t>(</w:t>
      </w:r>
      <w:proofErr w:type="spellStart"/>
      <w:r w:rsidRPr="004942E9">
        <w:rPr>
          <w:rFonts w:ascii="Times New Roman" w:eastAsia="Times New Roman" w:hAnsi="Times New Roman" w:cs="Times New Roman"/>
          <w:sz w:val="24"/>
          <w:szCs w:val="19"/>
        </w:rPr>
        <w:t>i</w:t>
      </w:r>
      <w:proofErr w:type="spellEnd"/>
      <w:r w:rsidRPr="004942E9">
        <w:rPr>
          <w:rFonts w:ascii="Times New Roman" w:eastAsia="Times New Roman" w:hAnsi="Times New Roman" w:cs="Times New Roman"/>
          <w:i/>
          <w:iCs/>
          <w:sz w:val="24"/>
          <w:szCs w:val="19"/>
        </w:rPr>
        <w:t>) To pay up fully paid bonus shares to be issued to the members; (</w:t>
      </w:r>
      <w:r w:rsidRPr="004942E9">
        <w:rPr>
          <w:rFonts w:ascii="Times New Roman" w:eastAsia="Times New Roman" w:hAnsi="Times New Roman" w:cs="Times New Roman"/>
          <w:sz w:val="24"/>
          <w:szCs w:val="19"/>
        </w:rPr>
        <w:t>ii</w:t>
      </w:r>
      <w:r w:rsidRPr="004942E9">
        <w:rPr>
          <w:rFonts w:ascii="Times New Roman" w:eastAsia="Times New Roman" w:hAnsi="Times New Roman" w:cs="Times New Roman"/>
          <w:i/>
          <w:iCs/>
          <w:sz w:val="24"/>
          <w:szCs w:val="19"/>
        </w:rPr>
        <w:t>) To write-off preliminary expenses of the company; (</w:t>
      </w:r>
      <w:r w:rsidRPr="004942E9">
        <w:rPr>
          <w:rFonts w:ascii="Times New Roman" w:eastAsia="Times New Roman" w:hAnsi="Times New Roman" w:cs="Times New Roman"/>
          <w:sz w:val="24"/>
          <w:szCs w:val="19"/>
        </w:rPr>
        <w:t>iii</w:t>
      </w:r>
      <w:r w:rsidRPr="004942E9">
        <w:rPr>
          <w:rFonts w:ascii="Times New Roman" w:eastAsia="Times New Roman" w:hAnsi="Times New Roman" w:cs="Times New Roman"/>
          <w:i/>
          <w:iCs/>
          <w:sz w:val="24"/>
          <w:szCs w:val="19"/>
        </w:rPr>
        <w:t>) To write-off expenses of issue of shares or debentures or under-writing commission paid or discount allowed on such issues; (</w:t>
      </w:r>
      <w:r w:rsidRPr="004942E9">
        <w:rPr>
          <w:rFonts w:ascii="Times New Roman" w:eastAsia="Times New Roman" w:hAnsi="Times New Roman" w:cs="Times New Roman"/>
          <w:sz w:val="24"/>
          <w:szCs w:val="19"/>
        </w:rPr>
        <w:t>iv</w:t>
      </w:r>
      <w:r w:rsidRPr="004942E9">
        <w:rPr>
          <w:rFonts w:ascii="Times New Roman" w:eastAsia="Times New Roman" w:hAnsi="Times New Roman" w:cs="Times New Roman"/>
          <w:i/>
          <w:iCs/>
          <w:sz w:val="24"/>
          <w:szCs w:val="19"/>
        </w:rPr>
        <w:t>) To pay premium on the redemption of redeemable shares of debentures issued by the company; (</w:t>
      </w:r>
      <w:r w:rsidRPr="004942E9">
        <w:rPr>
          <w:rFonts w:ascii="Times New Roman" w:eastAsia="Times New Roman" w:hAnsi="Times New Roman" w:cs="Times New Roman"/>
          <w:sz w:val="24"/>
          <w:szCs w:val="19"/>
        </w:rPr>
        <w:t>v</w:t>
      </w:r>
      <w:r w:rsidRPr="004942E9">
        <w:rPr>
          <w:rFonts w:ascii="Times New Roman" w:eastAsia="Times New Roman" w:hAnsi="Times New Roman" w:cs="Times New Roman"/>
          <w:i/>
          <w:iCs/>
          <w:sz w:val="24"/>
          <w:szCs w:val="19"/>
        </w:rPr>
        <w:t>) Purchase of its own shares or other specified securities in terms of section 77A. Except in the above five cases, any other application of the proceeds of the share premium account will be treated as a reduction of the company’s share capital and the provisions of the 1956 Act dealing with this subject stand attracted. The share premium account cannot be used otherwise than for the specific purposes mentioned above. When there is a statutory bar on the share premium account being used for distribution of dividend, the deeming provisions of section 2(</w:t>
      </w:r>
      <w:r w:rsidRPr="004942E9">
        <w:rPr>
          <w:rFonts w:ascii="Times New Roman" w:eastAsia="Times New Roman" w:hAnsi="Times New Roman" w:cs="Times New Roman"/>
          <w:sz w:val="24"/>
          <w:szCs w:val="19"/>
        </w:rPr>
        <w:t>22</w:t>
      </w:r>
      <w:proofErr w:type="gramStart"/>
      <w:r w:rsidRPr="004942E9">
        <w:rPr>
          <w:rFonts w:ascii="Times New Roman" w:eastAsia="Times New Roman" w:hAnsi="Times New Roman" w:cs="Times New Roman"/>
          <w:i/>
          <w:iCs/>
          <w:sz w:val="24"/>
          <w:szCs w:val="19"/>
        </w:rPr>
        <w:t>)(</w:t>
      </w:r>
      <w:proofErr w:type="gramEnd"/>
      <w:r w:rsidRPr="004942E9">
        <w:rPr>
          <w:rFonts w:ascii="Times New Roman" w:eastAsia="Times New Roman" w:hAnsi="Times New Roman" w:cs="Times New Roman"/>
          <w:sz w:val="24"/>
          <w:szCs w:val="19"/>
        </w:rPr>
        <w:t>e</w:t>
      </w:r>
      <w:r w:rsidRPr="004942E9">
        <w:rPr>
          <w:rFonts w:ascii="Times New Roman" w:eastAsia="Times New Roman" w:hAnsi="Times New Roman" w:cs="Times New Roman"/>
          <w:i/>
          <w:iCs/>
          <w:sz w:val="24"/>
          <w:szCs w:val="19"/>
        </w:rPr>
        <w:t xml:space="preserve">) cannot apply. Not only is there a prohibition on the distribution of the share premium account as dividend under the 1956 Act, the same is obliged to be treated as a part of the share capital of the company and this is made clear in section 78(1) of the 1956 Act which says that any payment out of the share premium account, except for purposes </w:t>
      </w:r>
      <w:proofErr w:type="spellStart"/>
      <w:r w:rsidRPr="004942E9">
        <w:rPr>
          <w:rFonts w:ascii="Times New Roman" w:eastAsia="Times New Roman" w:hAnsi="Times New Roman" w:cs="Times New Roman"/>
          <w:i/>
          <w:iCs/>
          <w:sz w:val="24"/>
          <w:szCs w:val="19"/>
        </w:rPr>
        <w:t>authorised</w:t>
      </w:r>
      <w:proofErr w:type="spellEnd"/>
      <w:r w:rsidRPr="004942E9">
        <w:rPr>
          <w:rFonts w:ascii="Times New Roman" w:eastAsia="Times New Roman" w:hAnsi="Times New Roman" w:cs="Times New Roman"/>
          <w:i/>
          <w:iCs/>
          <w:sz w:val="24"/>
          <w:szCs w:val="19"/>
        </w:rPr>
        <w:t xml:space="preserve"> by sub-section (2), will be treated as reduction of share capital attracting the provisions of the 1956 Act in relation thereto. This provision of the 1956 Act takes care of the argument of the revenue that section 2(</w:t>
      </w:r>
      <w:r w:rsidRPr="004942E9">
        <w:rPr>
          <w:rFonts w:ascii="Times New Roman" w:eastAsia="Times New Roman" w:hAnsi="Times New Roman" w:cs="Times New Roman"/>
          <w:sz w:val="24"/>
          <w:szCs w:val="19"/>
        </w:rPr>
        <w:t>22</w:t>
      </w:r>
      <w:proofErr w:type="gramStart"/>
      <w:r w:rsidRPr="004942E9">
        <w:rPr>
          <w:rFonts w:ascii="Times New Roman" w:eastAsia="Times New Roman" w:hAnsi="Times New Roman" w:cs="Times New Roman"/>
          <w:i/>
          <w:iCs/>
          <w:sz w:val="24"/>
          <w:szCs w:val="19"/>
        </w:rPr>
        <w:t>)(</w:t>
      </w:r>
      <w:proofErr w:type="gramEnd"/>
      <w:r w:rsidRPr="004942E9">
        <w:rPr>
          <w:rFonts w:ascii="Times New Roman" w:eastAsia="Times New Roman" w:hAnsi="Times New Roman" w:cs="Times New Roman"/>
          <w:sz w:val="24"/>
          <w:szCs w:val="19"/>
        </w:rPr>
        <w:t>e</w:t>
      </w:r>
      <w:r w:rsidRPr="004942E9">
        <w:rPr>
          <w:rFonts w:ascii="Times New Roman" w:eastAsia="Times New Roman" w:hAnsi="Times New Roman" w:cs="Times New Roman"/>
          <w:i/>
          <w:iCs/>
          <w:sz w:val="24"/>
          <w:szCs w:val="19"/>
        </w:rPr>
        <w:t xml:space="preserve">) does not use the expression ‘whether capitalized or not’. These words can have application only where the profits are capable of being capitalized. They are not applicable where the receipt in question forms part of the share capital of the company under the provisions of the 1956 Act. [Para 8] </w:t>
      </w:r>
    </w:p>
    <w:p w:rsidR="004942E9" w:rsidRPr="004942E9" w:rsidRDefault="004942E9" w:rsidP="004942E9">
      <w:pPr>
        <w:adjustRightInd w:val="0"/>
        <w:spacing w:before="60" w:after="60" w:line="240" w:lineRule="auto"/>
        <w:jc w:val="both"/>
        <w:rPr>
          <w:rFonts w:ascii="Times New Roman" w:eastAsia="Times New Roman" w:hAnsi="Times New Roman" w:cs="Times New Roman"/>
          <w:i/>
          <w:iCs/>
          <w:sz w:val="24"/>
          <w:szCs w:val="19"/>
        </w:rPr>
      </w:pPr>
      <w:r w:rsidRPr="004942E9">
        <w:rPr>
          <w:rFonts w:ascii="Times New Roman" w:eastAsia="Times New Roman" w:hAnsi="Times New Roman" w:cs="Times New Roman"/>
          <w:i/>
          <w:iCs/>
          <w:sz w:val="24"/>
          <w:szCs w:val="19"/>
        </w:rPr>
        <w:t>For the said reasons, the decision of the Commissioner (Appeals) that the amount of Rs. 1,85,821 alone out of the amount of Rs. 25,42,772 could be assessed as deemed dividend under section 2(</w:t>
      </w:r>
      <w:r w:rsidRPr="004942E9">
        <w:rPr>
          <w:rFonts w:ascii="Times New Roman" w:eastAsia="Times New Roman" w:hAnsi="Times New Roman" w:cs="Times New Roman"/>
          <w:sz w:val="24"/>
          <w:szCs w:val="19"/>
        </w:rPr>
        <w:t>22</w:t>
      </w:r>
      <w:r w:rsidRPr="004942E9">
        <w:rPr>
          <w:rFonts w:ascii="Times New Roman" w:eastAsia="Times New Roman" w:hAnsi="Times New Roman" w:cs="Times New Roman"/>
          <w:i/>
          <w:iCs/>
          <w:sz w:val="24"/>
          <w:szCs w:val="19"/>
        </w:rPr>
        <w:t>)(</w:t>
      </w:r>
      <w:r w:rsidRPr="004942E9">
        <w:rPr>
          <w:rFonts w:ascii="Times New Roman" w:eastAsia="Times New Roman" w:hAnsi="Times New Roman" w:cs="Times New Roman"/>
          <w:sz w:val="24"/>
          <w:szCs w:val="19"/>
        </w:rPr>
        <w:t>e</w:t>
      </w:r>
      <w:r w:rsidRPr="004942E9">
        <w:rPr>
          <w:rFonts w:ascii="Times New Roman" w:eastAsia="Times New Roman" w:hAnsi="Times New Roman" w:cs="Times New Roman"/>
          <w:i/>
          <w:iCs/>
          <w:sz w:val="24"/>
          <w:szCs w:val="19"/>
        </w:rPr>
        <w:t>) was to be affirmed. [Para 9]</w:t>
      </w:r>
    </w:p>
    <w:p w:rsidR="004942E9" w:rsidRPr="004942E9" w:rsidRDefault="004942E9" w:rsidP="004942E9">
      <w:pPr>
        <w:adjustRightInd w:val="0"/>
        <w:spacing w:before="60" w:after="60" w:line="240" w:lineRule="auto"/>
        <w:jc w:val="both"/>
        <w:rPr>
          <w:rFonts w:ascii="Times New Roman" w:eastAsia="Times New Roman" w:hAnsi="Times New Roman" w:cs="Times New Roman"/>
          <w:i/>
          <w:iCs/>
          <w:sz w:val="24"/>
          <w:szCs w:val="19"/>
        </w:rPr>
      </w:pPr>
      <w:r w:rsidRPr="004942E9">
        <w:rPr>
          <w:rFonts w:ascii="Times New Roman" w:eastAsia="Times New Roman" w:hAnsi="Times New Roman" w:cs="Times New Roman"/>
          <w:i/>
          <w:iCs/>
          <w:sz w:val="24"/>
          <w:szCs w:val="19"/>
        </w:rPr>
        <w:t>As a result, the appeal was to be dismissed.</w:t>
      </w:r>
    </w:p>
    <w:p w:rsidR="004942E9" w:rsidRPr="004942E9" w:rsidRDefault="004942E9" w:rsidP="004942E9">
      <w:pPr>
        <w:adjustRightInd w:val="0"/>
        <w:spacing w:before="60" w:after="60" w:line="240" w:lineRule="auto"/>
        <w:jc w:val="both"/>
        <w:rPr>
          <w:rFonts w:ascii="Times New Roman" w:eastAsia="Times New Roman" w:hAnsi="Times New Roman" w:cs="Times New Roman"/>
          <w:b/>
          <w:bCs/>
          <w:caps/>
          <w:sz w:val="24"/>
          <w:szCs w:val="17"/>
        </w:rPr>
      </w:pPr>
      <w:r w:rsidRPr="004942E9">
        <w:rPr>
          <w:rFonts w:ascii="Times New Roman" w:eastAsia="Times New Roman" w:hAnsi="Times New Roman" w:cs="Times New Roman"/>
          <w:b/>
          <w:bCs/>
          <w:caps/>
          <w:sz w:val="24"/>
          <w:szCs w:val="17"/>
        </w:rPr>
        <w:t>Cases referred to</w:t>
      </w:r>
    </w:p>
    <w:p w:rsidR="004942E9" w:rsidRPr="004942E9" w:rsidRDefault="004942E9" w:rsidP="004942E9">
      <w:pPr>
        <w:adjustRightInd w:val="0"/>
        <w:spacing w:before="60" w:after="60" w:line="240" w:lineRule="auto"/>
        <w:jc w:val="both"/>
        <w:rPr>
          <w:rFonts w:ascii="Times New Roman" w:eastAsia="Times New Roman" w:hAnsi="Times New Roman" w:cs="Times New Roman"/>
          <w:sz w:val="24"/>
          <w:szCs w:val="17"/>
        </w:rPr>
      </w:pPr>
      <w:proofErr w:type="gramStart"/>
      <w:r w:rsidRPr="004942E9">
        <w:rPr>
          <w:rFonts w:ascii="Times New Roman" w:eastAsia="Times New Roman" w:hAnsi="Times New Roman" w:cs="Times New Roman"/>
          <w:i/>
          <w:iCs/>
          <w:sz w:val="24"/>
          <w:szCs w:val="17"/>
        </w:rPr>
        <w:t xml:space="preserve">P.K. </w:t>
      </w:r>
      <w:proofErr w:type="spellStart"/>
      <w:r w:rsidRPr="004942E9">
        <w:rPr>
          <w:rFonts w:ascii="Times New Roman" w:eastAsia="Times New Roman" w:hAnsi="Times New Roman" w:cs="Times New Roman"/>
          <w:i/>
          <w:iCs/>
          <w:sz w:val="24"/>
          <w:szCs w:val="17"/>
        </w:rPr>
        <w:t>Badiani</w:t>
      </w:r>
      <w:proofErr w:type="spellEnd"/>
      <w:r w:rsidRPr="004942E9">
        <w:rPr>
          <w:rFonts w:ascii="Times New Roman" w:eastAsia="Times New Roman" w:hAnsi="Times New Roman" w:cs="Times New Roman"/>
          <w:i/>
          <w:iCs/>
          <w:sz w:val="24"/>
          <w:szCs w:val="17"/>
        </w:rPr>
        <w:t xml:space="preserve"> </w:t>
      </w:r>
      <w:r w:rsidRPr="004942E9">
        <w:rPr>
          <w:rFonts w:ascii="Times New Roman" w:eastAsia="Times New Roman" w:hAnsi="Times New Roman" w:cs="Times New Roman"/>
          <w:sz w:val="24"/>
          <w:szCs w:val="17"/>
        </w:rPr>
        <w:t>v.</w:t>
      </w:r>
      <w:r w:rsidRPr="004942E9">
        <w:rPr>
          <w:rFonts w:ascii="Times New Roman" w:eastAsia="Times New Roman" w:hAnsi="Times New Roman" w:cs="Times New Roman"/>
          <w:i/>
          <w:iCs/>
          <w:sz w:val="24"/>
          <w:szCs w:val="17"/>
        </w:rPr>
        <w:t xml:space="preserve"> CIT</w:t>
      </w:r>
      <w:r w:rsidRPr="004942E9">
        <w:rPr>
          <w:rFonts w:ascii="Times New Roman" w:eastAsia="Times New Roman" w:hAnsi="Times New Roman" w:cs="Times New Roman"/>
          <w:sz w:val="24"/>
          <w:szCs w:val="17"/>
        </w:rPr>
        <w:t xml:space="preserve"> [1976] 105 ITR 642 (SC) (</w:t>
      </w:r>
      <w:proofErr w:type="spellStart"/>
      <w:r w:rsidRPr="004942E9">
        <w:rPr>
          <w:rFonts w:ascii="Times New Roman" w:eastAsia="Times New Roman" w:hAnsi="Times New Roman" w:cs="Times New Roman"/>
          <w:sz w:val="24"/>
          <w:szCs w:val="17"/>
        </w:rPr>
        <w:t>para</w:t>
      </w:r>
      <w:proofErr w:type="spellEnd"/>
      <w:r w:rsidRPr="004942E9">
        <w:rPr>
          <w:rFonts w:ascii="Times New Roman" w:eastAsia="Times New Roman" w:hAnsi="Times New Roman" w:cs="Times New Roman"/>
          <w:sz w:val="24"/>
          <w:szCs w:val="17"/>
        </w:rPr>
        <w:t xml:space="preserve"> 6), </w:t>
      </w:r>
      <w:r w:rsidRPr="004942E9">
        <w:rPr>
          <w:rFonts w:ascii="Times New Roman" w:eastAsia="Times New Roman" w:hAnsi="Times New Roman" w:cs="Times New Roman"/>
          <w:i/>
          <w:iCs/>
          <w:sz w:val="24"/>
          <w:szCs w:val="17"/>
        </w:rPr>
        <w:t>CIT</w:t>
      </w:r>
      <w:r w:rsidRPr="004942E9">
        <w:rPr>
          <w:rFonts w:ascii="Times New Roman" w:eastAsia="Times New Roman" w:hAnsi="Times New Roman" w:cs="Times New Roman"/>
          <w:sz w:val="24"/>
          <w:szCs w:val="17"/>
        </w:rPr>
        <w:t xml:space="preserve"> v.</w:t>
      </w:r>
      <w:r w:rsidRPr="004942E9">
        <w:rPr>
          <w:rFonts w:ascii="Times New Roman" w:eastAsia="Times New Roman" w:hAnsi="Times New Roman" w:cs="Times New Roman"/>
          <w:i/>
          <w:iCs/>
          <w:sz w:val="24"/>
          <w:szCs w:val="17"/>
        </w:rPr>
        <w:t xml:space="preserve"> </w:t>
      </w:r>
      <w:proofErr w:type="spellStart"/>
      <w:r w:rsidRPr="004942E9">
        <w:rPr>
          <w:rFonts w:ascii="Times New Roman" w:eastAsia="Times New Roman" w:hAnsi="Times New Roman" w:cs="Times New Roman"/>
          <w:i/>
          <w:iCs/>
          <w:sz w:val="24"/>
          <w:szCs w:val="17"/>
        </w:rPr>
        <w:t>Urmila</w:t>
      </w:r>
      <w:proofErr w:type="spellEnd"/>
      <w:r w:rsidRPr="004942E9">
        <w:rPr>
          <w:rFonts w:ascii="Times New Roman" w:eastAsia="Times New Roman" w:hAnsi="Times New Roman" w:cs="Times New Roman"/>
          <w:i/>
          <w:iCs/>
          <w:sz w:val="24"/>
          <w:szCs w:val="17"/>
        </w:rPr>
        <w:t xml:space="preserve"> </w:t>
      </w:r>
      <w:proofErr w:type="spellStart"/>
      <w:r w:rsidRPr="004942E9">
        <w:rPr>
          <w:rFonts w:ascii="Times New Roman" w:eastAsia="Times New Roman" w:hAnsi="Times New Roman" w:cs="Times New Roman"/>
          <w:i/>
          <w:iCs/>
          <w:sz w:val="24"/>
          <w:szCs w:val="17"/>
        </w:rPr>
        <w:t>Ramesh</w:t>
      </w:r>
      <w:proofErr w:type="spellEnd"/>
      <w:r w:rsidRPr="004942E9">
        <w:rPr>
          <w:rFonts w:ascii="Times New Roman" w:eastAsia="Times New Roman" w:hAnsi="Times New Roman" w:cs="Times New Roman"/>
          <w:i/>
          <w:iCs/>
          <w:sz w:val="24"/>
          <w:szCs w:val="17"/>
        </w:rPr>
        <w:t xml:space="preserve"> </w:t>
      </w:r>
      <w:r w:rsidRPr="004942E9">
        <w:rPr>
          <w:rFonts w:ascii="Times New Roman" w:eastAsia="Times New Roman" w:hAnsi="Times New Roman" w:cs="Times New Roman"/>
          <w:sz w:val="24"/>
          <w:szCs w:val="17"/>
        </w:rPr>
        <w:t>[1998] 230 ITR 422/96 Taxman 533 (SC) (</w:t>
      </w:r>
      <w:proofErr w:type="spellStart"/>
      <w:r w:rsidRPr="004942E9">
        <w:rPr>
          <w:rFonts w:ascii="Times New Roman" w:eastAsia="Times New Roman" w:hAnsi="Times New Roman" w:cs="Times New Roman"/>
          <w:sz w:val="24"/>
          <w:szCs w:val="17"/>
        </w:rPr>
        <w:t>para</w:t>
      </w:r>
      <w:proofErr w:type="spellEnd"/>
      <w:r w:rsidRPr="004942E9">
        <w:rPr>
          <w:rFonts w:ascii="Times New Roman" w:eastAsia="Times New Roman" w:hAnsi="Times New Roman" w:cs="Times New Roman"/>
          <w:sz w:val="24"/>
          <w:szCs w:val="17"/>
        </w:rPr>
        <w:t xml:space="preserve"> 7) and </w:t>
      </w:r>
      <w:r w:rsidRPr="004942E9">
        <w:rPr>
          <w:rFonts w:ascii="Times New Roman" w:eastAsia="Times New Roman" w:hAnsi="Times New Roman" w:cs="Times New Roman"/>
          <w:i/>
          <w:iCs/>
          <w:sz w:val="24"/>
          <w:szCs w:val="17"/>
        </w:rPr>
        <w:t>CIT</w:t>
      </w:r>
      <w:r w:rsidRPr="004942E9">
        <w:rPr>
          <w:rFonts w:ascii="Times New Roman" w:eastAsia="Times New Roman" w:hAnsi="Times New Roman" w:cs="Times New Roman"/>
          <w:sz w:val="24"/>
          <w:szCs w:val="17"/>
        </w:rPr>
        <w:t xml:space="preserve"> v.</w:t>
      </w:r>
      <w:r w:rsidRPr="004942E9">
        <w:rPr>
          <w:rFonts w:ascii="Times New Roman" w:eastAsia="Times New Roman" w:hAnsi="Times New Roman" w:cs="Times New Roman"/>
          <w:i/>
          <w:iCs/>
          <w:sz w:val="24"/>
          <w:szCs w:val="17"/>
        </w:rPr>
        <w:t xml:space="preserve"> Allahabad Bank Ltd.</w:t>
      </w:r>
      <w:r w:rsidRPr="004942E9">
        <w:rPr>
          <w:rFonts w:ascii="Times New Roman" w:eastAsia="Times New Roman" w:hAnsi="Times New Roman" w:cs="Times New Roman"/>
          <w:sz w:val="24"/>
          <w:szCs w:val="17"/>
        </w:rPr>
        <w:t xml:space="preserve"> AIR 1969 SC 1058 (</w:t>
      </w:r>
      <w:proofErr w:type="spellStart"/>
      <w:r w:rsidRPr="004942E9">
        <w:rPr>
          <w:rFonts w:ascii="Times New Roman" w:eastAsia="Times New Roman" w:hAnsi="Times New Roman" w:cs="Times New Roman"/>
          <w:sz w:val="24"/>
          <w:szCs w:val="17"/>
        </w:rPr>
        <w:t>para</w:t>
      </w:r>
      <w:proofErr w:type="spellEnd"/>
      <w:r w:rsidRPr="004942E9">
        <w:rPr>
          <w:rFonts w:ascii="Times New Roman" w:eastAsia="Times New Roman" w:hAnsi="Times New Roman" w:cs="Times New Roman"/>
          <w:sz w:val="24"/>
          <w:szCs w:val="17"/>
        </w:rPr>
        <w:t xml:space="preserve"> 8).</w:t>
      </w:r>
      <w:proofErr w:type="gramEnd"/>
    </w:p>
    <w:p w:rsidR="004942E9" w:rsidRPr="004942E9" w:rsidRDefault="004942E9" w:rsidP="004942E9">
      <w:pPr>
        <w:adjustRightInd w:val="0"/>
        <w:spacing w:before="60" w:after="60" w:line="240" w:lineRule="auto"/>
        <w:jc w:val="both"/>
        <w:rPr>
          <w:rFonts w:ascii="Times New Roman" w:eastAsia="Times New Roman" w:hAnsi="Times New Roman" w:cs="Times New Roman"/>
          <w:sz w:val="24"/>
          <w:szCs w:val="19"/>
        </w:rPr>
      </w:pPr>
      <w:proofErr w:type="gramStart"/>
      <w:r w:rsidRPr="004942E9">
        <w:rPr>
          <w:rFonts w:ascii="Times New Roman" w:eastAsia="Times New Roman" w:hAnsi="Times New Roman" w:cs="Times New Roman"/>
          <w:b/>
          <w:bCs/>
          <w:sz w:val="24"/>
          <w:szCs w:val="19"/>
        </w:rPr>
        <w:t>A.K. Singh</w:t>
      </w:r>
      <w:r w:rsidRPr="004942E9">
        <w:rPr>
          <w:rFonts w:ascii="Times New Roman" w:eastAsia="Times New Roman" w:hAnsi="Times New Roman" w:cs="Times New Roman"/>
          <w:sz w:val="24"/>
          <w:szCs w:val="19"/>
        </w:rPr>
        <w:t xml:space="preserve"> </w:t>
      </w:r>
      <w:r w:rsidRPr="004942E9">
        <w:rPr>
          <w:rFonts w:ascii="Times New Roman" w:eastAsia="Times New Roman" w:hAnsi="Times New Roman" w:cs="Times New Roman"/>
          <w:i/>
          <w:iCs/>
          <w:sz w:val="24"/>
          <w:szCs w:val="19"/>
        </w:rPr>
        <w:t>for the Appellant.</w:t>
      </w:r>
      <w:proofErr w:type="gramEnd"/>
      <w:r w:rsidRPr="004942E9">
        <w:rPr>
          <w:rFonts w:ascii="Times New Roman" w:eastAsia="Times New Roman" w:hAnsi="Times New Roman" w:cs="Times New Roman"/>
          <w:b/>
          <w:bCs/>
          <w:sz w:val="24"/>
          <w:szCs w:val="19"/>
        </w:rPr>
        <w:t xml:space="preserve"> </w:t>
      </w:r>
      <w:proofErr w:type="gramStart"/>
      <w:r w:rsidRPr="004942E9">
        <w:rPr>
          <w:rFonts w:ascii="Times New Roman" w:eastAsia="Times New Roman" w:hAnsi="Times New Roman" w:cs="Times New Roman"/>
          <w:b/>
          <w:bCs/>
          <w:sz w:val="24"/>
          <w:szCs w:val="19"/>
        </w:rPr>
        <w:t xml:space="preserve">Ms. </w:t>
      </w:r>
      <w:proofErr w:type="spellStart"/>
      <w:r w:rsidRPr="004942E9">
        <w:rPr>
          <w:rFonts w:ascii="Times New Roman" w:eastAsia="Times New Roman" w:hAnsi="Times New Roman" w:cs="Times New Roman"/>
          <w:b/>
          <w:bCs/>
          <w:sz w:val="24"/>
          <w:szCs w:val="19"/>
        </w:rPr>
        <w:t>Rano</w:t>
      </w:r>
      <w:proofErr w:type="spellEnd"/>
      <w:r w:rsidRPr="004942E9">
        <w:rPr>
          <w:rFonts w:ascii="Times New Roman" w:eastAsia="Times New Roman" w:hAnsi="Times New Roman" w:cs="Times New Roman"/>
          <w:b/>
          <w:bCs/>
          <w:sz w:val="24"/>
          <w:szCs w:val="19"/>
        </w:rPr>
        <w:t xml:space="preserve"> Jain</w:t>
      </w:r>
      <w:r w:rsidRPr="004942E9">
        <w:rPr>
          <w:rFonts w:ascii="Times New Roman" w:eastAsia="Times New Roman" w:hAnsi="Times New Roman" w:cs="Times New Roman"/>
          <w:sz w:val="24"/>
          <w:szCs w:val="19"/>
        </w:rPr>
        <w:t xml:space="preserve"> </w:t>
      </w:r>
      <w:r w:rsidRPr="004942E9">
        <w:rPr>
          <w:rFonts w:ascii="Times New Roman" w:eastAsia="Times New Roman" w:hAnsi="Times New Roman" w:cs="Times New Roman"/>
          <w:i/>
          <w:iCs/>
          <w:sz w:val="24"/>
          <w:szCs w:val="19"/>
        </w:rPr>
        <w:t>for the Respondent.</w:t>
      </w:r>
      <w:proofErr w:type="gramEnd"/>
    </w:p>
    <w:p w:rsidR="004942E9" w:rsidRPr="004942E9" w:rsidRDefault="004942E9" w:rsidP="004942E9">
      <w:pPr>
        <w:adjustRightInd w:val="0"/>
        <w:spacing w:before="60" w:after="60" w:line="240" w:lineRule="auto"/>
        <w:jc w:val="both"/>
        <w:rPr>
          <w:rFonts w:ascii="Times New Roman" w:eastAsia="Times New Roman" w:hAnsi="Times New Roman" w:cs="Times New Roman"/>
          <w:sz w:val="24"/>
          <w:szCs w:val="19"/>
        </w:rPr>
      </w:pPr>
      <w:r w:rsidRPr="004942E9">
        <w:rPr>
          <w:rFonts w:ascii="Times New Roman" w:eastAsia="Times New Roman" w:hAnsi="Times New Roman" w:cs="Times New Roman"/>
          <w:sz w:val="24"/>
          <w:szCs w:val="19"/>
        </w:rPr>
        <w:t> </w:t>
      </w:r>
    </w:p>
    <w:p w:rsidR="004942E9" w:rsidRPr="004942E9" w:rsidRDefault="004942E9" w:rsidP="004942E9">
      <w:pPr>
        <w:adjustRightInd w:val="0"/>
        <w:spacing w:before="60" w:after="60" w:line="240" w:lineRule="auto"/>
        <w:jc w:val="right"/>
        <w:rPr>
          <w:rFonts w:ascii="Wingdings" w:eastAsia="Times New Roman" w:hAnsi="Wingdings" w:cs="Times New Roman"/>
          <w:sz w:val="18"/>
          <w:szCs w:val="16"/>
        </w:rPr>
      </w:pPr>
      <w:r w:rsidRPr="004942E9">
        <w:rPr>
          <w:rFonts w:ascii="Wingdings" w:eastAsia="Times New Roman" w:hAnsi="Wingdings" w:cs="Times New Roman"/>
          <w:sz w:val="18"/>
          <w:szCs w:val="16"/>
        </w:rPr>
        <w:t></w:t>
      </w:r>
      <w:r w:rsidRPr="004942E9">
        <w:rPr>
          <w:rFonts w:ascii="Wingdings" w:eastAsia="Times New Roman" w:hAnsi="Wingdings" w:cs="Times New Roman"/>
          <w:sz w:val="18"/>
          <w:szCs w:val="16"/>
        </w:rPr>
        <w:t></w:t>
      </w:r>
    </w:p>
    <w:p w:rsidR="004942E9" w:rsidRDefault="004942E9"/>
    <w:p w:rsidR="004942E9" w:rsidRDefault="004942E9"/>
    <w:p w:rsidR="00654E8D" w:rsidRDefault="00654E8D"/>
    <w:p w:rsidR="00654E8D" w:rsidRDefault="00654E8D"/>
    <w:p w:rsidR="00654E8D" w:rsidRDefault="00654E8D"/>
    <w:p w:rsidR="00654E8D" w:rsidRDefault="00654E8D"/>
    <w:p w:rsidR="00654E8D" w:rsidRDefault="00654E8D"/>
    <w:p w:rsidR="00654E8D" w:rsidRDefault="00654E8D"/>
    <w:p w:rsidR="00654E8D" w:rsidRDefault="00654E8D"/>
    <w:p w:rsidR="00654E8D" w:rsidRDefault="00654E8D"/>
    <w:p w:rsidR="00654E8D" w:rsidRPr="00654E8D" w:rsidRDefault="00654E8D" w:rsidP="00654E8D">
      <w:pPr>
        <w:numPr>
          <w:ilvl w:val="0"/>
          <w:numId w:val="2"/>
        </w:numPr>
        <w:spacing w:before="100" w:beforeAutospacing="1" w:after="100" w:afterAutospacing="1" w:line="240" w:lineRule="auto"/>
        <w:rPr>
          <w:rFonts w:ascii="Verdana" w:eastAsia="Times New Roman" w:hAnsi="Verdana" w:cs="Times New Roman"/>
          <w:b/>
          <w:bCs/>
          <w:color w:val="000000"/>
          <w:sz w:val="20"/>
          <w:szCs w:val="20"/>
        </w:rPr>
      </w:pPr>
      <w:r w:rsidRPr="00654E8D">
        <w:rPr>
          <w:rFonts w:ascii="Verdana" w:eastAsia="Times New Roman" w:hAnsi="Verdana" w:cs="Times New Roman"/>
          <w:b/>
          <w:bCs/>
          <w:color w:val="000000"/>
          <w:sz w:val="20"/>
          <w:szCs w:val="20"/>
        </w:rPr>
        <w:t xml:space="preserve">Deemed Dividend – Section 2(22)(e) – Addition can be made in the hands of the shareholder only </w:t>
      </w:r>
    </w:p>
    <w:p w:rsidR="00654E8D" w:rsidRPr="0089307E" w:rsidRDefault="00654E8D" w:rsidP="0089307E">
      <w:pPr>
        <w:spacing w:beforeAutospacing="1" w:after="100" w:afterAutospacing="1" w:line="240" w:lineRule="auto"/>
        <w:jc w:val="center"/>
        <w:rPr>
          <w:rFonts w:ascii="Verdana" w:eastAsia="Times New Roman" w:hAnsi="Verdana" w:cs="Times New Roman"/>
          <w:b/>
          <w:color w:val="000000"/>
          <w:sz w:val="24"/>
          <w:szCs w:val="24"/>
        </w:rPr>
      </w:pPr>
      <w:r w:rsidRPr="0089307E">
        <w:rPr>
          <w:rFonts w:ascii="Verdana" w:eastAsia="Times New Roman" w:hAnsi="Verdana" w:cs="Times New Roman"/>
          <w:b/>
          <w:i/>
          <w:iCs/>
          <w:color w:val="000000"/>
          <w:sz w:val="20"/>
          <w:szCs w:val="20"/>
        </w:rPr>
        <w:t>CIT vs. Hotel Hilltop (2008) 217 CTR (Raj) 527</w:t>
      </w:r>
    </w:p>
    <w:p w:rsidR="00654E8D" w:rsidRPr="00654E8D" w:rsidRDefault="00654E8D" w:rsidP="00654E8D">
      <w:pPr>
        <w:spacing w:before="100" w:beforeAutospacing="1" w:after="100" w:afterAutospacing="1" w:line="240" w:lineRule="auto"/>
        <w:rPr>
          <w:rFonts w:ascii="Verdana" w:eastAsia="Times New Roman" w:hAnsi="Verdana" w:cs="Times New Roman"/>
          <w:color w:val="000000"/>
          <w:sz w:val="24"/>
          <w:szCs w:val="24"/>
        </w:rPr>
      </w:pPr>
      <w:r w:rsidRPr="00654E8D">
        <w:rPr>
          <w:rFonts w:ascii="Verdana" w:eastAsia="Times New Roman" w:hAnsi="Verdana" w:cs="Times New Roman"/>
          <w:color w:val="000000"/>
          <w:sz w:val="20"/>
          <w:szCs w:val="20"/>
        </w:rPr>
        <w:t xml:space="preserve">The </w:t>
      </w:r>
      <w:proofErr w:type="spellStart"/>
      <w:r w:rsidRPr="00654E8D">
        <w:rPr>
          <w:rFonts w:ascii="Verdana" w:eastAsia="Times New Roman" w:hAnsi="Verdana" w:cs="Times New Roman"/>
          <w:color w:val="000000"/>
          <w:sz w:val="20"/>
          <w:szCs w:val="20"/>
        </w:rPr>
        <w:t>assessee</w:t>
      </w:r>
      <w:proofErr w:type="spellEnd"/>
      <w:r w:rsidRPr="00654E8D">
        <w:rPr>
          <w:rFonts w:ascii="Verdana" w:eastAsia="Times New Roman" w:hAnsi="Verdana" w:cs="Times New Roman"/>
          <w:color w:val="000000"/>
          <w:sz w:val="20"/>
          <w:szCs w:val="20"/>
        </w:rPr>
        <w:t xml:space="preserve"> before the </w:t>
      </w:r>
      <w:proofErr w:type="spellStart"/>
      <w:r w:rsidRPr="00654E8D">
        <w:rPr>
          <w:rFonts w:ascii="Verdana" w:eastAsia="Times New Roman" w:hAnsi="Verdana" w:cs="Times New Roman"/>
          <w:color w:val="000000"/>
          <w:sz w:val="20"/>
          <w:szCs w:val="20"/>
        </w:rPr>
        <w:t>Hon’ble</w:t>
      </w:r>
      <w:proofErr w:type="spellEnd"/>
      <w:r w:rsidRPr="00654E8D">
        <w:rPr>
          <w:rFonts w:ascii="Verdana" w:eastAsia="Times New Roman" w:hAnsi="Verdana" w:cs="Times New Roman"/>
          <w:color w:val="000000"/>
          <w:sz w:val="20"/>
          <w:szCs w:val="20"/>
        </w:rPr>
        <w:t xml:space="preserve"> Rajasthan High Court was a partnership firm. The firm had accepted a security deposit of Rs. 10 </w:t>
      </w:r>
      <w:proofErr w:type="spellStart"/>
      <w:r w:rsidRPr="00654E8D">
        <w:rPr>
          <w:rFonts w:ascii="Verdana" w:eastAsia="Times New Roman" w:hAnsi="Verdana" w:cs="Times New Roman"/>
          <w:color w:val="000000"/>
          <w:sz w:val="20"/>
          <w:szCs w:val="20"/>
        </w:rPr>
        <w:t>lakhs</w:t>
      </w:r>
      <w:proofErr w:type="spellEnd"/>
      <w:r w:rsidRPr="00654E8D">
        <w:rPr>
          <w:rFonts w:ascii="Verdana" w:eastAsia="Times New Roman" w:hAnsi="Verdana" w:cs="Times New Roman"/>
          <w:color w:val="000000"/>
          <w:sz w:val="20"/>
          <w:szCs w:val="20"/>
        </w:rPr>
        <w:t xml:space="preserve"> from a Private Limited Company in which the partners of the </w:t>
      </w:r>
      <w:proofErr w:type="spellStart"/>
      <w:r w:rsidRPr="00654E8D">
        <w:rPr>
          <w:rFonts w:ascii="Verdana" w:eastAsia="Times New Roman" w:hAnsi="Verdana" w:cs="Times New Roman"/>
          <w:color w:val="000000"/>
          <w:sz w:val="20"/>
          <w:szCs w:val="20"/>
        </w:rPr>
        <w:t>assessee</w:t>
      </w:r>
      <w:proofErr w:type="spellEnd"/>
      <w:r w:rsidRPr="00654E8D">
        <w:rPr>
          <w:rFonts w:ascii="Verdana" w:eastAsia="Times New Roman" w:hAnsi="Verdana" w:cs="Times New Roman"/>
          <w:color w:val="000000"/>
          <w:sz w:val="20"/>
          <w:szCs w:val="20"/>
        </w:rPr>
        <w:t xml:space="preserve"> firm had substantial interest. The </w:t>
      </w:r>
      <w:proofErr w:type="spellStart"/>
      <w:r w:rsidRPr="00654E8D">
        <w:rPr>
          <w:rFonts w:ascii="Verdana" w:eastAsia="Times New Roman" w:hAnsi="Verdana" w:cs="Times New Roman"/>
          <w:color w:val="000000"/>
          <w:sz w:val="20"/>
          <w:szCs w:val="20"/>
        </w:rPr>
        <w:t>assessee</w:t>
      </w:r>
      <w:proofErr w:type="spellEnd"/>
      <w:r w:rsidRPr="00654E8D">
        <w:rPr>
          <w:rFonts w:ascii="Verdana" w:eastAsia="Times New Roman" w:hAnsi="Verdana" w:cs="Times New Roman"/>
          <w:color w:val="000000"/>
          <w:sz w:val="20"/>
          <w:szCs w:val="20"/>
        </w:rPr>
        <w:t xml:space="preserve"> firm was not holding any shares of the said company. The Assessing Officer invoked the provisions of section 2(22</w:t>
      </w:r>
      <w:proofErr w:type="gramStart"/>
      <w:r w:rsidRPr="00654E8D">
        <w:rPr>
          <w:rFonts w:ascii="Verdana" w:eastAsia="Times New Roman" w:hAnsi="Verdana" w:cs="Times New Roman"/>
          <w:color w:val="000000"/>
          <w:sz w:val="20"/>
          <w:szCs w:val="20"/>
        </w:rPr>
        <w:t>)(</w:t>
      </w:r>
      <w:proofErr w:type="gramEnd"/>
      <w:r w:rsidRPr="00654E8D">
        <w:rPr>
          <w:rFonts w:ascii="Verdana" w:eastAsia="Times New Roman" w:hAnsi="Verdana" w:cs="Times New Roman"/>
          <w:color w:val="000000"/>
          <w:sz w:val="20"/>
          <w:szCs w:val="20"/>
        </w:rPr>
        <w:t xml:space="preserve">e) to make addition in the hands of the </w:t>
      </w:r>
      <w:proofErr w:type="spellStart"/>
      <w:r w:rsidRPr="00654E8D">
        <w:rPr>
          <w:rFonts w:ascii="Verdana" w:eastAsia="Times New Roman" w:hAnsi="Verdana" w:cs="Times New Roman"/>
          <w:color w:val="000000"/>
          <w:sz w:val="20"/>
          <w:szCs w:val="20"/>
        </w:rPr>
        <w:t>assessee</w:t>
      </w:r>
      <w:proofErr w:type="spellEnd"/>
      <w:r w:rsidRPr="00654E8D">
        <w:rPr>
          <w:rFonts w:ascii="Verdana" w:eastAsia="Times New Roman" w:hAnsi="Verdana" w:cs="Times New Roman"/>
          <w:color w:val="000000"/>
          <w:sz w:val="20"/>
          <w:szCs w:val="20"/>
        </w:rPr>
        <w:t xml:space="preserve"> firm. The Assessment Order was challenged by the </w:t>
      </w:r>
      <w:proofErr w:type="spellStart"/>
      <w:r w:rsidRPr="00654E8D">
        <w:rPr>
          <w:rFonts w:ascii="Verdana" w:eastAsia="Times New Roman" w:hAnsi="Verdana" w:cs="Times New Roman"/>
          <w:color w:val="000000"/>
          <w:sz w:val="20"/>
          <w:szCs w:val="20"/>
        </w:rPr>
        <w:t>assessee</w:t>
      </w:r>
      <w:proofErr w:type="spellEnd"/>
      <w:r w:rsidRPr="00654E8D">
        <w:rPr>
          <w:rFonts w:ascii="Verdana" w:eastAsia="Times New Roman" w:hAnsi="Verdana" w:cs="Times New Roman"/>
          <w:color w:val="000000"/>
          <w:sz w:val="20"/>
          <w:szCs w:val="20"/>
        </w:rPr>
        <w:t xml:space="preserve"> firm before </w:t>
      </w:r>
      <w:proofErr w:type="gramStart"/>
      <w:r w:rsidRPr="00654E8D">
        <w:rPr>
          <w:rFonts w:ascii="Verdana" w:eastAsia="Times New Roman" w:hAnsi="Verdana" w:cs="Times New Roman"/>
          <w:color w:val="000000"/>
          <w:sz w:val="20"/>
          <w:szCs w:val="20"/>
        </w:rPr>
        <w:t>CIT(</w:t>
      </w:r>
      <w:proofErr w:type="gramEnd"/>
      <w:r w:rsidRPr="00654E8D">
        <w:rPr>
          <w:rFonts w:ascii="Verdana" w:eastAsia="Times New Roman" w:hAnsi="Verdana" w:cs="Times New Roman"/>
          <w:color w:val="000000"/>
          <w:sz w:val="20"/>
          <w:szCs w:val="20"/>
        </w:rPr>
        <w:t xml:space="preserve">A). The first Appellate Authority deleted the addition on the ground that the </w:t>
      </w:r>
      <w:proofErr w:type="spellStart"/>
      <w:r w:rsidRPr="00654E8D">
        <w:rPr>
          <w:rFonts w:ascii="Verdana" w:eastAsia="Times New Roman" w:hAnsi="Verdana" w:cs="Times New Roman"/>
          <w:color w:val="000000"/>
          <w:sz w:val="20"/>
          <w:szCs w:val="20"/>
        </w:rPr>
        <w:t>assessee</w:t>
      </w:r>
      <w:proofErr w:type="spellEnd"/>
      <w:r w:rsidRPr="00654E8D">
        <w:rPr>
          <w:rFonts w:ascii="Verdana" w:eastAsia="Times New Roman" w:hAnsi="Verdana" w:cs="Times New Roman"/>
          <w:color w:val="000000"/>
          <w:sz w:val="20"/>
          <w:szCs w:val="20"/>
        </w:rPr>
        <w:t xml:space="preserve"> firm is not a shareholder. Hence, the provision of section 2(22</w:t>
      </w:r>
      <w:proofErr w:type="gramStart"/>
      <w:r w:rsidRPr="00654E8D">
        <w:rPr>
          <w:rFonts w:ascii="Verdana" w:eastAsia="Times New Roman" w:hAnsi="Verdana" w:cs="Times New Roman"/>
          <w:color w:val="000000"/>
          <w:sz w:val="20"/>
          <w:szCs w:val="20"/>
        </w:rPr>
        <w:t>)(</w:t>
      </w:r>
      <w:proofErr w:type="gramEnd"/>
      <w:r w:rsidRPr="00654E8D">
        <w:rPr>
          <w:rFonts w:ascii="Verdana" w:eastAsia="Times New Roman" w:hAnsi="Verdana" w:cs="Times New Roman"/>
          <w:color w:val="000000"/>
          <w:sz w:val="20"/>
          <w:szCs w:val="20"/>
        </w:rPr>
        <w:t>e) are not attracted. The Appellate Tribunal dismissed the departmental appeal and confirmed order passed by the first Appellate Authority.</w:t>
      </w:r>
    </w:p>
    <w:p w:rsidR="00654E8D" w:rsidRPr="00654E8D" w:rsidRDefault="00654E8D" w:rsidP="00654E8D">
      <w:pPr>
        <w:spacing w:before="100" w:beforeAutospacing="1" w:after="100" w:afterAutospacing="1" w:line="240" w:lineRule="auto"/>
        <w:rPr>
          <w:rFonts w:ascii="Verdana" w:eastAsia="Times New Roman" w:hAnsi="Verdana" w:cs="Times New Roman"/>
          <w:color w:val="000000"/>
          <w:sz w:val="24"/>
          <w:szCs w:val="24"/>
        </w:rPr>
      </w:pPr>
      <w:r w:rsidRPr="00654E8D">
        <w:rPr>
          <w:rFonts w:ascii="Verdana" w:eastAsia="Times New Roman" w:hAnsi="Verdana" w:cs="Times New Roman"/>
          <w:color w:val="000000"/>
          <w:sz w:val="20"/>
          <w:szCs w:val="20"/>
        </w:rPr>
        <w:t xml:space="preserve">On an appeal to the High Court it was observed by the </w:t>
      </w:r>
      <w:proofErr w:type="spellStart"/>
      <w:r w:rsidRPr="00654E8D">
        <w:rPr>
          <w:rFonts w:ascii="Verdana" w:eastAsia="Times New Roman" w:hAnsi="Verdana" w:cs="Times New Roman"/>
          <w:color w:val="000000"/>
          <w:sz w:val="20"/>
          <w:szCs w:val="20"/>
        </w:rPr>
        <w:t>Hon’ble</w:t>
      </w:r>
      <w:proofErr w:type="spellEnd"/>
      <w:r w:rsidRPr="00654E8D">
        <w:rPr>
          <w:rFonts w:ascii="Verdana" w:eastAsia="Times New Roman" w:hAnsi="Verdana" w:cs="Times New Roman"/>
          <w:color w:val="000000"/>
          <w:sz w:val="20"/>
          <w:szCs w:val="20"/>
        </w:rPr>
        <w:t xml:space="preserve"> Court that the </w:t>
      </w:r>
      <w:proofErr w:type="spellStart"/>
      <w:r w:rsidRPr="00654E8D">
        <w:rPr>
          <w:rFonts w:ascii="Verdana" w:eastAsia="Times New Roman" w:hAnsi="Verdana" w:cs="Times New Roman"/>
          <w:color w:val="000000"/>
          <w:sz w:val="20"/>
          <w:szCs w:val="20"/>
        </w:rPr>
        <w:t>assessee</w:t>
      </w:r>
      <w:proofErr w:type="spellEnd"/>
      <w:r w:rsidRPr="00654E8D">
        <w:rPr>
          <w:rFonts w:ascii="Verdana" w:eastAsia="Times New Roman" w:hAnsi="Verdana" w:cs="Times New Roman"/>
          <w:color w:val="000000"/>
          <w:sz w:val="20"/>
          <w:szCs w:val="20"/>
        </w:rPr>
        <w:t xml:space="preserve"> in the present case is not shown to be one of the persons, being shareholder. Of course the two individuals being </w:t>
      </w:r>
      <w:proofErr w:type="spellStart"/>
      <w:r w:rsidRPr="00654E8D">
        <w:rPr>
          <w:rFonts w:ascii="Verdana" w:eastAsia="Times New Roman" w:hAnsi="Verdana" w:cs="Times New Roman"/>
          <w:color w:val="000000"/>
          <w:sz w:val="20"/>
          <w:szCs w:val="20"/>
        </w:rPr>
        <w:t>Roop</w:t>
      </w:r>
      <w:proofErr w:type="spellEnd"/>
      <w:r w:rsidRPr="00654E8D">
        <w:rPr>
          <w:rFonts w:ascii="Verdana" w:eastAsia="Times New Roman" w:hAnsi="Verdana" w:cs="Times New Roman"/>
          <w:color w:val="000000"/>
          <w:sz w:val="20"/>
          <w:szCs w:val="20"/>
        </w:rPr>
        <w:t xml:space="preserve"> Kumar and </w:t>
      </w:r>
      <w:proofErr w:type="spellStart"/>
      <w:r w:rsidRPr="00654E8D">
        <w:rPr>
          <w:rFonts w:ascii="Verdana" w:eastAsia="Times New Roman" w:hAnsi="Verdana" w:cs="Times New Roman"/>
          <w:color w:val="000000"/>
          <w:sz w:val="20"/>
          <w:szCs w:val="20"/>
        </w:rPr>
        <w:t>Devendra</w:t>
      </w:r>
      <w:proofErr w:type="spellEnd"/>
      <w:r w:rsidRPr="00654E8D">
        <w:rPr>
          <w:rFonts w:ascii="Verdana" w:eastAsia="Times New Roman" w:hAnsi="Verdana" w:cs="Times New Roman"/>
          <w:color w:val="000000"/>
          <w:sz w:val="20"/>
          <w:szCs w:val="20"/>
        </w:rPr>
        <w:t xml:space="preserve"> Kumar, are the common persons, holding more than requisite amount of shareholding and are having requisite interest in the firm but then, thereby the deemed dividend would not be deemed dividend in the hands of the firm, rather it would obviously be deemed dividend in the hands of the individuals on whose behalf or on whose individual benefit, being such shareholder, the amount is paid by the company to the concern.</w:t>
      </w:r>
    </w:p>
    <w:p w:rsidR="00654E8D" w:rsidRPr="00654E8D" w:rsidRDefault="00654E8D" w:rsidP="00654E8D">
      <w:pPr>
        <w:spacing w:before="100" w:beforeAutospacing="1" w:after="100" w:afterAutospacing="1" w:line="240" w:lineRule="auto"/>
        <w:rPr>
          <w:rFonts w:ascii="Verdana" w:eastAsia="Times New Roman" w:hAnsi="Verdana" w:cs="Times New Roman"/>
          <w:color w:val="000000"/>
          <w:sz w:val="24"/>
          <w:szCs w:val="24"/>
        </w:rPr>
      </w:pPr>
      <w:r w:rsidRPr="00654E8D">
        <w:rPr>
          <w:rFonts w:ascii="Verdana" w:eastAsia="Times New Roman" w:hAnsi="Verdana" w:cs="Times New Roman"/>
          <w:color w:val="000000"/>
          <w:sz w:val="20"/>
          <w:szCs w:val="20"/>
        </w:rPr>
        <w:t>Thus, the significant requirement of s. 2(22</w:t>
      </w:r>
      <w:proofErr w:type="gramStart"/>
      <w:r w:rsidRPr="00654E8D">
        <w:rPr>
          <w:rFonts w:ascii="Verdana" w:eastAsia="Times New Roman" w:hAnsi="Verdana" w:cs="Times New Roman"/>
          <w:color w:val="000000"/>
          <w:sz w:val="20"/>
          <w:szCs w:val="20"/>
        </w:rPr>
        <w:t>)(</w:t>
      </w:r>
      <w:proofErr w:type="gramEnd"/>
      <w:r w:rsidRPr="00654E8D">
        <w:rPr>
          <w:rFonts w:ascii="Verdana" w:eastAsia="Times New Roman" w:hAnsi="Verdana" w:cs="Times New Roman"/>
          <w:color w:val="000000"/>
          <w:sz w:val="20"/>
          <w:szCs w:val="20"/>
        </w:rPr>
        <w:t xml:space="preserve">e) is not shown to exist. The liability of tax as deemed dividend could be attracted in the hands of the individuals being the shareholders and not in the hands of the firm. </w:t>
      </w:r>
    </w:p>
    <w:p w:rsidR="00654E8D" w:rsidRDefault="00654E8D"/>
    <w:p w:rsidR="00FB408D" w:rsidRDefault="00FB408D"/>
    <w:p w:rsidR="00FB408D" w:rsidRDefault="00FB408D"/>
    <w:p w:rsidR="00FB408D" w:rsidRDefault="00FB408D"/>
    <w:p w:rsidR="00FB408D" w:rsidRDefault="00FB408D"/>
    <w:p w:rsidR="00FB408D" w:rsidRDefault="00FB408D"/>
    <w:p w:rsidR="00FB408D" w:rsidRDefault="00FB408D"/>
    <w:p w:rsidR="00FB408D" w:rsidRDefault="00FB408D"/>
    <w:p w:rsidR="00FB408D" w:rsidRDefault="00FB408D"/>
    <w:p w:rsidR="00FB408D" w:rsidRDefault="00FB408D"/>
    <w:p w:rsidR="00FB408D" w:rsidRDefault="00FB408D"/>
    <w:p w:rsidR="00FB408D" w:rsidRPr="00FB408D" w:rsidRDefault="00FB408D" w:rsidP="00FB408D">
      <w:pPr>
        <w:pStyle w:val="NoSpacing"/>
        <w:jc w:val="center"/>
      </w:pPr>
      <w:r w:rsidRPr="00FB408D">
        <w:lastRenderedPageBreak/>
        <w:t>HIGH COURT OF DELHI</w:t>
      </w:r>
    </w:p>
    <w:p w:rsidR="00FB408D" w:rsidRPr="00FB408D" w:rsidRDefault="00FB408D" w:rsidP="00FB408D">
      <w:pPr>
        <w:pStyle w:val="NoSpacing"/>
        <w:jc w:val="center"/>
      </w:pPr>
      <w:r w:rsidRPr="00FB408D">
        <w:t>Commissioner Income Tax</w:t>
      </w:r>
    </w:p>
    <w:p w:rsidR="00FB408D" w:rsidRPr="00FB408D" w:rsidRDefault="00FB408D" w:rsidP="00FB408D">
      <w:pPr>
        <w:pStyle w:val="NoSpacing"/>
        <w:jc w:val="center"/>
      </w:pPr>
      <w:proofErr w:type="gramStart"/>
      <w:r w:rsidRPr="00FB408D">
        <w:rPr>
          <w:i/>
          <w:iCs/>
        </w:rPr>
        <w:t>v</w:t>
      </w:r>
      <w:proofErr w:type="gramEnd"/>
      <w:r w:rsidRPr="00FB408D">
        <w:rPr>
          <w:i/>
          <w:iCs/>
        </w:rPr>
        <w:t>.</w:t>
      </w:r>
    </w:p>
    <w:p w:rsidR="00FB408D" w:rsidRPr="00FB408D" w:rsidRDefault="00FB408D" w:rsidP="00FB408D">
      <w:pPr>
        <w:pStyle w:val="NoSpacing"/>
        <w:jc w:val="center"/>
      </w:pPr>
      <w:r w:rsidRPr="00FB408D">
        <w:t xml:space="preserve">Ambassador Travels (P.) </w:t>
      </w:r>
      <w:proofErr w:type="gramStart"/>
      <w:r w:rsidRPr="00FB408D">
        <w:t>Ltd.</w:t>
      </w:r>
      <w:proofErr w:type="gramEnd"/>
    </w:p>
    <w:p w:rsidR="00FB408D" w:rsidRPr="00FB408D" w:rsidRDefault="00FB408D" w:rsidP="00FB408D">
      <w:pPr>
        <w:pStyle w:val="NoSpacing"/>
        <w:jc w:val="center"/>
      </w:pPr>
      <w:proofErr w:type="gramStart"/>
      <w:r w:rsidRPr="00FB408D">
        <w:t>MADAN B. LOKUR AND MANMOHAN SINGH, JJ.</w:t>
      </w:r>
      <w:proofErr w:type="gramEnd"/>
    </w:p>
    <w:p w:rsidR="00FB408D" w:rsidRPr="00FB408D" w:rsidRDefault="00FB408D" w:rsidP="00FB408D">
      <w:pPr>
        <w:pStyle w:val="NoSpacing"/>
        <w:jc w:val="center"/>
      </w:pPr>
      <w:r w:rsidRPr="00FB408D">
        <w:t>IT Appeal No. 337 of 2008</w:t>
      </w:r>
    </w:p>
    <w:p w:rsidR="00FB408D" w:rsidRPr="00FB408D" w:rsidRDefault="00FB408D" w:rsidP="00FB408D">
      <w:pPr>
        <w:pStyle w:val="NoSpacing"/>
        <w:jc w:val="center"/>
      </w:pPr>
      <w:r w:rsidRPr="00FB408D">
        <w:t>April 23, 2008</w:t>
      </w:r>
    </w:p>
    <w:p w:rsidR="00FB408D" w:rsidRPr="00FB408D" w:rsidRDefault="00FB408D" w:rsidP="00FB408D">
      <w:pPr>
        <w:pStyle w:val="NoSpacing"/>
      </w:pPr>
      <w:r w:rsidRPr="00FB408D">
        <w:t xml:space="preserve">Section 2(22)(e) of the Income-tax Act, 1961 - Deemed dividend - Assessment year 1998-99 - </w:t>
      </w:r>
      <w:proofErr w:type="spellStart"/>
      <w:r w:rsidRPr="00FB408D">
        <w:t>Assessee</w:t>
      </w:r>
      <w:proofErr w:type="spellEnd"/>
      <w:r w:rsidRPr="00FB408D">
        <w:t xml:space="preserve">, engaged in business of travel agency, entered into certain business transactions with two companies namely, ‘H’ Ltd. and ‘A’ Ltd. - Assessing Officer took a view that because of shareholding pattern, financial transactions entered into between </w:t>
      </w:r>
      <w:proofErr w:type="spellStart"/>
      <w:r w:rsidRPr="00FB408D">
        <w:t>assessee</w:t>
      </w:r>
      <w:proofErr w:type="spellEnd"/>
      <w:r w:rsidRPr="00FB408D">
        <w:t xml:space="preserve"> and said companies would fall in category of ‘deemed dividend’ - Commissioner (Appeals) upheld order of Assessing Officer - On further appeal, Tribunal opined that being a travel agency, </w:t>
      </w:r>
      <w:proofErr w:type="spellStart"/>
      <w:r w:rsidRPr="00FB408D">
        <w:t>assessee</w:t>
      </w:r>
      <w:proofErr w:type="spellEnd"/>
      <w:r w:rsidRPr="00FB408D">
        <w:t xml:space="preserve"> had regular business dealings with above two concerns dealing with holiday resorts and tourism industry and, thus, transactions in question could not be described as advances or loans forming distinct category of financial transactions - Accordingly, Tribunal concluded that provisions of section 2(22)(e) were not at all applicable - Whether since </w:t>
      </w:r>
      <w:proofErr w:type="spellStart"/>
      <w:r w:rsidRPr="00FB408D">
        <w:t>assessee</w:t>
      </w:r>
      <w:proofErr w:type="spellEnd"/>
      <w:r w:rsidRPr="00FB408D">
        <w:t xml:space="preserve"> was involved in booking of resorts for customers of these companies and entered into normal business transactions with companies as a part of its day-to-day business activities, Tribunal was right in holding that provisions of section 2(22)(e) were not applicable - Held, yes</w:t>
      </w:r>
    </w:p>
    <w:p w:rsidR="00FB408D" w:rsidRPr="00FB408D" w:rsidRDefault="00FB408D" w:rsidP="00FB408D">
      <w:pPr>
        <w:pStyle w:val="NoSpacing"/>
      </w:pPr>
      <w:r w:rsidRPr="00FB408D">
        <w:t>FACTS</w:t>
      </w:r>
    </w:p>
    <w:p w:rsidR="00FB408D" w:rsidRPr="00FB408D" w:rsidRDefault="00FB408D" w:rsidP="00FB408D">
      <w:pPr>
        <w:pStyle w:val="NoSpacing"/>
      </w:pPr>
      <w:r w:rsidRPr="00FB408D">
        <w:t xml:space="preserve">The </w:t>
      </w:r>
      <w:proofErr w:type="spellStart"/>
      <w:r w:rsidRPr="00FB408D">
        <w:t>assessee</w:t>
      </w:r>
      <w:proofErr w:type="spellEnd"/>
      <w:r w:rsidRPr="00FB408D">
        <w:t xml:space="preserve"> was engaged in the business of a travel agency. During the relevant assessment year the </w:t>
      </w:r>
      <w:proofErr w:type="spellStart"/>
      <w:r w:rsidRPr="00FB408D">
        <w:t>assessee</w:t>
      </w:r>
      <w:proofErr w:type="spellEnd"/>
      <w:r w:rsidRPr="00FB408D">
        <w:t xml:space="preserve"> had entered into certain business transactions with ‘M’ Ltd. and ‘</w:t>
      </w:r>
      <w:proofErr w:type="gramStart"/>
      <w:r w:rsidRPr="00FB408D">
        <w:t>A</w:t>
      </w:r>
      <w:proofErr w:type="gramEnd"/>
      <w:r w:rsidRPr="00FB408D">
        <w:t>’ Ltd. As a result of these business transaction, there were some financial transactions but the Assessing Officer came to the conclusion that because of the share holding pattern, these financial transactions would fall in the category of ‘deemed dividend’ defined under section 2(22)(</w:t>
      </w:r>
      <w:r w:rsidRPr="00FB408D">
        <w:rPr>
          <w:i/>
          <w:iCs/>
        </w:rPr>
        <w:t>e</w:t>
      </w:r>
      <w:r w:rsidRPr="00FB408D">
        <w:t xml:space="preserve">). This view was upheld by the Commissioner (Appeals). On further appeal, the Tribunal opined that there was nothing on record to show that the amounts that considered by the Assessing Officer were in any manner advances or loans in the account of the </w:t>
      </w:r>
      <w:proofErr w:type="spellStart"/>
      <w:r w:rsidRPr="00FB408D">
        <w:t>Assessee</w:t>
      </w:r>
      <w:proofErr w:type="spellEnd"/>
      <w:r w:rsidRPr="00FB408D">
        <w:t>. Being a travel agency, it had regular business dealings with above two concerns dealing with holiday resorts and the tourism industry. Therefore, the transactions were normal business transactions, which were carried out during the course of the relevant previous year, and they could not be described as advances or loans, which formed a distinct category of financial transactions. Accordingly, the Tribunal concluded that the provisions of section 2(</w:t>
      </w:r>
      <w:r w:rsidRPr="00FB408D">
        <w:rPr>
          <w:i/>
          <w:iCs/>
        </w:rPr>
        <w:t>22</w:t>
      </w:r>
      <w:proofErr w:type="gramStart"/>
      <w:r w:rsidRPr="00FB408D">
        <w:t>)(</w:t>
      </w:r>
      <w:proofErr w:type="gramEnd"/>
      <w:r w:rsidRPr="00FB408D">
        <w:rPr>
          <w:i/>
          <w:iCs/>
        </w:rPr>
        <w:t>e</w:t>
      </w:r>
      <w:r w:rsidRPr="00FB408D">
        <w:t>) were not at all applicable.</w:t>
      </w:r>
    </w:p>
    <w:p w:rsidR="00FB408D" w:rsidRPr="00FB408D" w:rsidRDefault="00FB408D" w:rsidP="00FB408D">
      <w:pPr>
        <w:pStyle w:val="NoSpacing"/>
      </w:pPr>
      <w:r w:rsidRPr="00FB408D">
        <w:t>On appeal:</w:t>
      </w:r>
    </w:p>
    <w:p w:rsidR="00FB408D" w:rsidRPr="00FB408D" w:rsidRDefault="00FB408D" w:rsidP="00FB408D">
      <w:pPr>
        <w:pStyle w:val="NoSpacing"/>
      </w:pPr>
      <w:r w:rsidRPr="00FB408D">
        <w:t>HELD</w:t>
      </w:r>
    </w:p>
    <w:p w:rsidR="00FB408D" w:rsidRPr="00FB408D" w:rsidRDefault="00FB408D" w:rsidP="00FB408D">
      <w:pPr>
        <w:pStyle w:val="NoSpacing"/>
      </w:pPr>
      <w:r w:rsidRPr="00FB408D">
        <w:t xml:space="preserve">The order passed by the Tribunal did not suffer from any error of law. It was quite clear that the </w:t>
      </w:r>
      <w:proofErr w:type="spellStart"/>
      <w:r w:rsidRPr="00FB408D">
        <w:t>assessee</w:t>
      </w:r>
      <w:proofErr w:type="spellEnd"/>
      <w:r w:rsidRPr="00FB408D">
        <w:t xml:space="preserve"> was a travel agency and the above two concerns that it had dealings with, were also in the tourism business. The </w:t>
      </w:r>
      <w:proofErr w:type="spellStart"/>
      <w:r w:rsidRPr="00FB408D">
        <w:t>Assessee</w:t>
      </w:r>
      <w:proofErr w:type="spellEnd"/>
      <w:r w:rsidRPr="00FB408D">
        <w:t xml:space="preserve"> was involved in the booking of resorts for the customers of these companies and entered into normal business transactions as a part of its day-to-day business activities. The financial transactions could not in any circumstances be treated as loans or advances received by the </w:t>
      </w:r>
      <w:proofErr w:type="spellStart"/>
      <w:r w:rsidRPr="00FB408D">
        <w:t>assessee</w:t>
      </w:r>
      <w:proofErr w:type="spellEnd"/>
      <w:r w:rsidRPr="00FB408D">
        <w:t xml:space="preserve"> from these two concerns. [Para 5]</w:t>
      </w:r>
    </w:p>
    <w:p w:rsidR="00FB408D" w:rsidRPr="00FB408D" w:rsidRDefault="00FB408D" w:rsidP="00FB408D">
      <w:pPr>
        <w:pStyle w:val="NoSpacing"/>
      </w:pPr>
      <w:r w:rsidRPr="00FB408D">
        <w:t>Consequently, the Tribunal was right in coming to the conclusion that the provisions of Section 2(</w:t>
      </w:r>
      <w:r w:rsidRPr="00FB408D">
        <w:rPr>
          <w:i/>
          <w:iCs/>
        </w:rPr>
        <w:t>22</w:t>
      </w:r>
      <w:proofErr w:type="gramStart"/>
      <w:r w:rsidRPr="00FB408D">
        <w:t>)(</w:t>
      </w:r>
      <w:proofErr w:type="gramEnd"/>
      <w:r w:rsidRPr="00FB408D">
        <w:rPr>
          <w:i/>
          <w:iCs/>
        </w:rPr>
        <w:t>e</w:t>
      </w:r>
      <w:r w:rsidRPr="00FB408D">
        <w:t>) were not applicable. [Para 6]</w:t>
      </w:r>
    </w:p>
    <w:p w:rsidR="00FB408D" w:rsidRPr="00FB408D" w:rsidRDefault="00FB408D" w:rsidP="00FB408D">
      <w:pPr>
        <w:pStyle w:val="NoSpacing"/>
      </w:pPr>
      <w:r w:rsidRPr="00FB408D">
        <w:t>Therefore, instant appeal was to be dismissed.</w:t>
      </w:r>
    </w:p>
    <w:p w:rsidR="00FB408D" w:rsidRDefault="00FB408D"/>
    <w:p w:rsidR="00BC76FB" w:rsidRDefault="00BC76FB"/>
    <w:p w:rsidR="00BC76FB" w:rsidRDefault="00BC76FB"/>
    <w:p w:rsidR="00BC76FB" w:rsidRDefault="00BC76FB" w:rsidP="00BC76FB">
      <w:pPr>
        <w:pStyle w:val="NormalWeb"/>
        <w:spacing w:before="0" w:beforeAutospacing="0" w:after="0" w:afterAutospacing="0"/>
        <w:rPr>
          <w:rFonts w:ascii="Arial Unicode MS" w:eastAsia="Arial Unicode MS" w:hAnsi="Arial Unicode MS" w:cs="Arial Unicode MS"/>
          <w:color w:val="000000"/>
        </w:rPr>
      </w:pPr>
      <w:r>
        <w:rPr>
          <w:rFonts w:eastAsia="Arial Unicode MS"/>
          <w:color w:val="000000"/>
        </w:rPr>
        <w:lastRenderedPageBreak/>
        <w:t> </w:t>
      </w:r>
    </w:p>
    <w:p w:rsidR="00BC76FB" w:rsidRDefault="00BC76FB" w:rsidP="00BC76FB">
      <w:pPr>
        <w:jc w:val="both"/>
        <w:rPr>
          <w:rFonts w:ascii="Marigold" w:eastAsia="Times New Roman" w:hAnsi="Marigold" w:cs="Times New Roman"/>
          <w:color w:val="3F6741"/>
          <w:sz w:val="40"/>
          <w:szCs w:val="40"/>
        </w:rPr>
      </w:pPr>
      <w:r>
        <w:t> </w:t>
      </w:r>
    </w:p>
    <w:p w:rsidR="00BC76FB" w:rsidRDefault="00BC76FB" w:rsidP="00BC76FB">
      <w:pPr>
        <w:pStyle w:val="NoSpacing"/>
        <w:rPr>
          <w:rFonts w:ascii="Marigold" w:hAnsi="Marigold"/>
          <w:color w:val="3F6741"/>
          <w:sz w:val="40"/>
          <w:szCs w:val="40"/>
        </w:rPr>
      </w:pPr>
      <w:r>
        <w:t>IN THE ITAT, DELHI BENCH ‘G’, NEW DELHI</w:t>
      </w:r>
    </w:p>
    <w:p w:rsidR="00BC76FB" w:rsidRDefault="00BC76FB" w:rsidP="00BC76FB">
      <w:pPr>
        <w:pStyle w:val="NoSpacing"/>
        <w:rPr>
          <w:rFonts w:ascii="Marigold" w:hAnsi="Marigold"/>
          <w:color w:val="3F6741"/>
          <w:sz w:val="40"/>
          <w:szCs w:val="40"/>
        </w:rPr>
      </w:pPr>
      <w:r>
        <w:t> </w:t>
      </w:r>
      <w:bookmarkStart w:id="0" w:name="OLE_LINK1"/>
      <w:r>
        <w:rPr>
          <w:sz w:val="24"/>
          <w:szCs w:val="24"/>
        </w:rPr>
        <w:t xml:space="preserve">Sunil </w:t>
      </w:r>
      <w:proofErr w:type="spellStart"/>
      <w:r>
        <w:rPr>
          <w:sz w:val="24"/>
          <w:szCs w:val="24"/>
        </w:rPr>
        <w:t>Sethi</w:t>
      </w:r>
      <w:bookmarkEnd w:id="0"/>
      <w:proofErr w:type="spellEnd"/>
      <w:r>
        <w:rPr>
          <w:rFonts w:ascii="Marigold" w:hAnsi="Marigold"/>
          <w:color w:val="3F6741"/>
          <w:sz w:val="40"/>
          <w:szCs w:val="40"/>
        </w:rPr>
        <w:t xml:space="preserve"> </w:t>
      </w:r>
      <w:r>
        <w:t>v</w:t>
      </w:r>
      <w:r>
        <w:rPr>
          <w:rFonts w:ascii="Marigold" w:hAnsi="Marigold"/>
          <w:color w:val="3F6741"/>
          <w:sz w:val="40"/>
          <w:szCs w:val="40"/>
        </w:rPr>
        <w:t xml:space="preserve"> </w:t>
      </w:r>
      <w:r>
        <w:t>DCIT</w:t>
      </w:r>
    </w:p>
    <w:p w:rsidR="00BC76FB" w:rsidRDefault="00BC76FB" w:rsidP="00BC76FB">
      <w:pPr>
        <w:pStyle w:val="NoSpacing"/>
        <w:rPr>
          <w:rFonts w:ascii="Marigold" w:hAnsi="Marigold"/>
          <w:color w:val="3F6741"/>
          <w:sz w:val="40"/>
          <w:szCs w:val="40"/>
        </w:rPr>
      </w:pPr>
      <w:r>
        <w:t> </w:t>
      </w:r>
    </w:p>
    <w:p w:rsidR="00BC76FB" w:rsidRDefault="00BC76FB" w:rsidP="00BC76FB">
      <w:pPr>
        <w:pStyle w:val="NoSpacing"/>
        <w:rPr>
          <w:rFonts w:ascii="Marigold" w:hAnsi="Marigold"/>
          <w:color w:val="3F6741"/>
          <w:sz w:val="40"/>
          <w:szCs w:val="40"/>
        </w:rPr>
      </w:pPr>
      <w:r>
        <w:t>ITA No. 2131/Del/2007</w:t>
      </w:r>
    </w:p>
    <w:p w:rsidR="00BC76FB" w:rsidRDefault="00BC76FB" w:rsidP="00BC76FB">
      <w:pPr>
        <w:pStyle w:val="NoSpacing"/>
        <w:rPr>
          <w:rFonts w:ascii="Marigold" w:hAnsi="Marigold"/>
          <w:color w:val="3F6741"/>
          <w:sz w:val="40"/>
          <w:szCs w:val="40"/>
        </w:rPr>
      </w:pPr>
      <w:r>
        <w:t>September 12, 2008</w:t>
      </w:r>
    </w:p>
    <w:p w:rsidR="00BC76FB" w:rsidRDefault="00BC76FB" w:rsidP="00BC76FB">
      <w:pPr>
        <w:pStyle w:val="NoSpacing"/>
        <w:rPr>
          <w:rFonts w:ascii="Marigold" w:hAnsi="Marigold"/>
          <w:color w:val="3F6741"/>
          <w:sz w:val="40"/>
          <w:szCs w:val="40"/>
        </w:rPr>
      </w:pPr>
      <w:r>
        <w:t> </w:t>
      </w:r>
    </w:p>
    <w:p w:rsidR="00BC76FB" w:rsidRDefault="00BC76FB" w:rsidP="00BC76FB">
      <w:pPr>
        <w:pStyle w:val="NoSpacing"/>
        <w:rPr>
          <w:rFonts w:ascii="Bangkok" w:hAnsi="Bangkok"/>
          <w:color w:val="000000"/>
          <w:sz w:val="24"/>
          <w:szCs w:val="24"/>
        </w:rPr>
      </w:pPr>
      <w:r>
        <w:rPr>
          <w:color w:val="FF0000"/>
        </w:rPr>
        <w:t>RELEVANT EXTRACTS:</w:t>
      </w:r>
    </w:p>
    <w:p w:rsidR="00BC76FB" w:rsidRDefault="00BC76FB" w:rsidP="00BC76FB">
      <w:pPr>
        <w:pStyle w:val="NoSpacing"/>
        <w:rPr>
          <w:rFonts w:ascii="Marigold" w:hAnsi="Marigold"/>
          <w:color w:val="3F6741"/>
          <w:sz w:val="40"/>
          <w:szCs w:val="40"/>
        </w:rPr>
      </w:pPr>
      <w:r>
        <w:t>**                             </w:t>
      </w:r>
      <w:r>
        <w:rPr>
          <w:rStyle w:val="apple-converted-space"/>
        </w:rPr>
        <w:t> </w:t>
      </w:r>
      <w:r>
        <w:t>**                                </w:t>
      </w:r>
      <w:r>
        <w:rPr>
          <w:rStyle w:val="apple-converted-space"/>
        </w:rPr>
        <w:t> </w:t>
      </w:r>
      <w:r>
        <w:t>**                                </w:t>
      </w:r>
      <w:r>
        <w:rPr>
          <w:rStyle w:val="apple-converted-space"/>
        </w:rPr>
        <w:t> </w:t>
      </w:r>
      <w:r>
        <w:t>**</w:t>
      </w:r>
    </w:p>
    <w:p w:rsidR="00BC76FB" w:rsidRDefault="00BC76FB" w:rsidP="00BC76FB">
      <w:pPr>
        <w:pStyle w:val="NoSpacing"/>
        <w:rPr>
          <w:rFonts w:ascii="Marigold" w:hAnsi="Marigold"/>
          <w:color w:val="3F6741"/>
          <w:sz w:val="40"/>
          <w:szCs w:val="40"/>
        </w:rPr>
      </w:pPr>
      <w:r>
        <w:t>10. </w:t>
      </w:r>
      <w:r>
        <w:rPr>
          <w:rStyle w:val="apple-converted-space"/>
        </w:rPr>
        <w:t> </w:t>
      </w:r>
      <w:r>
        <w:t>We have carefully considered the rival submissions in the light of the material placed before us. Section 2(22</w:t>
      </w:r>
      <w:proofErr w:type="gramStart"/>
      <w:r>
        <w:t>)(</w:t>
      </w:r>
      <w:proofErr w:type="gramEnd"/>
      <w:r>
        <w:t>e) read as under:-</w:t>
      </w:r>
    </w:p>
    <w:p w:rsidR="00BC76FB" w:rsidRDefault="00BC76FB" w:rsidP="00BC76FB">
      <w:pPr>
        <w:pStyle w:val="NoSpacing"/>
        <w:rPr>
          <w:rFonts w:ascii="Bangkok" w:hAnsi="Bangkok"/>
          <w:i/>
          <w:iCs/>
          <w:color w:val="000000"/>
          <w:sz w:val="24"/>
          <w:szCs w:val="24"/>
        </w:rPr>
      </w:pPr>
      <w:r>
        <w:rPr>
          <w:i/>
          <w:iCs/>
          <w:color w:val="000000"/>
        </w:rPr>
        <w:t xml:space="preserve">Section 2(22) (e) any payment by a company, not being a company in which the public are substantially interested, of any sum (whether as representing a part of the assets of the company or otherwise) made after the 31st day of May, 1987, by way of advance or loan to a shareholder, being a person who is the beneficial owner of shares (not being shares entitled to a fixed rate of dividend whether with or without a right to participate in profits) holding not less than </w:t>
      </w:r>
      <w:r w:rsidR="007C21B7">
        <w:rPr>
          <w:i/>
          <w:iCs/>
          <w:color w:val="000000"/>
        </w:rPr>
        <w:t>ten</w:t>
      </w:r>
      <w:r>
        <w:rPr>
          <w:i/>
          <w:iCs/>
          <w:color w:val="000000"/>
        </w:rPr>
        <w:t xml:space="preserve"> per cent of the voting power, or to any concern in which such shareholder is a member or a partner and in which he has a substantial interest (hereafter in this clause referred to as the said concern)] or any payment by any such company on behalf, or for the individual benefit, of any such shareholder, to the extent to which the company in either case possesses accumulated profits;</w:t>
      </w:r>
    </w:p>
    <w:p w:rsidR="00BC76FB" w:rsidRDefault="00BC76FB" w:rsidP="00BC76FB">
      <w:pPr>
        <w:jc w:val="both"/>
        <w:rPr>
          <w:rFonts w:ascii="Marigold" w:hAnsi="Marigold"/>
          <w:color w:val="3F6741"/>
          <w:sz w:val="40"/>
          <w:szCs w:val="40"/>
        </w:rPr>
      </w:pPr>
      <w:r>
        <w:t xml:space="preserve">11. So </w:t>
      </w:r>
      <w:r w:rsidR="007C21B7">
        <w:t>far</w:t>
      </w:r>
      <w:r>
        <w:t xml:space="preserve"> as it relates to other conditions, there is no dispute and the only basis on which the invocation of Section 2(22) is contested is that the amount give</w:t>
      </w:r>
      <w:r w:rsidR="007C21B7">
        <w:t xml:space="preserve">n to the </w:t>
      </w:r>
      <w:proofErr w:type="spellStart"/>
      <w:r w:rsidR="007C21B7">
        <w:t>assessee</w:t>
      </w:r>
      <w:proofErr w:type="spellEnd"/>
      <w:r w:rsidR="007C21B7">
        <w:t xml:space="preserve"> was neither lo</w:t>
      </w:r>
      <w:r>
        <w:t xml:space="preserve">an nor advance and it -was not for the individual benefit of the shareholder. It has been the contention of the </w:t>
      </w:r>
      <w:proofErr w:type="spellStart"/>
      <w:r>
        <w:t>assessee</w:t>
      </w:r>
      <w:proofErr w:type="spellEnd"/>
      <w:r>
        <w:t xml:space="preserve"> that a sum of Rs.30 </w:t>
      </w:r>
      <w:proofErr w:type="spellStart"/>
      <w:r>
        <w:t>lac</w:t>
      </w:r>
      <w:proofErr w:type="spellEnd"/>
      <w:r>
        <w:t xml:space="preserve"> was given to him for the purpose of making advance with respect to certain land dealings which were proposed to be entered into by the company through the </w:t>
      </w:r>
      <w:proofErr w:type="spellStart"/>
      <w:r>
        <w:t>assessee</w:t>
      </w:r>
      <w:proofErr w:type="spellEnd"/>
      <w:r>
        <w:t xml:space="preserve">. The </w:t>
      </w:r>
      <w:proofErr w:type="spellStart"/>
      <w:r>
        <w:t>assessee</w:t>
      </w:r>
      <w:proofErr w:type="spellEnd"/>
      <w:r>
        <w:t xml:space="preserve"> is a Director in the company and could lawfully execute certain agreements on behalf of the company, if he is so authorized. The sum of Rs.20 </w:t>
      </w:r>
      <w:proofErr w:type="spellStart"/>
      <w:r>
        <w:t>lac</w:t>
      </w:r>
      <w:proofErr w:type="spellEnd"/>
      <w:r>
        <w:t xml:space="preserve"> was given by way of </w:t>
      </w:r>
      <w:proofErr w:type="spellStart"/>
      <w:r>
        <w:t>imprest</w:t>
      </w:r>
      <w:proofErr w:type="spellEnd"/>
      <w:r>
        <w:t xml:space="preserve"> to enter into a transaction which was for the benefit of the business of the company i.e., acquisition of a premises required for the purposes of business of the company. Such payment was made in pursuance of resolution passed by the company a copy of which was also placed on record. It is not the case of the Revenue that such resolution did not happen or it was an </w:t>
      </w:r>
      <w:proofErr w:type="spellStart"/>
      <w:r>
        <w:t>after</w:t>
      </w:r>
      <w:r w:rsidR="007C21B7">
        <w:t xml:space="preserve"> </w:t>
      </w:r>
      <w:r>
        <w:t>thought</w:t>
      </w:r>
      <w:proofErr w:type="spellEnd"/>
      <w:r>
        <w:t xml:space="preserve"> story. No material has been brought on record to suggest that what was explained by the </w:t>
      </w:r>
      <w:proofErr w:type="spellStart"/>
      <w:r>
        <w:t>assessee</w:t>
      </w:r>
      <w:proofErr w:type="spellEnd"/>
      <w:r>
        <w:t xml:space="preserve"> was incorrect. The sum has been treated as deemed dividend simply for the reason that it was given to the </w:t>
      </w:r>
      <w:proofErr w:type="spellStart"/>
      <w:r>
        <w:t>assessee</w:t>
      </w:r>
      <w:proofErr w:type="spellEnd"/>
      <w:r>
        <w:t xml:space="preserve">. The Co-ordinate Bench has considered this issue in the case of CIT vs. </w:t>
      </w:r>
      <w:proofErr w:type="spellStart"/>
      <w:r>
        <w:t>Lakra</w:t>
      </w:r>
      <w:proofErr w:type="spellEnd"/>
      <w:r>
        <w:t xml:space="preserve"> Brothers (supra) wherein it has been observed that the definition of Section 2(22</w:t>
      </w:r>
      <w:proofErr w:type="gramStart"/>
      <w:r>
        <w:t>)(</w:t>
      </w:r>
      <w:proofErr w:type="gramEnd"/>
      <w:r>
        <w:t xml:space="preserve">e) cannot be stretched to include even legitimate transactions carried out in the ordinary course of business where the intention is neither to give a shareholders, it is observed that the important words in the Section are “loan or advance" and for individual benefit of such shareholder. The loan is something different from the debt. For a loan, there must be a lender, borrower as well as a contract/agreement between the parties for the return of the loan amount. Keeping in view the said decision of coordinate Bench and the facts of the present case, it is observed that the transaction was in the ordinary course of the business of the company, there was no intention of the company to give a loan or advance to the </w:t>
      </w:r>
      <w:proofErr w:type="spellStart"/>
      <w:r>
        <w:t>assessee</w:t>
      </w:r>
      <w:proofErr w:type="spellEnd"/>
      <w:r>
        <w:t xml:space="preserve"> for his individual benefit, if has been demonstrated before us that in the </w:t>
      </w:r>
      <w:r>
        <w:lastRenderedPageBreak/>
        <w:t xml:space="preserve">bank account of the </w:t>
      </w:r>
      <w:proofErr w:type="spellStart"/>
      <w:r>
        <w:t>assessee</w:t>
      </w:r>
      <w:proofErr w:type="spellEnd"/>
      <w:r>
        <w:t xml:space="preserve"> in which the said amount of Rs.30 </w:t>
      </w:r>
      <w:proofErr w:type="spellStart"/>
      <w:r>
        <w:t>lac</w:t>
      </w:r>
      <w:proofErr w:type="spellEnd"/>
      <w:r>
        <w:t xml:space="preserve"> was credited was always having balance of more than Rs.30 </w:t>
      </w:r>
      <w:proofErr w:type="spellStart"/>
      <w:r>
        <w:t>lac</w:t>
      </w:r>
      <w:proofErr w:type="spellEnd"/>
      <w:r>
        <w:t xml:space="preserve">, so even for a short period </w:t>
      </w:r>
      <w:proofErr w:type="spellStart"/>
      <w:r>
        <w:t>assessee</w:t>
      </w:r>
      <w:proofErr w:type="spellEnd"/>
      <w:r>
        <w:t xml:space="preserve"> has not derived any benefit or it cannot be said that the said amount was given to the </w:t>
      </w:r>
      <w:proofErr w:type="spellStart"/>
      <w:r>
        <w:t>assessee</w:t>
      </w:r>
      <w:proofErr w:type="spellEnd"/>
      <w:r>
        <w:t xml:space="preserve"> by the company for his individual benefit. The amount was lying in the bank account of the </w:t>
      </w:r>
      <w:proofErr w:type="spellStart"/>
      <w:r>
        <w:t>assessee</w:t>
      </w:r>
      <w:proofErr w:type="spellEnd"/>
      <w:r>
        <w:t xml:space="preserve"> which was not utilized at all for any purpose. It is, therefore, clear that the real intention of the company was to purchase the premises and there was no other hidden purpose. It also cannot be the case of revenue that returning of the amount was afterthought as the amount was returned by the </w:t>
      </w:r>
      <w:proofErr w:type="spellStart"/>
      <w:r>
        <w:t>assessee</w:t>
      </w:r>
      <w:proofErr w:type="spellEnd"/>
      <w:r>
        <w:t xml:space="preserve"> within a short span of a week. There is no material on record to suggest that the 'transaction of the company with the </w:t>
      </w:r>
      <w:proofErr w:type="spellStart"/>
      <w:r>
        <w:t>assessee</w:t>
      </w:r>
      <w:proofErr w:type="spellEnd"/>
      <w:r>
        <w:t xml:space="preserve"> was in any way arranged to give any benefit to the </w:t>
      </w:r>
      <w:proofErr w:type="spellStart"/>
      <w:r>
        <w:t>assessee</w:t>
      </w:r>
      <w:proofErr w:type="spellEnd"/>
      <w:r>
        <w:t xml:space="preserve">. The amount was paid for a very short period for specific purpose and there is documentary evidence on record to substantiate the explanation of the </w:t>
      </w:r>
      <w:proofErr w:type="spellStart"/>
      <w:r>
        <w:t>assessee</w:t>
      </w:r>
      <w:proofErr w:type="spellEnd"/>
      <w:r>
        <w:t xml:space="preserve"> that the amount was given for the business purposes of the company i.e., to purchase a suitable business premises and </w:t>
      </w:r>
      <w:proofErr w:type="spellStart"/>
      <w:r>
        <w:t>assessee</w:t>
      </w:r>
      <w:proofErr w:type="spellEnd"/>
      <w:r>
        <w:t xml:space="preserve"> could validly act on behalf of the company as the said act of </w:t>
      </w:r>
      <w:proofErr w:type="spellStart"/>
      <w:r>
        <w:t>assessee</w:t>
      </w:r>
      <w:proofErr w:type="spellEnd"/>
      <w:r>
        <w:t xml:space="preserve"> would be in accordance with the authority held by him through resolution of the Board of Directors of the company. In our opinion, applying the ratio of decision of Chandigarh Bench in the case of DCIT v. </w:t>
      </w:r>
      <w:proofErr w:type="spellStart"/>
      <w:r>
        <w:t>Lakra</w:t>
      </w:r>
      <w:proofErr w:type="spellEnd"/>
      <w:r>
        <w:t xml:space="preserve"> Brothers the amount of Rs. 30 </w:t>
      </w:r>
      <w:proofErr w:type="spellStart"/>
      <w:r>
        <w:t>lac</w:t>
      </w:r>
      <w:proofErr w:type="spellEnd"/>
      <w:r>
        <w:t xml:space="preserve"> could not be considered to be deemed dividend in the hands of the </w:t>
      </w:r>
      <w:proofErr w:type="spellStart"/>
      <w:r>
        <w:t>assessee</w:t>
      </w:r>
      <w:proofErr w:type="spellEnd"/>
      <w:r>
        <w:t>. The provision of Section 2(22</w:t>
      </w:r>
      <w:proofErr w:type="gramStart"/>
      <w:r>
        <w:t>)(</w:t>
      </w:r>
      <w:proofErr w:type="gramEnd"/>
      <w:r>
        <w:t>e) were not applicable.</w:t>
      </w:r>
    </w:p>
    <w:p w:rsidR="00BC76FB" w:rsidRDefault="00BC76FB" w:rsidP="00BC76FB">
      <w:pPr>
        <w:jc w:val="both"/>
        <w:rPr>
          <w:rFonts w:ascii="Marigold" w:hAnsi="Marigold"/>
          <w:color w:val="3F6741"/>
          <w:sz w:val="40"/>
          <w:szCs w:val="40"/>
        </w:rPr>
      </w:pPr>
      <w:r>
        <w:t>**                             </w:t>
      </w:r>
      <w:r>
        <w:rPr>
          <w:rStyle w:val="apple-converted-space"/>
        </w:rPr>
        <w:t> </w:t>
      </w:r>
      <w:r>
        <w:t>**                                </w:t>
      </w:r>
      <w:r>
        <w:rPr>
          <w:rStyle w:val="apple-converted-space"/>
        </w:rPr>
        <w:t> </w:t>
      </w:r>
      <w:r>
        <w:t>**                                </w:t>
      </w:r>
      <w:r>
        <w:rPr>
          <w:rStyle w:val="apple-converted-space"/>
        </w:rPr>
        <w:t> </w:t>
      </w:r>
      <w:r>
        <w:t>**</w:t>
      </w:r>
    </w:p>
    <w:p w:rsidR="00BC76FB" w:rsidRDefault="00BC76FB"/>
    <w:p w:rsidR="00833F7F" w:rsidRDefault="00833F7F"/>
    <w:p w:rsidR="00833F7F" w:rsidRDefault="00833F7F"/>
    <w:p w:rsidR="00833F7F" w:rsidRDefault="00833F7F"/>
    <w:p w:rsidR="00833F7F" w:rsidRDefault="00833F7F"/>
    <w:p w:rsidR="00833F7F" w:rsidRDefault="00833F7F"/>
    <w:p w:rsidR="00833F7F" w:rsidRDefault="00833F7F"/>
    <w:p w:rsidR="00833F7F" w:rsidRDefault="00833F7F"/>
    <w:p w:rsidR="00833F7F" w:rsidRDefault="00833F7F"/>
    <w:p w:rsidR="00833F7F" w:rsidRDefault="00833F7F"/>
    <w:p w:rsidR="00833F7F" w:rsidRDefault="00833F7F"/>
    <w:p w:rsidR="00833F7F" w:rsidRDefault="00833F7F"/>
    <w:p w:rsidR="00833F7F" w:rsidRDefault="00833F7F"/>
    <w:p w:rsidR="00833F7F" w:rsidRDefault="00833F7F"/>
    <w:p w:rsidR="00833F7F" w:rsidRDefault="00833F7F" w:rsidP="00833F7F">
      <w:pPr>
        <w:pStyle w:val="NoSpacing"/>
        <w:jc w:val="center"/>
      </w:pPr>
      <w:r>
        <w:lastRenderedPageBreak/>
        <w:t>IN THE ITAT</w:t>
      </w:r>
      <w:r>
        <w:rPr>
          <w:rStyle w:val="apple-converted-space"/>
          <w:b/>
          <w:bCs/>
          <w:color w:val="000000"/>
        </w:rPr>
        <w:t> </w:t>
      </w:r>
      <w:r>
        <w:t>DELHI</w:t>
      </w:r>
      <w:r>
        <w:rPr>
          <w:rStyle w:val="apple-converted-space"/>
          <w:b/>
          <w:bCs/>
          <w:color w:val="000000"/>
        </w:rPr>
        <w:t> </w:t>
      </w:r>
      <w:r>
        <w:t>BENCH ‘C’</w:t>
      </w:r>
    </w:p>
    <w:p w:rsidR="00833F7F" w:rsidRDefault="00833F7F" w:rsidP="00833F7F">
      <w:pPr>
        <w:pStyle w:val="NoSpacing"/>
        <w:jc w:val="center"/>
      </w:pPr>
      <w:proofErr w:type="spellStart"/>
      <w:r>
        <w:t>Nulcon</w:t>
      </w:r>
      <w:proofErr w:type="spellEnd"/>
      <w:r>
        <w:t xml:space="preserve"> India Ltd.</w:t>
      </w:r>
    </w:p>
    <w:p w:rsidR="00833F7F" w:rsidRDefault="00833F7F" w:rsidP="00833F7F">
      <w:pPr>
        <w:pStyle w:val="NoSpacing"/>
        <w:jc w:val="center"/>
      </w:pPr>
      <w:proofErr w:type="gramStart"/>
      <w:r>
        <w:rPr>
          <w:i/>
          <w:iCs/>
        </w:rPr>
        <w:t>v</w:t>
      </w:r>
      <w:proofErr w:type="gramEnd"/>
      <w:r>
        <w:t>.</w:t>
      </w:r>
    </w:p>
    <w:p w:rsidR="00833F7F" w:rsidRDefault="00833F7F" w:rsidP="00833F7F">
      <w:pPr>
        <w:pStyle w:val="NoSpacing"/>
        <w:jc w:val="center"/>
        <w:rPr>
          <w:sz w:val="24"/>
          <w:szCs w:val="24"/>
        </w:rPr>
      </w:pPr>
      <w:r>
        <w:rPr>
          <w:sz w:val="24"/>
          <w:szCs w:val="24"/>
        </w:rPr>
        <w:t>Income-tax Officer</w:t>
      </w:r>
    </w:p>
    <w:p w:rsidR="00833F7F" w:rsidRDefault="00833F7F" w:rsidP="00833F7F">
      <w:pPr>
        <w:pStyle w:val="NoSpacing"/>
        <w:jc w:val="center"/>
        <w:rPr>
          <w:sz w:val="24"/>
          <w:szCs w:val="24"/>
        </w:rPr>
      </w:pPr>
      <w:r>
        <w:t>N.K. KARHAIL, JUDICIAL MEMBER</w:t>
      </w:r>
    </w:p>
    <w:p w:rsidR="00833F7F" w:rsidRDefault="00833F7F" w:rsidP="00833F7F">
      <w:pPr>
        <w:pStyle w:val="NoSpacing"/>
        <w:jc w:val="center"/>
      </w:pPr>
      <w:r>
        <w:t>AND DEEPAK R. SHAH, ACCOUNTANT MEMBER</w:t>
      </w:r>
    </w:p>
    <w:p w:rsidR="00833F7F" w:rsidRDefault="00833F7F" w:rsidP="00833F7F">
      <w:pPr>
        <w:pStyle w:val="NoSpacing"/>
        <w:jc w:val="center"/>
        <w:rPr>
          <w:sz w:val="24"/>
          <w:szCs w:val="24"/>
        </w:rPr>
      </w:pPr>
      <w:r>
        <w:rPr>
          <w:sz w:val="24"/>
          <w:szCs w:val="24"/>
        </w:rPr>
        <w:t xml:space="preserve">IT </w:t>
      </w:r>
      <w:proofErr w:type="gramStart"/>
      <w:r>
        <w:rPr>
          <w:sz w:val="24"/>
          <w:szCs w:val="24"/>
        </w:rPr>
        <w:t>APPEAL</w:t>
      </w:r>
      <w:proofErr w:type="gramEnd"/>
      <w:r>
        <w:rPr>
          <w:sz w:val="24"/>
          <w:szCs w:val="24"/>
        </w:rPr>
        <w:t xml:space="preserve"> NO. 152 (DELHI) OF 2006</w:t>
      </w:r>
    </w:p>
    <w:p w:rsidR="00833F7F" w:rsidRDefault="00833F7F" w:rsidP="00833F7F">
      <w:pPr>
        <w:pStyle w:val="NoSpacing"/>
        <w:jc w:val="center"/>
        <w:rPr>
          <w:sz w:val="24"/>
          <w:szCs w:val="24"/>
        </w:rPr>
      </w:pPr>
      <w:r>
        <w:t>(ASSESSMENT YEAR 2001-02)</w:t>
      </w:r>
    </w:p>
    <w:p w:rsidR="00833F7F" w:rsidRDefault="00833F7F" w:rsidP="00833F7F">
      <w:pPr>
        <w:pStyle w:val="NoSpacing"/>
        <w:jc w:val="center"/>
      </w:pPr>
      <w:r>
        <w:t>AUGUST 25, 2006</w:t>
      </w:r>
    </w:p>
    <w:p w:rsidR="00833F7F" w:rsidRDefault="00833F7F" w:rsidP="00833F7F">
      <w:pPr>
        <w:pStyle w:val="NoSpacing"/>
        <w:jc w:val="both"/>
      </w:pPr>
      <w:r>
        <w:t> </w:t>
      </w:r>
    </w:p>
    <w:p w:rsidR="00833F7F" w:rsidRDefault="00833F7F" w:rsidP="00833F7F">
      <w:pPr>
        <w:pStyle w:val="NoSpacing"/>
        <w:jc w:val="both"/>
      </w:pPr>
      <w:r>
        <w:t>I.</w:t>
      </w:r>
    </w:p>
    <w:p w:rsidR="00833F7F" w:rsidRDefault="00833F7F" w:rsidP="00833F7F">
      <w:pPr>
        <w:pStyle w:val="NoSpacing"/>
        <w:jc w:val="both"/>
      </w:pPr>
      <w:r>
        <w:t xml:space="preserve">Section 143 of the Income-tax Act, 1961 – Assessment - Issue of notice - Assessment year 2001-02 - </w:t>
      </w:r>
      <w:proofErr w:type="spellStart"/>
      <w:r>
        <w:t>Assessee</w:t>
      </w:r>
      <w:proofErr w:type="spellEnd"/>
      <w:r>
        <w:t xml:space="preserve"> filed return of income on 31-10-2001 - Assessing Officer issued a notice under section 143(2) on 29-10-2002 at address mentioned by </w:t>
      </w:r>
      <w:proofErr w:type="spellStart"/>
      <w:r>
        <w:t>assessee</w:t>
      </w:r>
      <w:proofErr w:type="spellEnd"/>
      <w:r>
        <w:t xml:space="preserve"> in return of income and sent same through speed post on 30-10-2002 at 11.50 AM - Somebody at end of </w:t>
      </w:r>
      <w:proofErr w:type="spellStart"/>
      <w:r>
        <w:t>assessee</w:t>
      </w:r>
      <w:proofErr w:type="spellEnd"/>
      <w:r>
        <w:t xml:space="preserve"> at address mentioned in return of income received said notice and redirected same at new address of </w:t>
      </w:r>
      <w:proofErr w:type="spellStart"/>
      <w:r>
        <w:t>assessee</w:t>
      </w:r>
      <w:proofErr w:type="spellEnd"/>
      <w:r>
        <w:t xml:space="preserve"> - Thereafter notice was served at redirected address on 6-11-2002 - Whether since notice originally sent was received on behalf of </w:t>
      </w:r>
      <w:proofErr w:type="spellStart"/>
      <w:r>
        <w:t>assessee</w:t>
      </w:r>
      <w:proofErr w:type="spellEnd"/>
      <w:r>
        <w:t xml:space="preserve"> before it was redirected on 31-10-2002, notice was within limitation period and hence assessment made pursuant to such notice was valid assessment – Held, yes</w:t>
      </w:r>
    </w:p>
    <w:p w:rsidR="00833F7F" w:rsidRDefault="00833F7F" w:rsidP="00833F7F">
      <w:pPr>
        <w:pStyle w:val="NoSpacing"/>
        <w:jc w:val="both"/>
      </w:pPr>
      <w:proofErr w:type="gramStart"/>
      <w:r>
        <w:t>II.</w:t>
      </w:r>
      <w:proofErr w:type="gramEnd"/>
    </w:p>
    <w:p w:rsidR="00833F7F" w:rsidRDefault="00833F7F" w:rsidP="00833F7F">
      <w:pPr>
        <w:pStyle w:val="NoSpacing"/>
        <w:jc w:val="both"/>
      </w:pPr>
      <w:r>
        <w:t xml:space="preserve">Section 2(22) of the Income-tax Act, 1961 - Deemed dividend - Assessment year 2001-02 - Whether as deemed it is clear that as deemed dividend amount can be considered if payment is by way of advance or loan - To a shareholder, being a person who is beneficial owner of </w:t>
      </w:r>
      <w:proofErr w:type="spellStart"/>
      <w:r>
        <w:t>sharesholding</w:t>
      </w:r>
      <w:proofErr w:type="spellEnd"/>
      <w:r>
        <w:t xml:space="preserve"> not less than 10 per cent of voting rights or to any concern in which such shareholder is a member or a partner and in which he has substantial interest or any payment by any such company on behalf, or for individual benefit of shareholder, to extent to which company possesses accumulated profits. Held, yes – </w:t>
      </w:r>
      <w:proofErr w:type="spellStart"/>
      <w:r>
        <w:t>Assessee</w:t>
      </w:r>
      <w:proofErr w:type="spellEnd"/>
      <w:r>
        <w:t xml:space="preserve">-company received certain amount in advance from a company ‘NE’- It also received certain amount as share application money from a company ‘NG’ – One D had share not less than 10 per cent in each company. The Assessing Officer treated both sums received as deemed dividend since payer companies had sufficient accumulated profits - And accordingly added same to income of </w:t>
      </w:r>
      <w:proofErr w:type="spellStart"/>
      <w:r>
        <w:t>assessee</w:t>
      </w:r>
      <w:proofErr w:type="spellEnd"/>
      <w:r>
        <w:t xml:space="preserve"> as deemed dividend under section 2(22)(e) - Whether since </w:t>
      </w:r>
      <w:proofErr w:type="spellStart"/>
      <w:r>
        <w:t>assessee</w:t>
      </w:r>
      <w:proofErr w:type="spellEnd"/>
      <w:r>
        <w:t xml:space="preserve"> was not a shareholder in any of companies NG and NE and loan was not given to any concern in which </w:t>
      </w:r>
      <w:proofErr w:type="spellStart"/>
      <w:r>
        <w:t>assessee</w:t>
      </w:r>
      <w:proofErr w:type="spellEnd"/>
      <w:r>
        <w:t xml:space="preserve"> had substantial interest and loan was not given to </w:t>
      </w:r>
      <w:proofErr w:type="spellStart"/>
      <w:r>
        <w:t>assessee</w:t>
      </w:r>
      <w:proofErr w:type="spellEnd"/>
      <w:r>
        <w:t xml:space="preserve"> for benefit of any shareholder, provision of section 2(22)(e) was not attracted to instant case-Held, yes</w:t>
      </w:r>
    </w:p>
    <w:p w:rsidR="00833F7F" w:rsidRDefault="00833F7F" w:rsidP="00833F7F">
      <w:pPr>
        <w:pStyle w:val="NoSpacing"/>
        <w:jc w:val="both"/>
        <w:rPr>
          <w:spacing w:val="6"/>
          <w:sz w:val="24"/>
          <w:szCs w:val="24"/>
        </w:rPr>
      </w:pPr>
      <w:r>
        <w:rPr>
          <w:sz w:val="24"/>
          <w:szCs w:val="24"/>
        </w:rPr>
        <w:t>FACTS I</w:t>
      </w:r>
    </w:p>
    <w:p w:rsidR="00833F7F" w:rsidRDefault="00833F7F" w:rsidP="00833F7F">
      <w:pPr>
        <w:pStyle w:val="NoSpacing"/>
        <w:jc w:val="both"/>
        <w:rPr>
          <w:sz w:val="24"/>
          <w:szCs w:val="24"/>
        </w:rPr>
      </w:pPr>
      <w:r>
        <w:t xml:space="preserve">For the relevant assessment year, the </w:t>
      </w:r>
      <w:proofErr w:type="spellStart"/>
      <w:r>
        <w:t>assessee</w:t>
      </w:r>
      <w:proofErr w:type="spellEnd"/>
      <w:r>
        <w:t xml:space="preserve"> filed the return of income on 31-10-2001. The Assessing Officer issued a notice under section 143(2) on 29-10-2002 at the address mentioned by the </w:t>
      </w:r>
      <w:proofErr w:type="spellStart"/>
      <w:r>
        <w:t>assessee</w:t>
      </w:r>
      <w:proofErr w:type="spellEnd"/>
      <w:r>
        <w:t xml:space="preserve"> in the return of income filed, and sent the same through speed post on 30-10-2002 at 11.50 A.M. Somebody at the end of the </w:t>
      </w:r>
      <w:proofErr w:type="spellStart"/>
      <w:r>
        <w:t>assessee</w:t>
      </w:r>
      <w:proofErr w:type="spellEnd"/>
      <w:r>
        <w:t xml:space="preserve"> at the address mentioned in the return received the said notice and redirected the same at the new address of the </w:t>
      </w:r>
      <w:proofErr w:type="spellStart"/>
      <w:r>
        <w:t>assessee</w:t>
      </w:r>
      <w:proofErr w:type="spellEnd"/>
      <w:r>
        <w:t xml:space="preserve">. Thereafter, the notice was served at the redirected address on 6-11-2002. The Assessing Officer rejected the objection of the </w:t>
      </w:r>
      <w:proofErr w:type="spellStart"/>
      <w:r>
        <w:t>assessee</w:t>
      </w:r>
      <w:proofErr w:type="spellEnd"/>
      <w:r>
        <w:t xml:space="preserve"> and held that there was a valid service of notice within the time prescribed. He, thereafter framed the assessment under section 143(3),</w:t>
      </w:r>
    </w:p>
    <w:p w:rsidR="00833F7F" w:rsidRDefault="00833F7F" w:rsidP="00833F7F">
      <w:pPr>
        <w:pStyle w:val="NoSpacing"/>
        <w:jc w:val="both"/>
      </w:pPr>
      <w:r>
        <w:t>On appeal, the Commissioner (Appeals) upheld the impugned order.</w:t>
      </w:r>
    </w:p>
    <w:p w:rsidR="00833F7F" w:rsidRDefault="00833F7F" w:rsidP="00833F7F">
      <w:pPr>
        <w:pStyle w:val="NoSpacing"/>
        <w:jc w:val="both"/>
      </w:pPr>
      <w:r>
        <w:t xml:space="preserve">On second </w:t>
      </w:r>
      <w:proofErr w:type="gramStart"/>
      <w:r>
        <w:t>appeal :</w:t>
      </w:r>
      <w:proofErr w:type="gramEnd"/>
    </w:p>
    <w:p w:rsidR="00833F7F" w:rsidRDefault="00833F7F" w:rsidP="00833F7F">
      <w:pPr>
        <w:pStyle w:val="NoSpacing"/>
        <w:jc w:val="both"/>
      </w:pPr>
      <w:r>
        <w:t>HELD I</w:t>
      </w:r>
    </w:p>
    <w:p w:rsidR="00833F7F" w:rsidRDefault="00833F7F" w:rsidP="00833F7F">
      <w:pPr>
        <w:pStyle w:val="NoSpacing"/>
        <w:jc w:val="both"/>
      </w:pPr>
      <w:r>
        <w:lastRenderedPageBreak/>
        <w:t>When the notice is sent by speed post the postal authorities are the agent of the Assessing Officer. The proviso to section 143(2) requires the service of notice and not merely issue of notice.</w:t>
      </w:r>
    </w:p>
    <w:p w:rsidR="00833F7F" w:rsidRDefault="00833F7F" w:rsidP="00833F7F">
      <w:pPr>
        <w:pStyle w:val="NoSpacing"/>
        <w:jc w:val="both"/>
      </w:pPr>
      <w:r>
        <w:t xml:space="preserve">In the instant case, the notice was sent on 30-10-2002, at 11.50 A.M. The same was received at the end of </w:t>
      </w:r>
      <w:proofErr w:type="spellStart"/>
      <w:r>
        <w:t>assessee</w:t>
      </w:r>
      <w:proofErr w:type="spellEnd"/>
      <w:r>
        <w:t xml:space="preserve"> at the address mentioned in the return. Thereafter the notice was redirected at the instance of notice. In such a situation, the postal authorities acted as an agent of the </w:t>
      </w:r>
      <w:proofErr w:type="spellStart"/>
      <w:r>
        <w:t>noticee</w:t>
      </w:r>
      <w:proofErr w:type="spellEnd"/>
      <w:r>
        <w:rPr>
          <w:rStyle w:val="apple-converted-space"/>
          <w:color w:val="000000"/>
        </w:rPr>
        <w:t> </w:t>
      </w:r>
      <w:r>
        <w:rPr>
          <w:i/>
          <w:iCs/>
        </w:rPr>
        <w:t>i.e.</w:t>
      </w:r>
      <w:r>
        <w:t xml:space="preserve">, the </w:t>
      </w:r>
      <w:proofErr w:type="spellStart"/>
      <w:r>
        <w:t>assessee</w:t>
      </w:r>
      <w:proofErr w:type="spellEnd"/>
      <w:r>
        <w:t xml:space="preserve"> and not the Assessing Officer. (Para</w:t>
      </w:r>
      <w:r>
        <w:rPr>
          <w:rStyle w:val="apple-converted-space"/>
          <w:color w:val="000000"/>
        </w:rPr>
        <w:t> </w:t>
      </w:r>
      <w:r>
        <w:t>6)</w:t>
      </w:r>
    </w:p>
    <w:p w:rsidR="00833F7F" w:rsidRDefault="00833F7F" w:rsidP="00833F7F">
      <w:pPr>
        <w:pStyle w:val="NoSpacing"/>
        <w:jc w:val="both"/>
      </w:pPr>
      <w:r>
        <w:t xml:space="preserve">Therefore, the notice was served on the </w:t>
      </w:r>
      <w:proofErr w:type="spellStart"/>
      <w:r>
        <w:t>assessee</w:t>
      </w:r>
      <w:proofErr w:type="spellEnd"/>
      <w:r>
        <w:t xml:space="preserve"> on 31-10-2002 and thereafter it was redirected at the behest of the </w:t>
      </w:r>
      <w:proofErr w:type="spellStart"/>
      <w:r>
        <w:t>assessee</w:t>
      </w:r>
      <w:proofErr w:type="spellEnd"/>
      <w:r>
        <w:t xml:space="preserve"> to a new address which was served on 6-11-2002. However, since the notice originally sent was received on behalf of the </w:t>
      </w:r>
      <w:proofErr w:type="spellStart"/>
      <w:r>
        <w:t>assessee</w:t>
      </w:r>
      <w:proofErr w:type="spellEnd"/>
      <w:r>
        <w:t xml:space="preserve"> before it was redirected on 31-10-2002, the notice was within the limitation period and hence the assessment made pursuant to such notice was valid assessment. (Para</w:t>
      </w:r>
      <w:r>
        <w:rPr>
          <w:rStyle w:val="apple-converted-space"/>
          <w:color w:val="000000"/>
        </w:rPr>
        <w:t> </w:t>
      </w:r>
      <w:r>
        <w:t>7)</w:t>
      </w:r>
    </w:p>
    <w:p w:rsidR="00833F7F" w:rsidRDefault="00833F7F" w:rsidP="00833F7F">
      <w:pPr>
        <w:pStyle w:val="NoSpacing"/>
        <w:jc w:val="both"/>
        <w:rPr>
          <w:spacing w:val="-1"/>
        </w:rPr>
      </w:pPr>
      <w:r>
        <w:t>FACTS II</w:t>
      </w:r>
    </w:p>
    <w:p w:rsidR="00833F7F" w:rsidRDefault="00833F7F" w:rsidP="00833F7F">
      <w:pPr>
        <w:pStyle w:val="NoSpacing"/>
        <w:jc w:val="both"/>
        <w:rPr>
          <w:sz w:val="24"/>
          <w:szCs w:val="24"/>
        </w:rPr>
      </w:pPr>
      <w:r>
        <w:t xml:space="preserve">During the previous year, the </w:t>
      </w:r>
      <w:proofErr w:type="spellStart"/>
      <w:r>
        <w:t>assessee</w:t>
      </w:r>
      <w:proofErr w:type="spellEnd"/>
      <w:r>
        <w:t xml:space="preserve">-company had received certain amount in advance from a company ‘NE’. It had also received certain amount, as share application money from a company ‘NG’. The Assessing Officer treated both the sums received as deemed dividend since the payer companies had sufficient accumulated profits and accordingly added the said sums to the income of the </w:t>
      </w:r>
      <w:proofErr w:type="spellStart"/>
      <w:r>
        <w:t>assessee</w:t>
      </w:r>
      <w:proofErr w:type="spellEnd"/>
      <w:r>
        <w:t xml:space="preserve"> as deemed dividend under section 2(22)(e).</w:t>
      </w:r>
    </w:p>
    <w:p w:rsidR="00833F7F" w:rsidRDefault="00833F7F" w:rsidP="00833F7F">
      <w:pPr>
        <w:pStyle w:val="NoSpacing"/>
        <w:jc w:val="both"/>
      </w:pPr>
      <w:r>
        <w:t xml:space="preserve">On appeal, the Commissioner (appeals) having found that one D had a 37 per cent share in the </w:t>
      </w:r>
      <w:proofErr w:type="spellStart"/>
      <w:r>
        <w:t>assessee</w:t>
      </w:r>
      <w:proofErr w:type="spellEnd"/>
      <w:r>
        <w:t xml:space="preserve">-company, 17.68 per cent share in NG and 10 per cent share in NE, concluded that the loan received by the </w:t>
      </w:r>
      <w:proofErr w:type="spellStart"/>
      <w:r>
        <w:t>assessee</w:t>
      </w:r>
      <w:proofErr w:type="spellEnd"/>
      <w:r>
        <w:t>-company had rightly been treated as deemed dividend under section 2(22)(e).</w:t>
      </w:r>
    </w:p>
    <w:p w:rsidR="00833F7F" w:rsidRDefault="00833F7F" w:rsidP="00833F7F">
      <w:pPr>
        <w:pStyle w:val="NoSpacing"/>
        <w:jc w:val="both"/>
      </w:pPr>
      <w:r>
        <w:t xml:space="preserve">On second </w:t>
      </w:r>
      <w:proofErr w:type="gramStart"/>
      <w:r>
        <w:t>appeal :</w:t>
      </w:r>
      <w:proofErr w:type="gramEnd"/>
    </w:p>
    <w:p w:rsidR="00833F7F" w:rsidRDefault="00833F7F" w:rsidP="00833F7F">
      <w:pPr>
        <w:pStyle w:val="NoSpacing"/>
        <w:jc w:val="both"/>
      </w:pPr>
      <w:r>
        <w:t>HELD II</w:t>
      </w:r>
    </w:p>
    <w:p w:rsidR="00833F7F" w:rsidRDefault="00833F7F" w:rsidP="00833F7F">
      <w:pPr>
        <w:pStyle w:val="NoSpacing"/>
        <w:jc w:val="both"/>
      </w:pPr>
      <w:r>
        <w:t xml:space="preserve">Regarding the provision of section 2(22)(e), it is clear that as deemed dividend the amount can be considered if the payment is by way of advance or loan to a shareholder, being a person who is beneficial owner of </w:t>
      </w:r>
      <w:proofErr w:type="spellStart"/>
      <w:r>
        <w:t>sharesholding</w:t>
      </w:r>
      <w:proofErr w:type="spellEnd"/>
      <w:r>
        <w:t xml:space="preserve"> not less than 10 per cent of voting rights; or to any concern in which such shareholder is a member or a partner and in which he has substantial interest, or any payment by any such company on behalf, or for the individual benefit, of shareholder, or to the extent to which the company possesses accumulated profits. (Para</w:t>
      </w:r>
      <w:r>
        <w:rPr>
          <w:rStyle w:val="apple-converted-space"/>
          <w:color w:val="000000"/>
        </w:rPr>
        <w:t> </w:t>
      </w:r>
      <w:r>
        <w:t>11)</w:t>
      </w:r>
    </w:p>
    <w:p w:rsidR="00833F7F" w:rsidRDefault="00833F7F" w:rsidP="00833F7F">
      <w:pPr>
        <w:pStyle w:val="NoSpacing"/>
        <w:jc w:val="both"/>
      </w:pPr>
      <w:r>
        <w:t xml:space="preserve">In the instant case, the </w:t>
      </w:r>
      <w:proofErr w:type="spellStart"/>
      <w:r>
        <w:t>assessee</w:t>
      </w:r>
      <w:proofErr w:type="spellEnd"/>
      <w:r>
        <w:t xml:space="preserve"> was not a shareholder in any of the Companies NG or NE. The loan had been given to the </w:t>
      </w:r>
      <w:proofErr w:type="spellStart"/>
      <w:r>
        <w:t>assessee</w:t>
      </w:r>
      <w:proofErr w:type="spellEnd"/>
      <w:r>
        <w:t xml:space="preserve">-company. The loan was not given to any concern in which the </w:t>
      </w:r>
      <w:proofErr w:type="spellStart"/>
      <w:r>
        <w:t>assessee</w:t>
      </w:r>
      <w:proofErr w:type="spellEnd"/>
      <w:r>
        <w:t xml:space="preserve"> as a member or partner had substantial interest. The loan was not given to the </w:t>
      </w:r>
      <w:proofErr w:type="spellStart"/>
      <w:r>
        <w:t>assessee</w:t>
      </w:r>
      <w:proofErr w:type="spellEnd"/>
      <w:r>
        <w:t xml:space="preserve">-company for the benefit of any shareholder. The amount was received by the </w:t>
      </w:r>
      <w:proofErr w:type="spellStart"/>
      <w:r>
        <w:t>assessee</w:t>
      </w:r>
      <w:proofErr w:type="spellEnd"/>
      <w:r>
        <w:t xml:space="preserve">-company itself which was not a shareholder of any of the payer companies. The holding of D in the </w:t>
      </w:r>
      <w:proofErr w:type="spellStart"/>
      <w:r>
        <w:t>assessee</w:t>
      </w:r>
      <w:proofErr w:type="spellEnd"/>
      <w:r>
        <w:t xml:space="preserve">-company to the extent of 37.5 per cent or his holding of 17.68 per cent and 08.13 per cent in NG and NE respectively would neither alter the situation nor such factor would bring the payment by way of advance to the </w:t>
      </w:r>
      <w:proofErr w:type="spellStart"/>
      <w:r>
        <w:t>assessee</w:t>
      </w:r>
      <w:proofErr w:type="spellEnd"/>
      <w:r>
        <w:t>-company as deemed dividend under section 2( 22)( e). Since the appellant was not a shareholder holding any share in the payer companies, the provision of section 2(22</w:t>
      </w:r>
      <w:proofErr w:type="gramStart"/>
      <w:r>
        <w:t>)(</w:t>
      </w:r>
      <w:proofErr w:type="gramEnd"/>
      <w:r>
        <w:t>e) was not attracted. Hence, the addition in question was deleted. (Para</w:t>
      </w:r>
      <w:r>
        <w:rPr>
          <w:rStyle w:val="apple-converted-space"/>
          <w:color w:val="000000"/>
        </w:rPr>
        <w:t> </w:t>
      </w:r>
      <w:r>
        <w:t>12)</w:t>
      </w:r>
    </w:p>
    <w:p w:rsidR="00833F7F" w:rsidRDefault="00833F7F" w:rsidP="00833F7F">
      <w:pPr>
        <w:pStyle w:val="NoSpacing"/>
        <w:jc w:val="both"/>
      </w:pPr>
    </w:p>
    <w:p w:rsidR="00833F7F" w:rsidRDefault="00833F7F" w:rsidP="00833F7F">
      <w:pPr>
        <w:pStyle w:val="NoSpacing"/>
        <w:jc w:val="both"/>
      </w:pPr>
    </w:p>
    <w:p w:rsidR="00833F7F" w:rsidRDefault="00833F7F" w:rsidP="00833F7F">
      <w:pPr>
        <w:pStyle w:val="NoSpacing"/>
        <w:jc w:val="both"/>
      </w:pPr>
    </w:p>
    <w:p w:rsidR="00833F7F" w:rsidRDefault="00833F7F" w:rsidP="00833F7F">
      <w:pPr>
        <w:pStyle w:val="NoSpacing"/>
        <w:jc w:val="both"/>
      </w:pPr>
    </w:p>
    <w:p w:rsidR="00833F7F" w:rsidRDefault="00833F7F" w:rsidP="00833F7F">
      <w:pPr>
        <w:pStyle w:val="NoSpacing"/>
        <w:jc w:val="both"/>
      </w:pPr>
    </w:p>
    <w:p w:rsidR="00833F7F" w:rsidRDefault="00833F7F" w:rsidP="00833F7F">
      <w:pPr>
        <w:pStyle w:val="NoSpacing"/>
        <w:jc w:val="both"/>
      </w:pPr>
    </w:p>
    <w:p w:rsidR="00833F7F" w:rsidRDefault="00833F7F"/>
    <w:p w:rsidR="00833F7F" w:rsidRDefault="00833F7F"/>
    <w:sectPr w:rsidR="00833F7F" w:rsidSect="00C666E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Marigold">
    <w:altName w:val="Times New Roman"/>
    <w:panose1 w:val="00000000000000000000"/>
    <w:charset w:val="00"/>
    <w:family w:val="roman"/>
    <w:notTrueType/>
    <w:pitch w:val="default"/>
    <w:sig w:usb0="00000000" w:usb1="00000000" w:usb2="00000000" w:usb3="00000000" w:csb0="00000000" w:csb1="00000000"/>
  </w:font>
  <w:font w:name="Bangkok">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E786D"/>
    <w:multiLevelType w:val="hybridMultilevel"/>
    <w:tmpl w:val="EBF25570"/>
    <w:lvl w:ilvl="0" w:tplc="C89A3B28">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4C26FDA"/>
    <w:multiLevelType w:val="multilevel"/>
    <w:tmpl w:val="80DC1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872F2E"/>
    <w:rsid w:val="0000315C"/>
    <w:rsid w:val="000A352A"/>
    <w:rsid w:val="00116733"/>
    <w:rsid w:val="001C3409"/>
    <w:rsid w:val="002332DD"/>
    <w:rsid w:val="00264C0C"/>
    <w:rsid w:val="00322B7E"/>
    <w:rsid w:val="004354D1"/>
    <w:rsid w:val="004942E9"/>
    <w:rsid w:val="005C0399"/>
    <w:rsid w:val="00654E8D"/>
    <w:rsid w:val="00722786"/>
    <w:rsid w:val="007C21B7"/>
    <w:rsid w:val="00833F7F"/>
    <w:rsid w:val="00872F2E"/>
    <w:rsid w:val="0089307E"/>
    <w:rsid w:val="00B214BC"/>
    <w:rsid w:val="00BC76FB"/>
    <w:rsid w:val="00C666EE"/>
    <w:rsid w:val="00CC48D1"/>
    <w:rsid w:val="00E8467C"/>
    <w:rsid w:val="00FB40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6EE"/>
  </w:style>
  <w:style w:type="paragraph" w:styleId="Heading1">
    <w:name w:val="heading 1"/>
    <w:basedOn w:val="Normal"/>
    <w:next w:val="Normal"/>
    <w:link w:val="Heading1Char"/>
    <w:uiPriority w:val="9"/>
    <w:qFormat/>
    <w:rsid w:val="00435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354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872F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833F7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33F7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72F2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72F2E"/>
    <w:rPr>
      <w:strike w:val="0"/>
      <w:dstrike w:val="0"/>
      <w:color w:val="637EAD"/>
      <w:u w:val="none"/>
      <w:effect w:val="none"/>
    </w:rPr>
  </w:style>
  <w:style w:type="paragraph" w:styleId="NormalWeb">
    <w:name w:val="Normal (Web)"/>
    <w:basedOn w:val="Normal"/>
    <w:uiPriority w:val="99"/>
    <w:unhideWhenUsed/>
    <w:rsid w:val="00872F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354D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354D1"/>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unhideWhenUsed/>
    <w:rsid w:val="004354D1"/>
    <w:pPr>
      <w:spacing w:after="120" w:line="240" w:lineRule="auto"/>
      <w:jc w:val="both"/>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99"/>
    <w:rsid w:val="004354D1"/>
    <w:rPr>
      <w:rFonts w:ascii="Times New Roman" w:eastAsia="Times New Roman" w:hAnsi="Times New Roman" w:cs="Times New Roman"/>
      <w:b/>
      <w:bCs/>
      <w:sz w:val="24"/>
      <w:szCs w:val="24"/>
    </w:rPr>
  </w:style>
  <w:style w:type="paragraph" w:styleId="BodyText3">
    <w:name w:val="Body Text 3"/>
    <w:basedOn w:val="Normal"/>
    <w:link w:val="BodyText3Char"/>
    <w:uiPriority w:val="99"/>
    <w:unhideWhenUsed/>
    <w:rsid w:val="004354D1"/>
    <w:pPr>
      <w:spacing w:after="0" w:line="480" w:lineRule="auto"/>
      <w:jc w:val="both"/>
    </w:pPr>
    <w:rPr>
      <w:rFonts w:ascii="Times New Roman" w:eastAsia="Times New Roman" w:hAnsi="Times New Roman" w:cs="Times New Roman"/>
      <w:sz w:val="28"/>
      <w:szCs w:val="24"/>
    </w:rPr>
  </w:style>
  <w:style w:type="character" w:customStyle="1" w:styleId="BodyText3Char">
    <w:name w:val="Body Text 3 Char"/>
    <w:basedOn w:val="DefaultParagraphFont"/>
    <w:link w:val="BodyText3"/>
    <w:uiPriority w:val="99"/>
    <w:rsid w:val="004354D1"/>
    <w:rPr>
      <w:rFonts w:ascii="Times New Roman" w:eastAsia="Times New Roman" w:hAnsi="Times New Roman" w:cs="Times New Roman"/>
      <w:sz w:val="28"/>
      <w:szCs w:val="24"/>
    </w:rPr>
  </w:style>
  <w:style w:type="paragraph" w:styleId="BlockText">
    <w:name w:val="Block Text"/>
    <w:basedOn w:val="Normal"/>
    <w:uiPriority w:val="99"/>
    <w:semiHidden/>
    <w:unhideWhenUsed/>
    <w:rsid w:val="004354D1"/>
    <w:pPr>
      <w:spacing w:after="0" w:line="480" w:lineRule="auto"/>
      <w:ind w:left="1260" w:right="720"/>
      <w:jc w:val="both"/>
    </w:pPr>
    <w:rPr>
      <w:rFonts w:ascii="Times New Roman" w:eastAsia="Times New Roman" w:hAnsi="Times New Roman" w:cs="Times New Roman"/>
      <w:sz w:val="28"/>
      <w:szCs w:val="24"/>
    </w:rPr>
  </w:style>
  <w:style w:type="paragraph" w:styleId="BodyText2">
    <w:name w:val="Body Text 2"/>
    <w:basedOn w:val="Normal"/>
    <w:link w:val="BodyText2Char"/>
    <w:uiPriority w:val="99"/>
    <w:semiHidden/>
    <w:unhideWhenUsed/>
    <w:rsid w:val="000A352A"/>
    <w:pPr>
      <w:spacing w:after="120" w:line="480" w:lineRule="auto"/>
    </w:pPr>
  </w:style>
  <w:style w:type="character" w:customStyle="1" w:styleId="BodyText2Char">
    <w:name w:val="Body Text 2 Char"/>
    <w:basedOn w:val="DefaultParagraphFont"/>
    <w:link w:val="BodyText2"/>
    <w:uiPriority w:val="99"/>
    <w:semiHidden/>
    <w:rsid w:val="000A352A"/>
  </w:style>
  <w:style w:type="paragraph" w:styleId="NoSpacing">
    <w:name w:val="No Spacing"/>
    <w:uiPriority w:val="1"/>
    <w:qFormat/>
    <w:rsid w:val="00FB408D"/>
    <w:pPr>
      <w:spacing w:after="0" w:line="240" w:lineRule="auto"/>
    </w:pPr>
  </w:style>
  <w:style w:type="character" w:customStyle="1" w:styleId="apple-converted-space">
    <w:name w:val="apple-converted-space"/>
    <w:basedOn w:val="DefaultParagraphFont"/>
    <w:rsid w:val="00BC76FB"/>
  </w:style>
  <w:style w:type="character" w:customStyle="1" w:styleId="Heading5Char">
    <w:name w:val="Heading 5 Char"/>
    <w:basedOn w:val="DefaultParagraphFont"/>
    <w:link w:val="Heading5"/>
    <w:uiPriority w:val="9"/>
    <w:semiHidden/>
    <w:rsid w:val="00833F7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33F7F"/>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336658479">
      <w:bodyDiv w:val="1"/>
      <w:marLeft w:val="0"/>
      <w:marRight w:val="0"/>
      <w:marTop w:val="0"/>
      <w:marBottom w:val="0"/>
      <w:divBdr>
        <w:top w:val="none" w:sz="0" w:space="0" w:color="auto"/>
        <w:left w:val="none" w:sz="0" w:space="0" w:color="auto"/>
        <w:bottom w:val="none" w:sz="0" w:space="0" w:color="auto"/>
        <w:right w:val="none" w:sz="0" w:space="0" w:color="auto"/>
      </w:divBdr>
    </w:div>
    <w:div w:id="825323676">
      <w:bodyDiv w:val="1"/>
      <w:marLeft w:val="0"/>
      <w:marRight w:val="0"/>
      <w:marTop w:val="0"/>
      <w:marBottom w:val="0"/>
      <w:divBdr>
        <w:top w:val="none" w:sz="0" w:space="0" w:color="auto"/>
        <w:left w:val="none" w:sz="0" w:space="0" w:color="auto"/>
        <w:bottom w:val="none" w:sz="0" w:space="0" w:color="auto"/>
        <w:right w:val="none" w:sz="0" w:space="0" w:color="auto"/>
      </w:divBdr>
    </w:div>
    <w:div w:id="1087774039">
      <w:bodyDiv w:val="1"/>
      <w:marLeft w:val="0"/>
      <w:marRight w:val="0"/>
      <w:marTop w:val="0"/>
      <w:marBottom w:val="0"/>
      <w:divBdr>
        <w:top w:val="none" w:sz="0" w:space="0" w:color="auto"/>
        <w:left w:val="none" w:sz="0" w:space="0" w:color="auto"/>
        <w:bottom w:val="none" w:sz="0" w:space="0" w:color="auto"/>
        <w:right w:val="none" w:sz="0" w:space="0" w:color="auto"/>
      </w:divBdr>
      <w:divsChild>
        <w:div w:id="613904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6152302">
      <w:bodyDiv w:val="1"/>
      <w:marLeft w:val="0"/>
      <w:marRight w:val="0"/>
      <w:marTop w:val="0"/>
      <w:marBottom w:val="0"/>
      <w:divBdr>
        <w:top w:val="none" w:sz="0" w:space="0" w:color="auto"/>
        <w:left w:val="none" w:sz="0" w:space="0" w:color="auto"/>
        <w:bottom w:val="none" w:sz="0" w:space="0" w:color="auto"/>
        <w:right w:val="none" w:sz="0" w:space="0" w:color="auto"/>
      </w:divBdr>
      <w:divsChild>
        <w:div w:id="361902195">
          <w:marLeft w:val="0"/>
          <w:marRight w:val="0"/>
          <w:marTop w:val="0"/>
          <w:marBottom w:val="0"/>
          <w:divBdr>
            <w:top w:val="none" w:sz="0" w:space="0" w:color="auto"/>
            <w:left w:val="none" w:sz="0" w:space="0" w:color="auto"/>
            <w:bottom w:val="none" w:sz="0" w:space="0" w:color="auto"/>
            <w:right w:val="none" w:sz="0" w:space="0" w:color="auto"/>
          </w:divBdr>
        </w:div>
      </w:divsChild>
    </w:div>
    <w:div w:id="1748068494">
      <w:bodyDiv w:val="1"/>
      <w:marLeft w:val="0"/>
      <w:marRight w:val="0"/>
      <w:marTop w:val="0"/>
      <w:marBottom w:val="0"/>
      <w:divBdr>
        <w:top w:val="none" w:sz="0" w:space="0" w:color="auto"/>
        <w:left w:val="none" w:sz="0" w:space="0" w:color="auto"/>
        <w:bottom w:val="none" w:sz="0" w:space="0" w:color="auto"/>
        <w:right w:val="none" w:sz="0" w:space="0" w:color="auto"/>
      </w:divBdr>
    </w:div>
    <w:div w:id="1795752091">
      <w:bodyDiv w:val="1"/>
      <w:marLeft w:val="0"/>
      <w:marRight w:val="0"/>
      <w:marTop w:val="0"/>
      <w:marBottom w:val="0"/>
      <w:divBdr>
        <w:top w:val="none" w:sz="0" w:space="0" w:color="auto"/>
        <w:left w:val="none" w:sz="0" w:space="0" w:color="auto"/>
        <w:bottom w:val="none" w:sz="0" w:space="0" w:color="auto"/>
        <w:right w:val="none" w:sz="0" w:space="0" w:color="auto"/>
      </w:divBdr>
    </w:div>
    <w:div w:id="1842742002">
      <w:bodyDiv w:val="1"/>
      <w:marLeft w:val="0"/>
      <w:marRight w:val="0"/>
      <w:marTop w:val="0"/>
      <w:marBottom w:val="0"/>
      <w:divBdr>
        <w:top w:val="none" w:sz="0" w:space="0" w:color="auto"/>
        <w:left w:val="none" w:sz="0" w:space="0" w:color="auto"/>
        <w:bottom w:val="none" w:sz="0" w:space="0" w:color="auto"/>
        <w:right w:val="none" w:sz="0" w:space="0" w:color="auto"/>
      </w:divBdr>
      <w:divsChild>
        <w:div w:id="407188253">
          <w:marLeft w:val="0"/>
          <w:marRight w:val="0"/>
          <w:marTop w:val="0"/>
          <w:marBottom w:val="0"/>
          <w:divBdr>
            <w:top w:val="none" w:sz="0" w:space="0" w:color="auto"/>
            <w:left w:val="none" w:sz="0" w:space="0" w:color="auto"/>
            <w:bottom w:val="none" w:sz="0" w:space="0" w:color="auto"/>
            <w:right w:val="none" w:sz="0" w:space="0" w:color="auto"/>
          </w:divBdr>
        </w:div>
      </w:divsChild>
    </w:div>
    <w:div w:id="1988124584">
      <w:bodyDiv w:val="1"/>
      <w:marLeft w:val="0"/>
      <w:marRight w:val="0"/>
      <w:marTop w:val="0"/>
      <w:marBottom w:val="0"/>
      <w:divBdr>
        <w:top w:val="none" w:sz="0" w:space="0" w:color="auto"/>
        <w:left w:val="none" w:sz="0" w:space="0" w:color="auto"/>
        <w:bottom w:val="none" w:sz="0" w:space="0" w:color="auto"/>
        <w:right w:val="none" w:sz="0" w:space="0" w:color="auto"/>
      </w:divBdr>
      <w:divsChild>
        <w:div w:id="1145198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aclubindia.com/profile.asp?member_id=4007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11438</Words>
  <Characters>65197</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13</cp:revision>
  <dcterms:created xsi:type="dcterms:W3CDTF">2008-01-17T13:30:00Z</dcterms:created>
  <dcterms:modified xsi:type="dcterms:W3CDTF">2008-12-24T13:07:00Z</dcterms:modified>
</cp:coreProperties>
</file>