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E6B" w:rsidRPr="008C6C1D" w:rsidRDefault="00473E6B" w:rsidP="008C6C1D">
      <w:pPr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4"/>
          <w:szCs w:val="24"/>
        </w:rPr>
      </w:pPr>
    </w:p>
    <w:p w:rsidR="00473E6B" w:rsidRPr="008C6C1D" w:rsidRDefault="008C6C1D" w:rsidP="008C6C1D">
      <w:pPr>
        <w:spacing w:after="0" w:line="240" w:lineRule="auto"/>
        <w:jc w:val="both"/>
        <w:rPr>
          <w:rFonts w:asciiTheme="majorHAnsi" w:eastAsia="Times New Roman" w:hAnsiTheme="majorHAnsi" w:cs="Calibri"/>
          <w:b/>
          <w:color w:val="000000"/>
          <w:sz w:val="32"/>
          <w:szCs w:val="32"/>
          <w:u w:val="single"/>
        </w:rPr>
      </w:pPr>
      <w:r w:rsidRPr="008C6C1D">
        <w:rPr>
          <w:rFonts w:asciiTheme="majorHAnsi" w:eastAsia="Times New Roman" w:hAnsiTheme="majorHAnsi" w:cs="Calibri"/>
          <w:b/>
          <w:color w:val="000000"/>
          <w:sz w:val="32"/>
          <w:szCs w:val="32"/>
          <w:u w:val="single"/>
        </w:rPr>
        <w:t>Applicability</w:t>
      </w:r>
    </w:p>
    <w:p w:rsidR="00473E6B" w:rsidRPr="008C6C1D" w:rsidRDefault="00473E6B" w:rsidP="008C6C1D">
      <w:pPr>
        <w:spacing w:after="0" w:line="240" w:lineRule="auto"/>
        <w:jc w:val="both"/>
        <w:rPr>
          <w:rFonts w:asciiTheme="majorHAnsi" w:eastAsia="Times New Roman" w:hAnsiTheme="majorHAnsi" w:cs="Calibri"/>
          <w:color w:val="000000"/>
          <w:sz w:val="24"/>
          <w:szCs w:val="24"/>
        </w:rPr>
      </w:pPr>
    </w:p>
    <w:p w:rsidR="00473E6B" w:rsidRPr="008C6C1D" w:rsidRDefault="00473E6B" w:rsidP="008C6C1D">
      <w:pPr>
        <w:jc w:val="both"/>
        <w:rPr>
          <w:rFonts w:asciiTheme="majorHAnsi" w:eastAsia="Calibri" w:hAnsiTheme="majorHAnsi" w:cs="Arial"/>
          <w:sz w:val="24"/>
          <w:szCs w:val="24"/>
        </w:rPr>
      </w:pPr>
      <w:r w:rsidRPr="008C6C1D">
        <w:rPr>
          <w:rFonts w:asciiTheme="majorHAnsi" w:eastAsia="Calibri" w:hAnsiTheme="majorHAnsi" w:cs="Arial"/>
          <w:sz w:val="24"/>
          <w:szCs w:val="24"/>
        </w:rPr>
        <w:t xml:space="preserve">It shall apply to every company including a foreign company as defined in Sec 591 of the Act, </w:t>
      </w:r>
      <w:r w:rsidRPr="008C6C1D">
        <w:rPr>
          <w:rFonts w:asciiTheme="majorHAnsi" w:eastAsia="Calibri" w:hAnsiTheme="majorHAnsi" w:cs="Arial"/>
          <w:b/>
          <w:sz w:val="24"/>
          <w:szCs w:val="24"/>
        </w:rPr>
        <w:t>except the following</w:t>
      </w:r>
      <w:r w:rsidRPr="008C6C1D">
        <w:rPr>
          <w:rFonts w:asciiTheme="majorHAnsi" w:eastAsia="Calibri" w:hAnsiTheme="majorHAnsi" w:cs="Arial"/>
          <w:sz w:val="24"/>
          <w:szCs w:val="24"/>
        </w:rPr>
        <w:t xml:space="preserve"> :-  </w:t>
      </w:r>
    </w:p>
    <w:p w:rsidR="00473E6B" w:rsidRPr="008C6C1D" w:rsidRDefault="00473E6B" w:rsidP="008C6C1D">
      <w:pPr>
        <w:jc w:val="both"/>
        <w:rPr>
          <w:rFonts w:asciiTheme="majorHAnsi" w:eastAsia="Calibri" w:hAnsiTheme="majorHAnsi" w:cs="Arial"/>
          <w:sz w:val="24"/>
          <w:szCs w:val="24"/>
        </w:rPr>
      </w:pPr>
      <w:r w:rsidRPr="008C6C1D">
        <w:rPr>
          <w:rFonts w:asciiTheme="majorHAnsi" w:eastAsia="Calibri" w:hAnsiTheme="majorHAnsi" w:cs="Arial"/>
          <w:sz w:val="24"/>
          <w:szCs w:val="24"/>
        </w:rPr>
        <w:t>1) Banking Company as defined in clause (c) of section 5 of the Banking</w:t>
      </w:r>
      <w:r w:rsidR="008C6C1D"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8C6C1D">
        <w:rPr>
          <w:rFonts w:asciiTheme="majorHAnsi" w:eastAsia="Calibri" w:hAnsiTheme="majorHAnsi" w:cs="Arial"/>
          <w:sz w:val="24"/>
          <w:szCs w:val="24"/>
        </w:rPr>
        <w:t xml:space="preserve">Regulation Act, 1949. </w:t>
      </w:r>
    </w:p>
    <w:p w:rsidR="00473E6B" w:rsidRPr="008C6C1D" w:rsidRDefault="00473E6B" w:rsidP="008C6C1D">
      <w:pPr>
        <w:jc w:val="both"/>
        <w:rPr>
          <w:rFonts w:asciiTheme="majorHAnsi" w:eastAsia="Calibri" w:hAnsiTheme="majorHAnsi" w:cs="Arial"/>
          <w:sz w:val="24"/>
          <w:szCs w:val="24"/>
        </w:rPr>
      </w:pPr>
      <w:r w:rsidRPr="008C6C1D">
        <w:rPr>
          <w:rFonts w:asciiTheme="majorHAnsi" w:eastAsia="Calibri" w:hAnsiTheme="majorHAnsi" w:cs="Arial"/>
          <w:sz w:val="24"/>
          <w:szCs w:val="24"/>
        </w:rPr>
        <w:t xml:space="preserve">3) Insurance Company as defined in clause (21) of section 2 of the Act. </w:t>
      </w:r>
    </w:p>
    <w:p w:rsidR="008C6C1D" w:rsidRDefault="00473E6B" w:rsidP="008C6C1D">
      <w:pPr>
        <w:jc w:val="both"/>
        <w:rPr>
          <w:rFonts w:asciiTheme="majorHAnsi" w:eastAsia="Calibri" w:hAnsiTheme="majorHAnsi" w:cs="Arial"/>
          <w:sz w:val="24"/>
          <w:szCs w:val="24"/>
        </w:rPr>
      </w:pPr>
      <w:r w:rsidRPr="008C6C1D">
        <w:rPr>
          <w:rFonts w:asciiTheme="majorHAnsi" w:eastAsia="Calibri" w:hAnsiTheme="majorHAnsi" w:cs="Arial"/>
          <w:sz w:val="24"/>
          <w:szCs w:val="24"/>
        </w:rPr>
        <w:t xml:space="preserve">4) A Company licensed to operate under section 25 of the </w:t>
      </w:r>
      <w:r w:rsidR="008C6C1D">
        <w:rPr>
          <w:rFonts w:asciiTheme="majorHAnsi" w:eastAsia="Calibri" w:hAnsiTheme="majorHAnsi" w:cs="Arial"/>
          <w:sz w:val="24"/>
          <w:szCs w:val="24"/>
        </w:rPr>
        <w:t xml:space="preserve">Company </w:t>
      </w:r>
      <w:r w:rsidRPr="008C6C1D">
        <w:rPr>
          <w:rFonts w:asciiTheme="majorHAnsi" w:eastAsia="Calibri" w:hAnsiTheme="majorHAnsi" w:cs="Arial"/>
          <w:sz w:val="24"/>
          <w:szCs w:val="24"/>
        </w:rPr>
        <w:t>Act.</w:t>
      </w:r>
    </w:p>
    <w:p w:rsidR="00473E6B" w:rsidRPr="008C6C1D" w:rsidRDefault="008C6C1D" w:rsidP="008C6C1D">
      <w:pPr>
        <w:jc w:val="both"/>
        <w:rPr>
          <w:rFonts w:asciiTheme="majorHAnsi" w:eastAsia="Calibri" w:hAnsiTheme="majorHAnsi" w:cs="Arial"/>
          <w:sz w:val="24"/>
          <w:szCs w:val="24"/>
        </w:rPr>
      </w:pPr>
      <w:r>
        <w:rPr>
          <w:rFonts w:asciiTheme="majorHAnsi" w:eastAsia="Calibri" w:hAnsiTheme="majorHAnsi" w:cs="Arial"/>
          <w:sz w:val="24"/>
          <w:szCs w:val="24"/>
        </w:rPr>
        <w:t xml:space="preserve">5) </w:t>
      </w:r>
      <w:r w:rsidR="00473E6B" w:rsidRPr="008C6C1D">
        <w:rPr>
          <w:rFonts w:asciiTheme="majorHAnsi" w:eastAsia="Calibri" w:hAnsiTheme="majorHAnsi" w:cs="Arial"/>
          <w:sz w:val="24"/>
          <w:szCs w:val="24"/>
        </w:rPr>
        <w:t>CARO will not be applicable if all the below conditions are satisfied</w:t>
      </w:r>
      <w:r>
        <w:rPr>
          <w:rFonts w:asciiTheme="majorHAnsi" w:eastAsia="Calibri" w:hAnsiTheme="majorHAnsi" w:cs="Arial"/>
          <w:sz w:val="24"/>
          <w:szCs w:val="24"/>
        </w:rPr>
        <w:t xml:space="preserve"> t</w:t>
      </w:r>
      <w:r w:rsidR="00473E6B" w:rsidRPr="008C6C1D">
        <w:rPr>
          <w:rFonts w:asciiTheme="majorHAnsi" w:eastAsia="Calibri" w:hAnsiTheme="majorHAnsi" w:cs="Arial"/>
          <w:sz w:val="24"/>
          <w:szCs w:val="24"/>
        </w:rPr>
        <w:t xml:space="preserve">ogether:- </w:t>
      </w:r>
    </w:p>
    <w:p w:rsidR="00473E6B" w:rsidRPr="008C6C1D" w:rsidRDefault="00473E6B" w:rsidP="008C6C1D">
      <w:pPr>
        <w:ind w:firstLine="720"/>
        <w:jc w:val="both"/>
        <w:rPr>
          <w:rFonts w:asciiTheme="majorHAnsi" w:eastAsia="Calibri" w:hAnsiTheme="majorHAnsi" w:cs="Arial"/>
          <w:sz w:val="24"/>
          <w:szCs w:val="24"/>
        </w:rPr>
      </w:pPr>
      <w:r w:rsidRPr="008C6C1D">
        <w:rPr>
          <w:rFonts w:asciiTheme="majorHAnsi" w:eastAsia="Calibri" w:hAnsiTheme="majorHAnsi" w:cs="Arial"/>
          <w:sz w:val="24"/>
          <w:szCs w:val="24"/>
        </w:rPr>
        <w:t xml:space="preserve">a) </w:t>
      </w:r>
      <w:r w:rsidR="008C6C1D" w:rsidRPr="008C6C1D">
        <w:rPr>
          <w:rFonts w:asciiTheme="majorHAnsi" w:eastAsia="Calibri" w:hAnsiTheme="majorHAnsi" w:cs="Arial"/>
          <w:sz w:val="24"/>
          <w:szCs w:val="24"/>
        </w:rPr>
        <w:t>Private</w:t>
      </w:r>
      <w:r w:rsidR="008C6C1D">
        <w:rPr>
          <w:rFonts w:asciiTheme="majorHAnsi" w:eastAsia="Calibri" w:hAnsiTheme="majorHAnsi" w:cs="Arial"/>
          <w:sz w:val="24"/>
          <w:szCs w:val="24"/>
        </w:rPr>
        <w:t xml:space="preserve"> limited company, and</w:t>
      </w:r>
    </w:p>
    <w:p w:rsidR="00473E6B" w:rsidRPr="008C6C1D" w:rsidRDefault="00473E6B" w:rsidP="008C6C1D">
      <w:pPr>
        <w:ind w:firstLine="720"/>
        <w:jc w:val="both"/>
        <w:rPr>
          <w:rFonts w:asciiTheme="majorHAnsi" w:eastAsia="Calibri" w:hAnsiTheme="majorHAnsi" w:cs="Arial"/>
          <w:sz w:val="24"/>
          <w:szCs w:val="24"/>
        </w:rPr>
      </w:pPr>
      <w:r w:rsidRPr="008C6C1D">
        <w:rPr>
          <w:rFonts w:asciiTheme="majorHAnsi" w:eastAsia="Calibri" w:hAnsiTheme="majorHAnsi" w:cs="Arial"/>
          <w:sz w:val="24"/>
          <w:szCs w:val="24"/>
        </w:rPr>
        <w:t>b) paid up capital &amp; reserves is 50 lacs or less</w:t>
      </w:r>
      <w:r w:rsidR="008C6C1D">
        <w:rPr>
          <w:rFonts w:asciiTheme="majorHAnsi" w:eastAsia="Calibri" w:hAnsiTheme="majorHAnsi" w:cs="Arial"/>
          <w:sz w:val="24"/>
          <w:szCs w:val="24"/>
        </w:rPr>
        <w:t>,</w:t>
      </w:r>
      <w:r w:rsidRPr="008C6C1D">
        <w:rPr>
          <w:rFonts w:asciiTheme="majorHAnsi" w:eastAsia="Calibri" w:hAnsiTheme="majorHAnsi" w:cs="Arial"/>
          <w:sz w:val="24"/>
          <w:szCs w:val="24"/>
        </w:rPr>
        <w:t xml:space="preserve"> </w:t>
      </w:r>
      <w:r w:rsidR="008C6C1D">
        <w:rPr>
          <w:rFonts w:asciiTheme="majorHAnsi" w:eastAsia="Calibri" w:hAnsiTheme="majorHAnsi" w:cs="Arial"/>
          <w:sz w:val="24"/>
          <w:szCs w:val="24"/>
        </w:rPr>
        <w:t>and</w:t>
      </w:r>
    </w:p>
    <w:p w:rsidR="00473E6B" w:rsidRPr="008C6C1D" w:rsidRDefault="00473E6B" w:rsidP="008C6C1D">
      <w:pPr>
        <w:ind w:firstLine="720"/>
        <w:jc w:val="both"/>
        <w:rPr>
          <w:rFonts w:asciiTheme="majorHAnsi" w:eastAsia="Calibri" w:hAnsiTheme="majorHAnsi" w:cs="Arial"/>
          <w:sz w:val="24"/>
          <w:szCs w:val="24"/>
        </w:rPr>
      </w:pPr>
      <w:r w:rsidRPr="008C6C1D">
        <w:rPr>
          <w:rFonts w:asciiTheme="majorHAnsi" w:eastAsia="Calibri" w:hAnsiTheme="majorHAnsi" w:cs="Arial"/>
          <w:sz w:val="24"/>
          <w:szCs w:val="24"/>
        </w:rPr>
        <w:t>c) Outstanding loan from Banks or Financial Institutions is 25lacs or less</w:t>
      </w:r>
      <w:r w:rsidR="008C6C1D">
        <w:rPr>
          <w:rFonts w:asciiTheme="majorHAnsi" w:eastAsia="Calibri" w:hAnsiTheme="majorHAnsi" w:cs="Arial"/>
          <w:sz w:val="24"/>
          <w:szCs w:val="24"/>
        </w:rPr>
        <w:t>, and</w:t>
      </w:r>
    </w:p>
    <w:p w:rsidR="00473E6B" w:rsidRPr="008C6C1D" w:rsidRDefault="00473E6B" w:rsidP="008C6C1D">
      <w:pPr>
        <w:ind w:firstLine="720"/>
        <w:jc w:val="both"/>
        <w:rPr>
          <w:rFonts w:asciiTheme="majorHAnsi" w:eastAsia="Calibri" w:hAnsiTheme="majorHAnsi" w:cs="Arial"/>
          <w:sz w:val="24"/>
          <w:szCs w:val="24"/>
        </w:rPr>
      </w:pPr>
      <w:r w:rsidRPr="008C6C1D">
        <w:rPr>
          <w:rFonts w:asciiTheme="majorHAnsi" w:eastAsia="Calibri" w:hAnsiTheme="majorHAnsi" w:cs="Arial"/>
          <w:sz w:val="24"/>
          <w:szCs w:val="24"/>
        </w:rPr>
        <w:t>d</w:t>
      </w:r>
      <w:r w:rsidR="008C6C1D">
        <w:rPr>
          <w:rFonts w:asciiTheme="majorHAnsi" w:eastAsia="Calibri" w:hAnsiTheme="majorHAnsi" w:cs="Arial"/>
          <w:sz w:val="24"/>
          <w:szCs w:val="24"/>
        </w:rPr>
        <w:t>) Turnover is 5 crores or less.</w:t>
      </w:r>
    </w:p>
    <w:p w:rsidR="002C5303" w:rsidRDefault="002C5303" w:rsidP="002C5303">
      <w:pPr>
        <w:spacing w:line="240" w:lineRule="auto"/>
        <w:jc w:val="both"/>
        <w:rPr>
          <w:rFonts w:asciiTheme="majorHAnsi" w:eastAsia="Calibri" w:hAnsiTheme="majorHAnsi" w:cs="Arial"/>
          <w:sz w:val="24"/>
          <w:szCs w:val="24"/>
        </w:rPr>
      </w:pPr>
    </w:p>
    <w:p w:rsidR="00473E6B" w:rsidRDefault="002C5303" w:rsidP="002C5303">
      <w:pPr>
        <w:spacing w:line="360" w:lineRule="auto"/>
        <w:jc w:val="both"/>
        <w:rPr>
          <w:rFonts w:asciiTheme="majorHAnsi" w:eastAsia="Calibri" w:hAnsiTheme="majorHAnsi" w:cs="Arial"/>
          <w:sz w:val="24"/>
          <w:szCs w:val="24"/>
        </w:rPr>
      </w:pPr>
      <w:r w:rsidRPr="002C5303">
        <w:rPr>
          <w:rFonts w:asciiTheme="majorHAnsi" w:eastAsia="Calibri" w:hAnsiTheme="majorHAnsi" w:cs="Arial"/>
          <w:sz w:val="24"/>
          <w:szCs w:val="24"/>
        </w:rPr>
        <w:t>The Companies (Auditor’s Report) Order, 2003 (CARO, 2003) was issued in June 2003 and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>came into force on the 1st day of July 2003. The Government’s notification notifying the Companies (Auditor’s Report) (Amendment)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>Order, 2004 clarifies that the Amendment Order would be effective from the date of its publication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>in the Official Gazette; i.e.,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>November 25, 2004. Therefore, all audit reports issued on or after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>November 25, 2004 are required to comply with amendments contained herein read with the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>Companies (Auditor’s Report</w:t>
      </w:r>
      <w:r>
        <w:rPr>
          <w:rFonts w:asciiTheme="majorHAnsi" w:eastAsia="Calibri" w:hAnsiTheme="majorHAnsi" w:cs="Arial"/>
          <w:sz w:val="24"/>
          <w:szCs w:val="24"/>
        </w:rPr>
        <w:t>) Order, 2003 of June 12, 2003.</w:t>
      </w:r>
    </w:p>
    <w:p w:rsidR="002C5303" w:rsidRDefault="002C5303" w:rsidP="002C5303">
      <w:pPr>
        <w:spacing w:line="360" w:lineRule="auto"/>
        <w:jc w:val="both"/>
        <w:rPr>
          <w:rFonts w:asciiTheme="majorHAnsi" w:eastAsia="Calibri" w:hAnsiTheme="majorHAnsi" w:cs="Arial"/>
          <w:sz w:val="24"/>
          <w:szCs w:val="24"/>
        </w:rPr>
      </w:pPr>
      <w:r w:rsidRPr="002C5303">
        <w:rPr>
          <w:rFonts w:asciiTheme="majorHAnsi" w:eastAsia="Calibri" w:hAnsiTheme="majorHAnsi" w:cs="Arial"/>
          <w:sz w:val="24"/>
          <w:szCs w:val="24"/>
        </w:rPr>
        <w:t>Further, the Order requires that every report made by the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>auditor under section 227 of the Act on the accounts of every company examined by him to which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>the Order applies, for every financial year ending on any day on or after the commencement of this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>Order, shall contain matters specified in paragraphs 4 and 5 of the said Order. This implies that the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>auditor’s report, on accounts in respect of financial year ending on or before 30th June 2003, even if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 xml:space="preserve">issued on or after 1st July 2003 is not required to contain report on matters </w:t>
      </w:r>
      <w:r w:rsidRPr="002C5303">
        <w:rPr>
          <w:rFonts w:asciiTheme="majorHAnsi" w:eastAsia="Calibri" w:hAnsiTheme="majorHAnsi" w:cs="Arial"/>
          <w:sz w:val="24"/>
          <w:szCs w:val="24"/>
        </w:rPr>
        <w:lastRenderedPageBreak/>
        <w:t>specified in the CARO,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>2003. However, the auditor’s report, in such cases, should include a statement on matters</w:t>
      </w:r>
      <w:r>
        <w:rPr>
          <w:rFonts w:asciiTheme="majorHAnsi" w:eastAsia="Calibri" w:hAnsiTheme="majorHAnsi" w:cs="Arial"/>
          <w:sz w:val="24"/>
          <w:szCs w:val="24"/>
        </w:rPr>
        <w:t xml:space="preserve"> </w:t>
      </w:r>
      <w:r w:rsidRPr="002C5303">
        <w:rPr>
          <w:rFonts w:asciiTheme="majorHAnsi" w:eastAsia="Calibri" w:hAnsiTheme="majorHAnsi" w:cs="Arial"/>
          <w:sz w:val="24"/>
          <w:szCs w:val="24"/>
        </w:rPr>
        <w:t>specified</w:t>
      </w:r>
      <w:r>
        <w:rPr>
          <w:rFonts w:asciiTheme="majorHAnsi" w:eastAsia="Calibri" w:hAnsiTheme="majorHAnsi" w:cs="Arial"/>
          <w:sz w:val="24"/>
          <w:szCs w:val="24"/>
        </w:rPr>
        <w:t xml:space="preserve"> are:-</w:t>
      </w:r>
    </w:p>
    <w:p w:rsidR="00B05511" w:rsidRPr="002C5303" w:rsidRDefault="00B05511" w:rsidP="002C5303">
      <w:pPr>
        <w:spacing w:line="360" w:lineRule="auto"/>
        <w:jc w:val="both"/>
        <w:rPr>
          <w:rFonts w:asciiTheme="majorHAnsi" w:eastAsia="Calibri" w:hAnsiTheme="majorHAnsi" w:cs="Arial"/>
          <w:sz w:val="24"/>
          <w:szCs w:val="24"/>
        </w:rPr>
      </w:pPr>
    </w:p>
    <w:tbl>
      <w:tblPr>
        <w:tblStyle w:val="TableGrid"/>
        <w:tblW w:w="9615" w:type="dxa"/>
        <w:tblLook w:val="04A0"/>
      </w:tblPr>
      <w:tblGrid>
        <w:gridCol w:w="720"/>
        <w:gridCol w:w="2595"/>
        <w:gridCol w:w="6300"/>
      </w:tblGrid>
      <w:tr w:rsidR="00473E6B" w:rsidRPr="008C6C1D" w:rsidTr="00473E6B">
        <w:tc>
          <w:tcPr>
            <w:tcW w:w="720" w:type="dxa"/>
            <w:vAlign w:val="bottom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b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000000"/>
                <w:sz w:val="24"/>
                <w:szCs w:val="24"/>
              </w:rPr>
              <w:t>Sr. No.</w:t>
            </w:r>
          </w:p>
        </w:tc>
        <w:tc>
          <w:tcPr>
            <w:tcW w:w="2595" w:type="dxa"/>
            <w:vAlign w:val="bottom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b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sz w:val="24"/>
                <w:szCs w:val="24"/>
              </w:rPr>
              <w:t>Details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i.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Fixed Assets.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Maintenance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Fixed Assets Register.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Disposal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Substantial part of Assets? Whether affects Going Concern? SA570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Proper Records and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QuantitativeDetails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Physical Verification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Fixed Assets.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ii.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Inventory.</w:t>
            </w:r>
            <w:bookmarkStart w:id="0" w:name="_GoBack"/>
            <w:bookmarkEnd w:id="0"/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Maintenance of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proper Record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inventory.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Method followed for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valuation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inventory.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Change in Method of valuation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during the year.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Effect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on accounts due to such change.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Physical verification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 of inventory.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Loans &amp; Advances.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Nature and Amount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loan granted.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Amount of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interest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charged and rate of interest.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Whether proper steps for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 xml:space="preserve">Recovery 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Principal and interest on Loan taken?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iv.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Internal control System.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Whether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adequate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internal control system applied?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Weaknesses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in internal control system should be </w:t>
            </w:r>
            <w:r w:rsidRPr="008C6C1D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Reported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v.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Transactions with Parties Referred in Section 301 of Companies Act, 1956.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Particulars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contracts and arrangements.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Reasonableness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transactions.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 xml:space="preserve">Nature and Amount 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transactions.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vi.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Deposits with Public.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Followance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 of application provisional norms.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Reporting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on Contravention of the same.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vii.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Internal Audit System.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Criteria for </w:t>
            </w:r>
            <w:r w:rsidRPr="008C6C1D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applicability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 of Internal Audit System followed?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Whether adequate Internal Audit System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maintained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lastRenderedPageBreak/>
              <w:t>viii.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Cost Accounting Record.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Maintenance of Cost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records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as per rules.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ix.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Statutory Dues.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Regularity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in Depositing undisputed statutory dues and other taxes.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Reporting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on not deposit of undisputed statutory dues.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x.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Loss Accumulated.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Company in existence for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more than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5 years, if having </w:t>
            </w:r>
            <w:r w:rsidRPr="008C6C1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accumulated loss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morethan</w:t>
            </w:r>
            <w:r w:rsidRPr="008C6C1D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50%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of its </w:t>
            </w:r>
            <w:r w:rsidRPr="008C6C1D">
              <w:rPr>
                <w:rFonts w:asciiTheme="majorHAnsi" w:hAnsiTheme="majorHAnsi"/>
                <w:b/>
                <w:color w:val="00B0F0"/>
                <w:sz w:val="24"/>
                <w:szCs w:val="24"/>
                <w:u w:val="single"/>
              </w:rPr>
              <w:t>net worth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, these should be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reported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. 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And whether it has incurred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cash losses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during immediately preceding financial year.  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xi.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Repayment of Dues.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Whether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 xml:space="preserve">Default 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in repayment?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Period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and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Amount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 of Default in repayment. 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xii.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Loans &amp; Advances Against Security of Pledge of Shares, Debentures.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Whether adequate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documents and records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the same maintained.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xiii.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Chit Fund\ Nidhi Funds\Mutual Benefits Funds.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Whether Applicable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provisions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duely complied with. 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xiv.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Proper Records of trading in shares.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Whether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proper records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the same maintained.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xv.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Guarantee Loans.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>Whether company has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provided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any guarantee?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Nature and Amount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said guarantee.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 xml:space="preserve">Disclosure  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 of Guarantee. </w:t>
            </w:r>
          </w:p>
        </w:tc>
      </w:tr>
      <w:tr w:rsidR="00473E6B" w:rsidRPr="008C6C1D" w:rsidTr="00473E6B">
        <w:trPr>
          <w:trHeight w:val="755"/>
        </w:trPr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xvi.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End use of Funds.(own funds)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Whether end use of Money is done for the same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purpose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for which loan is granted?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xvii.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Application of Short </w:t>
            </w: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lastRenderedPageBreak/>
              <w:t>term loan for Long terms purpose.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Is there any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application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of short term loan for Long </w:t>
            </w:r>
            <w:r w:rsidRPr="008C6C1D">
              <w:rPr>
                <w:rFonts w:asciiTheme="majorHAnsi" w:hAnsiTheme="majorHAnsi"/>
                <w:sz w:val="24"/>
                <w:szCs w:val="24"/>
              </w:rPr>
              <w:lastRenderedPageBreak/>
              <w:t>term Purpose?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Nature and amount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 of said application.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lastRenderedPageBreak/>
              <w:t>xviii.</w:t>
            </w:r>
          </w:p>
        </w:tc>
        <w:tc>
          <w:tcPr>
            <w:tcW w:w="2595" w:type="dxa"/>
            <w:vAlign w:val="bottom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Preferential Allotment.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Whether preferential allotment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made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?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Price and reasonableness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the said allotment.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xix.</w:t>
            </w:r>
          </w:p>
        </w:tc>
        <w:tc>
          <w:tcPr>
            <w:tcW w:w="2595" w:type="dxa"/>
            <w:vAlign w:val="bottom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Security\ Charge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Whether security or charge has been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created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on debentures issued?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Nature and amount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 of charge created.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xx.</w:t>
            </w:r>
          </w:p>
        </w:tc>
        <w:tc>
          <w:tcPr>
            <w:tcW w:w="2595" w:type="dxa"/>
            <w:vAlign w:val="bottom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End use of Money raised from Public.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Disclosure and verification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of the same by the Management.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Used for the purpose for which money is taken.</w:t>
            </w:r>
          </w:p>
        </w:tc>
      </w:tr>
      <w:tr w:rsidR="00473E6B" w:rsidRPr="008C6C1D" w:rsidTr="00473E6B">
        <w:tc>
          <w:tcPr>
            <w:tcW w:w="720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xxi.</w:t>
            </w:r>
          </w:p>
        </w:tc>
        <w:tc>
          <w:tcPr>
            <w:tcW w:w="2595" w:type="dxa"/>
            <w:vAlign w:val="center"/>
          </w:tcPr>
          <w:p w:rsidR="00473E6B" w:rsidRPr="008C6C1D" w:rsidRDefault="00473E6B" w:rsidP="008C6C1D">
            <w:pPr>
              <w:spacing w:line="360" w:lineRule="auto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color w:val="000000"/>
                <w:sz w:val="24"/>
                <w:szCs w:val="24"/>
              </w:rPr>
              <w:t>Fraud.</w:t>
            </w:r>
          </w:p>
        </w:tc>
        <w:tc>
          <w:tcPr>
            <w:tcW w:w="6300" w:type="dxa"/>
          </w:tcPr>
          <w:p w:rsidR="00473E6B" w:rsidRPr="008C6C1D" w:rsidRDefault="00473E6B" w:rsidP="008C6C1D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Whether any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fraud notices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 during the reporting period?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Should it be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Reported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?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Nature and Amount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involved in the fraud should be reported.</w:t>
            </w:r>
          </w:p>
          <w:p w:rsidR="00473E6B" w:rsidRPr="008C6C1D" w:rsidRDefault="00473E6B" w:rsidP="008C6C1D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C6C1D">
              <w:rPr>
                <w:rFonts w:asciiTheme="majorHAnsi" w:hAnsiTheme="majorHAnsi"/>
                <w:sz w:val="24"/>
                <w:szCs w:val="24"/>
              </w:rPr>
              <w:t xml:space="preserve">Whether Company’s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Fundamental Assumption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 xml:space="preserve">viz. Going Concern would be affected due to said fraud should be </w:t>
            </w:r>
            <w:r w:rsidRPr="008C6C1D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reported</w:t>
            </w:r>
            <w:r w:rsidRPr="008C6C1D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</w:tbl>
    <w:p w:rsidR="003F40E7" w:rsidRPr="008C6C1D" w:rsidRDefault="003F40E7" w:rsidP="008C6C1D">
      <w:pPr>
        <w:jc w:val="both"/>
        <w:rPr>
          <w:rFonts w:asciiTheme="majorHAnsi" w:hAnsiTheme="majorHAnsi"/>
          <w:sz w:val="24"/>
          <w:szCs w:val="24"/>
        </w:rPr>
      </w:pPr>
    </w:p>
    <w:p w:rsidR="00907713" w:rsidRPr="008C6C1D" w:rsidRDefault="00907713" w:rsidP="008C6C1D">
      <w:pPr>
        <w:jc w:val="both"/>
        <w:rPr>
          <w:rFonts w:asciiTheme="majorHAnsi" w:hAnsiTheme="majorHAnsi"/>
          <w:sz w:val="24"/>
          <w:szCs w:val="24"/>
        </w:rPr>
      </w:pPr>
    </w:p>
    <w:sectPr w:rsidR="00907713" w:rsidRPr="008C6C1D" w:rsidSect="00606EFD">
      <w:headerReference w:type="default" r:id="rId8"/>
      <w:footerReference w:type="default" r:id="rId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7FC" w:rsidRDefault="007657FC" w:rsidP="00D16FF3">
      <w:pPr>
        <w:spacing w:after="0" w:line="240" w:lineRule="auto"/>
      </w:pPr>
      <w:r>
        <w:separator/>
      </w:r>
    </w:p>
  </w:endnote>
  <w:endnote w:type="continuationSeparator" w:id="1">
    <w:p w:rsidR="007657FC" w:rsidRDefault="007657FC" w:rsidP="00D16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FF3" w:rsidRDefault="00D16FF3" w:rsidP="00D16FF3">
    <w:pPr>
      <w:pStyle w:val="Footer"/>
      <w:ind w:left="108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7FC" w:rsidRDefault="007657FC" w:rsidP="00D16FF3">
      <w:pPr>
        <w:spacing w:after="0" w:line="240" w:lineRule="auto"/>
      </w:pPr>
      <w:r>
        <w:separator/>
      </w:r>
    </w:p>
  </w:footnote>
  <w:footnote w:type="continuationSeparator" w:id="1">
    <w:p w:rsidR="007657FC" w:rsidRDefault="007657FC" w:rsidP="00D16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E6B" w:rsidRDefault="00473E6B" w:rsidP="00FE7EE7">
    <w:pPr>
      <w:pStyle w:val="Header"/>
      <w:tabs>
        <w:tab w:val="clear" w:pos="9360"/>
        <w:tab w:val="left" w:pos="6225"/>
      </w:tabs>
    </w:pPr>
    <w:r w:rsidRPr="00B05511">
      <w:rPr>
        <w:rFonts w:eastAsia="Calibri" w:cstheme="minorHAnsi"/>
        <w:b/>
        <w:sz w:val="56"/>
        <w:szCs w:val="56"/>
      </w:rPr>
      <w:t>COMPANIES AUDITOR’S REPORT ORDER</w:t>
    </w:r>
  </w:p>
  <w:p w:rsidR="00473E6B" w:rsidRDefault="00473E6B" w:rsidP="00FE7EE7">
    <w:pPr>
      <w:pStyle w:val="Header"/>
      <w:tabs>
        <w:tab w:val="clear" w:pos="9360"/>
        <w:tab w:val="left" w:pos="622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7DEE"/>
    <w:multiLevelType w:val="hybridMultilevel"/>
    <w:tmpl w:val="E474F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60490"/>
    <w:multiLevelType w:val="hybridMultilevel"/>
    <w:tmpl w:val="7F346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B43BD"/>
    <w:multiLevelType w:val="hybridMultilevel"/>
    <w:tmpl w:val="7C66C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778B2"/>
    <w:multiLevelType w:val="hybridMultilevel"/>
    <w:tmpl w:val="EA80E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C75FD"/>
    <w:multiLevelType w:val="hybridMultilevel"/>
    <w:tmpl w:val="D7E06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C7BDD"/>
    <w:multiLevelType w:val="hybridMultilevel"/>
    <w:tmpl w:val="B52A7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F6F11"/>
    <w:multiLevelType w:val="hybridMultilevel"/>
    <w:tmpl w:val="1E805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A0881"/>
    <w:multiLevelType w:val="hybridMultilevel"/>
    <w:tmpl w:val="BD921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87FE1"/>
    <w:multiLevelType w:val="hybridMultilevel"/>
    <w:tmpl w:val="DD3E3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6F69FC"/>
    <w:multiLevelType w:val="hybridMultilevel"/>
    <w:tmpl w:val="45EAB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FD176D"/>
    <w:multiLevelType w:val="hybridMultilevel"/>
    <w:tmpl w:val="C3D2FA2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6817BE"/>
    <w:multiLevelType w:val="hybridMultilevel"/>
    <w:tmpl w:val="9F2E5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07486"/>
    <w:multiLevelType w:val="hybridMultilevel"/>
    <w:tmpl w:val="9E3CE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96CF2"/>
    <w:multiLevelType w:val="hybridMultilevel"/>
    <w:tmpl w:val="41EE9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36EBE"/>
    <w:multiLevelType w:val="hybridMultilevel"/>
    <w:tmpl w:val="2EEEB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FF1815"/>
    <w:multiLevelType w:val="hybridMultilevel"/>
    <w:tmpl w:val="256CE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877514"/>
    <w:multiLevelType w:val="hybridMultilevel"/>
    <w:tmpl w:val="C03C3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A209EB"/>
    <w:multiLevelType w:val="hybridMultilevel"/>
    <w:tmpl w:val="BBE4C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3E11C6"/>
    <w:multiLevelType w:val="hybridMultilevel"/>
    <w:tmpl w:val="F7181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D87B0D"/>
    <w:multiLevelType w:val="hybridMultilevel"/>
    <w:tmpl w:val="12B61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C4F21"/>
    <w:multiLevelType w:val="hybridMultilevel"/>
    <w:tmpl w:val="4B4AE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9575F0"/>
    <w:multiLevelType w:val="hybridMultilevel"/>
    <w:tmpl w:val="8542A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1"/>
  </w:num>
  <w:num w:numId="5">
    <w:abstractNumId w:val="8"/>
  </w:num>
  <w:num w:numId="6">
    <w:abstractNumId w:val="11"/>
  </w:num>
  <w:num w:numId="7">
    <w:abstractNumId w:val="17"/>
  </w:num>
  <w:num w:numId="8">
    <w:abstractNumId w:val="3"/>
  </w:num>
  <w:num w:numId="9">
    <w:abstractNumId w:val="6"/>
  </w:num>
  <w:num w:numId="10">
    <w:abstractNumId w:val="12"/>
  </w:num>
  <w:num w:numId="11">
    <w:abstractNumId w:val="10"/>
  </w:num>
  <w:num w:numId="12">
    <w:abstractNumId w:val="18"/>
  </w:num>
  <w:num w:numId="13">
    <w:abstractNumId w:val="13"/>
  </w:num>
  <w:num w:numId="14">
    <w:abstractNumId w:val="21"/>
  </w:num>
  <w:num w:numId="15">
    <w:abstractNumId w:val="19"/>
  </w:num>
  <w:num w:numId="16">
    <w:abstractNumId w:val="2"/>
  </w:num>
  <w:num w:numId="17">
    <w:abstractNumId w:val="7"/>
  </w:num>
  <w:num w:numId="18">
    <w:abstractNumId w:val="14"/>
  </w:num>
  <w:num w:numId="19">
    <w:abstractNumId w:val="4"/>
  </w:num>
  <w:num w:numId="20">
    <w:abstractNumId w:val="5"/>
  </w:num>
  <w:num w:numId="21">
    <w:abstractNumId w:val="15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6781E"/>
    <w:rsid w:val="00092AE9"/>
    <w:rsid w:val="000B1AE1"/>
    <w:rsid w:val="0013605D"/>
    <w:rsid w:val="002C5303"/>
    <w:rsid w:val="002F4982"/>
    <w:rsid w:val="00306C49"/>
    <w:rsid w:val="003930EA"/>
    <w:rsid w:val="003F40E7"/>
    <w:rsid w:val="00403F58"/>
    <w:rsid w:val="00473E6B"/>
    <w:rsid w:val="005108B0"/>
    <w:rsid w:val="0053475D"/>
    <w:rsid w:val="0056781E"/>
    <w:rsid w:val="00606EFD"/>
    <w:rsid w:val="00610559"/>
    <w:rsid w:val="00624C33"/>
    <w:rsid w:val="00712A39"/>
    <w:rsid w:val="007657FC"/>
    <w:rsid w:val="00782D5E"/>
    <w:rsid w:val="007847F2"/>
    <w:rsid w:val="007C39C8"/>
    <w:rsid w:val="007F67CA"/>
    <w:rsid w:val="008C2F22"/>
    <w:rsid w:val="008C6C1D"/>
    <w:rsid w:val="00907713"/>
    <w:rsid w:val="009B4796"/>
    <w:rsid w:val="00A5273F"/>
    <w:rsid w:val="00A74D6A"/>
    <w:rsid w:val="00AC58A1"/>
    <w:rsid w:val="00B05511"/>
    <w:rsid w:val="00B54591"/>
    <w:rsid w:val="00B77F39"/>
    <w:rsid w:val="00B85BBE"/>
    <w:rsid w:val="00BB2311"/>
    <w:rsid w:val="00D16FF3"/>
    <w:rsid w:val="00DA4B75"/>
    <w:rsid w:val="00DB284D"/>
    <w:rsid w:val="00E516EC"/>
    <w:rsid w:val="00EA3299"/>
    <w:rsid w:val="00F059FD"/>
    <w:rsid w:val="00FA2CF0"/>
    <w:rsid w:val="00FC0ED3"/>
    <w:rsid w:val="00FE4525"/>
    <w:rsid w:val="00FE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77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6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FF3"/>
  </w:style>
  <w:style w:type="paragraph" w:styleId="Footer">
    <w:name w:val="footer"/>
    <w:basedOn w:val="Normal"/>
    <w:link w:val="FooterChar"/>
    <w:uiPriority w:val="99"/>
    <w:unhideWhenUsed/>
    <w:rsid w:val="00D16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FF3"/>
  </w:style>
  <w:style w:type="paragraph" w:styleId="FootnoteText">
    <w:name w:val="footnote text"/>
    <w:basedOn w:val="Normal"/>
    <w:link w:val="FootnoteTextChar"/>
    <w:uiPriority w:val="99"/>
    <w:semiHidden/>
    <w:unhideWhenUsed/>
    <w:rsid w:val="00473E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3E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3E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77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6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FF3"/>
  </w:style>
  <w:style w:type="paragraph" w:styleId="Footer">
    <w:name w:val="footer"/>
    <w:basedOn w:val="Normal"/>
    <w:link w:val="FooterChar"/>
    <w:uiPriority w:val="99"/>
    <w:unhideWhenUsed/>
    <w:rsid w:val="00D16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F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6C7D3-1F5A-4AC3-B628-F1E15821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4166</Characters>
  <Application>Microsoft Office Word</Application>
  <DocSecurity>0</DocSecurity>
  <Lines>86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SunGard</Company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Mane, Ankush</dc:creator>
  <cp:lastModifiedBy>admin</cp:lastModifiedBy>
  <cp:revision>2</cp:revision>
  <dcterms:created xsi:type="dcterms:W3CDTF">2014-07-19T10:38:00Z</dcterms:created>
  <dcterms:modified xsi:type="dcterms:W3CDTF">2014-07-19T10:38:00Z</dcterms:modified>
</cp:coreProperties>
</file>