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val="en-IN" w:eastAsia="en-US"/>
        </w:rPr>
        <w:id w:val="1370414938"/>
        <w:docPartObj>
          <w:docPartGallery w:val="Cover Pages"/>
          <w:docPartUnique/>
        </w:docPartObj>
      </w:sdtPr>
      <w:sdtEndPr>
        <w:rPr>
          <w:rStyle w:val="Emphasis"/>
          <w:rFonts w:asciiTheme="minorHAnsi" w:eastAsiaTheme="minorEastAsia" w:hAnsiTheme="minorHAnsi" w:cstheme="minorHAnsi"/>
          <w:i/>
          <w:iCs/>
          <w:caps w:val="0"/>
          <w:sz w:val="40"/>
          <w:szCs w:val="32"/>
        </w:rPr>
      </w:sdtEndPr>
      <w:sdtContent>
        <w:tbl>
          <w:tblPr>
            <w:tblStyle w:val="TableGrid"/>
            <w:tblW w:w="5000" w:type="pct"/>
            <w:tblLook w:val="04A0" w:firstRow="1" w:lastRow="0" w:firstColumn="1" w:lastColumn="0" w:noHBand="0" w:noVBand="1"/>
          </w:tblPr>
          <w:tblGrid>
            <w:gridCol w:w="9854"/>
          </w:tblGrid>
          <w:tr w:rsidR="00480D67" w:rsidRPr="00480D67" w:rsidTr="006A6A53">
            <w:trPr>
              <w:trHeight w:val="270"/>
            </w:trPr>
            <w:sdt>
              <w:sdtPr>
                <w:rPr>
                  <w:rFonts w:asciiTheme="majorHAnsi" w:eastAsiaTheme="majorEastAsia" w:hAnsiTheme="majorHAnsi" w:cstheme="majorBidi"/>
                  <w:caps/>
                  <w:lang w:val="en-IN" w:eastAsia="en-US"/>
                </w:rPr>
                <w:alias w:val="Company"/>
                <w:id w:val="15524243"/>
                <w:dataBinding w:prefixMappings="xmlns:ns0='http://schemas.openxmlformats.org/officeDocument/2006/extended-properties'" w:xpath="/ns0:Properties[1]/ns0:Company[1]" w:storeItemID="{6668398D-A668-4E3E-A5EB-62B293D839F1}"/>
                <w:text/>
              </w:sdtPr>
              <w:sdtEndPr>
                <w:rPr>
                  <w:i/>
                  <w:iCs/>
                  <w:lang w:eastAsia="ja-JP"/>
                </w:rPr>
              </w:sdtEndPr>
              <w:sdtContent>
                <w:tc>
                  <w:tcPr>
                    <w:tcW w:w="5000" w:type="pct"/>
                  </w:tcPr>
                  <w:p w:rsidR="00C16565" w:rsidRPr="00480D67" w:rsidRDefault="00C16565" w:rsidP="00FB54AE">
                    <w:pPr>
                      <w:pStyle w:val="NoSpacing"/>
                      <w:jc w:val="center"/>
                      <w:rPr>
                        <w:rFonts w:asciiTheme="majorHAnsi" w:eastAsiaTheme="majorEastAsia" w:hAnsiTheme="majorHAnsi" w:cstheme="majorBidi"/>
                        <w:caps/>
                        <w:lang w:val="en-IN"/>
                      </w:rPr>
                    </w:pPr>
                    <w:r w:rsidRPr="00480D67">
                      <w:rPr>
                        <w:rFonts w:asciiTheme="majorHAnsi" w:eastAsiaTheme="majorEastAsia" w:hAnsiTheme="majorHAnsi" w:cstheme="majorBidi"/>
                        <w:caps/>
                        <w:lang w:val="en-IN"/>
                      </w:rPr>
                      <w:t>NKS</w:t>
                    </w:r>
                  </w:p>
                </w:tc>
              </w:sdtContent>
            </w:sdt>
          </w:tr>
          <w:tr w:rsidR="00480D67" w:rsidRPr="00480D67" w:rsidTr="006A6A53">
            <w:trPr>
              <w:trHeight w:val="842"/>
            </w:trPr>
            <w:sdt>
              <w:sdtPr>
                <w:rPr>
                  <w:rFonts w:asciiTheme="majorHAnsi" w:eastAsiaTheme="majorEastAsia" w:hAnsiTheme="majorHAnsi" w:cstheme="majorBidi"/>
                  <w:sz w:val="80"/>
                  <w:szCs w:val="80"/>
                  <w:lang w:val="en-IN"/>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Pr>
                  <w:p w:rsidR="00C16565" w:rsidRPr="00480D67" w:rsidRDefault="00F55508" w:rsidP="00FB54AE">
                    <w:pPr>
                      <w:pStyle w:val="NoSpacing"/>
                      <w:jc w:val="center"/>
                      <w:rPr>
                        <w:rFonts w:asciiTheme="majorHAnsi" w:eastAsiaTheme="majorEastAsia" w:hAnsiTheme="majorHAnsi" w:cstheme="majorBidi"/>
                        <w:sz w:val="80"/>
                        <w:szCs w:val="80"/>
                        <w:lang w:val="en-IN"/>
                      </w:rPr>
                    </w:pPr>
                    <w:r w:rsidRPr="00480D67">
                      <w:rPr>
                        <w:rFonts w:asciiTheme="majorHAnsi" w:eastAsiaTheme="majorEastAsia" w:hAnsiTheme="majorHAnsi" w:cstheme="majorBidi"/>
                        <w:sz w:val="80"/>
                        <w:szCs w:val="80"/>
                        <w:lang w:val="en-IN"/>
                      </w:rPr>
                      <w:t>BANK AUDIT</w:t>
                    </w:r>
                  </w:p>
                </w:tc>
              </w:sdtContent>
            </w:sdt>
          </w:tr>
          <w:tr w:rsidR="00480D67" w:rsidRPr="00480D67" w:rsidTr="00D01D5B">
            <w:trPr>
              <w:trHeight w:val="720"/>
            </w:trPr>
            <w:sdt>
              <w:sdtPr>
                <w:rPr>
                  <w:rFonts w:asciiTheme="majorHAnsi" w:eastAsiaTheme="majorEastAsia" w:hAnsiTheme="majorHAnsi" w:cstheme="majorBidi"/>
                  <w:sz w:val="44"/>
                  <w:szCs w:val="44"/>
                  <w:lang w:val="en-IN"/>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Pr>
                  <w:p w:rsidR="00C16565" w:rsidRPr="00480D67" w:rsidRDefault="00F55508" w:rsidP="00FB54AE">
                    <w:pPr>
                      <w:pStyle w:val="NoSpacing"/>
                      <w:jc w:val="center"/>
                      <w:rPr>
                        <w:rFonts w:asciiTheme="majorHAnsi" w:eastAsiaTheme="majorEastAsia" w:hAnsiTheme="majorHAnsi" w:cstheme="majorBidi"/>
                        <w:sz w:val="44"/>
                        <w:szCs w:val="44"/>
                        <w:lang w:val="en-IN"/>
                      </w:rPr>
                    </w:pPr>
                    <w:r w:rsidRPr="00480D67">
                      <w:rPr>
                        <w:rFonts w:asciiTheme="majorHAnsi" w:eastAsiaTheme="majorEastAsia" w:hAnsiTheme="majorHAnsi" w:cstheme="majorBidi"/>
                        <w:sz w:val="44"/>
                        <w:szCs w:val="44"/>
                        <w:lang w:val="en-IN"/>
                      </w:rPr>
                      <w:t>CA FINAL</w:t>
                    </w:r>
                  </w:p>
                </w:tc>
              </w:sdtContent>
            </w:sdt>
          </w:tr>
          <w:tr w:rsidR="00480D67" w:rsidRPr="00480D67" w:rsidTr="00D01D5B">
            <w:trPr>
              <w:trHeight w:val="360"/>
            </w:trPr>
            <w:tc>
              <w:tcPr>
                <w:tcW w:w="5000" w:type="pct"/>
              </w:tcPr>
              <w:p w:rsidR="00DE5A39" w:rsidRPr="00480D67" w:rsidRDefault="00DE5A39"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special points are to be borne in mind in the audit of compliance with “Statutory Liquidity Ratio” (SLR) requirements?</w:t>
                </w:r>
              </w:p>
            </w:tc>
          </w:tr>
          <w:tr w:rsidR="00480D67" w:rsidRPr="00480D67" w:rsidTr="00D01D5B">
            <w:trPr>
              <w:trHeight w:val="360"/>
            </w:trPr>
            <w:tc>
              <w:tcPr>
                <w:tcW w:w="5000" w:type="pct"/>
              </w:tcPr>
              <w:p w:rsidR="00DE5A39" w:rsidRPr="00480D67" w:rsidRDefault="008F59CE"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is the income recognised in the case of ‘non-performing’ assets of bank?</w:t>
                </w:r>
              </w:p>
            </w:tc>
          </w:tr>
          <w:tr w:rsidR="00480D67" w:rsidRPr="00480D67" w:rsidTr="00D01D5B">
            <w:trPr>
              <w:trHeight w:val="360"/>
            </w:trPr>
            <w:tc>
              <w:tcPr>
                <w:tcW w:w="5000" w:type="pct"/>
              </w:tcPr>
              <w:p w:rsidR="00DE5A39" w:rsidRPr="00480D67" w:rsidRDefault="008F59CE"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Verification of Contingent Liabilities?</w:t>
                </w:r>
              </w:p>
            </w:tc>
          </w:tr>
          <w:tr w:rsidR="00480D67" w:rsidRPr="00480D67" w:rsidTr="00D01D5B">
            <w:trPr>
              <w:trHeight w:val="360"/>
            </w:trPr>
            <w:tc>
              <w:tcPr>
                <w:tcW w:w="5000" w:type="pct"/>
              </w:tcPr>
              <w:p w:rsidR="00DE5A39" w:rsidRPr="00480D67" w:rsidRDefault="008F59CE"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is Principal Enactments Governing Bank Audit?</w:t>
                </w:r>
              </w:p>
            </w:tc>
          </w:tr>
          <w:tr w:rsidR="00480D67" w:rsidRPr="00480D67" w:rsidTr="00D01D5B">
            <w:trPr>
              <w:trHeight w:val="360"/>
            </w:trPr>
            <w:tc>
              <w:tcPr>
                <w:tcW w:w="5000" w:type="pct"/>
              </w:tcPr>
              <w:p w:rsidR="00DE5A39" w:rsidRPr="00480D67" w:rsidRDefault="008F59CE"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are the exceptions to the general rule of treating advances as Non-performing Assets (NPAS)?</w:t>
                </w:r>
              </w:p>
            </w:tc>
          </w:tr>
          <w:tr w:rsidR="00480D67" w:rsidRPr="00480D67" w:rsidTr="00D01D5B">
            <w:trPr>
              <w:trHeight w:val="360"/>
            </w:trPr>
            <w:tc>
              <w:tcPr>
                <w:tcW w:w="5000" w:type="pct"/>
              </w:tcPr>
              <w:p w:rsidR="00DE5A39" w:rsidRPr="00480D67" w:rsidRDefault="008F59CE"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is Valuation of Investments “Held to Maturity”?</w:t>
                </w:r>
              </w:p>
            </w:tc>
          </w:tr>
          <w:tr w:rsidR="00480D67" w:rsidRPr="00480D67" w:rsidTr="00D01D5B">
            <w:trPr>
              <w:trHeight w:val="360"/>
            </w:trPr>
            <w:tc>
              <w:tcPr>
                <w:tcW w:w="5000" w:type="pct"/>
              </w:tcPr>
              <w:p w:rsidR="00DE5A39" w:rsidRPr="00480D67" w:rsidRDefault="00262A03"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is Scope of concurrent audit of banks with reference to RBI guidelines?</w:t>
                </w:r>
              </w:p>
            </w:tc>
          </w:tr>
          <w:tr w:rsidR="00480D67" w:rsidRPr="00480D67" w:rsidTr="006A6A53">
            <w:trPr>
              <w:trHeight w:val="483"/>
            </w:trPr>
            <w:tc>
              <w:tcPr>
                <w:tcW w:w="5000" w:type="pct"/>
              </w:tcPr>
              <w:p w:rsidR="00C16565" w:rsidRPr="00480D67" w:rsidRDefault="00262A03" w:rsidP="00FB54AE">
                <w:pPr>
                  <w:pStyle w:val="Heading1"/>
                  <w:numPr>
                    <w:ilvl w:val="0"/>
                    <w:numId w:val="7"/>
                  </w:numPr>
                  <w:spacing w:before="0"/>
                  <w:ind w:hanging="654"/>
                  <w:outlineLvl w:val="0"/>
                  <w:rPr>
                    <w:rFonts w:ascii="Arial Rounded MT Bold" w:hAnsi="Arial Rounded MT Bold" w:cstheme="minorHAnsi"/>
                    <w:b w:val="0"/>
                    <w:i/>
                    <w:iCs/>
                    <w:color w:val="auto"/>
                    <w:lang w:val="en-IN"/>
                  </w:rPr>
                </w:pPr>
                <w:r w:rsidRPr="00480D67">
                  <w:rPr>
                    <w:rStyle w:val="Emphasis"/>
                    <w:rFonts w:ascii="Arial Rounded MT Bold" w:hAnsi="Arial Rounded MT Bold" w:cstheme="minorHAnsi"/>
                    <w:b w:val="0"/>
                    <w:i w:val="0"/>
                    <w:color w:val="auto"/>
                    <w:lang w:val="en-IN"/>
                  </w:rPr>
                  <w:t>What Advances to DOT COM Companies?</w:t>
                </w:r>
              </w:p>
            </w:tc>
          </w:tr>
          <w:tr w:rsidR="00480D67" w:rsidRPr="00480D67" w:rsidTr="00353D4F">
            <w:trPr>
              <w:trHeight w:val="636"/>
            </w:trPr>
            <w:sdt>
              <w:sdtPr>
                <w:rPr>
                  <w:b/>
                  <w:bCs/>
                  <w:lang w:val="en-IN"/>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tcPr>
                  <w:p w:rsidR="00C16565" w:rsidRPr="00480D67" w:rsidRDefault="00740568" w:rsidP="00FB54AE">
                    <w:pPr>
                      <w:pStyle w:val="NoSpacing"/>
                      <w:jc w:val="center"/>
                      <w:rPr>
                        <w:b/>
                        <w:bCs/>
                        <w:lang w:val="en-IN"/>
                      </w:rPr>
                    </w:pPr>
                    <w:r w:rsidRPr="00480D67">
                      <w:rPr>
                        <w:b/>
                        <w:bCs/>
                        <w:lang w:val="en-IN"/>
                      </w:rPr>
                      <w:t>NAVEEN KUMAR SINGARAYANI</w:t>
                    </w:r>
                  </w:p>
                </w:tc>
              </w:sdtContent>
            </w:sdt>
          </w:tr>
          <w:tr w:rsidR="00480D67" w:rsidRPr="00480D67" w:rsidTr="00D01D5B">
            <w:trPr>
              <w:trHeight w:val="543"/>
            </w:trPr>
            <w:tc>
              <w:tcPr>
                <w:tcW w:w="5000" w:type="pct"/>
              </w:tcPr>
              <w:p w:rsidR="00DE5A39" w:rsidRPr="00480D67" w:rsidRDefault="00DE5A39" w:rsidP="00FB54AE">
                <w:pPr>
                  <w:pStyle w:val="NoSpacing"/>
                  <w:rPr>
                    <w:b/>
                    <w:bCs/>
                    <w:lang w:val="en-IN"/>
                  </w:rPr>
                </w:pPr>
              </w:p>
            </w:tc>
          </w:tr>
          <w:tr w:rsidR="00C16565" w:rsidRPr="00480D67" w:rsidTr="00D01D5B">
            <w:trPr>
              <w:trHeight w:val="605"/>
            </w:trPr>
            <w:sdt>
              <w:sdtPr>
                <w:rPr>
                  <w:b/>
                  <w:bCs/>
                  <w:lang w:val="en-IN"/>
                </w:rPr>
                <w:alias w:val="Date"/>
                <w:id w:val="516659546"/>
                <w:showingPlcHdr/>
                <w:dataBinding w:prefixMappings="xmlns:ns0='http://schemas.microsoft.com/office/2006/coverPageProps'" w:xpath="/ns0:CoverPageProperties[1]/ns0:PublishDate[1]" w:storeItemID="{55AF091B-3C7A-41E3-B477-F2FDAA23CFDA}"/>
                <w:date w:fullDate="2011-02-25T00:00:00Z">
                  <w:dateFormat w:val="M/d/yyyy"/>
                  <w:lid w:val="en-US"/>
                  <w:storeMappedDataAs w:val="dateTime"/>
                  <w:calendar w:val="gregorian"/>
                </w:date>
              </w:sdtPr>
              <w:sdtEndPr/>
              <w:sdtContent>
                <w:tc>
                  <w:tcPr>
                    <w:tcW w:w="5000" w:type="pct"/>
                  </w:tcPr>
                  <w:p w:rsidR="00C16565" w:rsidRPr="00480D67" w:rsidRDefault="00FB54AE" w:rsidP="00FB54AE">
                    <w:pPr>
                      <w:pStyle w:val="NoSpacing"/>
                      <w:jc w:val="center"/>
                      <w:rPr>
                        <w:b/>
                        <w:bCs/>
                        <w:lang w:val="en-IN"/>
                      </w:rPr>
                    </w:pPr>
                    <w:r w:rsidRPr="00480D67">
                      <w:rPr>
                        <w:b/>
                        <w:bCs/>
                        <w:lang w:val="en-IN"/>
                      </w:rPr>
                      <w:t xml:space="preserve">     </w:t>
                    </w:r>
                  </w:p>
                </w:tc>
              </w:sdtContent>
            </w:sdt>
          </w:tr>
        </w:tbl>
        <w:p w:rsidR="00C16565" w:rsidRPr="00480D67" w:rsidRDefault="00C16565" w:rsidP="00FB54AE">
          <w:pPr>
            <w:spacing w:line="240" w:lineRule="auto"/>
            <w:rPr>
              <w:lang w:val="en-IN"/>
            </w:rPr>
          </w:pPr>
        </w:p>
        <w:tbl>
          <w:tblPr>
            <w:tblpPr w:leftFromText="187" w:rightFromText="187" w:horzAnchor="margin" w:tblpXSpec="center" w:tblpYSpec="bottom"/>
            <w:tblW w:w="5000" w:type="pct"/>
            <w:tblLook w:val="04A0" w:firstRow="1" w:lastRow="0" w:firstColumn="1" w:lastColumn="0" w:noHBand="0" w:noVBand="1"/>
          </w:tblPr>
          <w:tblGrid>
            <w:gridCol w:w="9854"/>
          </w:tblGrid>
          <w:tr w:rsidR="00480D67" w:rsidRPr="00480D67">
            <w:sdt>
              <w:sdtPr>
                <w:rPr>
                  <w:lang w:val="en-IN"/>
                </w:r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rsidR="00C16565" w:rsidRPr="00480D67" w:rsidRDefault="00F55508" w:rsidP="00FB54AE">
                    <w:pPr>
                      <w:pStyle w:val="NoSpacing"/>
                      <w:rPr>
                        <w:lang w:val="en-IN"/>
                      </w:rPr>
                    </w:pPr>
                    <w:r w:rsidRPr="00480D67">
                      <w:rPr>
                        <w:lang w:val="en-IN"/>
                      </w:rPr>
                      <w:t>SUMMARY</w:t>
                    </w:r>
                  </w:p>
                </w:tc>
              </w:sdtContent>
            </w:sdt>
          </w:tr>
        </w:tbl>
        <w:p w:rsidR="00C16565" w:rsidRPr="00480D67" w:rsidRDefault="00C16565" w:rsidP="00FB54AE">
          <w:pPr>
            <w:spacing w:line="240" w:lineRule="auto"/>
            <w:rPr>
              <w:lang w:val="en-IN"/>
            </w:rPr>
          </w:pPr>
        </w:p>
        <w:p w:rsidR="00C16565" w:rsidRPr="00480D67" w:rsidRDefault="00C16565" w:rsidP="00FB54AE">
          <w:pPr>
            <w:spacing w:line="240" w:lineRule="auto"/>
            <w:rPr>
              <w:rStyle w:val="Emphasis"/>
              <w:rFonts w:eastAsiaTheme="majorEastAsia" w:cstheme="minorHAnsi"/>
              <w:b/>
              <w:bCs/>
              <w:sz w:val="40"/>
              <w:szCs w:val="32"/>
              <w:lang w:val="en-IN"/>
            </w:rPr>
          </w:pPr>
          <w:r w:rsidRPr="00480D67">
            <w:rPr>
              <w:rStyle w:val="Emphasis"/>
              <w:rFonts w:cstheme="minorHAnsi"/>
              <w:sz w:val="40"/>
              <w:szCs w:val="32"/>
              <w:lang w:val="en-IN"/>
            </w:rPr>
            <w:br w:type="page"/>
          </w:r>
        </w:p>
      </w:sdtContent>
    </w:sdt>
    <w:p w:rsidR="00C66A93" w:rsidRPr="00480D67" w:rsidRDefault="00C66A93" w:rsidP="00FB54AE">
      <w:pPr>
        <w:pStyle w:val="question"/>
        <w:spacing w:line="240" w:lineRule="auto"/>
        <w:rPr>
          <w:rFonts w:ascii="Tempus Sans ITC" w:hAnsi="Tempus Sans ITC"/>
          <w:b/>
          <w:sz w:val="24"/>
          <w:szCs w:val="24"/>
          <w:lang w:val="en-IN"/>
        </w:rPr>
      </w:pPr>
      <w:r w:rsidRPr="00480D67">
        <w:rPr>
          <w:rFonts w:ascii="Tempus Sans ITC" w:hAnsi="Tempus Sans ITC"/>
          <w:b/>
          <w:i w:val="0"/>
          <w:sz w:val="24"/>
          <w:szCs w:val="24"/>
          <w:lang w:val="en-IN"/>
        </w:rPr>
        <w:lastRenderedPageBreak/>
        <w:t xml:space="preserve">Q.1) </w:t>
      </w:r>
      <w:r w:rsidR="00450735" w:rsidRPr="00480D67">
        <w:rPr>
          <w:rFonts w:ascii="Tempus Sans ITC" w:hAnsi="Tempus Sans ITC"/>
          <w:b/>
          <w:i w:val="0"/>
          <w:sz w:val="24"/>
          <w:szCs w:val="24"/>
          <w:lang w:val="en-IN"/>
        </w:rPr>
        <w:t>what</w:t>
      </w:r>
      <w:r w:rsidRPr="00480D67">
        <w:rPr>
          <w:rFonts w:ascii="Tempus Sans ITC" w:hAnsi="Tempus Sans ITC"/>
          <w:b/>
          <w:i w:val="0"/>
          <w:sz w:val="24"/>
          <w:szCs w:val="24"/>
          <w:lang w:val="en-IN"/>
        </w:rPr>
        <w:t xml:space="preserve"> is the income recognised in the case of ‘non-performing’ assets of bank? </w:t>
      </w:r>
      <w:r w:rsidRPr="00480D67">
        <w:rPr>
          <w:rFonts w:ascii="Tempus Sans ITC" w:hAnsi="Tempus Sans ITC"/>
          <w:b/>
          <w:i w:val="0"/>
          <w:sz w:val="24"/>
          <w:szCs w:val="24"/>
          <w:lang w:val="en-IN"/>
        </w:rPr>
        <w:tab/>
      </w:r>
    </w:p>
    <w:p w:rsidR="00C66A93" w:rsidRPr="00480D67" w:rsidRDefault="00C66A93" w:rsidP="00FB54AE">
      <w:pPr>
        <w:pStyle w:val="BodyText"/>
        <w:numPr>
          <w:ilvl w:val="0"/>
          <w:numId w:val="1"/>
        </w:numPr>
        <w:spacing w:after="0" w:line="240" w:lineRule="auto"/>
        <w:jc w:val="left"/>
        <w:rPr>
          <w:rFonts w:ascii="Tempus Sans ITC" w:hAnsi="Tempus Sans ITC"/>
          <w:sz w:val="24"/>
          <w:lang w:val="en-IN"/>
        </w:rPr>
      </w:pPr>
      <w:r w:rsidRPr="00480D67">
        <w:rPr>
          <w:rFonts w:ascii="Tempus Sans ITC" w:hAnsi="Tempus Sans ITC"/>
          <w:sz w:val="24"/>
          <w:lang w:val="en-IN"/>
        </w:rPr>
        <w:t xml:space="preserve">The RBI has issued guidelines to be followed by all scheduled commercial banks excluding RRBs for income recognition, asset classification, provisioning and other related matters.  </w:t>
      </w:r>
    </w:p>
    <w:p w:rsidR="00C66A93" w:rsidRPr="00480D67" w:rsidRDefault="00C66A93" w:rsidP="00FB54AE">
      <w:pPr>
        <w:pStyle w:val="BodyText"/>
        <w:numPr>
          <w:ilvl w:val="0"/>
          <w:numId w:val="1"/>
        </w:numPr>
        <w:spacing w:after="0" w:line="240" w:lineRule="auto"/>
        <w:jc w:val="left"/>
        <w:rPr>
          <w:rFonts w:ascii="Tempus Sans ITC" w:hAnsi="Tempus Sans ITC"/>
          <w:sz w:val="24"/>
          <w:lang w:val="en-IN"/>
        </w:rPr>
      </w:pPr>
      <w:r w:rsidRPr="00480D67">
        <w:rPr>
          <w:rFonts w:ascii="Tempus Sans ITC" w:hAnsi="Tempus Sans ITC"/>
          <w:sz w:val="24"/>
          <w:lang w:val="en-IN"/>
        </w:rPr>
        <w:t>Conceptually speaking, a credit facility becomes non-performing when it ceases to generate income for a bank.  The guidelines require that in t</w:t>
      </w:r>
      <w:r w:rsidR="00DA258C" w:rsidRPr="00480D67">
        <w:rPr>
          <w:rFonts w:ascii="Tempus Sans ITC" w:hAnsi="Tempus Sans ITC"/>
          <w:sz w:val="24"/>
          <w:lang w:val="en-IN"/>
        </w:rPr>
        <w:t xml:space="preserve">he case of </w:t>
      </w:r>
      <w:r w:rsidRPr="00480D67">
        <w:rPr>
          <w:rFonts w:ascii="Tempus Sans ITC" w:hAnsi="Tempus Sans ITC"/>
          <w:sz w:val="24"/>
          <w:lang w:val="en-IN"/>
        </w:rPr>
        <w:t>NPA a</w:t>
      </w:r>
      <w:r w:rsidR="00DA258C" w:rsidRPr="00480D67">
        <w:rPr>
          <w:rFonts w:ascii="Tempus Sans ITC" w:hAnsi="Tempus Sans ITC"/>
          <w:sz w:val="24"/>
          <w:lang w:val="en-IN"/>
        </w:rPr>
        <w:t>/</w:t>
      </w:r>
      <w:r w:rsidRPr="00480D67">
        <w:rPr>
          <w:rFonts w:ascii="Tempus Sans ITC" w:hAnsi="Tempus Sans ITC"/>
          <w:sz w:val="24"/>
          <w:lang w:val="en-IN"/>
        </w:rPr>
        <w:t>c</w:t>
      </w:r>
      <w:r w:rsidR="00DA258C" w:rsidRPr="00480D67">
        <w:rPr>
          <w:rFonts w:ascii="Tempus Sans ITC" w:hAnsi="Tempus Sans ITC"/>
          <w:sz w:val="24"/>
          <w:lang w:val="en-IN"/>
        </w:rPr>
        <w:t>’</w:t>
      </w:r>
      <w:r w:rsidRPr="00480D67">
        <w:rPr>
          <w:rFonts w:ascii="Tempus Sans ITC" w:hAnsi="Tempus Sans ITC"/>
          <w:sz w:val="24"/>
          <w:lang w:val="en-IN"/>
        </w:rPr>
        <w:t xml:space="preserve">s, the income should be recognised only on realisation irrespective of the system of accounting followed by the bank.  </w:t>
      </w:r>
    </w:p>
    <w:p w:rsidR="00C66A93" w:rsidRPr="00480D67" w:rsidRDefault="00C66A93" w:rsidP="00FB54AE">
      <w:pPr>
        <w:pStyle w:val="BodyText"/>
        <w:numPr>
          <w:ilvl w:val="0"/>
          <w:numId w:val="1"/>
        </w:numPr>
        <w:spacing w:after="0" w:line="240" w:lineRule="auto"/>
        <w:jc w:val="left"/>
        <w:rPr>
          <w:rFonts w:ascii="Tempus Sans ITC" w:hAnsi="Tempus Sans ITC"/>
          <w:sz w:val="24"/>
          <w:lang w:val="en-IN"/>
        </w:rPr>
      </w:pPr>
      <w:r w:rsidRPr="00480D67">
        <w:rPr>
          <w:rFonts w:ascii="Tempus Sans ITC" w:hAnsi="Tempus Sans ITC"/>
          <w:sz w:val="24"/>
          <w:lang w:val="en-IN"/>
        </w:rPr>
        <w:t xml:space="preserve">The guidelines further provide that if interest income from assets in respect of a borrower becomes subject to non-accrual, fees, commission and similar income with respect to the same borrower that have been accrued ceases to accrue in the current period should be reversed or provided for with respect to past period, if uncollected.  </w:t>
      </w:r>
    </w:p>
    <w:p w:rsidR="00C66A93" w:rsidRPr="00480D67" w:rsidRDefault="00C66A93" w:rsidP="00FB54AE">
      <w:pPr>
        <w:pStyle w:val="BodyText"/>
        <w:numPr>
          <w:ilvl w:val="0"/>
          <w:numId w:val="1"/>
        </w:numPr>
        <w:spacing w:after="0" w:line="240" w:lineRule="auto"/>
        <w:jc w:val="left"/>
        <w:rPr>
          <w:rFonts w:ascii="Tempus Sans ITC" w:hAnsi="Tempus Sans ITC"/>
          <w:sz w:val="24"/>
          <w:lang w:val="en-IN"/>
        </w:rPr>
      </w:pPr>
      <w:r w:rsidRPr="00480D67">
        <w:rPr>
          <w:rFonts w:ascii="Tempus Sans ITC" w:hAnsi="Tempus Sans ITC"/>
          <w:sz w:val="24"/>
          <w:lang w:val="en-IN"/>
        </w:rPr>
        <w:t>Where interest is partly realised on any non-performing asset, such interest can be taken to the profit and loss account.  However, it should be ensured that the credits in the account towards interest are not out of fresh/additional credit facilities sanctioned to the borrower concerned.</w:t>
      </w:r>
    </w:p>
    <w:p w:rsidR="00C66A93" w:rsidRPr="00480D67" w:rsidRDefault="00C66A93" w:rsidP="00FB54AE">
      <w:pPr>
        <w:pStyle w:val="BodyText"/>
        <w:numPr>
          <w:ilvl w:val="0"/>
          <w:numId w:val="1"/>
        </w:numPr>
        <w:spacing w:after="0" w:line="240" w:lineRule="auto"/>
        <w:jc w:val="left"/>
        <w:rPr>
          <w:rFonts w:ascii="Tempus Sans ITC" w:hAnsi="Tempus Sans ITC"/>
          <w:sz w:val="24"/>
          <w:lang w:val="en-IN"/>
        </w:rPr>
      </w:pPr>
      <w:r w:rsidRPr="00480D67">
        <w:rPr>
          <w:rFonts w:ascii="Tempus Sans ITC" w:hAnsi="Tempus Sans ITC"/>
          <w:sz w:val="24"/>
          <w:lang w:val="en-IN"/>
        </w:rPr>
        <w:t>Advances secured against term deposits, national saving cert</w:t>
      </w:r>
      <w:r w:rsidR="002E5ACF" w:rsidRPr="00480D67">
        <w:rPr>
          <w:rFonts w:ascii="Tempus Sans ITC" w:hAnsi="Tempus Sans ITC"/>
          <w:sz w:val="24"/>
          <w:lang w:val="en-IN"/>
        </w:rPr>
        <w:t>ificates eligible for surrender</w:t>
      </w:r>
      <w:r w:rsidRPr="00480D67">
        <w:rPr>
          <w:rFonts w:ascii="Tempus Sans ITC" w:hAnsi="Tempus Sans ITC"/>
          <w:sz w:val="24"/>
          <w:lang w:val="en-IN"/>
        </w:rPr>
        <w:t xml:space="preserve"> Indira Vikas Patras, Kisan Vikas Patras and life insurance policies have been exempted from the above guidelines.  Thus, interest on such advances may be taken to income account on due dates provided adequate margin is available in the respective accounts.</w:t>
      </w:r>
    </w:p>
    <w:p w:rsidR="00ED65B7" w:rsidRPr="00480D67" w:rsidRDefault="00ED65B7" w:rsidP="00FB54AE">
      <w:pPr>
        <w:pStyle w:val="BodyText"/>
        <w:spacing w:after="0" w:line="240" w:lineRule="auto"/>
        <w:ind w:left="360"/>
        <w:jc w:val="left"/>
        <w:rPr>
          <w:rFonts w:ascii="Tempus Sans ITC" w:hAnsi="Tempus Sans ITC"/>
          <w:sz w:val="24"/>
          <w:lang w:val="en-IN"/>
        </w:rPr>
      </w:pPr>
    </w:p>
    <w:p w:rsidR="008F56EB" w:rsidRPr="00480D67" w:rsidRDefault="00C66A93" w:rsidP="00FB54AE">
      <w:pPr>
        <w:pStyle w:val="question"/>
        <w:spacing w:after="0" w:line="240" w:lineRule="auto"/>
        <w:rPr>
          <w:rFonts w:ascii="Tempus Sans ITC" w:hAnsi="Tempus Sans ITC"/>
          <w:b/>
          <w:i w:val="0"/>
          <w:sz w:val="24"/>
          <w:szCs w:val="24"/>
          <w:lang w:val="en-IN"/>
        </w:rPr>
      </w:pPr>
      <w:r w:rsidRPr="00480D67">
        <w:rPr>
          <w:rFonts w:ascii="Tempus Sans ITC" w:hAnsi="Tempus Sans ITC"/>
          <w:b/>
          <w:i w:val="0"/>
          <w:sz w:val="24"/>
          <w:szCs w:val="24"/>
          <w:shd w:val="clear" w:color="auto" w:fill="00B050"/>
          <w:lang w:val="en-IN"/>
        </w:rPr>
        <w:t>Q.2) what special points are to be borne in mind in the audit of compliance with “Statutory Liquidity Ratio” (SLR) requirements?</w:t>
      </w:r>
      <w:r w:rsidRPr="00480D67">
        <w:rPr>
          <w:rFonts w:ascii="Tempus Sans ITC" w:hAnsi="Tempus Sans ITC"/>
          <w:b/>
          <w:i w:val="0"/>
          <w:sz w:val="24"/>
          <w:szCs w:val="24"/>
          <w:lang w:val="en-IN"/>
        </w:rPr>
        <w:tab/>
      </w:r>
    </w:p>
    <w:p w:rsidR="00C66A93" w:rsidRPr="00480D67" w:rsidRDefault="00C66A93" w:rsidP="00FB54AE">
      <w:pPr>
        <w:pStyle w:val="question"/>
        <w:spacing w:after="0" w:line="240" w:lineRule="auto"/>
        <w:rPr>
          <w:rFonts w:ascii="Tempus Sans ITC" w:hAnsi="Tempus Sans ITC"/>
          <w:sz w:val="24"/>
          <w:lang w:val="en-IN"/>
        </w:rPr>
      </w:pPr>
      <w:r w:rsidRPr="00480D67">
        <w:rPr>
          <w:rFonts w:ascii="Tempus Sans ITC" w:hAnsi="Tempus Sans ITC"/>
          <w:b/>
          <w:i w:val="0"/>
          <w:sz w:val="24"/>
          <w:szCs w:val="24"/>
          <w:lang w:val="en-IN"/>
        </w:rPr>
        <w:t xml:space="preserve"> </w:t>
      </w:r>
      <w:r w:rsidRPr="00480D67">
        <w:rPr>
          <w:rFonts w:ascii="Tempus Sans ITC" w:hAnsi="Tempus Sans ITC"/>
          <w:sz w:val="24"/>
          <w:lang w:val="en-IN"/>
        </w:rPr>
        <w:t>Banking companies are required to maintain in India</w:t>
      </w:r>
      <w:r w:rsidR="004C6334" w:rsidRPr="00480D67">
        <w:rPr>
          <w:rFonts w:ascii="Tempus Sans ITC" w:hAnsi="Tempus Sans ITC"/>
          <w:sz w:val="24"/>
          <w:lang w:val="en-IN"/>
        </w:rPr>
        <w:t xml:space="preserve"> </w:t>
      </w:r>
      <w:r w:rsidRPr="00480D67">
        <w:rPr>
          <w:rFonts w:ascii="Tempus Sans ITC" w:hAnsi="Tempus Sans ITC"/>
          <w:sz w:val="24"/>
          <w:lang w:val="en-IN"/>
        </w:rPr>
        <w:t>cash, gold or unencumbered</w:t>
      </w:r>
      <w:r w:rsidR="009673DB" w:rsidRPr="00480D67">
        <w:rPr>
          <w:rFonts w:ascii="Tempus Sans ITC" w:hAnsi="Tempus Sans ITC"/>
          <w:sz w:val="24"/>
          <w:lang w:val="en-IN"/>
        </w:rPr>
        <w:t xml:space="preserve"> </w:t>
      </w:r>
      <w:r w:rsidRPr="00480D67">
        <w:rPr>
          <w:rFonts w:ascii="Tempus Sans ITC" w:hAnsi="Tempus Sans ITC"/>
          <w:sz w:val="24"/>
          <w:lang w:val="en-IN"/>
        </w:rPr>
        <w:t xml:space="preserve">approved securities on account as determined by </w:t>
      </w:r>
      <w:r w:rsidR="0026352C" w:rsidRPr="00480D67">
        <w:rPr>
          <w:rFonts w:ascii="Tempus Sans ITC" w:hAnsi="Tempus Sans ITC"/>
          <w:sz w:val="24"/>
          <w:lang w:val="en-IN"/>
        </w:rPr>
        <w:t>RBI</w:t>
      </w:r>
      <w:r w:rsidRPr="00480D67">
        <w:rPr>
          <w:rFonts w:ascii="Tempus Sans ITC" w:hAnsi="Tempus Sans ITC"/>
          <w:sz w:val="24"/>
          <w:lang w:val="en-IN"/>
        </w:rPr>
        <w:t xml:space="preserve"> from time to time of total of their demand and time liabilities in India as on last Friday of the second preceding fortnight is known as “St</w:t>
      </w:r>
      <w:r w:rsidR="004C6334" w:rsidRPr="00480D67">
        <w:rPr>
          <w:rFonts w:ascii="Tempus Sans ITC" w:hAnsi="Tempus Sans ITC"/>
          <w:sz w:val="24"/>
          <w:lang w:val="en-IN"/>
        </w:rPr>
        <w:t>atutory Liquidity Ratio (SLR)”.</w:t>
      </w:r>
      <w:r w:rsidR="009673DB" w:rsidRPr="00480D67">
        <w:rPr>
          <w:rFonts w:ascii="Tempus Sans ITC" w:hAnsi="Tempus Sans ITC"/>
          <w:sz w:val="24"/>
          <w:lang w:val="en-IN"/>
        </w:rPr>
        <w:t xml:space="preserve"> </w:t>
      </w:r>
      <w:r w:rsidRPr="00480D67">
        <w:rPr>
          <w:rFonts w:ascii="Tempus Sans ITC" w:hAnsi="Tempus Sans ITC"/>
          <w:sz w:val="24"/>
          <w:lang w:val="en-IN"/>
        </w:rPr>
        <w:t xml:space="preserve">Central statutory auditors have been asked by </w:t>
      </w:r>
      <w:r w:rsidR="0026352C" w:rsidRPr="00480D67">
        <w:rPr>
          <w:rFonts w:ascii="Tempus Sans ITC" w:hAnsi="Tempus Sans ITC"/>
          <w:sz w:val="24"/>
          <w:lang w:val="en-IN"/>
        </w:rPr>
        <w:t>RBI</w:t>
      </w:r>
      <w:r w:rsidRPr="00480D67">
        <w:rPr>
          <w:rFonts w:ascii="Tempus Sans ITC" w:hAnsi="Tempus Sans ITC"/>
          <w:sz w:val="24"/>
          <w:lang w:val="en-IN"/>
        </w:rPr>
        <w:t xml:space="preserve"> to verify the compliance of SLR on 12 odd dates in different months not having</w:t>
      </w:r>
      <w:r w:rsidR="002B60F7" w:rsidRPr="00480D67">
        <w:rPr>
          <w:rFonts w:ascii="Tempus Sans ITC" w:hAnsi="Tempus Sans ITC"/>
          <w:sz w:val="24"/>
          <w:lang w:val="en-IN"/>
        </w:rPr>
        <w:t xml:space="preserve"> Fridays.</w:t>
      </w:r>
    </w:p>
    <w:p w:rsidR="008F56EB" w:rsidRPr="00480D67" w:rsidRDefault="002B60F7" w:rsidP="00FB54AE">
      <w:pPr>
        <w:pStyle w:val="BodyText"/>
        <w:spacing w:after="0" w:line="240" w:lineRule="auto"/>
        <w:jc w:val="left"/>
        <w:rPr>
          <w:rFonts w:ascii="Tempus Sans ITC" w:hAnsi="Tempus Sans ITC"/>
          <w:sz w:val="24"/>
          <w:szCs w:val="20"/>
          <w:lang w:val="en-IN"/>
        </w:rPr>
      </w:pPr>
      <w:r w:rsidRPr="00480D67">
        <w:rPr>
          <w:rFonts w:ascii="Tempus Sans ITC" w:hAnsi="Tempus Sans ITC"/>
          <w:sz w:val="24"/>
          <w:szCs w:val="20"/>
          <w:lang w:val="en-IN"/>
        </w:rPr>
        <w:t xml:space="preserve">SPECIAL POINTS </w:t>
      </w:r>
      <w:r w:rsidR="00C66A93" w:rsidRPr="00480D67">
        <w:rPr>
          <w:rFonts w:ascii="Tempus Sans ITC" w:hAnsi="Tempus Sans ITC"/>
          <w:sz w:val="24"/>
          <w:szCs w:val="20"/>
          <w:lang w:val="en-IN"/>
        </w:rPr>
        <w:t>required to be followed in this regard are:</w:t>
      </w:r>
    </w:p>
    <w:p w:rsidR="00C66A93" w:rsidRPr="00480D67" w:rsidRDefault="00C66A93" w:rsidP="00FB54AE">
      <w:pPr>
        <w:pStyle w:val="HANG"/>
        <w:numPr>
          <w:ilvl w:val="0"/>
          <w:numId w:val="5"/>
        </w:numPr>
        <w:spacing w:after="0" w:line="240" w:lineRule="auto"/>
        <w:rPr>
          <w:rFonts w:ascii="Tempus Sans ITC" w:hAnsi="Tempus Sans ITC"/>
          <w:sz w:val="24"/>
          <w:szCs w:val="20"/>
          <w:lang w:val="en-IN"/>
        </w:rPr>
      </w:pPr>
      <w:r w:rsidRPr="00480D67">
        <w:rPr>
          <w:rFonts w:ascii="Tempus Sans ITC" w:hAnsi="Tempus Sans ITC"/>
          <w:sz w:val="24"/>
          <w:szCs w:val="20"/>
          <w:lang w:val="en-IN"/>
        </w:rPr>
        <w:t xml:space="preserve">Composition </w:t>
      </w:r>
      <w:r w:rsidR="002B60F7" w:rsidRPr="00480D67">
        <w:rPr>
          <w:rFonts w:ascii="Tempus Sans ITC" w:hAnsi="Tempus Sans ITC"/>
          <w:sz w:val="24"/>
          <w:szCs w:val="20"/>
          <w:lang w:val="en-IN"/>
        </w:rPr>
        <w:t xml:space="preserve">of items of </w:t>
      </w:r>
      <w:r w:rsidR="00CC7713" w:rsidRPr="00480D67">
        <w:rPr>
          <w:rFonts w:ascii="Tempus Sans ITC" w:hAnsi="Tempus Sans ITC"/>
          <w:sz w:val="24"/>
          <w:szCs w:val="20"/>
          <w:lang w:val="en-IN"/>
        </w:rPr>
        <w:t xml:space="preserve">DTL </w:t>
      </w:r>
      <w:r w:rsidR="002B60F7" w:rsidRPr="00480D67">
        <w:rPr>
          <w:rFonts w:ascii="Tempus Sans ITC" w:hAnsi="Tempus Sans ITC"/>
          <w:sz w:val="24"/>
          <w:szCs w:val="20"/>
          <w:lang w:val="en-IN"/>
        </w:rPr>
        <w:t xml:space="preserve">as per circulars/instructions of </w:t>
      </w:r>
      <w:r w:rsidR="0026352C" w:rsidRPr="00480D67">
        <w:rPr>
          <w:rFonts w:ascii="Tempus Sans ITC" w:hAnsi="Tempus Sans ITC"/>
          <w:sz w:val="24"/>
          <w:szCs w:val="20"/>
          <w:lang w:val="en-IN"/>
        </w:rPr>
        <w:t>RBI</w:t>
      </w:r>
      <w:r w:rsidR="002B60F7" w:rsidRPr="00480D67">
        <w:rPr>
          <w:rFonts w:ascii="Tempus Sans ITC" w:hAnsi="Tempus Sans ITC"/>
          <w:sz w:val="24"/>
          <w:szCs w:val="20"/>
          <w:lang w:val="en-IN"/>
        </w:rPr>
        <w:t>.</w:t>
      </w:r>
    </w:p>
    <w:p w:rsidR="00C66A93" w:rsidRPr="00480D67" w:rsidRDefault="00C66A93" w:rsidP="00FB54AE">
      <w:pPr>
        <w:pStyle w:val="HANG"/>
        <w:numPr>
          <w:ilvl w:val="0"/>
          <w:numId w:val="5"/>
        </w:numPr>
        <w:spacing w:after="0" w:line="240" w:lineRule="auto"/>
        <w:rPr>
          <w:rFonts w:ascii="Tempus Sans ITC" w:hAnsi="Tempus Sans ITC"/>
          <w:sz w:val="24"/>
          <w:szCs w:val="20"/>
          <w:lang w:val="en-IN"/>
        </w:rPr>
      </w:pPr>
      <w:r w:rsidRPr="00480D67">
        <w:rPr>
          <w:rFonts w:ascii="Tempus Sans ITC" w:hAnsi="Tempus Sans ITC"/>
          <w:sz w:val="24"/>
          <w:szCs w:val="20"/>
          <w:lang w:val="en-IN"/>
        </w:rPr>
        <w:t xml:space="preserve">Verification </w:t>
      </w:r>
      <w:r w:rsidR="002B60F7" w:rsidRPr="00480D67">
        <w:rPr>
          <w:rFonts w:ascii="Tempus Sans ITC" w:hAnsi="Tempus Sans ITC"/>
          <w:sz w:val="24"/>
          <w:szCs w:val="20"/>
          <w:lang w:val="en-IN"/>
        </w:rPr>
        <w:t>of trial balance and cash balance for 12 selected dates by branch auditors.</w:t>
      </w:r>
    </w:p>
    <w:p w:rsidR="00C66A93" w:rsidRPr="00480D67" w:rsidRDefault="00C66A93" w:rsidP="00FB54AE">
      <w:pPr>
        <w:pStyle w:val="HANG"/>
        <w:numPr>
          <w:ilvl w:val="0"/>
          <w:numId w:val="5"/>
        </w:numPr>
        <w:spacing w:after="0" w:line="240" w:lineRule="auto"/>
        <w:rPr>
          <w:rFonts w:ascii="Tempus Sans ITC" w:hAnsi="Tempus Sans ITC"/>
          <w:sz w:val="24"/>
          <w:szCs w:val="20"/>
          <w:lang w:val="en-IN"/>
        </w:rPr>
      </w:pPr>
      <w:r w:rsidRPr="00480D67">
        <w:rPr>
          <w:rFonts w:ascii="Tempus Sans ITC" w:hAnsi="Tempus Sans ITC"/>
          <w:sz w:val="24"/>
          <w:szCs w:val="20"/>
          <w:lang w:val="en-IN"/>
        </w:rPr>
        <w:t xml:space="preserve">Inclusion </w:t>
      </w:r>
      <w:r w:rsidR="002B60F7" w:rsidRPr="00480D67">
        <w:rPr>
          <w:rFonts w:ascii="Tempus Sans ITC" w:hAnsi="Tempus Sans ITC"/>
          <w:sz w:val="24"/>
          <w:szCs w:val="20"/>
          <w:lang w:val="en-IN"/>
        </w:rPr>
        <w:t>of demand and time liabilities in consolidated statement regarding DTL position based on the returns received from the branches.</w:t>
      </w:r>
    </w:p>
    <w:p w:rsidR="00C66A93" w:rsidRPr="00480D67" w:rsidRDefault="00C66A93" w:rsidP="00FB54AE">
      <w:pPr>
        <w:pStyle w:val="HANG"/>
        <w:numPr>
          <w:ilvl w:val="0"/>
          <w:numId w:val="5"/>
        </w:numPr>
        <w:spacing w:after="0" w:line="240" w:lineRule="auto"/>
        <w:rPr>
          <w:rFonts w:ascii="Tempus Sans ITC" w:hAnsi="Tempus Sans ITC"/>
          <w:sz w:val="24"/>
          <w:szCs w:val="20"/>
          <w:lang w:val="en-IN"/>
        </w:rPr>
      </w:pPr>
      <w:r w:rsidRPr="00480D67">
        <w:rPr>
          <w:rFonts w:ascii="Tempus Sans ITC" w:hAnsi="Tempus Sans ITC"/>
          <w:sz w:val="24"/>
          <w:szCs w:val="20"/>
          <w:lang w:val="en-IN"/>
        </w:rPr>
        <w:t xml:space="preserve">Net </w:t>
      </w:r>
      <w:r w:rsidR="002B60F7" w:rsidRPr="00480D67">
        <w:rPr>
          <w:rFonts w:ascii="Tempus Sans ITC" w:hAnsi="Tempus Sans ITC"/>
          <w:sz w:val="24"/>
          <w:szCs w:val="20"/>
          <w:lang w:val="en-IN"/>
        </w:rPr>
        <w:t>credit balance in branch adjustment account including these relating to foreign branches, interest on deposits reversed in the next half, have been included in liabilities.</w:t>
      </w:r>
    </w:p>
    <w:p w:rsidR="00C66A93" w:rsidRPr="00480D67" w:rsidRDefault="00C66A93" w:rsidP="00FB54AE">
      <w:pPr>
        <w:pStyle w:val="HANG"/>
        <w:numPr>
          <w:ilvl w:val="0"/>
          <w:numId w:val="5"/>
        </w:numPr>
        <w:spacing w:after="0" w:line="240" w:lineRule="auto"/>
        <w:rPr>
          <w:rFonts w:ascii="Tempus Sans ITC" w:hAnsi="Tempus Sans ITC"/>
          <w:sz w:val="24"/>
          <w:szCs w:val="20"/>
          <w:lang w:val="en-IN"/>
        </w:rPr>
      </w:pPr>
      <w:r w:rsidRPr="00480D67">
        <w:rPr>
          <w:rFonts w:ascii="Tempus Sans ITC" w:hAnsi="Tempus Sans ITC"/>
          <w:sz w:val="24"/>
          <w:szCs w:val="20"/>
          <w:lang w:val="en-IN"/>
        </w:rPr>
        <w:t xml:space="preserve">In </w:t>
      </w:r>
      <w:r w:rsidR="002B60F7" w:rsidRPr="00480D67">
        <w:rPr>
          <w:rFonts w:ascii="Tempus Sans ITC" w:hAnsi="Tempus Sans ITC"/>
          <w:sz w:val="24"/>
          <w:szCs w:val="20"/>
          <w:lang w:val="en-IN"/>
        </w:rPr>
        <w:t xml:space="preserve">computation of liquid assets, deposits maintained with </w:t>
      </w:r>
      <w:r w:rsidR="0026352C" w:rsidRPr="00480D67">
        <w:rPr>
          <w:rFonts w:ascii="Tempus Sans ITC" w:hAnsi="Tempus Sans ITC"/>
          <w:sz w:val="24"/>
          <w:szCs w:val="20"/>
          <w:lang w:val="en-IN"/>
        </w:rPr>
        <w:t>RBI</w:t>
      </w:r>
      <w:r w:rsidR="002B60F7" w:rsidRPr="00480D67">
        <w:rPr>
          <w:rFonts w:ascii="Tempus Sans ITC" w:hAnsi="Tempus Sans ITC"/>
          <w:sz w:val="24"/>
          <w:szCs w:val="20"/>
          <w:lang w:val="en-IN"/>
        </w:rPr>
        <w:t xml:space="preserve">, cash balance with itself or </w:t>
      </w:r>
      <w:r w:rsidR="0026352C" w:rsidRPr="00480D67">
        <w:rPr>
          <w:rFonts w:ascii="Tempus Sans ITC" w:hAnsi="Tempus Sans ITC"/>
          <w:sz w:val="24"/>
          <w:szCs w:val="20"/>
          <w:lang w:val="en-IN"/>
        </w:rPr>
        <w:t>RBI</w:t>
      </w:r>
      <w:r w:rsidR="002B60F7" w:rsidRPr="00480D67">
        <w:rPr>
          <w:rFonts w:ascii="Tempus Sans ITC" w:hAnsi="Tempus Sans ITC"/>
          <w:sz w:val="24"/>
          <w:szCs w:val="20"/>
          <w:lang w:val="en-IN"/>
        </w:rPr>
        <w:t xml:space="preserve">, excess balance maintained with </w:t>
      </w:r>
      <w:r w:rsidR="0026352C" w:rsidRPr="00480D67">
        <w:rPr>
          <w:rFonts w:ascii="Tempus Sans ITC" w:hAnsi="Tempus Sans ITC"/>
          <w:sz w:val="24"/>
          <w:szCs w:val="20"/>
          <w:lang w:val="en-IN"/>
        </w:rPr>
        <w:t>RBI</w:t>
      </w:r>
      <w:r w:rsidR="002B60F7" w:rsidRPr="00480D67">
        <w:rPr>
          <w:rFonts w:ascii="Tempus Sans ITC" w:hAnsi="Tempus Sans ITC"/>
          <w:sz w:val="24"/>
          <w:szCs w:val="20"/>
          <w:lang w:val="en-IN"/>
        </w:rPr>
        <w:t xml:space="preserve"> under section 42, net balance in current account are all treated as cash.</w:t>
      </w:r>
    </w:p>
    <w:p w:rsidR="006E7B64" w:rsidRPr="00480D67" w:rsidRDefault="00C66A93" w:rsidP="00FB54AE">
      <w:pPr>
        <w:pStyle w:val="HANG"/>
        <w:numPr>
          <w:ilvl w:val="0"/>
          <w:numId w:val="5"/>
        </w:numPr>
        <w:spacing w:after="0" w:line="240" w:lineRule="auto"/>
        <w:rPr>
          <w:rFonts w:ascii="Tempus Sans ITC" w:hAnsi="Tempus Sans ITC"/>
          <w:sz w:val="24"/>
          <w:szCs w:val="20"/>
          <w:lang w:val="en-IN"/>
        </w:rPr>
      </w:pPr>
      <w:r w:rsidRPr="00480D67">
        <w:rPr>
          <w:rFonts w:ascii="Tempus Sans ITC" w:hAnsi="Tempus Sans ITC"/>
          <w:sz w:val="24"/>
          <w:szCs w:val="20"/>
          <w:lang w:val="en-IN"/>
        </w:rPr>
        <w:t xml:space="preserve">Price </w:t>
      </w:r>
      <w:r w:rsidR="002B60F7" w:rsidRPr="00480D67">
        <w:rPr>
          <w:rFonts w:ascii="Tempus Sans ITC" w:hAnsi="Tempus Sans ITC"/>
          <w:sz w:val="24"/>
          <w:szCs w:val="20"/>
          <w:lang w:val="en-IN"/>
        </w:rPr>
        <w:t>of gold taken does not exceed market price.</w:t>
      </w:r>
    </w:p>
    <w:p w:rsidR="00C66A93" w:rsidRPr="00480D67" w:rsidRDefault="00C66A93" w:rsidP="00FB54AE">
      <w:pPr>
        <w:pStyle w:val="HANG"/>
        <w:numPr>
          <w:ilvl w:val="0"/>
          <w:numId w:val="5"/>
        </w:numPr>
        <w:spacing w:after="0" w:line="240" w:lineRule="auto"/>
        <w:rPr>
          <w:rFonts w:ascii="Tempus Sans ITC" w:hAnsi="Tempus Sans ITC"/>
          <w:sz w:val="24"/>
          <w:szCs w:val="20"/>
          <w:lang w:val="en-IN"/>
        </w:rPr>
      </w:pPr>
      <w:r w:rsidRPr="00480D67">
        <w:rPr>
          <w:rFonts w:ascii="Tempus Sans ITC" w:hAnsi="Tempus Sans ITC"/>
          <w:sz w:val="24"/>
          <w:szCs w:val="20"/>
          <w:lang w:val="en-IN"/>
        </w:rPr>
        <w:t xml:space="preserve">Number </w:t>
      </w:r>
      <w:r w:rsidR="002B60F7" w:rsidRPr="00480D67">
        <w:rPr>
          <w:rFonts w:ascii="Tempus Sans ITC" w:hAnsi="Tempus Sans ITC"/>
          <w:sz w:val="24"/>
          <w:szCs w:val="20"/>
          <w:lang w:val="en-IN"/>
        </w:rPr>
        <w:t>of unaudited branches.</w:t>
      </w:r>
    </w:p>
    <w:p w:rsidR="00ED65B7" w:rsidRPr="00480D67" w:rsidRDefault="00ED65B7" w:rsidP="00FB54AE">
      <w:pPr>
        <w:pStyle w:val="HANG"/>
        <w:spacing w:after="0" w:line="240" w:lineRule="auto"/>
        <w:ind w:left="360" w:firstLine="0"/>
        <w:rPr>
          <w:rFonts w:ascii="Tempus Sans ITC" w:hAnsi="Tempus Sans ITC"/>
          <w:sz w:val="24"/>
          <w:szCs w:val="20"/>
          <w:lang w:val="en-IN"/>
        </w:rPr>
      </w:pPr>
    </w:p>
    <w:p w:rsidR="00C66A93" w:rsidRPr="00480D67" w:rsidRDefault="00C66A93" w:rsidP="00FB54AE">
      <w:pPr>
        <w:pStyle w:val="BodyText"/>
        <w:spacing w:after="0" w:line="240" w:lineRule="auto"/>
        <w:rPr>
          <w:rFonts w:ascii="Tempus Sans ITC" w:hAnsi="Tempus Sans ITC"/>
          <w:b/>
          <w:sz w:val="28"/>
          <w:lang w:val="en-IN"/>
        </w:rPr>
      </w:pPr>
      <w:r w:rsidRPr="00480D67">
        <w:rPr>
          <w:rFonts w:ascii="Tempus Sans ITC" w:hAnsi="Tempus Sans ITC"/>
          <w:b/>
          <w:sz w:val="28"/>
          <w:lang w:val="en-IN"/>
        </w:rPr>
        <w:t xml:space="preserve">Q.3) Verification of Contingent Liabilities: </w:t>
      </w:r>
    </w:p>
    <w:p w:rsidR="00C66A93" w:rsidRPr="00480D67" w:rsidRDefault="00C66A93" w:rsidP="00FB54AE">
      <w:pPr>
        <w:pStyle w:val="BodyText"/>
        <w:spacing w:after="0" w:line="240" w:lineRule="auto"/>
        <w:rPr>
          <w:rFonts w:ascii="Tempus Sans ITC" w:hAnsi="Tempus Sans ITC"/>
          <w:sz w:val="24"/>
          <w:lang w:val="en-IN"/>
        </w:rPr>
      </w:pPr>
      <w:r w:rsidRPr="00480D67">
        <w:rPr>
          <w:rFonts w:ascii="Tempus Sans ITC" w:hAnsi="Tempus Sans ITC"/>
          <w:sz w:val="24"/>
          <w:lang w:val="en-IN"/>
        </w:rPr>
        <w:t>The auditor, in general, has to ensure that all contingent liabilities are identified and properly valued and thus, review the internal control system, subsequent events and obtain management representation.  In respect of different items, the procedure is given below:</w:t>
      </w:r>
    </w:p>
    <w:p w:rsidR="00C66A93" w:rsidRPr="00480D67" w:rsidRDefault="00C66A93" w:rsidP="00FB54AE">
      <w:pPr>
        <w:pStyle w:val="HANG"/>
        <w:spacing w:after="0" w:line="240" w:lineRule="auto"/>
        <w:ind w:left="142" w:firstLine="0"/>
        <w:rPr>
          <w:rFonts w:ascii="Tempus Sans ITC" w:hAnsi="Tempus Sans ITC"/>
          <w:sz w:val="24"/>
          <w:lang w:val="en-IN"/>
        </w:rPr>
      </w:pPr>
      <w:r w:rsidRPr="00480D67">
        <w:rPr>
          <w:rFonts w:ascii="Tempus Sans ITC" w:hAnsi="Tempus Sans ITC"/>
          <w:sz w:val="24"/>
          <w:lang w:val="en-IN"/>
        </w:rPr>
        <w:lastRenderedPageBreak/>
        <w:t>(i)</w:t>
      </w:r>
      <w:r w:rsidRPr="00480D67">
        <w:rPr>
          <w:rFonts w:ascii="Tempus Sans ITC" w:hAnsi="Tempus Sans ITC"/>
          <w:sz w:val="24"/>
          <w:lang w:val="en-IN"/>
        </w:rPr>
        <w:tab/>
      </w:r>
      <w:r w:rsidRPr="00480D67">
        <w:rPr>
          <w:rFonts w:ascii="Tempus Sans ITC" w:hAnsi="Tempus Sans ITC"/>
          <w:b/>
          <w:sz w:val="24"/>
          <w:highlight w:val="yellow"/>
          <w:lang w:val="en-IN"/>
        </w:rPr>
        <w:t>Claims against the bank not acknowledged as debts</w:t>
      </w:r>
      <w:r w:rsidRPr="00480D67">
        <w:rPr>
          <w:rFonts w:ascii="Tempus Sans ITC" w:hAnsi="Tempus Sans ITC"/>
          <w:sz w:val="24"/>
          <w:lang w:val="en-IN"/>
        </w:rPr>
        <w:t>: In this case, the auditor should examine the relevant evidence, i.e., correspondence with lawyers, claimants, workmen’s unions, etc.  The auditor should also review the minutes of the meetings of the board of directors, audit committees, contracts, list o</w:t>
      </w:r>
      <w:r w:rsidR="002E5ACF" w:rsidRPr="00480D67">
        <w:rPr>
          <w:rFonts w:ascii="Tempus Sans ITC" w:hAnsi="Tempus Sans ITC"/>
          <w:sz w:val="24"/>
          <w:lang w:val="en-IN"/>
        </w:rPr>
        <w:t xml:space="preserve">f pending legal cases, any </w:t>
      </w:r>
      <w:r w:rsidR="00C22FD4" w:rsidRPr="00480D67">
        <w:rPr>
          <w:rFonts w:ascii="Tempus Sans ITC" w:hAnsi="Tempus Sans ITC"/>
          <w:sz w:val="24"/>
          <w:lang w:val="en-IN"/>
        </w:rPr>
        <w:t>showcase</w:t>
      </w:r>
      <w:r w:rsidRPr="00480D67">
        <w:rPr>
          <w:rFonts w:ascii="Tempus Sans ITC" w:hAnsi="Tempus Sans ITC"/>
          <w:sz w:val="24"/>
          <w:lang w:val="en-IN"/>
        </w:rPr>
        <w:t xml:space="preserve"> notices received, and correspondence relating to payment of taxes, duties, etc.</w:t>
      </w:r>
    </w:p>
    <w:p w:rsidR="00C66A93" w:rsidRPr="00480D67" w:rsidRDefault="00C66A93" w:rsidP="00FB54AE">
      <w:pPr>
        <w:pStyle w:val="HANG"/>
        <w:spacing w:after="0" w:line="240" w:lineRule="auto"/>
        <w:ind w:left="142" w:firstLine="0"/>
        <w:rPr>
          <w:rFonts w:ascii="Tempus Sans ITC" w:hAnsi="Tempus Sans ITC"/>
          <w:sz w:val="24"/>
          <w:lang w:val="en-IN"/>
        </w:rPr>
      </w:pPr>
      <w:r w:rsidRPr="00480D67">
        <w:rPr>
          <w:rFonts w:ascii="Tempus Sans ITC" w:hAnsi="Tempus Sans ITC"/>
          <w:sz w:val="24"/>
          <w:lang w:val="en-IN"/>
        </w:rPr>
        <w:t>(ii)</w:t>
      </w:r>
      <w:r w:rsidRPr="00480D67">
        <w:rPr>
          <w:rFonts w:ascii="Tempus Sans ITC" w:hAnsi="Tempus Sans ITC"/>
          <w:sz w:val="24"/>
          <w:lang w:val="en-IN"/>
        </w:rPr>
        <w:tab/>
      </w:r>
      <w:r w:rsidRPr="00480D67">
        <w:rPr>
          <w:rFonts w:ascii="Tempus Sans ITC" w:hAnsi="Tempus Sans ITC"/>
          <w:b/>
          <w:sz w:val="24"/>
          <w:highlight w:val="yellow"/>
          <w:lang w:val="en-IN"/>
        </w:rPr>
        <w:t>Liability on account of partly paid investments</w:t>
      </w:r>
      <w:r w:rsidRPr="00480D67">
        <w:rPr>
          <w:rFonts w:ascii="Tempus Sans ITC" w:hAnsi="Tempus Sans ITC"/>
          <w:sz w:val="24"/>
          <w:lang w:val="en-IN"/>
        </w:rPr>
        <w:t>: If the bank is holding any partly paid shares, or any other investments, the auditor should examine whether the uncalled amounts are shown as contingent liability.</w:t>
      </w:r>
    </w:p>
    <w:p w:rsidR="00C66A93" w:rsidRPr="00480D67" w:rsidRDefault="00C66A93" w:rsidP="00FB54AE">
      <w:pPr>
        <w:pStyle w:val="HANG"/>
        <w:spacing w:after="0" w:line="240" w:lineRule="auto"/>
        <w:ind w:left="142" w:firstLine="0"/>
        <w:rPr>
          <w:rFonts w:ascii="Tempus Sans ITC" w:hAnsi="Tempus Sans ITC"/>
          <w:sz w:val="24"/>
          <w:lang w:val="en-IN"/>
        </w:rPr>
      </w:pPr>
      <w:r w:rsidRPr="00480D67">
        <w:rPr>
          <w:rFonts w:ascii="Tempus Sans ITC" w:hAnsi="Tempus Sans ITC"/>
          <w:sz w:val="24"/>
          <w:lang w:val="en-IN"/>
        </w:rPr>
        <w:t>(iii)</w:t>
      </w:r>
      <w:r w:rsidRPr="00480D67">
        <w:rPr>
          <w:rFonts w:ascii="Tempus Sans ITC" w:hAnsi="Tempus Sans ITC"/>
          <w:b/>
          <w:sz w:val="24"/>
          <w:lang w:val="en-IN"/>
        </w:rPr>
        <w:tab/>
      </w:r>
      <w:r w:rsidRPr="00480D67">
        <w:rPr>
          <w:rFonts w:ascii="Tempus Sans ITC" w:hAnsi="Tempus Sans ITC"/>
          <w:b/>
          <w:sz w:val="24"/>
          <w:highlight w:val="yellow"/>
          <w:lang w:val="en-IN"/>
        </w:rPr>
        <w:t>Liability on account of outstanding foreign exchange contracts</w:t>
      </w:r>
      <w:r w:rsidRPr="00480D67">
        <w:rPr>
          <w:rFonts w:ascii="Tempus Sans ITC" w:hAnsi="Tempus Sans ITC"/>
          <w:sz w:val="24"/>
          <w:lang w:val="en-IN"/>
        </w:rPr>
        <w:t xml:space="preserve">: The auditor will have to </w:t>
      </w:r>
      <w:r w:rsidR="004F32C2" w:rsidRPr="00480D67">
        <w:rPr>
          <w:rFonts w:ascii="Tempus Sans ITC" w:hAnsi="Tempus Sans ITC"/>
          <w:sz w:val="24"/>
          <w:lang w:val="en-IN"/>
        </w:rPr>
        <w:t>verify</w:t>
      </w:r>
      <w:r w:rsidRPr="00480D67">
        <w:rPr>
          <w:rFonts w:ascii="Tempus Sans ITC" w:hAnsi="Tempus Sans ITC"/>
          <w:sz w:val="24"/>
          <w:lang w:val="en-IN"/>
        </w:rPr>
        <w:t xml:space="preserve"> the register maintained for the net position in relation to each foreign-currency and find out whether the position is generally squared and not uncovered by a substantial amount.  The net position as reported in the financial statements may also have to be verified with reference to the foreign exchange position report prepared by the back-office.</w:t>
      </w:r>
    </w:p>
    <w:p w:rsidR="00C66A93" w:rsidRPr="00480D67" w:rsidRDefault="00C66A93" w:rsidP="00FB54AE">
      <w:pPr>
        <w:pStyle w:val="HANG"/>
        <w:spacing w:after="0" w:line="240" w:lineRule="auto"/>
        <w:ind w:left="142" w:firstLine="0"/>
        <w:rPr>
          <w:rFonts w:ascii="Tempus Sans ITC" w:hAnsi="Tempus Sans ITC"/>
          <w:sz w:val="24"/>
          <w:lang w:val="en-IN"/>
        </w:rPr>
      </w:pPr>
      <w:r w:rsidRPr="00480D67">
        <w:rPr>
          <w:rFonts w:ascii="Tempus Sans ITC" w:hAnsi="Tempus Sans ITC"/>
          <w:sz w:val="24"/>
          <w:lang w:val="en-IN"/>
        </w:rPr>
        <w:t>(iv)</w:t>
      </w:r>
      <w:r w:rsidRPr="00480D67">
        <w:rPr>
          <w:rFonts w:ascii="Tempus Sans ITC" w:hAnsi="Tempus Sans ITC"/>
          <w:sz w:val="24"/>
          <w:lang w:val="en-IN"/>
        </w:rPr>
        <w:tab/>
      </w:r>
      <w:r w:rsidRPr="00480D67">
        <w:rPr>
          <w:rFonts w:ascii="Tempus Sans ITC" w:hAnsi="Tempus Sans ITC"/>
          <w:b/>
          <w:sz w:val="24"/>
          <w:highlight w:val="yellow"/>
          <w:lang w:val="en-IN"/>
        </w:rPr>
        <w:t>Guarantees given on behalf of constituents</w:t>
      </w:r>
      <w:r w:rsidRPr="00480D67">
        <w:rPr>
          <w:rFonts w:ascii="Tempus Sans ITC" w:hAnsi="Tempus Sans ITC"/>
          <w:sz w:val="24"/>
          <w:lang w:val="en-IN"/>
        </w:rPr>
        <w:t>: The auditor should examine the guarantee register and whether the amounts of guarantees that are still outstanding are shown as a contingent liability.  The guarantees outstanding should be disclosed separately for guarantees within India and outside India.</w:t>
      </w:r>
    </w:p>
    <w:p w:rsidR="00C66A93" w:rsidRPr="00480D67" w:rsidRDefault="00C66A93" w:rsidP="00FB54AE">
      <w:pPr>
        <w:pStyle w:val="HANG"/>
        <w:spacing w:after="0" w:line="240" w:lineRule="auto"/>
        <w:ind w:left="142" w:firstLine="0"/>
        <w:rPr>
          <w:rFonts w:ascii="Tempus Sans ITC" w:hAnsi="Tempus Sans ITC"/>
          <w:sz w:val="24"/>
          <w:lang w:val="en-IN"/>
        </w:rPr>
      </w:pPr>
      <w:r w:rsidRPr="00480D67">
        <w:rPr>
          <w:rFonts w:ascii="Tempus Sans ITC" w:hAnsi="Tempus Sans ITC"/>
          <w:sz w:val="24"/>
          <w:lang w:val="en-IN"/>
        </w:rPr>
        <w:t>(v)</w:t>
      </w:r>
      <w:r w:rsidRPr="00480D67">
        <w:rPr>
          <w:rFonts w:ascii="Tempus Sans ITC" w:hAnsi="Tempus Sans ITC"/>
          <w:sz w:val="24"/>
          <w:lang w:val="en-IN"/>
        </w:rPr>
        <w:tab/>
      </w:r>
      <w:r w:rsidRPr="00480D67">
        <w:rPr>
          <w:rFonts w:ascii="Tempus Sans ITC" w:hAnsi="Tempus Sans ITC"/>
          <w:b/>
          <w:sz w:val="24"/>
          <w:highlight w:val="yellow"/>
          <w:lang w:val="en-IN"/>
        </w:rPr>
        <w:t>Acceptances, endorsements and other obligations</w:t>
      </w:r>
      <w:r w:rsidRPr="00480D67">
        <w:rPr>
          <w:rFonts w:ascii="Tempus Sans ITC" w:hAnsi="Tempus Sans ITC"/>
          <w:sz w:val="24"/>
          <w:lang w:val="en-IN"/>
        </w:rPr>
        <w:t xml:space="preserve">: This includes letters of credit opened by the bank on behalf of its customers and bills drawn by the bank’s customers and accepted or endorsed by the bank.  The auditor should in such cases evaluate the adequacy of internal controls over issue of letters of credit, over custody of unused forms, etc.    </w:t>
      </w:r>
    </w:p>
    <w:p w:rsidR="00C66A93" w:rsidRPr="00480D67" w:rsidRDefault="00C66A93" w:rsidP="00FB54AE">
      <w:pPr>
        <w:pStyle w:val="HANG"/>
        <w:spacing w:after="0" w:line="240" w:lineRule="auto"/>
        <w:ind w:left="142" w:firstLine="0"/>
        <w:rPr>
          <w:rFonts w:ascii="Tempus Sans ITC" w:hAnsi="Tempus Sans ITC"/>
          <w:sz w:val="24"/>
          <w:lang w:val="en-IN"/>
        </w:rPr>
      </w:pPr>
      <w:r w:rsidRPr="00480D67">
        <w:rPr>
          <w:rFonts w:ascii="Tempus Sans ITC" w:hAnsi="Tempus Sans ITC"/>
          <w:sz w:val="24"/>
          <w:lang w:val="en-IN"/>
        </w:rPr>
        <w:t>(vi)</w:t>
      </w:r>
      <w:r w:rsidRPr="00480D67">
        <w:rPr>
          <w:rFonts w:ascii="Tempus Sans ITC" w:hAnsi="Tempus Sans ITC"/>
          <w:sz w:val="24"/>
          <w:lang w:val="en-IN"/>
        </w:rPr>
        <w:tab/>
      </w:r>
      <w:r w:rsidRPr="00480D67">
        <w:rPr>
          <w:rFonts w:ascii="Tempus Sans ITC" w:hAnsi="Tempus Sans ITC"/>
          <w:b/>
          <w:sz w:val="24"/>
          <w:highlight w:val="yellow"/>
          <w:lang w:val="en-IN"/>
        </w:rPr>
        <w:t>Bills for Collection</w:t>
      </w:r>
      <w:r w:rsidRPr="00480D67">
        <w:rPr>
          <w:rFonts w:ascii="Tempus Sans ITC" w:hAnsi="Tempus Sans ITC"/>
          <w:sz w:val="24"/>
          <w:lang w:val="en-IN"/>
        </w:rPr>
        <w:t xml:space="preserve">: Bills held by a bank for collection on behalf of its customers are to be shown as a contingent liability in the balance sheet.  These bills are generally bills of exchange accompanied by documents of title to goods.  </w:t>
      </w:r>
    </w:p>
    <w:p w:rsidR="00565401" w:rsidRPr="00480D67" w:rsidRDefault="00565401" w:rsidP="00FB54AE">
      <w:pPr>
        <w:pStyle w:val="HANG"/>
        <w:spacing w:after="0" w:line="240" w:lineRule="auto"/>
        <w:rPr>
          <w:rFonts w:ascii="Tempus Sans ITC" w:hAnsi="Tempus Sans ITC"/>
          <w:sz w:val="24"/>
          <w:lang w:val="en-IN"/>
        </w:rPr>
      </w:pPr>
    </w:p>
    <w:p w:rsidR="00C66A93" w:rsidRPr="00480D67" w:rsidRDefault="00C66A93" w:rsidP="00FB54AE">
      <w:pPr>
        <w:pStyle w:val="BodyText"/>
        <w:spacing w:line="240" w:lineRule="auto"/>
        <w:rPr>
          <w:rFonts w:ascii="Tempus Sans ITC" w:hAnsi="Tempus Sans ITC"/>
          <w:b/>
          <w:sz w:val="28"/>
          <w:lang w:val="en-IN"/>
        </w:rPr>
      </w:pPr>
      <w:r w:rsidRPr="00480D67">
        <w:rPr>
          <w:rFonts w:ascii="Tempus Sans ITC" w:hAnsi="Tempus Sans ITC"/>
          <w:b/>
          <w:sz w:val="28"/>
          <w:lang w:val="en-IN"/>
        </w:rPr>
        <w:t xml:space="preserve">Q.4) Principal Enactments Governing Bank Audit: </w:t>
      </w:r>
    </w:p>
    <w:p w:rsidR="00490879" w:rsidRPr="00480D67" w:rsidRDefault="00C66A93" w:rsidP="00FB54AE">
      <w:pPr>
        <w:pStyle w:val="BodyText"/>
        <w:spacing w:after="0" w:line="240" w:lineRule="auto"/>
        <w:rPr>
          <w:rFonts w:ascii="Tempus Sans ITC" w:hAnsi="Tempus Sans ITC"/>
          <w:sz w:val="24"/>
          <w:lang w:val="en-IN"/>
        </w:rPr>
      </w:pPr>
      <w:r w:rsidRPr="00480D67">
        <w:rPr>
          <w:rFonts w:ascii="Tempus Sans ITC" w:hAnsi="Tempus Sans ITC"/>
          <w:sz w:val="24"/>
          <w:lang w:val="en-IN"/>
        </w:rPr>
        <w:t>The principal enactments which govern the functioning of various types of bank are as under:</w:t>
      </w:r>
    </w:p>
    <w:p w:rsidR="00B558D4" w:rsidRPr="00480D67" w:rsidRDefault="00C66A93"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Banking Regulation Act, 1949;</w:t>
      </w:r>
    </w:p>
    <w:p w:rsidR="00C66A93" w:rsidRPr="00480D67" w:rsidRDefault="00C66A93"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Banking Companies (Acquisition of Transfer of Undertakings) Act, 1970;</w:t>
      </w:r>
    </w:p>
    <w:p w:rsidR="00C66A93" w:rsidRPr="00480D67" w:rsidRDefault="00C66A93"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Banking Companies (Acquisition and Transfer of Undertakings) Act, 1980;</w:t>
      </w:r>
    </w:p>
    <w:p w:rsidR="00C66A93" w:rsidRPr="00480D67" w:rsidRDefault="00C66A93"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State Bank of India Act, 1955;</w:t>
      </w:r>
    </w:p>
    <w:p w:rsidR="00C66A93" w:rsidRPr="00480D67" w:rsidRDefault="00C66A93"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S</w:t>
      </w:r>
      <w:r w:rsidR="00490879" w:rsidRPr="00480D67">
        <w:rPr>
          <w:rFonts w:ascii="Tempus Sans ITC" w:hAnsi="Tempus Sans ITC"/>
          <w:sz w:val="24"/>
          <w:lang w:val="en-IN"/>
        </w:rPr>
        <w:t>BI</w:t>
      </w:r>
      <w:r w:rsidRPr="00480D67">
        <w:rPr>
          <w:rFonts w:ascii="Tempus Sans ITC" w:hAnsi="Tempus Sans ITC"/>
          <w:sz w:val="24"/>
          <w:lang w:val="en-IN"/>
        </w:rPr>
        <w:t xml:space="preserve"> (Subsidiary Banks) Act, 1959</w:t>
      </w:r>
    </w:p>
    <w:p w:rsidR="00C66A93" w:rsidRPr="00480D67" w:rsidRDefault="00C66A93"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Regional Rural Banks Act, 1976;</w:t>
      </w:r>
    </w:p>
    <w:p w:rsidR="00C66A93" w:rsidRPr="00480D67" w:rsidRDefault="00C66A93"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Companies Act, 1956; and</w:t>
      </w:r>
    </w:p>
    <w:p w:rsidR="00490879" w:rsidRPr="00480D67" w:rsidRDefault="00490879"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Cooperative Societies Act, 1912</w:t>
      </w:r>
    </w:p>
    <w:p w:rsidR="00C66A93" w:rsidRPr="00480D67" w:rsidRDefault="00B558D4" w:rsidP="00FB54AE">
      <w:pPr>
        <w:pStyle w:val="HANG"/>
        <w:numPr>
          <w:ilvl w:val="0"/>
          <w:numId w:val="6"/>
        </w:numPr>
        <w:spacing w:after="0" w:line="240" w:lineRule="auto"/>
        <w:rPr>
          <w:rFonts w:ascii="Tempus Sans ITC" w:hAnsi="Tempus Sans ITC"/>
          <w:sz w:val="24"/>
          <w:lang w:val="en-IN"/>
        </w:rPr>
      </w:pPr>
      <w:r w:rsidRPr="00480D67">
        <w:rPr>
          <w:rFonts w:ascii="Tempus Sans ITC" w:hAnsi="Tempus Sans ITC"/>
          <w:sz w:val="24"/>
          <w:lang w:val="en-IN"/>
        </w:rPr>
        <w:t>T</w:t>
      </w:r>
      <w:r w:rsidR="00C66A93" w:rsidRPr="00480D67">
        <w:rPr>
          <w:rFonts w:ascii="Tempus Sans ITC" w:hAnsi="Tempus Sans ITC"/>
          <w:sz w:val="24"/>
          <w:lang w:val="en-IN"/>
        </w:rPr>
        <w:t>he relevant State Cooperative Societies Acts.</w:t>
      </w:r>
    </w:p>
    <w:p w:rsidR="00490879" w:rsidRPr="00480D67" w:rsidRDefault="00490879" w:rsidP="00FB54AE">
      <w:pPr>
        <w:pStyle w:val="question"/>
        <w:spacing w:line="240" w:lineRule="auto"/>
        <w:rPr>
          <w:rFonts w:ascii="Tempus Sans ITC" w:hAnsi="Tempus Sans ITC"/>
          <w:b/>
          <w:i w:val="0"/>
          <w:sz w:val="24"/>
          <w:szCs w:val="24"/>
          <w:lang w:val="en-IN"/>
        </w:rPr>
      </w:pPr>
    </w:p>
    <w:p w:rsidR="00F85E03" w:rsidRPr="00480D67" w:rsidRDefault="00F85E03" w:rsidP="00FB54AE">
      <w:pPr>
        <w:pStyle w:val="question"/>
        <w:spacing w:line="240" w:lineRule="auto"/>
        <w:rPr>
          <w:rFonts w:ascii="Tempus Sans ITC" w:hAnsi="Tempus Sans ITC"/>
          <w:b/>
          <w:i w:val="0"/>
          <w:sz w:val="24"/>
          <w:szCs w:val="24"/>
          <w:lang w:val="en-IN"/>
        </w:rPr>
        <w:sectPr w:rsidR="00F85E03" w:rsidRPr="00480D67" w:rsidSect="00AE4E2A">
          <w:headerReference w:type="default" r:id="rId10"/>
          <w:type w:val="continuous"/>
          <w:pgSz w:w="11906" w:h="16838"/>
          <w:pgMar w:top="1248" w:right="1134" w:bottom="1134" w:left="1134" w:header="142" w:footer="709"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pPr>
    </w:p>
    <w:p w:rsidR="00C66A93" w:rsidRPr="00480D67" w:rsidRDefault="00C66A93" w:rsidP="00FB54AE">
      <w:pPr>
        <w:pStyle w:val="question"/>
        <w:spacing w:after="0" w:line="240" w:lineRule="auto"/>
        <w:rPr>
          <w:rFonts w:ascii="Tempus Sans ITC" w:hAnsi="Tempus Sans ITC"/>
          <w:b/>
          <w:i w:val="0"/>
          <w:sz w:val="24"/>
          <w:szCs w:val="24"/>
          <w:lang w:val="en-IN"/>
        </w:rPr>
      </w:pPr>
      <w:r w:rsidRPr="00480D67">
        <w:rPr>
          <w:rFonts w:ascii="Tempus Sans ITC" w:hAnsi="Tempus Sans ITC"/>
          <w:b/>
          <w:i w:val="0"/>
          <w:sz w:val="24"/>
          <w:szCs w:val="24"/>
          <w:lang w:val="en-IN"/>
        </w:rPr>
        <w:lastRenderedPageBreak/>
        <w:t xml:space="preserve">Q.5) </w:t>
      </w:r>
      <w:r w:rsidR="004F32C2" w:rsidRPr="00480D67">
        <w:rPr>
          <w:rFonts w:ascii="Tempus Sans ITC" w:hAnsi="Tempus Sans ITC"/>
          <w:b/>
          <w:i w:val="0"/>
          <w:sz w:val="24"/>
          <w:szCs w:val="24"/>
          <w:lang w:val="en-IN"/>
        </w:rPr>
        <w:t>what</w:t>
      </w:r>
      <w:r w:rsidRPr="00480D67">
        <w:rPr>
          <w:rFonts w:ascii="Tempus Sans ITC" w:hAnsi="Tempus Sans ITC"/>
          <w:b/>
          <w:i w:val="0"/>
          <w:sz w:val="24"/>
          <w:szCs w:val="24"/>
          <w:lang w:val="en-IN"/>
        </w:rPr>
        <w:t xml:space="preserve"> are the exceptions to the general rule of treating advances as Non-performing Assets (NPAs)?</w:t>
      </w:r>
    </w:p>
    <w:p w:rsidR="00C66A93" w:rsidRPr="00480D67" w:rsidRDefault="00C66A93" w:rsidP="00FB54AE">
      <w:pPr>
        <w:pStyle w:val="HANG"/>
        <w:spacing w:after="0" w:line="240" w:lineRule="auto"/>
        <w:rPr>
          <w:rFonts w:ascii="Tempus Sans ITC" w:hAnsi="Tempus Sans ITC"/>
          <w:sz w:val="24"/>
          <w:lang w:val="en-IN"/>
        </w:rPr>
      </w:pPr>
      <w:r w:rsidRPr="00480D67">
        <w:rPr>
          <w:rFonts w:ascii="Tempus Sans ITC" w:hAnsi="Tempus Sans ITC"/>
          <w:sz w:val="24"/>
          <w:lang w:val="en-IN"/>
        </w:rPr>
        <w:t xml:space="preserve"> (i)</w:t>
      </w:r>
      <w:r w:rsidRPr="00480D67">
        <w:rPr>
          <w:rFonts w:ascii="Tempus Sans ITC" w:hAnsi="Tempus Sans ITC"/>
          <w:sz w:val="24"/>
          <w:lang w:val="en-IN"/>
        </w:rPr>
        <w:tab/>
      </w:r>
      <w:r w:rsidRPr="00480D67">
        <w:rPr>
          <w:rFonts w:ascii="Tempus Sans ITC" w:hAnsi="Tempus Sans ITC"/>
          <w:b/>
          <w:sz w:val="24"/>
          <w:lang w:val="en-IN"/>
        </w:rPr>
        <w:t>Temporary deficiencies</w:t>
      </w:r>
      <w:r w:rsidRPr="00480D67">
        <w:rPr>
          <w:rFonts w:ascii="Tempus Sans ITC" w:hAnsi="Tempus Sans ITC"/>
          <w:sz w:val="24"/>
          <w:lang w:val="en-IN"/>
        </w:rPr>
        <w:t xml:space="preserve">, e.g., </w:t>
      </w:r>
      <w:r w:rsidR="004F32C2" w:rsidRPr="00480D67">
        <w:rPr>
          <w:rFonts w:ascii="Tempus Sans ITC" w:hAnsi="Tempus Sans ITC"/>
          <w:sz w:val="24"/>
          <w:lang w:val="en-IN"/>
        </w:rPr>
        <w:t>non-availability</w:t>
      </w:r>
      <w:r w:rsidRPr="00480D67">
        <w:rPr>
          <w:rFonts w:ascii="Tempus Sans ITC" w:hAnsi="Tempus Sans ITC"/>
          <w:sz w:val="24"/>
          <w:lang w:val="en-IN"/>
        </w:rPr>
        <w:t xml:space="preserve"> of current drawing power due to non-receipt of latest stock statement, temporary delay in renewals of limits on due date, etc.</w:t>
      </w:r>
    </w:p>
    <w:p w:rsidR="00C66A93" w:rsidRPr="00480D67" w:rsidRDefault="00C66A93" w:rsidP="00FB54AE">
      <w:pPr>
        <w:pStyle w:val="HANG"/>
        <w:spacing w:after="0" w:line="240" w:lineRule="auto"/>
        <w:rPr>
          <w:rFonts w:ascii="Tempus Sans ITC" w:hAnsi="Tempus Sans ITC"/>
          <w:sz w:val="24"/>
          <w:lang w:val="en-IN"/>
        </w:rPr>
      </w:pPr>
      <w:r w:rsidRPr="00480D67">
        <w:rPr>
          <w:rFonts w:ascii="Tempus Sans ITC" w:hAnsi="Tempus Sans ITC"/>
          <w:sz w:val="24"/>
          <w:lang w:val="en-IN"/>
        </w:rPr>
        <w:t>(ii)</w:t>
      </w:r>
      <w:r w:rsidRPr="00480D67">
        <w:rPr>
          <w:rFonts w:ascii="Tempus Sans ITC" w:hAnsi="Tempus Sans ITC"/>
          <w:sz w:val="24"/>
          <w:lang w:val="en-IN"/>
        </w:rPr>
        <w:tab/>
      </w:r>
      <w:r w:rsidRPr="00480D67">
        <w:rPr>
          <w:rFonts w:ascii="Tempus Sans ITC" w:hAnsi="Tempus Sans ITC"/>
          <w:b/>
          <w:sz w:val="24"/>
          <w:lang w:val="en-IN"/>
        </w:rPr>
        <w:t>Natural Calamities</w:t>
      </w:r>
      <w:r w:rsidRPr="00480D67">
        <w:rPr>
          <w:rFonts w:ascii="Tempus Sans ITC" w:hAnsi="Tempus Sans ITC"/>
          <w:sz w:val="24"/>
          <w:lang w:val="en-IN"/>
        </w:rPr>
        <w:t xml:space="preserve">: Where, in the wake of natural calamities, short-term agricultural loans are converted into term loans or there is rescheduling of repayment period or </w:t>
      </w:r>
      <w:r w:rsidRPr="00480D67">
        <w:rPr>
          <w:rFonts w:ascii="Tempus Sans ITC" w:hAnsi="Tempus Sans ITC"/>
          <w:sz w:val="24"/>
          <w:lang w:val="en-IN"/>
        </w:rPr>
        <w:lastRenderedPageBreak/>
        <w:t>fresh short-term loans are sanctioned, the term loan as well as fresh short term loan may be treated as current dues and need not be classified as NPA.</w:t>
      </w:r>
    </w:p>
    <w:p w:rsidR="00C66A93" w:rsidRPr="00480D67" w:rsidRDefault="00C66A93" w:rsidP="00FB54AE">
      <w:pPr>
        <w:pStyle w:val="HANG"/>
        <w:spacing w:after="0" w:line="240" w:lineRule="auto"/>
        <w:rPr>
          <w:rFonts w:ascii="Tempus Sans ITC" w:hAnsi="Tempus Sans ITC"/>
          <w:sz w:val="24"/>
          <w:lang w:val="en-IN"/>
        </w:rPr>
      </w:pPr>
      <w:r w:rsidRPr="00480D67">
        <w:rPr>
          <w:rFonts w:ascii="Tempus Sans ITC" w:hAnsi="Tempus Sans ITC"/>
          <w:sz w:val="24"/>
          <w:lang w:val="en-IN"/>
        </w:rPr>
        <w:t>(iiii)</w:t>
      </w:r>
      <w:r w:rsidRPr="00480D67">
        <w:rPr>
          <w:rFonts w:ascii="Tempus Sans ITC" w:hAnsi="Tempus Sans ITC"/>
          <w:sz w:val="24"/>
          <w:lang w:val="en-IN"/>
        </w:rPr>
        <w:tab/>
      </w:r>
      <w:r w:rsidRPr="00480D67">
        <w:rPr>
          <w:rFonts w:ascii="Tempus Sans ITC" w:hAnsi="Tempus Sans ITC"/>
          <w:b/>
          <w:sz w:val="24"/>
          <w:lang w:val="en-IN"/>
        </w:rPr>
        <w:t>Facilities Backed by Central Government Guarantees</w:t>
      </w:r>
      <w:r w:rsidRPr="00480D67">
        <w:rPr>
          <w:rFonts w:ascii="Tempus Sans ITC" w:hAnsi="Tempus Sans ITC"/>
          <w:sz w:val="24"/>
          <w:lang w:val="en-IN"/>
        </w:rPr>
        <w:t>: Credit facilities backed by guarantee of the Central Government though overdue should be treated as NPA only when the government repudiates its guarantee when invoked (this exemption is only for the purpose of asset classification and provisioning and not for the purpose of recognition of income).</w:t>
      </w:r>
    </w:p>
    <w:p w:rsidR="00C66A93" w:rsidRPr="00480D67" w:rsidRDefault="00C66A93" w:rsidP="00FB54AE">
      <w:pPr>
        <w:pStyle w:val="HANG"/>
        <w:spacing w:after="0" w:line="240" w:lineRule="auto"/>
        <w:rPr>
          <w:rFonts w:ascii="Tempus Sans ITC" w:hAnsi="Tempus Sans ITC"/>
          <w:sz w:val="24"/>
          <w:lang w:val="en-IN"/>
        </w:rPr>
      </w:pPr>
      <w:r w:rsidRPr="00480D67">
        <w:rPr>
          <w:rFonts w:ascii="Tempus Sans ITC" w:hAnsi="Tempus Sans ITC"/>
          <w:sz w:val="24"/>
          <w:lang w:val="en-IN"/>
        </w:rPr>
        <w:t>(iv)</w:t>
      </w:r>
      <w:r w:rsidRPr="00480D67">
        <w:rPr>
          <w:rFonts w:ascii="Tempus Sans ITC" w:hAnsi="Tempus Sans ITC"/>
          <w:sz w:val="24"/>
          <w:lang w:val="en-IN"/>
        </w:rPr>
        <w:tab/>
      </w:r>
      <w:r w:rsidRPr="00480D67">
        <w:rPr>
          <w:rFonts w:ascii="Tempus Sans ITC" w:hAnsi="Tempus Sans ITC"/>
          <w:b/>
          <w:sz w:val="24"/>
          <w:lang w:val="en-IN"/>
        </w:rPr>
        <w:t>Advances to “On Lending” arrangements</w:t>
      </w:r>
      <w:r w:rsidRPr="00480D67">
        <w:rPr>
          <w:rFonts w:ascii="Tempus Sans ITC" w:hAnsi="Tempus Sans ITC"/>
          <w:sz w:val="24"/>
          <w:lang w:val="en-IN"/>
        </w:rPr>
        <w:t xml:space="preserve"> are also exempted under this category.</w:t>
      </w:r>
    </w:p>
    <w:p w:rsidR="00D87374" w:rsidRPr="00480D67" w:rsidRDefault="00D87374" w:rsidP="00FB54AE">
      <w:pPr>
        <w:pStyle w:val="HANG"/>
        <w:spacing w:after="0" w:line="240" w:lineRule="auto"/>
        <w:rPr>
          <w:rFonts w:ascii="Tempus Sans ITC" w:hAnsi="Tempus Sans ITC"/>
          <w:b/>
          <w:sz w:val="28"/>
          <w:lang w:val="en-IN"/>
        </w:rPr>
      </w:pPr>
    </w:p>
    <w:p w:rsidR="00C66A93" w:rsidRPr="00480D67" w:rsidRDefault="00C66A93" w:rsidP="00FB54AE">
      <w:pPr>
        <w:pStyle w:val="HANG"/>
        <w:spacing w:after="0" w:line="240" w:lineRule="auto"/>
        <w:rPr>
          <w:rFonts w:ascii="Tempus Sans ITC" w:hAnsi="Tempus Sans ITC"/>
          <w:b/>
          <w:sz w:val="28"/>
          <w:lang w:val="en-IN"/>
        </w:rPr>
      </w:pPr>
      <w:r w:rsidRPr="00480D67">
        <w:rPr>
          <w:rFonts w:ascii="Tempus Sans ITC" w:hAnsi="Tempus Sans ITC"/>
          <w:b/>
          <w:sz w:val="28"/>
          <w:lang w:val="en-IN"/>
        </w:rPr>
        <w:t>Q.6) Valuation of Investments “Held to Maturity”:</w:t>
      </w:r>
    </w:p>
    <w:p w:rsidR="00C66A93" w:rsidRPr="00480D67" w:rsidRDefault="00C66A93" w:rsidP="00FB54AE">
      <w:pPr>
        <w:pStyle w:val="BodyText"/>
        <w:spacing w:after="0" w:line="240" w:lineRule="auto"/>
        <w:rPr>
          <w:rFonts w:ascii="Tempus Sans ITC" w:hAnsi="Tempus Sans ITC"/>
          <w:sz w:val="24"/>
          <w:lang w:val="en-IN"/>
        </w:rPr>
      </w:pPr>
      <w:r w:rsidRPr="00480D67">
        <w:rPr>
          <w:rFonts w:ascii="Tempus Sans ITC" w:hAnsi="Tempus Sans ITC"/>
          <w:sz w:val="24"/>
          <w:lang w:val="en-IN"/>
        </w:rPr>
        <w:t xml:space="preserve">The banks are required to classify their entire investment portfolio into three categories: held to maturity (HTM), available for sale (AFS), and held for trading (HFT).  Securities acquired with the intention to hold them up to maturity should be classified under HTM category.  Thus, this category will comprise only debt securities (e.g., debentures, redeemable bonds, </w:t>
      </w:r>
      <w:r w:rsidR="004F32C2" w:rsidRPr="00480D67">
        <w:rPr>
          <w:rFonts w:ascii="Tempus Sans ITC" w:hAnsi="Tempus Sans ITC"/>
          <w:sz w:val="24"/>
          <w:lang w:val="en-IN"/>
        </w:rPr>
        <w:t>and government</w:t>
      </w:r>
      <w:r w:rsidRPr="00480D67">
        <w:rPr>
          <w:rFonts w:ascii="Tempus Sans ITC" w:hAnsi="Tempus Sans ITC"/>
          <w:sz w:val="24"/>
          <w:lang w:val="en-IN"/>
        </w:rPr>
        <w:t xml:space="preserve"> securities), preference shares and similar securities having a defined period of maturity, except that equity shares of subsidiaries/joint ventures have also to be included in HTM category.</w:t>
      </w:r>
    </w:p>
    <w:p w:rsidR="00C66A93" w:rsidRPr="00480D67" w:rsidRDefault="00C66A93" w:rsidP="00FB54AE">
      <w:pPr>
        <w:pStyle w:val="HANG"/>
        <w:spacing w:after="0" w:line="240" w:lineRule="auto"/>
        <w:rPr>
          <w:rFonts w:ascii="Tempus Sans ITC" w:hAnsi="Tempus Sans ITC"/>
          <w:sz w:val="24"/>
          <w:lang w:val="en-IN"/>
        </w:rPr>
      </w:pPr>
      <w:r w:rsidRPr="00480D67">
        <w:rPr>
          <w:rFonts w:ascii="Tempus Sans ITC" w:hAnsi="Tempus Sans ITC"/>
          <w:sz w:val="24"/>
          <w:lang w:val="en-IN"/>
        </w:rPr>
        <w:t>(i)</w:t>
      </w:r>
      <w:r w:rsidRPr="00480D67">
        <w:rPr>
          <w:rFonts w:ascii="Tempus Sans ITC" w:hAnsi="Tempus Sans ITC"/>
          <w:sz w:val="24"/>
          <w:lang w:val="en-IN"/>
        </w:rPr>
        <w:tab/>
        <w:t xml:space="preserve">These investments need not be </w:t>
      </w:r>
      <w:r w:rsidR="004F32C2" w:rsidRPr="00480D67">
        <w:rPr>
          <w:rFonts w:ascii="Tempus Sans ITC" w:hAnsi="Tempus Sans ITC"/>
          <w:sz w:val="24"/>
          <w:lang w:val="en-IN"/>
        </w:rPr>
        <w:t>marked</w:t>
      </w:r>
      <w:r w:rsidRPr="00480D67">
        <w:rPr>
          <w:rFonts w:ascii="Tempus Sans ITC" w:hAnsi="Tempus Sans ITC"/>
          <w:sz w:val="24"/>
          <w:lang w:val="en-IN"/>
        </w:rPr>
        <w:t xml:space="preserve"> to Market and will be carried at acquisition cost unless it is more than the face value, in which case the premium should be amortized over the period remaining to maturity.  For instance if a bond is acquired at say Rs.90 and it is redeemable at Rs.100 after three years, the discount, i.e., Rs.10 should also be amortised as income over the next three years unless there is significant uncertainty of receipt of full face value on maturity.</w:t>
      </w:r>
    </w:p>
    <w:p w:rsidR="00C66A93" w:rsidRPr="00480D67" w:rsidRDefault="00C66A93" w:rsidP="00FB54AE">
      <w:pPr>
        <w:pStyle w:val="HANG"/>
        <w:spacing w:after="0" w:line="240" w:lineRule="auto"/>
        <w:rPr>
          <w:rFonts w:ascii="Tempus Sans ITC" w:hAnsi="Tempus Sans ITC"/>
          <w:sz w:val="24"/>
          <w:lang w:val="en-IN"/>
        </w:rPr>
      </w:pPr>
      <w:r w:rsidRPr="00480D67">
        <w:rPr>
          <w:rFonts w:ascii="Tempus Sans ITC" w:hAnsi="Tempus Sans ITC"/>
          <w:sz w:val="24"/>
          <w:lang w:val="en-IN"/>
        </w:rPr>
        <w:t>(ii)</w:t>
      </w:r>
      <w:r w:rsidRPr="00480D67">
        <w:rPr>
          <w:rFonts w:ascii="Tempus Sans ITC" w:hAnsi="Tempus Sans ITC"/>
          <w:sz w:val="24"/>
          <w:lang w:val="en-IN"/>
        </w:rPr>
        <w:tab/>
        <w:t xml:space="preserve">Any diminution, other than temporary should be recognised in the value of their investments in </w:t>
      </w:r>
      <w:r w:rsidR="00D87374" w:rsidRPr="00480D67">
        <w:rPr>
          <w:rFonts w:ascii="Tempus Sans ITC" w:hAnsi="Tempus Sans ITC"/>
          <w:sz w:val="24"/>
          <w:lang w:val="en-IN"/>
        </w:rPr>
        <w:t>subsidiaries/JV</w:t>
      </w:r>
      <w:r w:rsidRPr="00480D67">
        <w:rPr>
          <w:rFonts w:ascii="Tempus Sans ITC" w:hAnsi="Tempus Sans ITC"/>
          <w:sz w:val="24"/>
          <w:lang w:val="en-IN"/>
        </w:rPr>
        <w:t xml:space="preserve"> and provided for. Such diminution should be determined and provided for each investment individually. </w:t>
      </w:r>
    </w:p>
    <w:p w:rsidR="00930B91" w:rsidRPr="00480D67" w:rsidRDefault="00930B91" w:rsidP="00FB54AE">
      <w:pPr>
        <w:pStyle w:val="HANG"/>
        <w:spacing w:after="0" w:line="240" w:lineRule="auto"/>
        <w:rPr>
          <w:rFonts w:ascii="Tempus Sans ITC" w:hAnsi="Tempus Sans ITC"/>
          <w:sz w:val="24"/>
          <w:lang w:val="en-IN"/>
        </w:rPr>
      </w:pPr>
    </w:p>
    <w:p w:rsidR="00C66A93" w:rsidRPr="00480D67" w:rsidRDefault="00C66A93" w:rsidP="00FB54AE">
      <w:pPr>
        <w:pStyle w:val="justify"/>
        <w:spacing w:before="0" w:after="0" w:line="240" w:lineRule="auto"/>
        <w:rPr>
          <w:rFonts w:ascii="Tempus Sans ITC" w:hAnsi="Tempus Sans ITC"/>
          <w:bCs w:val="0"/>
          <w:sz w:val="24"/>
          <w:szCs w:val="24"/>
          <w:lang w:val="en-IN"/>
        </w:rPr>
      </w:pPr>
      <w:r w:rsidRPr="00480D67">
        <w:rPr>
          <w:rFonts w:ascii="Tempus Sans ITC" w:hAnsi="Tempus Sans ITC"/>
          <w:bCs w:val="0"/>
          <w:sz w:val="24"/>
          <w:szCs w:val="24"/>
          <w:lang w:val="en-IN"/>
        </w:rPr>
        <w:t xml:space="preserve">Q.7) Scope of concurrent audit of banks with reference to </w:t>
      </w:r>
      <w:r w:rsidR="0026352C" w:rsidRPr="00480D67">
        <w:rPr>
          <w:rFonts w:ascii="Tempus Sans ITC" w:hAnsi="Tempus Sans ITC"/>
          <w:bCs w:val="0"/>
          <w:sz w:val="24"/>
          <w:szCs w:val="24"/>
          <w:lang w:val="en-IN"/>
        </w:rPr>
        <w:t>RBI</w:t>
      </w:r>
      <w:r w:rsidRPr="00480D67">
        <w:rPr>
          <w:rFonts w:ascii="Tempus Sans ITC" w:hAnsi="Tempus Sans ITC"/>
          <w:bCs w:val="0"/>
          <w:sz w:val="24"/>
          <w:szCs w:val="24"/>
          <w:lang w:val="en-IN"/>
        </w:rPr>
        <w:t xml:space="preserve"> guidelines:</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i/>
          <w:sz w:val="24"/>
          <w:u w:val="single"/>
          <w:lang w:val="en-IN"/>
        </w:rPr>
        <w:t>Daily cash transactions</w:t>
      </w:r>
      <w:r w:rsidRPr="00480D67">
        <w:rPr>
          <w:rFonts w:ascii="Tempus Sans ITC" w:hAnsi="Tempus Sans ITC"/>
          <w:sz w:val="24"/>
          <w:lang w:val="en-IN"/>
        </w:rPr>
        <w:t xml:space="preserve"> with reference to abnormal receipts and payments. This will include currency chest transactions, major expenses met by cash, high value receipts and disbursements.</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 xml:space="preserve">Purchase and sale of shares securities etc. </w:t>
      </w:r>
      <w:r w:rsidRPr="00480D67">
        <w:rPr>
          <w:rFonts w:ascii="Tempus Sans ITC" w:hAnsi="Tempus Sans ITC"/>
          <w:i/>
          <w:sz w:val="24"/>
          <w:u w:val="single"/>
          <w:lang w:val="en-IN"/>
        </w:rPr>
        <w:t>Physical verification of investments</w:t>
      </w:r>
      <w:r w:rsidRPr="00480D67">
        <w:rPr>
          <w:rFonts w:ascii="Tempus Sans ITC" w:hAnsi="Tempus Sans ITC"/>
          <w:sz w:val="24"/>
          <w:lang w:val="en-IN"/>
        </w:rPr>
        <w:t xml:space="preserve"> and rates at which they are entered into.</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 xml:space="preserve">Verification of </w:t>
      </w:r>
      <w:r w:rsidRPr="00480D67">
        <w:rPr>
          <w:rFonts w:ascii="Tempus Sans ITC" w:hAnsi="Tempus Sans ITC"/>
          <w:i/>
          <w:sz w:val="24"/>
          <w:u w:val="single"/>
          <w:lang w:val="en-IN"/>
        </w:rPr>
        <w:t>procedure and documentation to open new current</w:t>
      </w:r>
      <w:r w:rsidRPr="00480D67">
        <w:rPr>
          <w:rFonts w:ascii="Tempus Sans ITC" w:hAnsi="Tempus Sans ITC"/>
          <w:sz w:val="24"/>
          <w:lang w:val="en-IN"/>
        </w:rPr>
        <w:t>, savings, term deposit accounts, etc. Unusual operations noticed have to be thoroughly examined.</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 xml:space="preserve">Verification of advances, overdrafts, temporary OD, Cash credit accounts, term loans, bills </w:t>
      </w:r>
      <w:r w:rsidR="004F32C2" w:rsidRPr="00480D67">
        <w:rPr>
          <w:rFonts w:ascii="Tempus Sans ITC" w:hAnsi="Tempus Sans ITC"/>
          <w:sz w:val="24"/>
          <w:lang w:val="en-IN"/>
        </w:rPr>
        <w:t>purchase</w:t>
      </w:r>
      <w:r w:rsidRPr="00480D67">
        <w:rPr>
          <w:rFonts w:ascii="Tempus Sans ITC" w:hAnsi="Tempus Sans ITC"/>
          <w:sz w:val="24"/>
          <w:lang w:val="en-IN"/>
        </w:rPr>
        <w:t xml:space="preserve"> letters of credit etc. Procedure for sanction and documentation to be verified.  Any deviation noticed to be examined in great detail.</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i/>
          <w:sz w:val="24"/>
          <w:u w:val="single"/>
          <w:lang w:val="en-IN"/>
        </w:rPr>
        <w:t>Foreign exchange transactions</w:t>
      </w:r>
      <w:r w:rsidRPr="00480D67">
        <w:rPr>
          <w:rFonts w:ascii="Tempus Sans ITC" w:hAnsi="Tempus Sans ITC"/>
          <w:sz w:val="24"/>
          <w:lang w:val="en-IN"/>
        </w:rPr>
        <w:t xml:space="preserve"> to be verified with reference to </w:t>
      </w:r>
      <w:r w:rsidR="0026352C" w:rsidRPr="00480D67">
        <w:rPr>
          <w:rFonts w:ascii="Tempus Sans ITC" w:hAnsi="Tempus Sans ITC"/>
          <w:sz w:val="24"/>
          <w:lang w:val="en-IN"/>
        </w:rPr>
        <w:t>RBI</w:t>
      </w:r>
      <w:r w:rsidRPr="00480D67">
        <w:rPr>
          <w:rFonts w:ascii="Tempus Sans ITC" w:hAnsi="Tempus Sans ITC"/>
          <w:sz w:val="24"/>
          <w:lang w:val="en-IN"/>
        </w:rPr>
        <w:t xml:space="preserve"> guidelines.</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i/>
          <w:sz w:val="24"/>
          <w:u w:val="single"/>
          <w:lang w:val="en-IN"/>
        </w:rPr>
        <w:t>Revenue leakage</w:t>
      </w:r>
      <w:r w:rsidRPr="00480D67">
        <w:rPr>
          <w:rFonts w:ascii="Tempus Sans ITC" w:hAnsi="Tempus Sans ITC"/>
          <w:sz w:val="24"/>
          <w:lang w:val="en-IN"/>
        </w:rPr>
        <w:t xml:space="preserve"> to be detected.</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 xml:space="preserve">Special efforts to be made in all </w:t>
      </w:r>
      <w:r w:rsidRPr="00480D67">
        <w:rPr>
          <w:rFonts w:ascii="Tempus Sans ITC" w:hAnsi="Tempus Sans ITC"/>
          <w:i/>
          <w:sz w:val="24"/>
          <w:u w:val="single"/>
          <w:lang w:val="en-IN"/>
        </w:rPr>
        <w:t>fraud prone areas</w:t>
      </w:r>
      <w:r w:rsidRPr="00480D67">
        <w:rPr>
          <w:rFonts w:ascii="Tempus Sans ITC" w:hAnsi="Tempus Sans ITC"/>
          <w:sz w:val="24"/>
          <w:lang w:val="en-IN"/>
        </w:rPr>
        <w:t>. The attempt should be to ensure that all effective measures are taken to prevent frauds.</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 xml:space="preserve">Verification of </w:t>
      </w:r>
      <w:r w:rsidRPr="00480D67">
        <w:rPr>
          <w:rFonts w:ascii="Tempus Sans ITC" w:hAnsi="Tempus Sans ITC"/>
          <w:i/>
          <w:sz w:val="24"/>
          <w:u w:val="single"/>
          <w:lang w:val="en-IN"/>
        </w:rPr>
        <w:t>high value transactions</w:t>
      </w:r>
      <w:r w:rsidRPr="00480D67">
        <w:rPr>
          <w:rFonts w:ascii="Tempus Sans ITC" w:hAnsi="Tempus Sans ITC"/>
          <w:sz w:val="24"/>
          <w:lang w:val="en-IN"/>
        </w:rPr>
        <w:t>.</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Whether all</w:t>
      </w:r>
      <w:r w:rsidRPr="00480D67">
        <w:rPr>
          <w:rFonts w:ascii="Tempus Sans ITC" w:hAnsi="Tempus Sans ITC"/>
          <w:i/>
          <w:sz w:val="24"/>
          <w:u w:val="single"/>
          <w:lang w:val="en-IN"/>
        </w:rPr>
        <w:t xml:space="preserve"> procedures for tax deduction at source</w:t>
      </w:r>
      <w:r w:rsidRPr="00480D67">
        <w:rPr>
          <w:rFonts w:ascii="Tempus Sans ITC" w:hAnsi="Tempus Sans ITC"/>
          <w:sz w:val="24"/>
          <w:lang w:val="en-IN"/>
        </w:rPr>
        <w:t xml:space="preserve"> are followed and the tax so deducted are deposited into Government Account within the time fixed.</w:t>
      </w:r>
    </w:p>
    <w:p w:rsidR="00C66A9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lastRenderedPageBreak/>
        <w:t xml:space="preserve">Verification of returns, statements, </w:t>
      </w:r>
      <w:r w:rsidRPr="00480D67">
        <w:rPr>
          <w:rFonts w:ascii="Tempus Sans ITC" w:hAnsi="Tempus Sans ITC"/>
          <w:i/>
          <w:sz w:val="24"/>
          <w:u w:val="single"/>
          <w:lang w:val="en-IN"/>
        </w:rPr>
        <w:t>calculation of capital adequacy ratio</w:t>
      </w:r>
      <w:r w:rsidRPr="00480D67">
        <w:rPr>
          <w:rFonts w:ascii="Tempus Sans ITC" w:hAnsi="Tempus Sans ITC"/>
          <w:sz w:val="24"/>
          <w:lang w:val="en-IN"/>
        </w:rPr>
        <w:t xml:space="preserve"> and compliance with requirements of government business.</w:t>
      </w:r>
    </w:p>
    <w:p w:rsidR="00DC04E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 xml:space="preserve">Study of </w:t>
      </w:r>
      <w:r w:rsidR="0026352C" w:rsidRPr="00480D67">
        <w:rPr>
          <w:rFonts w:ascii="Tempus Sans ITC" w:hAnsi="Tempus Sans ITC"/>
          <w:sz w:val="24"/>
          <w:lang w:val="en-IN"/>
        </w:rPr>
        <w:t>RBI</w:t>
      </w:r>
      <w:r w:rsidRPr="00480D67">
        <w:rPr>
          <w:rFonts w:ascii="Tempus Sans ITC" w:hAnsi="Tempus Sans ITC"/>
          <w:sz w:val="24"/>
          <w:lang w:val="en-IN"/>
        </w:rPr>
        <w:t xml:space="preserve"> and Internal Inspection reports statutory auditors report and compliance thereto.</w:t>
      </w:r>
    </w:p>
    <w:p w:rsidR="00DC04E3" w:rsidRPr="00480D67" w:rsidRDefault="00C66A93" w:rsidP="00FB54AE">
      <w:pPr>
        <w:pStyle w:val="HANG"/>
        <w:numPr>
          <w:ilvl w:val="0"/>
          <w:numId w:val="2"/>
        </w:numPr>
        <w:spacing w:after="0" w:line="240" w:lineRule="auto"/>
        <w:rPr>
          <w:rFonts w:ascii="Tempus Sans ITC" w:hAnsi="Tempus Sans ITC"/>
          <w:sz w:val="24"/>
          <w:lang w:val="en-IN"/>
        </w:rPr>
      </w:pPr>
      <w:r w:rsidRPr="00480D67">
        <w:rPr>
          <w:rFonts w:ascii="Tempus Sans ITC" w:hAnsi="Tempus Sans ITC"/>
          <w:sz w:val="24"/>
          <w:lang w:val="en-IN"/>
        </w:rPr>
        <w:t xml:space="preserve">Whether the customers’ </w:t>
      </w:r>
      <w:r w:rsidRPr="00480D67">
        <w:rPr>
          <w:rFonts w:ascii="Tempus Sans ITC" w:hAnsi="Tempus Sans ITC"/>
          <w:i/>
          <w:sz w:val="24"/>
          <w:u w:val="single"/>
          <w:lang w:val="en-IN"/>
        </w:rPr>
        <w:t>complaints are dealt with promptly</w:t>
      </w:r>
      <w:r w:rsidRPr="00480D67">
        <w:rPr>
          <w:rFonts w:ascii="Tempus Sans ITC" w:hAnsi="Tempus Sans ITC"/>
          <w:sz w:val="24"/>
          <w:lang w:val="en-IN"/>
        </w:rPr>
        <w:t xml:space="preserve">.         </w:t>
      </w:r>
    </w:p>
    <w:p w:rsidR="00C66A93" w:rsidRPr="00480D67" w:rsidRDefault="00C66A93" w:rsidP="00FB54AE">
      <w:pPr>
        <w:pStyle w:val="HANG"/>
        <w:spacing w:after="0" w:line="240" w:lineRule="auto"/>
        <w:ind w:left="360" w:firstLine="0"/>
        <w:rPr>
          <w:rFonts w:ascii="Tempus Sans ITC" w:hAnsi="Tempus Sans ITC"/>
          <w:sz w:val="24"/>
          <w:lang w:val="en-IN"/>
        </w:rPr>
      </w:pPr>
      <w:r w:rsidRPr="00480D67">
        <w:rPr>
          <w:rFonts w:ascii="Tempus Sans ITC" w:hAnsi="Tempus Sans ITC"/>
          <w:sz w:val="24"/>
          <w:lang w:val="en-IN"/>
        </w:rPr>
        <w:t xml:space="preserve">    </w:t>
      </w:r>
    </w:p>
    <w:p w:rsidR="00C66A93" w:rsidRPr="00480D67" w:rsidRDefault="00C66A93" w:rsidP="00FB54AE">
      <w:pPr>
        <w:pStyle w:val="HANG"/>
        <w:spacing w:after="0" w:line="240" w:lineRule="auto"/>
        <w:rPr>
          <w:rFonts w:ascii="Tempus Sans ITC" w:hAnsi="Tempus Sans ITC"/>
          <w:b/>
          <w:sz w:val="28"/>
          <w:lang w:val="en-IN"/>
        </w:rPr>
      </w:pPr>
      <w:r w:rsidRPr="00480D67">
        <w:rPr>
          <w:rFonts w:ascii="Tempus Sans ITC" w:hAnsi="Tempus Sans ITC"/>
          <w:b/>
          <w:sz w:val="28"/>
          <w:lang w:val="en-IN"/>
        </w:rPr>
        <w:t>Q.8) Advances to DOT COM Companies</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(1)</w:t>
      </w:r>
      <w:r w:rsidRPr="00480D67">
        <w:rPr>
          <w:rFonts w:ascii="Tempus Sans ITC" w:hAnsi="Tempus Sans ITC"/>
          <w:sz w:val="24"/>
          <w:lang w:val="en-IN"/>
        </w:rPr>
        <w:tab/>
        <w:t xml:space="preserve">Evaluate the </w:t>
      </w:r>
      <w:r w:rsidRPr="00480D67">
        <w:rPr>
          <w:rFonts w:ascii="Tempus Sans ITC" w:hAnsi="Tempus Sans ITC"/>
          <w:i/>
          <w:sz w:val="24"/>
          <w:u w:val="single"/>
          <w:lang w:val="en-IN"/>
        </w:rPr>
        <w:t>efficacy of internal control system</w:t>
      </w:r>
      <w:r w:rsidRPr="00480D67">
        <w:rPr>
          <w:rFonts w:ascii="Tempus Sans ITC" w:hAnsi="Tempus Sans ITC"/>
          <w:sz w:val="24"/>
          <w:lang w:val="en-IN"/>
        </w:rPr>
        <w:t xml:space="preserve"> in general to ascertain whether an advance is made only after satisfying itself as to the credit worthiness of the borrower and after obtaining sanction from the appropriate authorities of the bank.  </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(2)</w:t>
      </w:r>
      <w:r w:rsidRPr="00480D67">
        <w:rPr>
          <w:rFonts w:ascii="Tempus Sans ITC" w:hAnsi="Tempus Sans ITC"/>
          <w:sz w:val="24"/>
          <w:lang w:val="en-IN"/>
        </w:rPr>
        <w:tab/>
        <w:t>Examine loan documents such as certificate of commencement of business (in the case of public limited companies), resolution of board of directors, and resolution of shareholders (in cases covered by section 293(1)(d) of the Companies Act, 1956).</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(3)</w:t>
      </w:r>
      <w:r w:rsidRPr="00480D67">
        <w:rPr>
          <w:rFonts w:ascii="Tempus Sans ITC" w:hAnsi="Tempus Sans ITC"/>
          <w:sz w:val="24"/>
          <w:lang w:val="en-IN"/>
        </w:rPr>
        <w:tab/>
        <w:t xml:space="preserve">Verify the business plan of the company especially where the revenue model is in place.  Verify whether the company depends only on outside funding or can </w:t>
      </w:r>
      <w:r w:rsidR="004F32C2" w:rsidRPr="00480D67">
        <w:rPr>
          <w:rFonts w:ascii="Tempus Sans ITC" w:hAnsi="Tempus Sans ITC"/>
          <w:sz w:val="24"/>
          <w:lang w:val="en-IN"/>
        </w:rPr>
        <w:t>self-generate</w:t>
      </w:r>
      <w:r w:rsidRPr="00480D67">
        <w:rPr>
          <w:rFonts w:ascii="Tempus Sans ITC" w:hAnsi="Tempus Sans ITC"/>
          <w:sz w:val="24"/>
          <w:lang w:val="en-IN"/>
        </w:rPr>
        <w:t xml:space="preserve"> funds.</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(4)</w:t>
      </w:r>
      <w:r w:rsidRPr="00480D67">
        <w:rPr>
          <w:rFonts w:ascii="Tempus Sans ITC" w:hAnsi="Tempus Sans ITC"/>
          <w:sz w:val="24"/>
          <w:lang w:val="en-IN"/>
        </w:rPr>
        <w:tab/>
        <w:t>Examine in case the security is in the form of mortgage, apart from mortgage deed (in the case of English Mortgage) or letter of intent to create mortgage (in the case of Equitable Mortgage), the evidence of registration of the charge with the Registrar of Companies.</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(5)</w:t>
      </w:r>
      <w:r w:rsidRPr="00480D67">
        <w:rPr>
          <w:rFonts w:ascii="Tempus Sans ITC" w:hAnsi="Tempus Sans ITC"/>
          <w:sz w:val="24"/>
          <w:lang w:val="en-IN"/>
        </w:rPr>
        <w:tab/>
        <w:t xml:space="preserve">Review the operation of advance account to </w:t>
      </w:r>
      <w:r w:rsidRPr="00480D67">
        <w:rPr>
          <w:rFonts w:ascii="Tempus Sans ITC" w:hAnsi="Tempus Sans ITC"/>
          <w:i/>
          <w:sz w:val="24"/>
          <w:u w:val="single"/>
          <w:lang w:val="en-IN"/>
        </w:rPr>
        <w:t>see that limit is not generally exceeded</w:t>
      </w:r>
      <w:r w:rsidRPr="00480D67">
        <w:rPr>
          <w:rFonts w:ascii="Tempus Sans ITC" w:hAnsi="Tempus Sans ITC"/>
          <w:sz w:val="24"/>
          <w:lang w:val="en-IN"/>
        </w:rPr>
        <w:t>; that the account is not becoming stagnant; that the customer is not drawing against deposits which are not free from lien; that the account is not window-dressed by running down overdrafts at the year end and again drawing further advances in the new year, etc.</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(6)</w:t>
      </w:r>
      <w:r w:rsidRPr="00480D67">
        <w:rPr>
          <w:rFonts w:ascii="Tempus Sans ITC" w:hAnsi="Tempus Sans ITC"/>
          <w:sz w:val="24"/>
          <w:lang w:val="en-IN"/>
        </w:rPr>
        <w:tab/>
        <w:t xml:space="preserve">Examine whether there is a healthy turnover in the account.  It should be seen that the frequency and the amounts of credits in the account are commensurate with the sanctioned limit and the nature and volume of business of the borrower.  Any unusual items in the account should be carefully examined by the auditor.  If the auditor's review indicates any unhealthy trends, the account should be further examined.  </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(7)</w:t>
      </w:r>
      <w:r w:rsidRPr="00480D67">
        <w:rPr>
          <w:rFonts w:ascii="Tempus Sans ITC" w:hAnsi="Tempus Sans ITC"/>
          <w:sz w:val="24"/>
          <w:lang w:val="en-IN"/>
        </w:rPr>
        <w:tab/>
        <w:t>Review periodic statements, cash flow statements, latest financial statements, etc. to assess the recoverability of advances.</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(8)</w:t>
      </w:r>
      <w:r w:rsidRPr="00480D67">
        <w:rPr>
          <w:rFonts w:ascii="Tempus Sans ITC" w:hAnsi="Tempus Sans ITC"/>
          <w:sz w:val="24"/>
          <w:lang w:val="en-IN"/>
        </w:rPr>
        <w:tab/>
        <w:t>Verify whether the advance is secured and determine whether the security is legally enforceable, i.e., whether the necessary legal formalities regarding documentation, registration, etc., have been complied with; whether the security is in the effective control of the bank; and to what extent the value of the security, assessed realistically, covers the amount outstanding in the advance.</w:t>
      </w:r>
    </w:p>
    <w:p w:rsidR="00C66A93" w:rsidRPr="00480D67" w:rsidRDefault="00C66A93" w:rsidP="00FB54AE">
      <w:pPr>
        <w:pStyle w:val="HANG-1"/>
        <w:spacing w:after="0" w:line="240" w:lineRule="auto"/>
        <w:ind w:left="432"/>
        <w:rPr>
          <w:rFonts w:ascii="Tempus Sans ITC" w:hAnsi="Tempus Sans ITC"/>
          <w:sz w:val="24"/>
          <w:lang w:val="en-IN"/>
        </w:rPr>
      </w:pPr>
      <w:r w:rsidRPr="00480D67">
        <w:rPr>
          <w:rFonts w:ascii="Tempus Sans ITC" w:hAnsi="Tempus Sans ITC"/>
          <w:sz w:val="24"/>
          <w:lang w:val="en-IN"/>
        </w:rPr>
        <w:t>(9)</w:t>
      </w:r>
      <w:r w:rsidRPr="00480D67">
        <w:rPr>
          <w:rFonts w:ascii="Tempus Sans ITC" w:hAnsi="Tempus Sans ITC"/>
          <w:sz w:val="24"/>
          <w:lang w:val="en-IN"/>
        </w:rPr>
        <w:tab/>
        <w:t>Ensure that proper provisioning norms have been applied in view of non-observance of terms, coupled with irregular payment of interest and default in repayment of instalments, if any.</w:t>
      </w:r>
    </w:p>
    <w:sectPr w:rsidR="00C66A93" w:rsidRPr="00480D67" w:rsidSect="00490879">
      <w:type w:val="continuous"/>
      <w:pgSz w:w="11906" w:h="16838"/>
      <w:pgMar w:top="1248" w:right="1134" w:bottom="1134" w:left="1134" w:header="142" w:footer="709"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4BA" w:rsidRDefault="00A054BA" w:rsidP="004F77B6">
      <w:pPr>
        <w:spacing w:after="0" w:line="240" w:lineRule="auto"/>
      </w:pPr>
      <w:r>
        <w:separator/>
      </w:r>
    </w:p>
  </w:endnote>
  <w:endnote w:type="continuationSeparator" w:id="0">
    <w:p w:rsidR="00A054BA" w:rsidRDefault="00A054BA" w:rsidP="004F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4BA" w:rsidRDefault="00A054BA" w:rsidP="004F77B6">
      <w:pPr>
        <w:spacing w:after="0" w:line="240" w:lineRule="auto"/>
      </w:pPr>
      <w:r>
        <w:separator/>
      </w:r>
    </w:p>
  </w:footnote>
  <w:footnote w:type="continuationSeparator" w:id="0">
    <w:p w:rsidR="00A054BA" w:rsidRDefault="00A054BA" w:rsidP="004F77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49F" w:rsidRPr="009E649F" w:rsidRDefault="009E649F" w:rsidP="009E649F">
    <w:pPr>
      <w:autoSpaceDE w:val="0"/>
      <w:autoSpaceDN w:val="0"/>
      <w:adjustRightInd w:val="0"/>
      <w:spacing w:after="0"/>
      <w:jc w:val="center"/>
      <w:rPr>
        <w:rFonts w:ascii="Tempus Sans ITC" w:eastAsia="Times New Roman" w:hAnsi="Tempus Sans ITC" w:cs="Times New Roman"/>
        <w:b/>
        <w:spacing w:val="4"/>
        <w:sz w:val="28"/>
        <w:szCs w:val="24"/>
        <w:lang w:val="en-IN"/>
      </w:rPr>
    </w:pPr>
    <w:r w:rsidRPr="009E649F">
      <w:rPr>
        <w:rFonts w:ascii="Tempus Sans ITC" w:eastAsia="Times New Roman" w:hAnsi="Tempus Sans ITC" w:cs="Times New Roman"/>
        <w:b/>
        <w:spacing w:val="4"/>
        <w:sz w:val="28"/>
        <w:szCs w:val="24"/>
        <w:lang w:val="en-IN"/>
      </w:rPr>
      <w:t>AUDIT OF BANKS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3E44"/>
    <w:multiLevelType w:val="hybridMultilevel"/>
    <w:tmpl w:val="0C12919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0D29064D"/>
    <w:multiLevelType w:val="hybridMultilevel"/>
    <w:tmpl w:val="7834EC80"/>
    <w:lvl w:ilvl="0" w:tplc="4009000F">
      <w:start w:val="1"/>
      <w:numFmt w:val="decimal"/>
      <w:lvlText w:val="%1."/>
      <w:lvlJc w:val="left"/>
      <w:pPr>
        <w:ind w:left="720" w:hanging="360"/>
      </w:pPr>
    </w:lvl>
    <w:lvl w:ilvl="1" w:tplc="A6CEDA38">
      <w:start w:val="1"/>
      <w:numFmt w:val="lowerRoman"/>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7E5321"/>
    <w:multiLevelType w:val="hybridMultilevel"/>
    <w:tmpl w:val="BFEA00D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nsid w:val="2144647C"/>
    <w:multiLevelType w:val="hybridMultilevel"/>
    <w:tmpl w:val="60DE96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F5464F6"/>
    <w:multiLevelType w:val="hybridMultilevel"/>
    <w:tmpl w:val="1EB201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535780D"/>
    <w:multiLevelType w:val="hybridMultilevel"/>
    <w:tmpl w:val="9F2010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6FA5E5F"/>
    <w:multiLevelType w:val="hybridMultilevel"/>
    <w:tmpl w:val="74BA6F8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5"/>
  </w:num>
  <w:num w:numId="2">
    <w:abstractNumId w:val="4"/>
  </w:num>
  <w:num w:numId="3">
    <w:abstractNumId w:val="1"/>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DFC"/>
    <w:rsid w:val="00007BDA"/>
    <w:rsid w:val="000121BF"/>
    <w:rsid w:val="000361A3"/>
    <w:rsid w:val="00092609"/>
    <w:rsid w:val="000D7992"/>
    <w:rsid w:val="00144538"/>
    <w:rsid w:val="00197C79"/>
    <w:rsid w:val="001A1345"/>
    <w:rsid w:val="00262A03"/>
    <w:rsid w:val="0026352C"/>
    <w:rsid w:val="00273C00"/>
    <w:rsid w:val="002B60F7"/>
    <w:rsid w:val="002E5ACF"/>
    <w:rsid w:val="002E5DFD"/>
    <w:rsid w:val="002F758F"/>
    <w:rsid w:val="003142A5"/>
    <w:rsid w:val="00353D4F"/>
    <w:rsid w:val="0038328C"/>
    <w:rsid w:val="00450735"/>
    <w:rsid w:val="00480D67"/>
    <w:rsid w:val="00490879"/>
    <w:rsid w:val="004C6334"/>
    <w:rsid w:val="004D640A"/>
    <w:rsid w:val="004F32C2"/>
    <w:rsid w:val="004F77B6"/>
    <w:rsid w:val="00520557"/>
    <w:rsid w:val="00565401"/>
    <w:rsid w:val="00574C55"/>
    <w:rsid w:val="00592281"/>
    <w:rsid w:val="005D006F"/>
    <w:rsid w:val="006A6A53"/>
    <w:rsid w:val="006B458B"/>
    <w:rsid w:val="006E7415"/>
    <w:rsid w:val="006E7B64"/>
    <w:rsid w:val="00740568"/>
    <w:rsid w:val="007607A3"/>
    <w:rsid w:val="007D17C2"/>
    <w:rsid w:val="007F22A0"/>
    <w:rsid w:val="008028D4"/>
    <w:rsid w:val="00861A3C"/>
    <w:rsid w:val="008A5942"/>
    <w:rsid w:val="008B4DE3"/>
    <w:rsid w:val="008F56EB"/>
    <w:rsid w:val="008F59CE"/>
    <w:rsid w:val="00911A55"/>
    <w:rsid w:val="009168BC"/>
    <w:rsid w:val="009279ED"/>
    <w:rsid w:val="00930B91"/>
    <w:rsid w:val="009673DB"/>
    <w:rsid w:val="009E649F"/>
    <w:rsid w:val="00A054BA"/>
    <w:rsid w:val="00A33935"/>
    <w:rsid w:val="00A6766E"/>
    <w:rsid w:val="00AB6F6A"/>
    <w:rsid w:val="00AC7F02"/>
    <w:rsid w:val="00AE4E2A"/>
    <w:rsid w:val="00B02272"/>
    <w:rsid w:val="00B534B7"/>
    <w:rsid w:val="00B558D4"/>
    <w:rsid w:val="00B706DE"/>
    <w:rsid w:val="00B936E0"/>
    <w:rsid w:val="00B97F16"/>
    <w:rsid w:val="00BA391B"/>
    <w:rsid w:val="00BA767B"/>
    <w:rsid w:val="00BB14F6"/>
    <w:rsid w:val="00C15708"/>
    <w:rsid w:val="00C16565"/>
    <w:rsid w:val="00C22FD4"/>
    <w:rsid w:val="00C37672"/>
    <w:rsid w:val="00C51804"/>
    <w:rsid w:val="00C66A93"/>
    <w:rsid w:val="00CB5DEB"/>
    <w:rsid w:val="00CC7713"/>
    <w:rsid w:val="00D01D5B"/>
    <w:rsid w:val="00D2779F"/>
    <w:rsid w:val="00D74EE6"/>
    <w:rsid w:val="00D87374"/>
    <w:rsid w:val="00DA258C"/>
    <w:rsid w:val="00DC04E3"/>
    <w:rsid w:val="00DC5F02"/>
    <w:rsid w:val="00DE5A39"/>
    <w:rsid w:val="00E34ABB"/>
    <w:rsid w:val="00E56332"/>
    <w:rsid w:val="00E72466"/>
    <w:rsid w:val="00E72CA9"/>
    <w:rsid w:val="00E84DFC"/>
    <w:rsid w:val="00EC6420"/>
    <w:rsid w:val="00ED65B7"/>
    <w:rsid w:val="00EE26CC"/>
    <w:rsid w:val="00F55508"/>
    <w:rsid w:val="00F84ABF"/>
    <w:rsid w:val="00F85E03"/>
    <w:rsid w:val="00FB54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A93"/>
    <w:rPr>
      <w:rFonts w:eastAsiaTheme="minorEastAsia"/>
      <w:lang w:val="en-US"/>
    </w:rPr>
  </w:style>
  <w:style w:type="paragraph" w:styleId="Heading1">
    <w:name w:val="heading 1"/>
    <w:basedOn w:val="Normal"/>
    <w:next w:val="Normal"/>
    <w:link w:val="Heading1Char"/>
    <w:uiPriority w:val="9"/>
    <w:qFormat/>
    <w:rsid w:val="00E34A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66A93"/>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C66A93"/>
    <w:rPr>
      <w:rFonts w:ascii="Arial Narrow" w:eastAsia="Times New Roman" w:hAnsi="Arial Narrow" w:cs="Times New Roman"/>
      <w:spacing w:val="4"/>
      <w:szCs w:val="24"/>
      <w:lang w:val="en-US"/>
    </w:rPr>
  </w:style>
  <w:style w:type="paragraph" w:customStyle="1" w:styleId="HANG-1">
    <w:name w:val="HANG-1"/>
    <w:basedOn w:val="Normal"/>
    <w:rsid w:val="00C66A93"/>
    <w:pPr>
      <w:autoSpaceDE w:val="0"/>
      <w:autoSpaceDN w:val="0"/>
      <w:adjustRightInd w:val="0"/>
      <w:spacing w:after="100" w:line="260" w:lineRule="atLeast"/>
      <w:ind w:left="864" w:hanging="432"/>
      <w:jc w:val="both"/>
    </w:pPr>
    <w:rPr>
      <w:rFonts w:ascii="Arial Narrow" w:eastAsia="Times New Roman" w:hAnsi="Arial Narrow" w:cs="Times New Roman"/>
      <w:spacing w:val="4"/>
      <w:szCs w:val="24"/>
    </w:rPr>
  </w:style>
  <w:style w:type="paragraph" w:customStyle="1" w:styleId="HANG">
    <w:name w:val="HANG"/>
    <w:basedOn w:val="Normal"/>
    <w:rsid w:val="00C66A93"/>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paragraph" w:customStyle="1" w:styleId="question">
    <w:name w:val="question"/>
    <w:basedOn w:val="Normal"/>
    <w:rsid w:val="00C66A93"/>
    <w:pPr>
      <w:tabs>
        <w:tab w:val="left" w:pos="432"/>
        <w:tab w:val="left" w:pos="864"/>
        <w:tab w:val="right" w:pos="7920"/>
      </w:tabs>
      <w:spacing w:after="100" w:line="260" w:lineRule="atLeast"/>
      <w:jc w:val="both"/>
    </w:pPr>
    <w:rPr>
      <w:rFonts w:ascii="Arial Narrow" w:eastAsia="Times New Roman" w:hAnsi="Arial Narrow" w:cs="Times New Roman"/>
      <w:i/>
      <w:spacing w:val="4"/>
      <w:szCs w:val="20"/>
    </w:rPr>
  </w:style>
  <w:style w:type="paragraph" w:customStyle="1" w:styleId="justify">
    <w:name w:val="justify"/>
    <w:basedOn w:val="HANG"/>
    <w:rsid w:val="00C66A93"/>
    <w:pPr>
      <w:spacing w:before="120" w:after="120"/>
    </w:pPr>
    <w:rPr>
      <w:b/>
      <w:bCs/>
      <w:szCs w:val="20"/>
    </w:rPr>
  </w:style>
  <w:style w:type="paragraph" w:styleId="NoSpacing">
    <w:name w:val="No Spacing"/>
    <w:link w:val="NoSpacingChar"/>
    <w:uiPriority w:val="1"/>
    <w:qFormat/>
    <w:rsid w:val="009168BC"/>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168BC"/>
    <w:rPr>
      <w:rFonts w:eastAsiaTheme="minorEastAsia"/>
      <w:lang w:val="en-US" w:eastAsia="ja-JP"/>
    </w:rPr>
  </w:style>
  <w:style w:type="paragraph" w:styleId="BalloonText">
    <w:name w:val="Balloon Text"/>
    <w:basedOn w:val="Normal"/>
    <w:link w:val="BalloonTextChar"/>
    <w:uiPriority w:val="99"/>
    <w:semiHidden/>
    <w:unhideWhenUsed/>
    <w:rsid w:val="0091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8BC"/>
    <w:rPr>
      <w:rFonts w:ascii="Tahoma" w:eastAsiaTheme="minorEastAsia" w:hAnsi="Tahoma" w:cs="Tahoma"/>
      <w:sz w:val="16"/>
      <w:szCs w:val="16"/>
      <w:lang w:val="en-US"/>
    </w:rPr>
  </w:style>
  <w:style w:type="character" w:customStyle="1" w:styleId="Heading1Char">
    <w:name w:val="Heading 1 Char"/>
    <w:basedOn w:val="DefaultParagraphFont"/>
    <w:link w:val="Heading1"/>
    <w:uiPriority w:val="9"/>
    <w:rsid w:val="00E34ABB"/>
    <w:rPr>
      <w:rFonts w:asciiTheme="majorHAnsi" w:eastAsiaTheme="majorEastAsia" w:hAnsiTheme="majorHAnsi" w:cstheme="majorBidi"/>
      <w:b/>
      <w:bCs/>
      <w:color w:val="365F91" w:themeColor="accent1" w:themeShade="BF"/>
      <w:sz w:val="28"/>
      <w:szCs w:val="28"/>
      <w:lang w:val="en-US"/>
    </w:rPr>
  </w:style>
  <w:style w:type="paragraph" w:styleId="Header">
    <w:name w:val="header"/>
    <w:basedOn w:val="Normal"/>
    <w:link w:val="HeaderChar"/>
    <w:uiPriority w:val="99"/>
    <w:unhideWhenUsed/>
    <w:rsid w:val="004F7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7B6"/>
    <w:rPr>
      <w:rFonts w:eastAsiaTheme="minorEastAsia"/>
      <w:lang w:val="en-US"/>
    </w:rPr>
  </w:style>
  <w:style w:type="paragraph" w:styleId="Footer">
    <w:name w:val="footer"/>
    <w:basedOn w:val="Normal"/>
    <w:link w:val="FooterChar"/>
    <w:uiPriority w:val="99"/>
    <w:unhideWhenUsed/>
    <w:rsid w:val="004F7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7B6"/>
    <w:rPr>
      <w:rFonts w:eastAsiaTheme="minorEastAsia"/>
      <w:lang w:val="en-US"/>
    </w:rPr>
  </w:style>
  <w:style w:type="character" w:styleId="Emphasis">
    <w:name w:val="Emphasis"/>
    <w:basedOn w:val="DefaultParagraphFont"/>
    <w:uiPriority w:val="20"/>
    <w:qFormat/>
    <w:rsid w:val="00197C79"/>
    <w:rPr>
      <w:i/>
      <w:iCs/>
    </w:rPr>
  </w:style>
  <w:style w:type="table" w:styleId="TableGrid">
    <w:name w:val="Table Grid"/>
    <w:basedOn w:val="TableNormal"/>
    <w:uiPriority w:val="59"/>
    <w:rsid w:val="00D01D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A93"/>
    <w:rPr>
      <w:rFonts w:eastAsiaTheme="minorEastAsia"/>
      <w:lang w:val="en-US"/>
    </w:rPr>
  </w:style>
  <w:style w:type="paragraph" w:styleId="Heading1">
    <w:name w:val="heading 1"/>
    <w:basedOn w:val="Normal"/>
    <w:next w:val="Normal"/>
    <w:link w:val="Heading1Char"/>
    <w:uiPriority w:val="9"/>
    <w:qFormat/>
    <w:rsid w:val="00E34A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66A93"/>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C66A93"/>
    <w:rPr>
      <w:rFonts w:ascii="Arial Narrow" w:eastAsia="Times New Roman" w:hAnsi="Arial Narrow" w:cs="Times New Roman"/>
      <w:spacing w:val="4"/>
      <w:szCs w:val="24"/>
      <w:lang w:val="en-US"/>
    </w:rPr>
  </w:style>
  <w:style w:type="paragraph" w:customStyle="1" w:styleId="HANG-1">
    <w:name w:val="HANG-1"/>
    <w:basedOn w:val="Normal"/>
    <w:rsid w:val="00C66A93"/>
    <w:pPr>
      <w:autoSpaceDE w:val="0"/>
      <w:autoSpaceDN w:val="0"/>
      <w:adjustRightInd w:val="0"/>
      <w:spacing w:after="100" w:line="260" w:lineRule="atLeast"/>
      <w:ind w:left="864" w:hanging="432"/>
      <w:jc w:val="both"/>
    </w:pPr>
    <w:rPr>
      <w:rFonts w:ascii="Arial Narrow" w:eastAsia="Times New Roman" w:hAnsi="Arial Narrow" w:cs="Times New Roman"/>
      <w:spacing w:val="4"/>
      <w:szCs w:val="24"/>
    </w:rPr>
  </w:style>
  <w:style w:type="paragraph" w:customStyle="1" w:styleId="HANG">
    <w:name w:val="HANG"/>
    <w:basedOn w:val="Normal"/>
    <w:rsid w:val="00C66A93"/>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paragraph" w:customStyle="1" w:styleId="question">
    <w:name w:val="question"/>
    <w:basedOn w:val="Normal"/>
    <w:rsid w:val="00C66A93"/>
    <w:pPr>
      <w:tabs>
        <w:tab w:val="left" w:pos="432"/>
        <w:tab w:val="left" w:pos="864"/>
        <w:tab w:val="right" w:pos="7920"/>
      </w:tabs>
      <w:spacing w:after="100" w:line="260" w:lineRule="atLeast"/>
      <w:jc w:val="both"/>
    </w:pPr>
    <w:rPr>
      <w:rFonts w:ascii="Arial Narrow" w:eastAsia="Times New Roman" w:hAnsi="Arial Narrow" w:cs="Times New Roman"/>
      <w:i/>
      <w:spacing w:val="4"/>
      <w:szCs w:val="20"/>
    </w:rPr>
  </w:style>
  <w:style w:type="paragraph" w:customStyle="1" w:styleId="justify">
    <w:name w:val="justify"/>
    <w:basedOn w:val="HANG"/>
    <w:rsid w:val="00C66A93"/>
    <w:pPr>
      <w:spacing w:before="120" w:after="120"/>
    </w:pPr>
    <w:rPr>
      <w:b/>
      <w:bCs/>
      <w:szCs w:val="20"/>
    </w:rPr>
  </w:style>
  <w:style w:type="paragraph" w:styleId="NoSpacing">
    <w:name w:val="No Spacing"/>
    <w:link w:val="NoSpacingChar"/>
    <w:uiPriority w:val="1"/>
    <w:qFormat/>
    <w:rsid w:val="009168BC"/>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168BC"/>
    <w:rPr>
      <w:rFonts w:eastAsiaTheme="minorEastAsia"/>
      <w:lang w:val="en-US" w:eastAsia="ja-JP"/>
    </w:rPr>
  </w:style>
  <w:style w:type="paragraph" w:styleId="BalloonText">
    <w:name w:val="Balloon Text"/>
    <w:basedOn w:val="Normal"/>
    <w:link w:val="BalloonTextChar"/>
    <w:uiPriority w:val="99"/>
    <w:semiHidden/>
    <w:unhideWhenUsed/>
    <w:rsid w:val="0091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8BC"/>
    <w:rPr>
      <w:rFonts w:ascii="Tahoma" w:eastAsiaTheme="minorEastAsia" w:hAnsi="Tahoma" w:cs="Tahoma"/>
      <w:sz w:val="16"/>
      <w:szCs w:val="16"/>
      <w:lang w:val="en-US"/>
    </w:rPr>
  </w:style>
  <w:style w:type="character" w:customStyle="1" w:styleId="Heading1Char">
    <w:name w:val="Heading 1 Char"/>
    <w:basedOn w:val="DefaultParagraphFont"/>
    <w:link w:val="Heading1"/>
    <w:uiPriority w:val="9"/>
    <w:rsid w:val="00E34ABB"/>
    <w:rPr>
      <w:rFonts w:asciiTheme="majorHAnsi" w:eastAsiaTheme="majorEastAsia" w:hAnsiTheme="majorHAnsi" w:cstheme="majorBidi"/>
      <w:b/>
      <w:bCs/>
      <w:color w:val="365F91" w:themeColor="accent1" w:themeShade="BF"/>
      <w:sz w:val="28"/>
      <w:szCs w:val="28"/>
      <w:lang w:val="en-US"/>
    </w:rPr>
  </w:style>
  <w:style w:type="paragraph" w:styleId="Header">
    <w:name w:val="header"/>
    <w:basedOn w:val="Normal"/>
    <w:link w:val="HeaderChar"/>
    <w:uiPriority w:val="99"/>
    <w:unhideWhenUsed/>
    <w:rsid w:val="004F7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7B6"/>
    <w:rPr>
      <w:rFonts w:eastAsiaTheme="minorEastAsia"/>
      <w:lang w:val="en-US"/>
    </w:rPr>
  </w:style>
  <w:style w:type="paragraph" w:styleId="Footer">
    <w:name w:val="footer"/>
    <w:basedOn w:val="Normal"/>
    <w:link w:val="FooterChar"/>
    <w:uiPriority w:val="99"/>
    <w:unhideWhenUsed/>
    <w:rsid w:val="004F7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7B6"/>
    <w:rPr>
      <w:rFonts w:eastAsiaTheme="minorEastAsia"/>
      <w:lang w:val="en-US"/>
    </w:rPr>
  </w:style>
  <w:style w:type="character" w:styleId="Emphasis">
    <w:name w:val="Emphasis"/>
    <w:basedOn w:val="DefaultParagraphFont"/>
    <w:uiPriority w:val="20"/>
    <w:qFormat/>
    <w:rsid w:val="00197C79"/>
    <w:rPr>
      <w:i/>
      <w:iCs/>
    </w:rPr>
  </w:style>
  <w:style w:type="table" w:styleId="TableGrid">
    <w:name w:val="Table Grid"/>
    <w:basedOn w:val="TableNormal"/>
    <w:uiPriority w:val="59"/>
    <w:rsid w:val="00D01D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SUMMARY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18EF20-93B7-42B1-9EEF-DBC126EA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Pages>
  <Words>1910</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BANK AUDIT</vt:lpstr>
    </vt:vector>
  </TitlesOfParts>
  <Company>NKS</Company>
  <LinksUpToDate>false</LinksUpToDate>
  <CharactersWithSpaces>12772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AUDIT</dc:title>
  <dc:subject>CA FINAL</dc:subject>
  <dc:creator>NAVEEN KUMAR SINGARAYANI</dc:creator>
  <cp:keywords/>
  <dc:description/>
  <cp:lastModifiedBy>lakshmi</cp:lastModifiedBy>
  <cp:revision>29</cp:revision>
  <dcterms:created xsi:type="dcterms:W3CDTF">2011-02-24T10:00:00Z</dcterms:created>
  <dcterms:modified xsi:type="dcterms:W3CDTF">2012-03-04T02:42:00Z</dcterms:modified>
</cp:coreProperties>
</file>