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 </w:t>
      </w:r>
    </w:p>
    <w:p w:rsidR="00E909E9" w:rsidRPr="00E909E9" w:rsidRDefault="00D14A5F" w:rsidP="00E909E9">
      <w:pPr>
        <w:spacing w:before="100" w:beforeAutospacing="1" w:after="100" w:afterAutospacing="1" w:line="240" w:lineRule="auto"/>
        <w:outlineLvl w:val="2"/>
        <w:rPr>
          <w:rFonts w:ascii="Times New Roman" w:eastAsia="Times New Roman" w:hAnsi="Times New Roman" w:cs="Times New Roman"/>
          <w:b/>
          <w:bCs/>
          <w:sz w:val="27"/>
          <w:szCs w:val="27"/>
        </w:rPr>
      </w:pPr>
      <w:hyperlink r:id="rId6" w:tooltip="Use of Analytical Procedures in Planning the Audit" w:history="1">
        <w:r w:rsidR="00E909E9" w:rsidRPr="00E909E9">
          <w:rPr>
            <w:rFonts w:ascii="Times New Roman" w:eastAsia="Times New Roman" w:hAnsi="Times New Roman" w:cs="Times New Roman"/>
            <w:b/>
            <w:bCs/>
            <w:color w:val="0000FF"/>
            <w:sz w:val="27"/>
            <w:szCs w:val="27"/>
            <w:u w:val="single"/>
          </w:rPr>
          <w:t>Use of Analytical Procedures in Planning the Audit</w:t>
        </w:r>
      </w:hyperlink>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In the audit planning phase, analytical procedures serve as an attention-directing device. They are used by auditors to help determine the nature, timing, and extent of their substantive procedures. The objective of using analytical procedures in this phase is to increase the auditor’s understanding of the client and identify specific audit risks by considering unusual or unexpected balances or relationships in aggregate data</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u w:val="single"/>
        </w:rPr>
        <w:t>Analytical procedures used in planning the audit might include the following</w:t>
      </w:r>
      <w:r w:rsidRPr="00E909E9">
        <w:rPr>
          <w:rFonts w:ascii="Times New Roman" w:eastAsia="Times New Roman" w:hAnsi="Times New Roman" w:cs="Times New Roman"/>
          <w:sz w:val="24"/>
          <w:szCs w:val="24"/>
        </w:rPr>
        <w:t>:</w:t>
      </w:r>
    </w:p>
    <w:p w:rsidR="00E909E9" w:rsidRPr="00E909E9" w:rsidRDefault="00E909E9" w:rsidP="00E909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Account balance comparison</w:t>
      </w:r>
      <w:r w:rsidRPr="00E909E9">
        <w:rPr>
          <w:rFonts w:ascii="Times New Roman" w:eastAsia="Times New Roman" w:hAnsi="Times New Roman" w:cs="Times New Roman"/>
          <w:sz w:val="24"/>
          <w:szCs w:val="24"/>
        </w:rPr>
        <w:t>. Compare unadjusted trial balance amounts with adjusted tried balance amounts of the prior year.</w:t>
      </w:r>
    </w:p>
    <w:p w:rsidR="00E909E9" w:rsidRPr="00E909E9" w:rsidRDefault="00E909E9" w:rsidP="00E909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Computation of significant ratios</w:t>
      </w:r>
      <w:r w:rsidRPr="00E909E9">
        <w:rPr>
          <w:rFonts w:ascii="Times New Roman" w:eastAsia="Times New Roman" w:hAnsi="Times New Roman" w:cs="Times New Roman"/>
          <w:sz w:val="24"/>
          <w:szCs w:val="24"/>
        </w:rPr>
        <w:t>. Compare current year ratios to current industry ratios and prior year computing ratios.</w:t>
      </w:r>
    </w:p>
    <w:p w:rsidR="00E909E9" w:rsidRPr="00E909E9" w:rsidRDefault="00E909E9" w:rsidP="00E909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Computation of ratios using nonfinancial and financial data</w:t>
      </w:r>
      <w:r w:rsidRPr="00E909E9">
        <w:rPr>
          <w:rFonts w:ascii="Times New Roman" w:eastAsia="Times New Roman" w:hAnsi="Times New Roman" w:cs="Times New Roman"/>
          <w:sz w:val="24"/>
          <w:szCs w:val="24"/>
        </w:rPr>
        <w:t>. E.g., sales per square foot of sales space.</w:t>
      </w:r>
    </w:p>
    <w:p w:rsidR="00E909E9" w:rsidRPr="00E909E9" w:rsidRDefault="00E909E9" w:rsidP="00E909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Regression analysis</w:t>
      </w:r>
      <w:r w:rsidRPr="00E909E9">
        <w:rPr>
          <w:rFonts w:ascii="Times New Roman" w:eastAsia="Times New Roman" w:hAnsi="Times New Roman" w:cs="Times New Roman"/>
          <w:sz w:val="24"/>
          <w:szCs w:val="24"/>
        </w:rPr>
        <w:t>. This procedure is discussed in a separate section below.</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 </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A question arises concerning the auditor’s response to the results of analytical procedures in the planning stage</w:t>
      </w:r>
      <w:r w:rsidRPr="00E909E9">
        <w:rPr>
          <w:rFonts w:ascii="Times New Roman" w:eastAsia="Times New Roman" w:hAnsi="Times New Roman" w:cs="Times New Roman"/>
          <w:sz w:val="24"/>
          <w:szCs w:val="24"/>
        </w:rPr>
        <w:t>. One study indicates that when the results signal possible errors, the auditor assigned more hours to testing than when the results indicated the possibility of no errors. However, when the results indicated the possibility of no errors, the auditor did not reduce the hours preliminarily assigned to testing (</w:t>
      </w:r>
      <w:r w:rsidRPr="00E909E9">
        <w:rPr>
          <w:rFonts w:ascii="Times New Roman" w:eastAsia="Times New Roman" w:hAnsi="Times New Roman" w:cs="Times New Roman"/>
          <w:b/>
          <w:bCs/>
          <w:color w:val="993300"/>
          <w:sz w:val="24"/>
          <w:szCs w:val="24"/>
        </w:rPr>
        <w:t>Cohen &amp; Kida, 1989</w:t>
      </w:r>
      <w:r w:rsidRPr="00E909E9">
        <w:rPr>
          <w:rFonts w:ascii="Times New Roman" w:eastAsia="Times New Roman" w:hAnsi="Times New Roman" w:cs="Times New Roman"/>
          <w:sz w:val="24"/>
          <w:szCs w:val="24"/>
        </w:rPr>
        <w:t xml:space="preserve">). </w:t>
      </w:r>
      <w:r w:rsidRPr="00E909E9">
        <w:rPr>
          <w:rFonts w:ascii="Times New Roman" w:eastAsia="Times New Roman" w:hAnsi="Times New Roman" w:cs="Times New Roman"/>
          <w:b/>
          <w:bCs/>
          <w:sz w:val="24"/>
          <w:szCs w:val="24"/>
        </w:rPr>
        <w:t>Those results provide some confirmation of the auditor’s tendency toward conservation</w:t>
      </w:r>
      <w:r w:rsidRPr="00E909E9">
        <w:rPr>
          <w:rFonts w:ascii="Times New Roman" w:eastAsia="Times New Roman" w:hAnsi="Times New Roman" w:cs="Times New Roman"/>
          <w:sz w:val="24"/>
          <w:szCs w:val="24"/>
        </w:rPr>
        <w:t>. That conservative tendency is one explanation why auditors increase their type I error risk (the risk of not accepting a materially correct balance) and decrease their type II error risk (the risk of accepting a materially incorrect balance).</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Most auditors use relatively simple types of analytical procedures in planning the audit</w:t>
      </w:r>
      <w:r w:rsidRPr="00E909E9">
        <w:rPr>
          <w:rFonts w:ascii="Times New Roman" w:eastAsia="Times New Roman" w:hAnsi="Times New Roman" w:cs="Times New Roman"/>
          <w:sz w:val="24"/>
          <w:szCs w:val="24"/>
        </w:rPr>
        <w:t>. In one study it was found that simple quantitative techniques involving ratio and trend analysis were most commonly used (</w:t>
      </w:r>
      <w:r w:rsidRPr="00E909E9">
        <w:rPr>
          <w:rFonts w:ascii="Times New Roman" w:eastAsia="Times New Roman" w:hAnsi="Times New Roman" w:cs="Times New Roman"/>
          <w:b/>
          <w:bCs/>
          <w:color w:val="993300"/>
          <w:sz w:val="24"/>
          <w:szCs w:val="24"/>
        </w:rPr>
        <w:t>Holder, 1983</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The effectiveness of analytical procedures in the planning stage is, to some degree, determined by the investigation threshold of the auditor</w:t>
      </w:r>
      <w:r w:rsidRPr="00E909E9">
        <w:rPr>
          <w:rFonts w:ascii="Times New Roman" w:eastAsia="Times New Roman" w:hAnsi="Times New Roman" w:cs="Times New Roman"/>
          <w:sz w:val="24"/>
          <w:szCs w:val="24"/>
        </w:rPr>
        <w:t>: “</w:t>
      </w:r>
      <w:r w:rsidRPr="00E909E9">
        <w:rPr>
          <w:rFonts w:ascii="Times New Roman" w:eastAsia="Times New Roman" w:hAnsi="Times New Roman" w:cs="Times New Roman"/>
          <w:b/>
          <w:bCs/>
          <w:color w:val="993300"/>
          <w:sz w:val="24"/>
          <w:szCs w:val="24"/>
        </w:rPr>
        <w:t>the extent of deviations from expected values after which an auditor modifies the audit plan</w:t>
      </w:r>
      <w:r w:rsidRPr="00E909E9">
        <w:rPr>
          <w:rFonts w:ascii="Times New Roman" w:eastAsia="Times New Roman" w:hAnsi="Times New Roman" w:cs="Times New Roman"/>
          <w:sz w:val="24"/>
          <w:szCs w:val="24"/>
        </w:rPr>
        <w:t>“. Investigation thresholds usually are arbitrary</w:t>
      </w:r>
      <w:r w:rsidRPr="00E909E9">
        <w:rPr>
          <w:rFonts w:ascii="Times New Roman" w:eastAsia="Times New Roman" w:hAnsi="Times New Roman" w:cs="Times New Roman"/>
          <w:sz w:val="24"/>
          <w:szCs w:val="24"/>
          <w:highlight w:val="yellow"/>
        </w:rPr>
        <w:t>.</w:t>
      </w:r>
      <w:r w:rsidRPr="00E909E9">
        <w:rPr>
          <w:rFonts w:ascii="Times New Roman" w:eastAsia="Times New Roman" w:hAnsi="Times New Roman" w:cs="Times New Roman"/>
          <w:sz w:val="24"/>
          <w:szCs w:val="24"/>
          <w:highlight w:val="red"/>
        </w:rPr>
        <w:t xml:space="preserve"> One study found that the most widely used decision rule in planning the audit was to investigate if the account balance had changed by more than 10 percent from the previous year</w:t>
      </w:r>
      <w:r w:rsidRPr="00E909E9">
        <w:rPr>
          <w:rFonts w:ascii="Times New Roman" w:eastAsia="Times New Roman" w:hAnsi="Times New Roman" w:cs="Times New Roman"/>
          <w:sz w:val="24"/>
          <w:szCs w:val="24"/>
        </w:rPr>
        <w:t xml:space="preserve"> (</w:t>
      </w:r>
      <w:proofErr w:type="spellStart"/>
      <w:r w:rsidRPr="00E909E9">
        <w:rPr>
          <w:rFonts w:ascii="Times New Roman" w:eastAsia="Times New Roman" w:hAnsi="Times New Roman" w:cs="Times New Roman"/>
          <w:b/>
          <w:bCs/>
          <w:color w:val="993300"/>
          <w:sz w:val="24"/>
          <w:szCs w:val="24"/>
        </w:rPr>
        <w:t>Coakley</w:t>
      </w:r>
      <w:proofErr w:type="spellEnd"/>
      <w:r w:rsidRPr="00E909E9">
        <w:rPr>
          <w:rFonts w:ascii="Times New Roman" w:eastAsia="Times New Roman" w:hAnsi="Times New Roman" w:cs="Times New Roman"/>
          <w:b/>
          <w:bCs/>
          <w:color w:val="993300"/>
          <w:sz w:val="24"/>
          <w:szCs w:val="24"/>
        </w:rPr>
        <w:t>, 1982</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It has been recommended that investigation thresholds be computed more rigorously by using</w:t>
      </w:r>
      <w:r w:rsidRPr="00E909E9">
        <w:rPr>
          <w:rFonts w:ascii="Times New Roman" w:eastAsia="Times New Roman" w:hAnsi="Times New Roman" w:cs="Times New Roman"/>
          <w:sz w:val="24"/>
          <w:szCs w:val="24"/>
        </w:rPr>
        <w:t xml:space="preserve"> “</w:t>
      </w:r>
      <w:proofErr w:type="spellStart"/>
      <w:r w:rsidRPr="00E909E9">
        <w:rPr>
          <w:rFonts w:ascii="Times New Roman" w:eastAsia="Times New Roman" w:hAnsi="Times New Roman" w:cs="Times New Roman"/>
          <w:b/>
          <w:bCs/>
          <w:sz w:val="24"/>
          <w:szCs w:val="24"/>
        </w:rPr>
        <w:t>univariate</w:t>
      </w:r>
      <w:proofErr w:type="spellEnd"/>
      <w:r w:rsidRPr="00E909E9">
        <w:rPr>
          <w:rFonts w:ascii="Times New Roman" w:eastAsia="Times New Roman" w:hAnsi="Times New Roman" w:cs="Times New Roman"/>
          <w:sz w:val="24"/>
          <w:szCs w:val="24"/>
        </w:rPr>
        <w:t>” and “</w:t>
      </w:r>
      <w:proofErr w:type="spellStart"/>
      <w:r w:rsidRPr="00E909E9">
        <w:rPr>
          <w:rFonts w:ascii="Times New Roman" w:eastAsia="Times New Roman" w:hAnsi="Times New Roman" w:cs="Times New Roman"/>
          <w:b/>
          <w:bCs/>
          <w:sz w:val="24"/>
          <w:szCs w:val="24"/>
        </w:rPr>
        <w:t>bivariate</w:t>
      </w:r>
      <w:proofErr w:type="spellEnd"/>
      <w:r w:rsidRPr="00E909E9">
        <w:rPr>
          <w:rFonts w:ascii="Times New Roman" w:eastAsia="Times New Roman" w:hAnsi="Times New Roman" w:cs="Times New Roman"/>
          <w:sz w:val="24"/>
          <w:szCs w:val="24"/>
        </w:rPr>
        <w:t xml:space="preserve">” </w:t>
      </w:r>
      <w:r w:rsidRPr="00E909E9">
        <w:rPr>
          <w:rFonts w:ascii="Times New Roman" w:eastAsia="Times New Roman" w:hAnsi="Times New Roman" w:cs="Times New Roman"/>
          <w:b/>
          <w:bCs/>
          <w:sz w:val="24"/>
          <w:szCs w:val="24"/>
        </w:rPr>
        <w:t>statistical distributions</w:t>
      </w:r>
      <w:r w:rsidRPr="00E909E9">
        <w:rPr>
          <w:rFonts w:ascii="Times New Roman" w:eastAsia="Times New Roman" w:hAnsi="Times New Roman" w:cs="Times New Roman"/>
          <w:sz w:val="24"/>
          <w:szCs w:val="24"/>
        </w:rPr>
        <w:t xml:space="preserve"> (</w:t>
      </w:r>
      <w:r w:rsidRPr="00E909E9">
        <w:rPr>
          <w:rFonts w:ascii="Times New Roman" w:eastAsia="Times New Roman" w:hAnsi="Times New Roman" w:cs="Times New Roman"/>
          <w:b/>
          <w:bCs/>
          <w:color w:val="993300"/>
          <w:sz w:val="24"/>
          <w:szCs w:val="24"/>
        </w:rPr>
        <w:t>Harper et al., 1990</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lastRenderedPageBreak/>
        <w:t> </w:t>
      </w:r>
    </w:p>
    <w:p w:rsidR="00E909E9" w:rsidRPr="00E909E9" w:rsidRDefault="00D14A5F" w:rsidP="00E909E9">
      <w:pPr>
        <w:spacing w:before="100" w:beforeAutospacing="1" w:after="100" w:afterAutospacing="1" w:line="240" w:lineRule="auto"/>
        <w:outlineLvl w:val="2"/>
        <w:rPr>
          <w:rFonts w:ascii="Times New Roman" w:eastAsia="Times New Roman" w:hAnsi="Times New Roman" w:cs="Times New Roman"/>
          <w:b/>
          <w:bCs/>
          <w:sz w:val="27"/>
          <w:szCs w:val="27"/>
        </w:rPr>
      </w:pPr>
      <w:hyperlink r:id="rId7" w:tooltip="Use of Analytical Procedures as a Substantive Test" w:history="1">
        <w:r w:rsidR="00E909E9" w:rsidRPr="00E909E9">
          <w:rPr>
            <w:rFonts w:ascii="Times New Roman" w:eastAsia="Times New Roman" w:hAnsi="Times New Roman" w:cs="Times New Roman"/>
            <w:b/>
            <w:bCs/>
            <w:color w:val="0000FF"/>
            <w:sz w:val="27"/>
            <w:szCs w:val="27"/>
            <w:u w:val="single"/>
          </w:rPr>
          <w:t>Use of Analytical Procedures as a Substantive Test</w:t>
        </w:r>
      </w:hyperlink>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Although US Statement on Auditing Standards SAS No. 56 does not require the auditor to use analytical procedures as a substantive test, auditors use them for that purpose. The extent to which the auditor uses analytical procedures as a substantive test depends on the level of assurance the auditor wants in achieving a particular audit objective and the tolerable error for a specific account balance</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u w:val="single"/>
        </w:rPr>
        <w:t>Here are the rules</w:t>
      </w:r>
      <w:r w:rsidRPr="00E909E9">
        <w:rPr>
          <w:rFonts w:ascii="Times New Roman" w:eastAsia="Times New Roman" w:hAnsi="Times New Roman" w:cs="Times New Roman"/>
          <w:sz w:val="24"/>
          <w:szCs w:val="24"/>
        </w:rPr>
        <w:t>:</w:t>
      </w:r>
    </w:p>
    <w:p w:rsidR="00E909E9" w:rsidRPr="00E909E9" w:rsidRDefault="00E909E9" w:rsidP="00E909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The higher the level of assurance desired, the more predictable must be the relationship used.</w:t>
      </w:r>
    </w:p>
    <w:p w:rsidR="00E909E9" w:rsidRPr="00E909E9" w:rsidRDefault="00E909E9" w:rsidP="00E909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The higher the tolerable misstatement, the less predictable must be the relationship used.</w:t>
      </w:r>
    </w:p>
    <w:p w:rsidR="00E909E9" w:rsidRPr="00E909E9" w:rsidRDefault="00E909E9" w:rsidP="00E909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As a general rule, relationships involving income statement accounts are more predictable than relationships involving only balance sheet accounts.</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 </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The results of one study indicate that analytical procedures may enhance audit effectiveness, especially when employed in conjunction with a minimum level of substantive auditing procedures</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Conventional analytical procedures comparisons, ratios, trend analysis do not have the precision necessary for the auditor to rely on them alone as a substantive test</w:t>
      </w:r>
      <w:r w:rsidRPr="00E909E9">
        <w:rPr>
          <w:rFonts w:ascii="Times New Roman" w:eastAsia="Times New Roman" w:hAnsi="Times New Roman" w:cs="Times New Roman"/>
          <w:sz w:val="24"/>
          <w:szCs w:val="24"/>
        </w:rPr>
        <w:t>. Auditors believe that those procedures provide limited negative assurance, and therefore their use as a substantive test is limited. Some researchers believe that the expected effectiveness of analytical procedures depends on the assertion being audited and the design of the procedure.</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Analytical procedures may be somewhat more effective than tests of details for tests of completeness and reasonableness of reserves</w:t>
      </w:r>
      <w:r w:rsidRPr="00E909E9">
        <w:rPr>
          <w:rFonts w:ascii="Times New Roman" w:eastAsia="Times New Roman" w:hAnsi="Times New Roman" w:cs="Times New Roman"/>
          <w:sz w:val="24"/>
          <w:szCs w:val="24"/>
        </w:rPr>
        <w:t xml:space="preserve"> (e.g., </w:t>
      </w:r>
      <w:r w:rsidRPr="00E909E9">
        <w:rPr>
          <w:rFonts w:ascii="Times New Roman" w:eastAsia="Times New Roman" w:hAnsi="Times New Roman" w:cs="Times New Roman"/>
          <w:color w:val="993300"/>
          <w:sz w:val="24"/>
          <w:szCs w:val="24"/>
        </w:rPr>
        <w:t>doubtful accounts and depreciation</w:t>
      </w:r>
      <w:r w:rsidRPr="00E909E9">
        <w:rPr>
          <w:rFonts w:ascii="Times New Roman" w:eastAsia="Times New Roman" w:hAnsi="Times New Roman" w:cs="Times New Roman"/>
          <w:sz w:val="24"/>
          <w:szCs w:val="24"/>
        </w:rPr>
        <w:t>). Tests of details will be more effective in testing the existence or ownership assertion (</w:t>
      </w:r>
      <w:proofErr w:type="spellStart"/>
      <w:r w:rsidRPr="00E909E9">
        <w:rPr>
          <w:rFonts w:ascii="Times New Roman" w:eastAsia="Times New Roman" w:hAnsi="Times New Roman" w:cs="Times New Roman"/>
          <w:sz w:val="24"/>
          <w:szCs w:val="24"/>
        </w:rPr>
        <w:t>Blocher</w:t>
      </w:r>
      <w:proofErr w:type="spellEnd"/>
      <w:r w:rsidRPr="00E909E9">
        <w:rPr>
          <w:rFonts w:ascii="Times New Roman" w:eastAsia="Times New Roman" w:hAnsi="Times New Roman" w:cs="Times New Roman"/>
          <w:sz w:val="24"/>
          <w:szCs w:val="24"/>
        </w:rPr>
        <w:t xml:space="preserve"> &amp; </w:t>
      </w:r>
      <w:proofErr w:type="spellStart"/>
      <w:r w:rsidRPr="00E909E9">
        <w:rPr>
          <w:rFonts w:ascii="Times New Roman" w:eastAsia="Times New Roman" w:hAnsi="Times New Roman" w:cs="Times New Roman"/>
          <w:sz w:val="24"/>
          <w:szCs w:val="24"/>
        </w:rPr>
        <w:t>Loebbecke</w:t>
      </w:r>
      <w:proofErr w:type="spellEnd"/>
      <w:r w:rsidRPr="00E909E9">
        <w:rPr>
          <w:rFonts w:ascii="Times New Roman" w:eastAsia="Times New Roman" w:hAnsi="Times New Roman" w:cs="Times New Roman"/>
          <w:sz w:val="24"/>
          <w:szCs w:val="24"/>
        </w:rPr>
        <w:t>, 1993).</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 </w:t>
      </w:r>
    </w:p>
    <w:p w:rsidR="00E909E9" w:rsidRPr="00E909E9" w:rsidRDefault="00E909E9" w:rsidP="00E909E9">
      <w:pPr>
        <w:spacing w:before="100" w:beforeAutospacing="1" w:after="100" w:afterAutospacing="1" w:line="240" w:lineRule="auto"/>
        <w:outlineLvl w:val="2"/>
        <w:rPr>
          <w:rFonts w:ascii="Times New Roman" w:eastAsia="Times New Roman" w:hAnsi="Times New Roman" w:cs="Times New Roman"/>
          <w:b/>
          <w:bCs/>
          <w:sz w:val="27"/>
          <w:szCs w:val="27"/>
        </w:rPr>
      </w:pPr>
      <w:r w:rsidRPr="00E909E9">
        <w:rPr>
          <w:rFonts w:ascii="Times New Roman" w:eastAsia="Times New Roman" w:hAnsi="Times New Roman" w:cs="Times New Roman"/>
          <w:b/>
          <w:bCs/>
          <w:sz w:val="27"/>
          <w:szCs w:val="27"/>
        </w:rPr>
        <w:t> </w:t>
      </w:r>
      <w:r w:rsidRPr="00E909E9">
        <w:rPr>
          <w:rFonts w:ascii="Times New Roman" w:eastAsia="Times New Roman" w:hAnsi="Times New Roman" w:cs="Times New Roman"/>
          <w:b/>
          <w:bCs/>
          <w:sz w:val="27"/>
          <w:szCs w:val="27"/>
        </w:rPr>
        <w:br/>
      </w:r>
      <w:r w:rsidRPr="00E909E9">
        <w:rPr>
          <w:rFonts w:ascii="Times New Roman" w:eastAsia="Times New Roman" w:hAnsi="Times New Roman" w:cs="Times New Roman"/>
          <w:b/>
          <w:bCs/>
          <w:color w:val="003366"/>
          <w:sz w:val="27"/>
          <w:szCs w:val="27"/>
        </w:rPr>
        <w:t>Use of Analytical Procedures in Final Review of the Audit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The application of analytical procedures in the final review of the audit is one of the last audit tests</w:t>
      </w:r>
      <w:r w:rsidRPr="00E909E9">
        <w:rPr>
          <w:rFonts w:ascii="Times New Roman" w:eastAsia="Times New Roman" w:hAnsi="Times New Roman" w:cs="Times New Roman"/>
          <w:sz w:val="24"/>
          <w:szCs w:val="24"/>
        </w:rPr>
        <w:t>. Those procedures assist the auditor in assessing conclusions reached concerning certain account balances and in evaluating the overall financial statement presentation.</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u w:val="single"/>
        </w:rPr>
        <w:t>Procedures such as the following may be applied</w:t>
      </w:r>
      <w:r w:rsidRPr="00E909E9">
        <w:rPr>
          <w:rFonts w:ascii="Times New Roman" w:eastAsia="Times New Roman" w:hAnsi="Times New Roman" w:cs="Times New Roman"/>
          <w:sz w:val="24"/>
          <w:szCs w:val="24"/>
        </w:rPr>
        <w:t>: </w:t>
      </w:r>
    </w:p>
    <w:p w:rsidR="00E909E9" w:rsidRPr="00E909E9" w:rsidRDefault="00E909E9" w:rsidP="00E909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lastRenderedPageBreak/>
        <w:t>Comparisons with similar financial data of the prior year or of the client’s industry.</w:t>
      </w:r>
    </w:p>
    <w:p w:rsidR="00E909E9" w:rsidRPr="00E909E9" w:rsidRDefault="00E909E9" w:rsidP="00E909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Ratio analysis.</w:t>
      </w:r>
    </w:p>
    <w:p w:rsidR="00E909E9" w:rsidRPr="00E909E9" w:rsidRDefault="00E909E9" w:rsidP="00E909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Trend analysis.</w:t>
      </w:r>
    </w:p>
    <w:p w:rsidR="00E909E9" w:rsidRPr="00E909E9" w:rsidRDefault="00E909E9" w:rsidP="00E909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Development of common-size financial statements.</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 </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The objective of analytical procedures in the final phase of the audit is similar to that in the planning phase attention directing. Unfavorable results will require the auditor to investigate the reasons for those results</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As a final step in the audit, the auditor must determine if the company has the ability to continue in business for at least one year from the balance sheet date</w:t>
      </w:r>
      <w:r w:rsidRPr="00E909E9">
        <w:rPr>
          <w:rFonts w:ascii="Times New Roman" w:eastAsia="Times New Roman" w:hAnsi="Times New Roman" w:cs="Times New Roman"/>
          <w:sz w:val="24"/>
          <w:szCs w:val="24"/>
        </w:rPr>
        <w:t xml:space="preserve"> (</w:t>
      </w:r>
      <w:r w:rsidRPr="00E909E9">
        <w:rPr>
          <w:rFonts w:ascii="Times New Roman" w:eastAsia="Times New Roman" w:hAnsi="Times New Roman" w:cs="Times New Roman"/>
          <w:b/>
          <w:bCs/>
          <w:color w:val="993300"/>
          <w:sz w:val="24"/>
          <w:szCs w:val="24"/>
        </w:rPr>
        <w:t>US Statement on Auditing Standards SAS No. 59, “The Auditor’s Consideration of an Entity’s Ability to Continue as a Going Concern” 1988</w:t>
      </w:r>
      <w:r w:rsidRPr="00E909E9">
        <w:rPr>
          <w:rFonts w:ascii="Times New Roman" w:eastAsia="Times New Roman" w:hAnsi="Times New Roman" w:cs="Times New Roman"/>
          <w:sz w:val="24"/>
          <w:szCs w:val="24"/>
        </w:rPr>
        <w:t xml:space="preserve">). Ratios such as the </w:t>
      </w:r>
      <w:r w:rsidRPr="00E909E9">
        <w:rPr>
          <w:rFonts w:ascii="Times New Roman" w:eastAsia="Times New Roman" w:hAnsi="Times New Roman" w:cs="Times New Roman"/>
          <w:b/>
          <w:bCs/>
          <w:sz w:val="24"/>
          <w:szCs w:val="24"/>
          <w:u w:val="single"/>
        </w:rPr>
        <w:t>current ratio</w:t>
      </w:r>
      <w:r w:rsidRPr="00E909E9">
        <w:rPr>
          <w:rFonts w:ascii="Times New Roman" w:eastAsia="Times New Roman" w:hAnsi="Times New Roman" w:cs="Times New Roman"/>
          <w:sz w:val="24"/>
          <w:szCs w:val="24"/>
        </w:rPr>
        <w:t xml:space="preserve"> and the </w:t>
      </w:r>
      <w:r w:rsidRPr="00E909E9">
        <w:rPr>
          <w:rFonts w:ascii="Times New Roman" w:eastAsia="Times New Roman" w:hAnsi="Times New Roman" w:cs="Times New Roman"/>
          <w:b/>
          <w:bCs/>
          <w:sz w:val="24"/>
          <w:szCs w:val="24"/>
          <w:u w:val="single"/>
        </w:rPr>
        <w:t>debt-to-</w:t>
      </w:r>
      <w:hyperlink r:id="rId8" w:tooltip="equity" w:history="1">
        <w:r w:rsidRPr="00E909E9">
          <w:rPr>
            <w:rFonts w:ascii="Times New Roman" w:eastAsia="Times New Roman" w:hAnsi="Times New Roman" w:cs="Times New Roman"/>
            <w:b/>
            <w:bCs/>
            <w:color w:val="0000FF"/>
            <w:sz w:val="24"/>
            <w:szCs w:val="24"/>
            <w:u w:val="single"/>
          </w:rPr>
          <w:t>equity</w:t>
        </w:r>
      </w:hyperlink>
      <w:r w:rsidRPr="00E909E9">
        <w:rPr>
          <w:rFonts w:ascii="Times New Roman" w:eastAsia="Times New Roman" w:hAnsi="Times New Roman" w:cs="Times New Roman"/>
          <w:b/>
          <w:bCs/>
          <w:sz w:val="24"/>
          <w:szCs w:val="24"/>
          <w:u w:val="single"/>
        </w:rPr>
        <w:t xml:space="preserve"> ratio</w:t>
      </w:r>
      <w:r w:rsidRPr="00E909E9">
        <w:rPr>
          <w:rFonts w:ascii="Times New Roman" w:eastAsia="Times New Roman" w:hAnsi="Times New Roman" w:cs="Times New Roman"/>
          <w:sz w:val="24"/>
          <w:szCs w:val="24"/>
        </w:rPr>
        <w:t xml:space="preserve"> aid the auditor in making this assessment.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In assessing a company’s ability to continue as a going concern, auditors apply models using ratios and trends that have been developed to predict bankruptcy</w:t>
      </w:r>
      <w:r w:rsidRPr="00E909E9">
        <w:rPr>
          <w:rFonts w:ascii="Times New Roman" w:eastAsia="Times New Roman" w:hAnsi="Times New Roman" w:cs="Times New Roman"/>
          <w:sz w:val="24"/>
          <w:szCs w:val="24"/>
        </w:rPr>
        <w:t xml:space="preserve">. Those models use various ratios. One of the models was developed using a statistical technique (multiple </w:t>
      </w:r>
      <w:proofErr w:type="spellStart"/>
      <w:r w:rsidRPr="00E909E9">
        <w:rPr>
          <w:rFonts w:ascii="Times New Roman" w:eastAsia="Times New Roman" w:hAnsi="Times New Roman" w:cs="Times New Roman"/>
          <w:sz w:val="24"/>
          <w:szCs w:val="24"/>
        </w:rPr>
        <w:t>discriminant</w:t>
      </w:r>
      <w:proofErr w:type="spellEnd"/>
      <w:r w:rsidRPr="00E909E9">
        <w:rPr>
          <w:rFonts w:ascii="Times New Roman" w:eastAsia="Times New Roman" w:hAnsi="Times New Roman" w:cs="Times New Roman"/>
          <w:sz w:val="24"/>
          <w:szCs w:val="24"/>
        </w:rPr>
        <w:t xml:space="preserve"> analysis) and five ratios. </w:t>
      </w:r>
      <w:r w:rsidRPr="00E909E9">
        <w:rPr>
          <w:rFonts w:ascii="Times New Roman" w:eastAsia="Times New Roman" w:hAnsi="Times New Roman" w:cs="Times New Roman"/>
          <w:b/>
          <w:bCs/>
          <w:sz w:val="24"/>
          <w:szCs w:val="24"/>
          <w:u w:val="single"/>
        </w:rPr>
        <w:t>Those ratios for a public company are</w:t>
      </w:r>
      <w:r w:rsidRPr="00E909E9">
        <w:rPr>
          <w:rFonts w:ascii="Times New Roman" w:eastAsia="Times New Roman" w:hAnsi="Times New Roman" w:cs="Times New Roman"/>
          <w:sz w:val="24"/>
          <w:szCs w:val="24"/>
        </w:rPr>
        <w:t>:</w:t>
      </w:r>
    </w:p>
    <w:p w:rsidR="00E909E9" w:rsidRPr="00E909E9" w:rsidRDefault="00E909E9" w:rsidP="00E909E9">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rPr>
      </w:pPr>
      <w:r w:rsidRPr="00E909E9">
        <w:rPr>
          <w:rFonts w:ascii="Times New Roman" w:eastAsia="Times New Roman" w:hAnsi="Times New Roman" w:cs="Times New Roman"/>
          <w:color w:val="984806" w:themeColor="accent6" w:themeShade="80"/>
          <w:sz w:val="24"/>
          <w:szCs w:val="24"/>
        </w:rPr>
        <w:t>Working Capital/Total Assets</w:t>
      </w:r>
    </w:p>
    <w:p w:rsidR="00E909E9" w:rsidRPr="008C5D5A" w:rsidRDefault="00D14A5F" w:rsidP="00E909E9">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rPr>
      </w:pPr>
      <w:hyperlink r:id="rId9" w:tooltip="Retained Earnings" w:history="1">
        <w:r w:rsidR="00E909E9" w:rsidRPr="008C5D5A">
          <w:rPr>
            <w:rFonts w:ascii="Times New Roman" w:eastAsia="Times New Roman" w:hAnsi="Times New Roman" w:cs="Times New Roman"/>
            <w:color w:val="984806" w:themeColor="accent6" w:themeShade="80"/>
            <w:sz w:val="24"/>
            <w:szCs w:val="24"/>
            <w:u w:val="single"/>
          </w:rPr>
          <w:t>Retained Earnings</w:t>
        </w:r>
      </w:hyperlink>
      <w:r w:rsidR="00E909E9" w:rsidRPr="008C5D5A">
        <w:rPr>
          <w:rFonts w:ascii="Times New Roman" w:eastAsia="Times New Roman" w:hAnsi="Times New Roman" w:cs="Times New Roman"/>
          <w:color w:val="984806" w:themeColor="accent6" w:themeShade="80"/>
          <w:sz w:val="24"/>
          <w:szCs w:val="24"/>
        </w:rPr>
        <w:t>/Total Assets</w:t>
      </w:r>
    </w:p>
    <w:p w:rsidR="00E909E9" w:rsidRPr="00E909E9" w:rsidRDefault="00E909E9" w:rsidP="00E909E9">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rPr>
      </w:pPr>
      <w:r w:rsidRPr="00E909E9">
        <w:rPr>
          <w:rFonts w:ascii="Times New Roman" w:eastAsia="Times New Roman" w:hAnsi="Times New Roman" w:cs="Times New Roman"/>
          <w:color w:val="984806" w:themeColor="accent6" w:themeShade="80"/>
          <w:sz w:val="24"/>
          <w:szCs w:val="24"/>
        </w:rPr>
        <w:t xml:space="preserve">Earnings before </w:t>
      </w:r>
      <w:hyperlink r:id="rId10" w:tooltip="Interest" w:history="1">
        <w:r w:rsidRPr="0038658D">
          <w:rPr>
            <w:rFonts w:ascii="Times New Roman" w:eastAsia="Times New Roman" w:hAnsi="Times New Roman" w:cs="Times New Roman"/>
            <w:color w:val="984806" w:themeColor="accent6" w:themeShade="80"/>
            <w:sz w:val="24"/>
            <w:szCs w:val="24"/>
            <w:u w:val="single"/>
          </w:rPr>
          <w:t>Interest</w:t>
        </w:r>
      </w:hyperlink>
      <w:r w:rsidRPr="00E909E9">
        <w:rPr>
          <w:rFonts w:ascii="Times New Roman" w:eastAsia="Times New Roman" w:hAnsi="Times New Roman" w:cs="Times New Roman"/>
          <w:color w:val="984806" w:themeColor="accent6" w:themeShade="80"/>
          <w:sz w:val="24"/>
          <w:szCs w:val="24"/>
        </w:rPr>
        <w:t xml:space="preserve"> and Taxes/Total Assets</w:t>
      </w:r>
    </w:p>
    <w:p w:rsidR="00E909E9" w:rsidRPr="00E909E9" w:rsidRDefault="00E909E9" w:rsidP="00E909E9">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rPr>
      </w:pPr>
      <w:r w:rsidRPr="00E909E9">
        <w:rPr>
          <w:rFonts w:ascii="Times New Roman" w:eastAsia="Times New Roman" w:hAnsi="Times New Roman" w:cs="Times New Roman"/>
          <w:color w:val="984806" w:themeColor="accent6" w:themeShade="80"/>
          <w:sz w:val="24"/>
          <w:szCs w:val="24"/>
        </w:rPr>
        <w:t>Market Value of Equity/Book Value of Total Debt</w:t>
      </w:r>
    </w:p>
    <w:p w:rsidR="00E909E9" w:rsidRPr="00E909E9" w:rsidRDefault="00E909E9" w:rsidP="00E909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color w:val="984806" w:themeColor="accent6" w:themeShade="80"/>
          <w:sz w:val="24"/>
          <w:szCs w:val="24"/>
        </w:rPr>
        <w:t>Sales/Total Assets</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sz w:val="24"/>
          <w:szCs w:val="24"/>
        </w:rPr>
        <w:t> </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Coefficients were determined for those ratios</w:t>
      </w:r>
      <w:r w:rsidRPr="00E909E9">
        <w:rPr>
          <w:rFonts w:ascii="Times New Roman" w:eastAsia="Times New Roman" w:hAnsi="Times New Roman" w:cs="Times New Roman"/>
          <w:sz w:val="24"/>
          <w:szCs w:val="24"/>
        </w:rPr>
        <w:t>. The total of the five produces a “Z” score which, if below a certain level, indicates the strong possibility of impending bankruptcy within a year or two (</w:t>
      </w:r>
      <w:r w:rsidRPr="00E909E9">
        <w:rPr>
          <w:rFonts w:ascii="Times New Roman" w:eastAsia="Times New Roman" w:hAnsi="Times New Roman" w:cs="Times New Roman"/>
          <w:b/>
          <w:bCs/>
          <w:color w:val="993300"/>
          <w:sz w:val="24"/>
          <w:szCs w:val="24"/>
        </w:rPr>
        <w:t xml:space="preserve">Altman &amp; </w:t>
      </w:r>
      <w:proofErr w:type="spellStart"/>
      <w:r w:rsidRPr="00E909E9">
        <w:rPr>
          <w:rFonts w:ascii="Times New Roman" w:eastAsia="Times New Roman" w:hAnsi="Times New Roman" w:cs="Times New Roman"/>
          <w:b/>
          <w:bCs/>
          <w:color w:val="993300"/>
          <w:sz w:val="24"/>
          <w:szCs w:val="24"/>
        </w:rPr>
        <w:t>McGough</w:t>
      </w:r>
      <w:proofErr w:type="spellEnd"/>
      <w:r w:rsidRPr="00E909E9">
        <w:rPr>
          <w:rFonts w:ascii="Times New Roman" w:eastAsia="Times New Roman" w:hAnsi="Times New Roman" w:cs="Times New Roman"/>
          <w:b/>
          <w:bCs/>
          <w:color w:val="993300"/>
          <w:sz w:val="24"/>
          <w:szCs w:val="24"/>
        </w:rPr>
        <w:t>, 1947</w:t>
      </w:r>
      <w:r w:rsidRPr="00E909E9">
        <w:rPr>
          <w:rFonts w:ascii="Times New Roman" w:eastAsia="Times New Roman" w:hAnsi="Times New Roman" w:cs="Times New Roman"/>
          <w:sz w:val="24"/>
          <w:szCs w:val="24"/>
        </w:rPr>
        <w:t>).</w:t>
      </w:r>
    </w:p>
    <w:p w:rsidR="00E909E9" w:rsidRPr="00E909E9"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The development of regression models is relatively more costly than ratio analysis and requires statistical expertise</w:t>
      </w:r>
      <w:r w:rsidRPr="00E909E9">
        <w:rPr>
          <w:rFonts w:ascii="Times New Roman" w:eastAsia="Times New Roman" w:hAnsi="Times New Roman" w:cs="Times New Roman"/>
          <w:sz w:val="24"/>
          <w:szCs w:val="24"/>
        </w:rPr>
        <w:t>. Regression analysis is, however, superior to other analytical procedures in detecting material hours. With the development of statistical based computer software, this procedure will be more frequently used.</w:t>
      </w:r>
    </w:p>
    <w:p w:rsidR="0081307F" w:rsidRDefault="00E909E9" w:rsidP="00E909E9">
      <w:pPr>
        <w:spacing w:before="100" w:beforeAutospacing="1" w:after="100" w:afterAutospacing="1" w:line="240" w:lineRule="auto"/>
        <w:rPr>
          <w:rFonts w:ascii="Times New Roman" w:eastAsia="Times New Roman" w:hAnsi="Times New Roman" w:cs="Times New Roman"/>
          <w:sz w:val="24"/>
          <w:szCs w:val="24"/>
        </w:rPr>
      </w:pPr>
      <w:r w:rsidRPr="00E909E9">
        <w:rPr>
          <w:rFonts w:ascii="Times New Roman" w:eastAsia="Times New Roman" w:hAnsi="Times New Roman" w:cs="Times New Roman"/>
          <w:b/>
          <w:bCs/>
          <w:sz w:val="24"/>
          <w:szCs w:val="24"/>
        </w:rPr>
        <w:t>Simple analytical procedures comparisons, ratio analysis, trend analysis, and common size financial statements are effective as attention directing tools in the planning and final review stages of the audit</w:t>
      </w:r>
      <w:r w:rsidRPr="00E909E9">
        <w:rPr>
          <w:rFonts w:ascii="Times New Roman" w:eastAsia="Times New Roman" w:hAnsi="Times New Roman" w:cs="Times New Roman"/>
          <w:sz w:val="24"/>
          <w:szCs w:val="24"/>
        </w:rPr>
        <w:t xml:space="preserve">. </w:t>
      </w:r>
      <w:r w:rsidRPr="00E909E9">
        <w:rPr>
          <w:rFonts w:ascii="Times New Roman" w:eastAsia="Times New Roman" w:hAnsi="Times New Roman" w:cs="Times New Roman"/>
          <w:b/>
          <w:bCs/>
          <w:sz w:val="24"/>
          <w:szCs w:val="24"/>
        </w:rPr>
        <w:t>Those procedures are also effective when used in conjunction with a minimum level of tests of details as a substantive test. As computer technology continues to develop, auditors will use regression models as an analytical procedure. It is the most effective and ultimately most efficient of the analytical procedures</w:t>
      </w:r>
      <w:r w:rsidRPr="00E909E9">
        <w:rPr>
          <w:rFonts w:ascii="Times New Roman" w:eastAsia="Times New Roman" w:hAnsi="Times New Roman" w:cs="Times New Roman"/>
          <w:sz w:val="24"/>
          <w:szCs w:val="24"/>
        </w:rPr>
        <w:t>.</w:t>
      </w:r>
    </w:p>
    <w:p w:rsidR="00CB6BAC" w:rsidRPr="00CB6BAC" w:rsidRDefault="00CB6BAC" w:rsidP="00CB6BAC">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u w:val="single"/>
        </w:rPr>
      </w:pPr>
      <w:r w:rsidRPr="00CB6BAC">
        <w:rPr>
          <w:rFonts w:ascii="Times New Roman" w:eastAsia="Times New Roman" w:hAnsi="Times New Roman" w:cs="Times New Roman"/>
          <w:color w:val="984806" w:themeColor="accent6" w:themeShade="80"/>
          <w:sz w:val="24"/>
          <w:szCs w:val="24"/>
          <w:u w:val="single"/>
        </w:rPr>
        <w:lastRenderedPageBreak/>
        <w:t>Working Capital/Total Assets</w:t>
      </w:r>
    </w:p>
    <w:tbl>
      <w:tblPr>
        <w:tblW w:w="4500" w:type="pct"/>
        <w:tblCellSpacing w:w="15" w:type="dxa"/>
        <w:tblBorders>
          <w:top w:val="single" w:sz="6" w:space="0" w:color="007CC2"/>
          <w:left w:val="single" w:sz="6" w:space="0" w:color="007CC2"/>
          <w:bottom w:val="single" w:sz="6" w:space="0" w:color="007CC2"/>
          <w:right w:val="single" w:sz="6" w:space="0" w:color="007CC2"/>
        </w:tblBorders>
        <w:shd w:val="clear" w:color="auto" w:fill="F0F0F0"/>
        <w:tblCellMar>
          <w:top w:w="15" w:type="dxa"/>
          <w:left w:w="15" w:type="dxa"/>
          <w:bottom w:w="15" w:type="dxa"/>
          <w:right w:w="15" w:type="dxa"/>
        </w:tblCellMar>
        <w:tblLook w:val="04A0"/>
      </w:tblPr>
      <w:tblGrid>
        <w:gridCol w:w="3498"/>
        <w:gridCol w:w="5034"/>
      </w:tblGrid>
      <w:tr w:rsidR="00CB6BAC" w:rsidRPr="00CB6BAC" w:rsidTr="00CB6BAC">
        <w:trPr>
          <w:tblCellSpacing w:w="15" w:type="dxa"/>
        </w:trPr>
        <w:tc>
          <w:tcPr>
            <w:tcW w:w="0" w:type="auto"/>
            <w:shd w:val="clear" w:color="auto" w:fill="F0F0F0"/>
            <w:vAlign w:val="center"/>
            <w:hideMark/>
          </w:tcPr>
          <w:p w:rsidR="00CB6BAC" w:rsidRPr="00CB6BAC" w:rsidRDefault="00CB6BAC">
            <w:pPr>
              <w:spacing w:after="300"/>
              <w:rPr>
                <w:rFonts w:ascii="Times New Roman" w:hAnsi="Times New Roman" w:cs="Times New Roman"/>
                <w:szCs w:val="20"/>
              </w:rPr>
            </w:pPr>
          </w:p>
        </w:tc>
        <w:tc>
          <w:tcPr>
            <w:tcW w:w="0" w:type="auto"/>
            <w:shd w:val="clear" w:color="auto" w:fill="F0F0F0"/>
            <w:vAlign w:val="bottom"/>
            <w:hideMark/>
          </w:tcPr>
          <w:p w:rsidR="00CB6BAC" w:rsidRPr="00CB6BAC" w:rsidRDefault="00CB6BAC">
            <w:pPr>
              <w:spacing w:after="300"/>
              <w:jc w:val="center"/>
              <w:rPr>
                <w:rFonts w:ascii="Times New Roman" w:hAnsi="Times New Roman" w:cs="Times New Roman"/>
                <w:szCs w:val="20"/>
              </w:rPr>
            </w:pPr>
            <w:hyperlink r:id="rId11" w:tooltip="Definition and explanation of Total Current Assets" w:history="1">
              <w:r w:rsidRPr="00CB6BAC">
                <w:rPr>
                  <w:rStyle w:val="Hyperlink"/>
                  <w:rFonts w:ascii="Times New Roman" w:hAnsi="Times New Roman" w:cs="Times New Roman"/>
                  <w:b/>
                  <w:bCs/>
                  <w:color w:val="397CC1"/>
                  <w:szCs w:val="20"/>
                </w:rPr>
                <w:t>Total Current Assets</w:t>
              </w:r>
            </w:hyperlink>
            <w:r w:rsidRPr="00CB6BAC">
              <w:rPr>
                <w:rFonts w:ascii="Times New Roman" w:hAnsi="Times New Roman" w:cs="Times New Roman"/>
                <w:szCs w:val="20"/>
              </w:rPr>
              <w:t xml:space="preserve"> - </w:t>
            </w:r>
            <w:hyperlink r:id="rId12" w:tooltip="Definition and explanation of Total Current Liabilities" w:history="1">
              <w:r w:rsidRPr="00CB6BAC">
                <w:rPr>
                  <w:rStyle w:val="Hyperlink"/>
                  <w:rFonts w:ascii="Times New Roman" w:hAnsi="Times New Roman" w:cs="Times New Roman"/>
                  <w:b/>
                  <w:bCs/>
                  <w:color w:val="397CC1"/>
                  <w:szCs w:val="20"/>
                </w:rPr>
                <w:t>Total Current Liabilities</w:t>
              </w:r>
            </w:hyperlink>
            <w:r w:rsidRPr="00CB6BAC">
              <w:rPr>
                <w:rFonts w:ascii="Times New Roman" w:hAnsi="Times New Roman" w:cs="Times New Roman"/>
                <w:szCs w:val="20"/>
              </w:rPr>
              <w:t xml:space="preserve"> </w:t>
            </w:r>
          </w:p>
        </w:tc>
      </w:tr>
      <w:tr w:rsidR="00CB6BAC" w:rsidRPr="00CB6BAC" w:rsidTr="00CB6BAC">
        <w:trPr>
          <w:trHeight w:val="225"/>
          <w:tblCellSpacing w:w="15" w:type="dxa"/>
        </w:trPr>
        <w:tc>
          <w:tcPr>
            <w:tcW w:w="0" w:type="auto"/>
            <w:shd w:val="clear" w:color="auto" w:fill="F0F0F0"/>
            <w:vAlign w:val="center"/>
            <w:hideMark/>
          </w:tcPr>
          <w:p w:rsidR="00CB6BAC" w:rsidRPr="00CB6BAC" w:rsidRDefault="00CB6BAC">
            <w:pPr>
              <w:spacing w:after="300"/>
              <w:jc w:val="right"/>
              <w:rPr>
                <w:rFonts w:ascii="Times New Roman" w:hAnsi="Times New Roman" w:cs="Times New Roman"/>
                <w:szCs w:val="20"/>
              </w:rPr>
            </w:pPr>
            <w:r w:rsidRPr="00CB6BAC">
              <w:rPr>
                <w:rFonts w:ascii="Times New Roman" w:hAnsi="Times New Roman" w:cs="Times New Roman"/>
                <w:szCs w:val="20"/>
              </w:rPr>
              <w:t xml:space="preserve"> Working Capital to Total Assets = </w:t>
            </w:r>
          </w:p>
        </w:tc>
        <w:tc>
          <w:tcPr>
            <w:tcW w:w="0" w:type="auto"/>
            <w:shd w:val="clear" w:color="auto" w:fill="F0F0F0"/>
            <w:vAlign w:val="center"/>
            <w:hideMark/>
          </w:tcPr>
          <w:p w:rsidR="00CB6BAC" w:rsidRPr="00CB6BAC" w:rsidRDefault="00CB6BAC">
            <w:pPr>
              <w:spacing w:after="300"/>
              <w:rPr>
                <w:rFonts w:ascii="Times New Roman" w:hAnsi="Times New Roman" w:cs="Times New Roman"/>
                <w:szCs w:val="20"/>
              </w:rPr>
            </w:pPr>
            <w:r w:rsidRPr="00CB6BAC">
              <w:rPr>
                <w:rFonts w:ascii="Times New Roman" w:hAnsi="Times New Roman" w:cs="Times New Roman"/>
                <w:szCs w:val="20"/>
              </w:rPr>
              <w:pict>
                <v:rect id="_x0000_i1025" style="width:444.6pt;height:1.5pt" o:hrpct="950" o:hralign="center" o:hrstd="t" o:hrnoshade="t" o:hr="t" fillcolor="black" stroked="f"/>
              </w:pict>
            </w:r>
          </w:p>
        </w:tc>
      </w:tr>
      <w:tr w:rsidR="00CB6BAC" w:rsidRPr="00CB6BAC" w:rsidTr="00CB6BAC">
        <w:trPr>
          <w:tblCellSpacing w:w="15" w:type="dxa"/>
        </w:trPr>
        <w:tc>
          <w:tcPr>
            <w:tcW w:w="0" w:type="auto"/>
            <w:shd w:val="clear" w:color="auto" w:fill="F0F0F0"/>
            <w:vAlign w:val="center"/>
            <w:hideMark/>
          </w:tcPr>
          <w:p w:rsidR="00CB6BAC" w:rsidRPr="00CB6BAC" w:rsidRDefault="00CB6BAC">
            <w:pPr>
              <w:spacing w:after="300"/>
              <w:rPr>
                <w:rFonts w:ascii="Times New Roman" w:hAnsi="Times New Roman" w:cs="Times New Roman"/>
                <w:szCs w:val="20"/>
              </w:rPr>
            </w:pPr>
          </w:p>
        </w:tc>
        <w:tc>
          <w:tcPr>
            <w:tcW w:w="0" w:type="auto"/>
            <w:shd w:val="clear" w:color="auto" w:fill="F0F0F0"/>
            <w:hideMark/>
          </w:tcPr>
          <w:p w:rsidR="00CB6BAC" w:rsidRPr="00CB6BAC" w:rsidRDefault="00CB6BAC">
            <w:pPr>
              <w:spacing w:after="300"/>
              <w:jc w:val="center"/>
              <w:rPr>
                <w:rFonts w:ascii="Times New Roman" w:hAnsi="Times New Roman" w:cs="Times New Roman"/>
                <w:szCs w:val="20"/>
              </w:rPr>
            </w:pPr>
            <w:r w:rsidRPr="00CB6BAC">
              <w:rPr>
                <w:rFonts w:ascii="Times New Roman" w:hAnsi="Times New Roman" w:cs="Times New Roman"/>
                <w:szCs w:val="20"/>
              </w:rPr>
              <w:t> </w:t>
            </w:r>
            <w:hyperlink r:id="rId13" w:tooltip="Definition and explanation of Total Assets" w:history="1">
              <w:r w:rsidRPr="00CB6BAC">
                <w:rPr>
                  <w:rStyle w:val="Hyperlink"/>
                  <w:rFonts w:ascii="Times New Roman" w:hAnsi="Times New Roman" w:cs="Times New Roman"/>
                  <w:b/>
                  <w:bCs/>
                  <w:color w:val="397CC1"/>
                  <w:szCs w:val="20"/>
                </w:rPr>
                <w:t>Total Assets</w:t>
              </w:r>
            </w:hyperlink>
            <w:r w:rsidRPr="00CB6BAC">
              <w:rPr>
                <w:rFonts w:ascii="Times New Roman" w:hAnsi="Times New Roman" w:cs="Times New Roman"/>
                <w:szCs w:val="20"/>
              </w:rPr>
              <w:t xml:space="preserve"> </w:t>
            </w:r>
          </w:p>
        </w:tc>
      </w:tr>
    </w:tbl>
    <w:p w:rsidR="00CB6BAC" w:rsidRPr="00CB6BAC" w:rsidRDefault="00CB6BAC" w:rsidP="00CB6BAC">
      <w:pPr>
        <w:pStyle w:val="Heading3"/>
        <w:numPr>
          <w:ilvl w:val="0"/>
          <w:numId w:val="4"/>
        </w:numPr>
        <w:rPr>
          <w:color w:val="057ABD"/>
          <w:sz w:val="28"/>
        </w:rPr>
      </w:pPr>
      <w:r w:rsidRPr="00CB6BAC">
        <w:rPr>
          <w:color w:val="057ABD"/>
          <w:sz w:val="28"/>
        </w:rPr>
        <w:t>Explanation of Working Capital to Total Assets:</w:t>
      </w:r>
    </w:p>
    <w:p w:rsidR="00CB6BAC" w:rsidRPr="00CB6BAC" w:rsidRDefault="00CB6BAC" w:rsidP="00CB6BAC">
      <w:pPr>
        <w:pStyle w:val="NormalWeb"/>
        <w:numPr>
          <w:ilvl w:val="0"/>
          <w:numId w:val="4"/>
        </w:numPr>
        <w:rPr>
          <w:sz w:val="22"/>
          <w:szCs w:val="20"/>
        </w:rPr>
      </w:pPr>
      <w:r w:rsidRPr="00CB6BAC">
        <w:rPr>
          <w:sz w:val="22"/>
          <w:szCs w:val="20"/>
        </w:rPr>
        <w:t xml:space="preserve">The Working Capital to Total Assets ratio measures a company's ability to cover its short term financial obligations (Total Current Liabilities) by comparing its </w:t>
      </w:r>
      <w:hyperlink r:id="rId14" w:tooltip="Definition and explanation of Total Current Assets" w:history="1">
        <w:r w:rsidRPr="00CB6BAC">
          <w:rPr>
            <w:rStyle w:val="Hyperlink"/>
            <w:b/>
            <w:bCs/>
            <w:color w:val="397CC1"/>
            <w:sz w:val="22"/>
            <w:szCs w:val="20"/>
          </w:rPr>
          <w:t>Total Current Assets</w:t>
        </w:r>
      </w:hyperlink>
      <w:r w:rsidRPr="00CB6BAC">
        <w:rPr>
          <w:sz w:val="22"/>
          <w:szCs w:val="20"/>
        </w:rPr>
        <w:t xml:space="preserve"> to its </w:t>
      </w:r>
      <w:hyperlink r:id="rId15" w:tooltip="Definition and explanation of Total Assets" w:history="1">
        <w:r w:rsidRPr="00CB6BAC">
          <w:rPr>
            <w:rStyle w:val="Hyperlink"/>
            <w:b/>
            <w:bCs/>
            <w:color w:val="397CC1"/>
            <w:sz w:val="22"/>
            <w:szCs w:val="20"/>
          </w:rPr>
          <w:t>Total Assets</w:t>
        </w:r>
      </w:hyperlink>
      <w:r w:rsidRPr="00CB6BAC">
        <w:rPr>
          <w:sz w:val="22"/>
          <w:szCs w:val="20"/>
        </w:rPr>
        <w:t xml:space="preserve">.  This ratio can provide some insight as to the liquidity of the company, since this ratio can uncover the percentage of remaining liquid assets (with </w:t>
      </w:r>
      <w:hyperlink r:id="rId16" w:tooltip="Definition and explanation of Total Current Liabilities" w:history="1">
        <w:r w:rsidRPr="00CB6BAC">
          <w:rPr>
            <w:rStyle w:val="Hyperlink"/>
            <w:b/>
            <w:bCs/>
            <w:color w:val="397CC1"/>
            <w:sz w:val="22"/>
            <w:szCs w:val="20"/>
          </w:rPr>
          <w:t xml:space="preserve">Total Current </w:t>
        </w:r>
        <w:r w:rsidRPr="00CB6BAC">
          <w:rPr>
            <w:rStyle w:val="Hyperlink"/>
            <w:b/>
            <w:bCs/>
            <w:color w:val="397CC1"/>
            <w:sz w:val="22"/>
            <w:szCs w:val="20"/>
          </w:rPr>
          <w:t>L</w:t>
        </w:r>
        <w:r w:rsidRPr="00CB6BAC">
          <w:rPr>
            <w:rStyle w:val="Hyperlink"/>
            <w:b/>
            <w:bCs/>
            <w:color w:val="397CC1"/>
            <w:sz w:val="22"/>
            <w:szCs w:val="20"/>
          </w:rPr>
          <w:t>iabilities</w:t>
        </w:r>
      </w:hyperlink>
      <w:r w:rsidRPr="00CB6BAC">
        <w:rPr>
          <w:sz w:val="22"/>
          <w:szCs w:val="20"/>
        </w:rPr>
        <w:t xml:space="preserve"> subtracted out) compared to the company's Total Assets.</w:t>
      </w:r>
    </w:p>
    <w:p w:rsidR="00CB6BAC" w:rsidRPr="00CB6BAC" w:rsidRDefault="00CB6BAC" w:rsidP="00CB6BAC">
      <w:pPr>
        <w:pStyle w:val="Heading3"/>
        <w:numPr>
          <w:ilvl w:val="0"/>
          <w:numId w:val="4"/>
        </w:numPr>
        <w:rPr>
          <w:color w:val="057ABD"/>
          <w:sz w:val="28"/>
        </w:rPr>
      </w:pPr>
      <w:r w:rsidRPr="00CB6BAC">
        <w:rPr>
          <w:color w:val="057ABD"/>
          <w:sz w:val="28"/>
        </w:rPr>
        <w:t>Importance of Working Capital to Total Assets:</w:t>
      </w:r>
    </w:p>
    <w:p w:rsidR="00CB6BAC" w:rsidRDefault="00CB6BAC" w:rsidP="00CB6BAC">
      <w:pPr>
        <w:pStyle w:val="NormalWeb"/>
        <w:numPr>
          <w:ilvl w:val="0"/>
          <w:numId w:val="4"/>
        </w:numPr>
        <w:rPr>
          <w:rFonts w:ascii="Arial" w:hAnsi="Arial" w:cs="Arial"/>
          <w:sz w:val="20"/>
          <w:szCs w:val="20"/>
        </w:rPr>
      </w:pPr>
      <w:r w:rsidRPr="00CB6BAC">
        <w:rPr>
          <w:sz w:val="22"/>
          <w:szCs w:val="20"/>
        </w:rPr>
        <w:t xml:space="preserve">An increasing Working Capital to Total Assets ratio is usually a positive sign, showing the company's liquidity is improving over time. A low or decreasing ratio indicates the company may have too many </w:t>
      </w:r>
      <w:hyperlink r:id="rId17" w:tooltip="Definition and explanation of Total Current Liabilities" w:history="1">
        <w:r w:rsidRPr="00CB6BAC">
          <w:rPr>
            <w:rStyle w:val="Hyperlink"/>
            <w:b/>
            <w:bCs/>
            <w:color w:val="397CC1"/>
            <w:sz w:val="22"/>
            <w:szCs w:val="20"/>
          </w:rPr>
          <w:t>Total Current Liabilities</w:t>
        </w:r>
      </w:hyperlink>
      <w:r w:rsidRPr="00CB6BAC">
        <w:rPr>
          <w:sz w:val="22"/>
          <w:szCs w:val="20"/>
        </w:rPr>
        <w:t>, reducing the amount of Working Capital available</w:t>
      </w:r>
      <w:r>
        <w:rPr>
          <w:rFonts w:ascii="Arial" w:hAnsi="Arial" w:cs="Arial"/>
          <w:sz w:val="20"/>
          <w:szCs w:val="20"/>
        </w:rPr>
        <w:t>.</w:t>
      </w:r>
    </w:p>
    <w:p w:rsidR="00CB6BAC" w:rsidRDefault="00CB6BAC" w:rsidP="00CB6BAC">
      <w:pPr>
        <w:pStyle w:val="NormalWeb"/>
        <w:rPr>
          <w:rFonts w:ascii="Arial" w:hAnsi="Arial" w:cs="Arial"/>
          <w:sz w:val="20"/>
          <w:szCs w:val="20"/>
        </w:rPr>
      </w:pPr>
    </w:p>
    <w:p w:rsidR="00CB6BAC" w:rsidRPr="00CB6BAC" w:rsidRDefault="00CB6BAC" w:rsidP="00CB6BAC">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u w:val="single"/>
        </w:rPr>
      </w:pPr>
      <w:hyperlink r:id="rId18" w:tooltip="Retained Earnings" w:history="1">
        <w:r w:rsidRPr="00CB6BAC">
          <w:rPr>
            <w:rFonts w:ascii="Times New Roman" w:eastAsia="Times New Roman" w:hAnsi="Times New Roman" w:cs="Times New Roman"/>
            <w:color w:val="984806" w:themeColor="accent6" w:themeShade="80"/>
            <w:sz w:val="24"/>
            <w:szCs w:val="24"/>
            <w:u w:val="single"/>
          </w:rPr>
          <w:t>Retained Earnings</w:t>
        </w:r>
      </w:hyperlink>
      <w:r w:rsidRPr="00CB6BAC">
        <w:rPr>
          <w:rFonts w:ascii="Times New Roman" w:eastAsia="Times New Roman" w:hAnsi="Times New Roman" w:cs="Times New Roman"/>
          <w:color w:val="984806" w:themeColor="accent6" w:themeShade="80"/>
          <w:sz w:val="24"/>
          <w:szCs w:val="24"/>
          <w:u w:val="single"/>
        </w:rPr>
        <w:t>/Total Assets</w:t>
      </w:r>
    </w:p>
    <w:tbl>
      <w:tblPr>
        <w:tblW w:w="4500" w:type="pct"/>
        <w:tblCellSpacing w:w="15" w:type="dxa"/>
        <w:tblBorders>
          <w:top w:val="single" w:sz="6" w:space="0" w:color="007CC2"/>
          <w:left w:val="single" w:sz="6" w:space="0" w:color="007CC2"/>
          <w:bottom w:val="single" w:sz="6" w:space="0" w:color="007CC2"/>
          <w:right w:val="single" w:sz="6" w:space="0" w:color="007CC2"/>
        </w:tblBorders>
        <w:shd w:val="clear" w:color="auto" w:fill="F0F0F0"/>
        <w:tblCellMar>
          <w:top w:w="15" w:type="dxa"/>
          <w:left w:w="15" w:type="dxa"/>
          <w:bottom w:w="15" w:type="dxa"/>
          <w:right w:w="15" w:type="dxa"/>
        </w:tblCellMar>
        <w:tblLook w:val="04A0"/>
      </w:tblPr>
      <w:tblGrid>
        <w:gridCol w:w="5459"/>
        <w:gridCol w:w="3073"/>
      </w:tblGrid>
      <w:tr w:rsidR="00CB6BAC" w:rsidRPr="00CB6BAC" w:rsidTr="00CB6BAC">
        <w:trPr>
          <w:tblCellSpacing w:w="15" w:type="dxa"/>
        </w:trPr>
        <w:tc>
          <w:tcPr>
            <w:tcW w:w="0" w:type="auto"/>
            <w:shd w:val="clear" w:color="auto" w:fill="F0F0F0"/>
            <w:vAlign w:val="center"/>
            <w:hideMark/>
          </w:tcPr>
          <w:p w:rsidR="00CB6BAC" w:rsidRPr="00CB6BAC" w:rsidRDefault="00CB6BAC">
            <w:pPr>
              <w:spacing w:after="300"/>
              <w:rPr>
                <w:rFonts w:ascii="Times New Roman" w:hAnsi="Times New Roman" w:cs="Times New Roman"/>
                <w:szCs w:val="20"/>
              </w:rPr>
            </w:pPr>
          </w:p>
        </w:tc>
        <w:tc>
          <w:tcPr>
            <w:tcW w:w="0" w:type="auto"/>
            <w:shd w:val="clear" w:color="auto" w:fill="F0F0F0"/>
            <w:vAlign w:val="bottom"/>
            <w:hideMark/>
          </w:tcPr>
          <w:p w:rsidR="00CB6BAC" w:rsidRPr="00CB6BAC" w:rsidRDefault="00CB6BAC">
            <w:pPr>
              <w:spacing w:after="300"/>
              <w:jc w:val="center"/>
              <w:rPr>
                <w:rFonts w:ascii="Times New Roman" w:hAnsi="Times New Roman" w:cs="Times New Roman"/>
                <w:szCs w:val="20"/>
              </w:rPr>
            </w:pPr>
            <w:hyperlink r:id="rId19" w:tooltip="Definition and explanation of Retained Earnings" w:history="1">
              <w:r w:rsidRPr="00CB6BAC">
                <w:rPr>
                  <w:rStyle w:val="Hyperlink"/>
                  <w:rFonts w:ascii="Times New Roman" w:hAnsi="Times New Roman" w:cs="Times New Roman"/>
                  <w:b/>
                  <w:bCs/>
                  <w:color w:val="397CC1"/>
                  <w:szCs w:val="20"/>
                </w:rPr>
                <w:t>Reta</w:t>
              </w:r>
              <w:r w:rsidRPr="00CB6BAC">
                <w:rPr>
                  <w:rStyle w:val="Hyperlink"/>
                  <w:rFonts w:ascii="Times New Roman" w:hAnsi="Times New Roman" w:cs="Times New Roman"/>
                  <w:b/>
                  <w:bCs/>
                  <w:color w:val="397CC1"/>
                  <w:szCs w:val="20"/>
                </w:rPr>
                <w:t>i</w:t>
              </w:r>
              <w:r w:rsidRPr="00CB6BAC">
                <w:rPr>
                  <w:rStyle w:val="Hyperlink"/>
                  <w:rFonts w:ascii="Times New Roman" w:hAnsi="Times New Roman" w:cs="Times New Roman"/>
                  <w:b/>
                  <w:bCs/>
                  <w:color w:val="397CC1"/>
                  <w:szCs w:val="20"/>
                </w:rPr>
                <w:t>ned Earnings</w:t>
              </w:r>
            </w:hyperlink>
            <w:r w:rsidRPr="00CB6BAC">
              <w:rPr>
                <w:rFonts w:ascii="Times New Roman" w:hAnsi="Times New Roman" w:cs="Times New Roman"/>
                <w:szCs w:val="20"/>
              </w:rPr>
              <w:t xml:space="preserve"> </w:t>
            </w:r>
          </w:p>
        </w:tc>
      </w:tr>
      <w:tr w:rsidR="00CB6BAC" w:rsidRPr="00CB6BAC" w:rsidTr="00CB6BAC">
        <w:trPr>
          <w:trHeight w:val="225"/>
          <w:tblCellSpacing w:w="15" w:type="dxa"/>
        </w:trPr>
        <w:tc>
          <w:tcPr>
            <w:tcW w:w="0" w:type="auto"/>
            <w:shd w:val="clear" w:color="auto" w:fill="F0F0F0"/>
            <w:vAlign w:val="center"/>
            <w:hideMark/>
          </w:tcPr>
          <w:p w:rsidR="00CB6BAC" w:rsidRPr="00CB6BAC" w:rsidRDefault="00CB6BAC">
            <w:pPr>
              <w:spacing w:after="300"/>
              <w:jc w:val="right"/>
              <w:rPr>
                <w:rFonts w:ascii="Times New Roman" w:hAnsi="Times New Roman" w:cs="Times New Roman"/>
                <w:szCs w:val="20"/>
              </w:rPr>
            </w:pPr>
            <w:r w:rsidRPr="00CB6BAC">
              <w:rPr>
                <w:rFonts w:ascii="Times New Roman" w:hAnsi="Times New Roman" w:cs="Times New Roman"/>
                <w:szCs w:val="20"/>
              </w:rPr>
              <w:t xml:space="preserve">Retained Earnings to Total Assets = </w:t>
            </w:r>
          </w:p>
        </w:tc>
        <w:tc>
          <w:tcPr>
            <w:tcW w:w="0" w:type="auto"/>
            <w:shd w:val="clear" w:color="auto" w:fill="F0F0F0"/>
            <w:vAlign w:val="center"/>
            <w:hideMark/>
          </w:tcPr>
          <w:p w:rsidR="00CB6BAC" w:rsidRPr="00CB6BAC" w:rsidRDefault="00CB6BAC">
            <w:pPr>
              <w:spacing w:after="300"/>
              <w:rPr>
                <w:rFonts w:ascii="Times New Roman" w:hAnsi="Times New Roman" w:cs="Times New Roman"/>
                <w:szCs w:val="20"/>
              </w:rPr>
            </w:pPr>
            <w:r w:rsidRPr="00CB6BAC">
              <w:rPr>
                <w:rFonts w:ascii="Times New Roman" w:hAnsi="Times New Roman" w:cs="Times New Roman"/>
                <w:szCs w:val="20"/>
              </w:rPr>
              <w:pict>
                <v:rect id="_x0000_i1026" style="width:444.6pt;height:1.5pt" o:hrpct="950" o:hralign="center" o:hrstd="t" o:hrnoshade="t" o:hr="t" fillcolor="black" stroked="f"/>
              </w:pict>
            </w:r>
          </w:p>
        </w:tc>
      </w:tr>
      <w:tr w:rsidR="00CB6BAC" w:rsidRPr="00CB6BAC" w:rsidTr="00CB6BAC">
        <w:trPr>
          <w:tblCellSpacing w:w="15" w:type="dxa"/>
        </w:trPr>
        <w:tc>
          <w:tcPr>
            <w:tcW w:w="0" w:type="auto"/>
            <w:shd w:val="clear" w:color="auto" w:fill="F0F0F0"/>
            <w:vAlign w:val="center"/>
            <w:hideMark/>
          </w:tcPr>
          <w:p w:rsidR="00CB6BAC" w:rsidRPr="00CB6BAC" w:rsidRDefault="00CB6BAC">
            <w:pPr>
              <w:spacing w:after="300"/>
              <w:rPr>
                <w:rFonts w:ascii="Times New Roman" w:hAnsi="Times New Roman" w:cs="Times New Roman"/>
                <w:szCs w:val="20"/>
              </w:rPr>
            </w:pPr>
          </w:p>
        </w:tc>
        <w:tc>
          <w:tcPr>
            <w:tcW w:w="0" w:type="auto"/>
            <w:shd w:val="clear" w:color="auto" w:fill="F0F0F0"/>
            <w:hideMark/>
          </w:tcPr>
          <w:p w:rsidR="00CB6BAC" w:rsidRPr="00CB6BAC" w:rsidRDefault="00CB6BAC">
            <w:pPr>
              <w:spacing w:after="300"/>
              <w:jc w:val="center"/>
              <w:rPr>
                <w:rFonts w:ascii="Times New Roman" w:hAnsi="Times New Roman" w:cs="Times New Roman"/>
                <w:szCs w:val="20"/>
              </w:rPr>
            </w:pPr>
            <w:r w:rsidRPr="00CB6BAC">
              <w:rPr>
                <w:rFonts w:ascii="Times New Roman" w:hAnsi="Times New Roman" w:cs="Times New Roman"/>
                <w:szCs w:val="20"/>
              </w:rPr>
              <w:t> </w:t>
            </w:r>
            <w:hyperlink r:id="rId20" w:tooltip="Definition and explanation of Total Assets" w:history="1">
              <w:r w:rsidRPr="00CB6BAC">
                <w:rPr>
                  <w:rStyle w:val="Hyperlink"/>
                  <w:rFonts w:ascii="Times New Roman" w:hAnsi="Times New Roman" w:cs="Times New Roman"/>
                  <w:b/>
                  <w:bCs/>
                  <w:color w:val="397CC1"/>
                  <w:szCs w:val="20"/>
                </w:rPr>
                <w:t>Total Assets</w:t>
              </w:r>
            </w:hyperlink>
            <w:r w:rsidRPr="00CB6BAC">
              <w:rPr>
                <w:rFonts w:ascii="Times New Roman" w:hAnsi="Times New Roman" w:cs="Times New Roman"/>
                <w:szCs w:val="20"/>
              </w:rPr>
              <w:t xml:space="preserve">  </w:t>
            </w:r>
          </w:p>
        </w:tc>
      </w:tr>
    </w:tbl>
    <w:p w:rsidR="00CB6BAC" w:rsidRPr="00CB6BAC" w:rsidRDefault="00CB6BAC" w:rsidP="00CB6BAC">
      <w:pPr>
        <w:pStyle w:val="Heading3"/>
        <w:numPr>
          <w:ilvl w:val="0"/>
          <w:numId w:val="4"/>
        </w:numPr>
        <w:rPr>
          <w:color w:val="057ABD"/>
          <w:sz w:val="28"/>
        </w:rPr>
      </w:pPr>
      <w:r w:rsidRPr="00CB6BAC">
        <w:rPr>
          <w:color w:val="057ABD"/>
          <w:sz w:val="28"/>
        </w:rPr>
        <w:t>Explanation of Retained Earnings to Total Assets:</w:t>
      </w:r>
    </w:p>
    <w:p w:rsidR="00CB6BAC" w:rsidRPr="00CB6BAC" w:rsidRDefault="00CB6BAC" w:rsidP="00CB6BAC">
      <w:pPr>
        <w:pStyle w:val="NormalWeb"/>
        <w:numPr>
          <w:ilvl w:val="0"/>
          <w:numId w:val="4"/>
        </w:numPr>
        <w:rPr>
          <w:sz w:val="22"/>
          <w:szCs w:val="20"/>
        </w:rPr>
      </w:pPr>
      <w:r w:rsidRPr="00CB6BAC">
        <w:rPr>
          <w:sz w:val="22"/>
          <w:szCs w:val="20"/>
        </w:rPr>
        <w:t xml:space="preserve">The Retained Earnings to Total Assets ratio measures the company's ability to accumulate earnings using its </w:t>
      </w:r>
      <w:hyperlink r:id="rId21" w:tooltip="Definition and explanation of Total Assets" w:history="1">
        <w:r w:rsidRPr="00CB6BAC">
          <w:rPr>
            <w:rStyle w:val="Hyperlink"/>
            <w:b/>
            <w:bCs/>
            <w:color w:val="397CC1"/>
            <w:sz w:val="22"/>
            <w:szCs w:val="20"/>
          </w:rPr>
          <w:t>Total Assets</w:t>
        </w:r>
      </w:hyperlink>
      <w:r w:rsidRPr="00CB6BAC">
        <w:rPr>
          <w:sz w:val="22"/>
          <w:szCs w:val="20"/>
        </w:rPr>
        <w:t>. </w:t>
      </w:r>
    </w:p>
    <w:p w:rsidR="00CB6BAC" w:rsidRPr="00CB6BAC" w:rsidRDefault="00CB6BAC" w:rsidP="00CB6BAC">
      <w:pPr>
        <w:pStyle w:val="Heading3"/>
        <w:numPr>
          <w:ilvl w:val="0"/>
          <w:numId w:val="4"/>
        </w:numPr>
        <w:rPr>
          <w:color w:val="057ABD"/>
          <w:sz w:val="28"/>
        </w:rPr>
      </w:pPr>
      <w:r w:rsidRPr="00CB6BAC">
        <w:rPr>
          <w:color w:val="057ABD"/>
          <w:sz w:val="28"/>
        </w:rPr>
        <w:t>Importance of Retained Earnings to Total Assets:</w:t>
      </w:r>
    </w:p>
    <w:p w:rsidR="00CB6BAC" w:rsidRPr="00CB6BAC" w:rsidRDefault="00CB6BAC" w:rsidP="00CB6BAC">
      <w:pPr>
        <w:pStyle w:val="NormalWeb"/>
        <w:numPr>
          <w:ilvl w:val="0"/>
          <w:numId w:val="4"/>
        </w:numPr>
        <w:rPr>
          <w:sz w:val="22"/>
          <w:szCs w:val="20"/>
        </w:rPr>
      </w:pPr>
      <w:r w:rsidRPr="00CB6BAC">
        <w:rPr>
          <w:sz w:val="22"/>
          <w:szCs w:val="20"/>
        </w:rPr>
        <w:t xml:space="preserve">A </w:t>
      </w:r>
      <w:proofErr w:type="gramStart"/>
      <w:r w:rsidRPr="00CB6BAC">
        <w:rPr>
          <w:sz w:val="22"/>
          <w:szCs w:val="20"/>
        </w:rPr>
        <w:t>high,</w:t>
      </w:r>
      <w:proofErr w:type="gramEnd"/>
      <w:r w:rsidRPr="00CB6BAC">
        <w:rPr>
          <w:sz w:val="22"/>
          <w:szCs w:val="20"/>
        </w:rPr>
        <w:t xml:space="preserve"> or increasing Retained Earnings to Total Assets ratio is usually a positive sign, showing the company is able to continually retain increasingly more earnings.  As a company grows and matures, you should see this ratio increase.</w:t>
      </w:r>
    </w:p>
    <w:p w:rsidR="00CB6BAC" w:rsidRDefault="00CB6BAC" w:rsidP="00CB6BAC">
      <w:pPr>
        <w:pStyle w:val="NormalWeb"/>
        <w:rPr>
          <w:rFonts w:ascii="Arial" w:hAnsi="Arial" w:cs="Arial"/>
          <w:sz w:val="20"/>
          <w:szCs w:val="20"/>
        </w:rPr>
      </w:pPr>
    </w:p>
    <w:p w:rsidR="00545F03" w:rsidRDefault="00545F03" w:rsidP="00CB6BAC">
      <w:pPr>
        <w:pStyle w:val="NormalWeb"/>
        <w:rPr>
          <w:rFonts w:ascii="Arial" w:hAnsi="Arial" w:cs="Arial"/>
          <w:sz w:val="20"/>
          <w:szCs w:val="20"/>
        </w:rPr>
      </w:pPr>
    </w:p>
    <w:p w:rsidR="00545F03" w:rsidRDefault="00545F03" w:rsidP="00CB6BAC">
      <w:pPr>
        <w:pStyle w:val="NormalWeb"/>
        <w:rPr>
          <w:rFonts w:ascii="Arial" w:hAnsi="Arial" w:cs="Arial"/>
          <w:sz w:val="20"/>
          <w:szCs w:val="20"/>
        </w:rPr>
      </w:pPr>
    </w:p>
    <w:p w:rsidR="00545F03" w:rsidRPr="00545F03" w:rsidRDefault="00545F03" w:rsidP="00545F03">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u w:val="single"/>
        </w:rPr>
      </w:pPr>
      <w:r w:rsidRPr="00545F03">
        <w:rPr>
          <w:rFonts w:ascii="Times New Roman" w:eastAsia="Times New Roman" w:hAnsi="Times New Roman" w:cs="Times New Roman"/>
          <w:color w:val="984806" w:themeColor="accent6" w:themeShade="80"/>
          <w:sz w:val="24"/>
          <w:szCs w:val="24"/>
          <w:u w:val="single"/>
        </w:rPr>
        <w:lastRenderedPageBreak/>
        <w:t xml:space="preserve">Earnings before </w:t>
      </w:r>
      <w:hyperlink r:id="rId22" w:tooltip="Interest" w:history="1">
        <w:r w:rsidRPr="00545F03">
          <w:rPr>
            <w:rFonts w:ascii="Times New Roman" w:eastAsia="Times New Roman" w:hAnsi="Times New Roman" w:cs="Times New Roman"/>
            <w:color w:val="984806" w:themeColor="accent6" w:themeShade="80"/>
            <w:sz w:val="24"/>
            <w:szCs w:val="24"/>
            <w:u w:val="single"/>
          </w:rPr>
          <w:t>Interest</w:t>
        </w:r>
      </w:hyperlink>
      <w:r w:rsidRPr="00545F03">
        <w:rPr>
          <w:rFonts w:ascii="Times New Roman" w:eastAsia="Times New Roman" w:hAnsi="Times New Roman" w:cs="Times New Roman"/>
          <w:color w:val="984806" w:themeColor="accent6" w:themeShade="80"/>
          <w:sz w:val="24"/>
          <w:szCs w:val="24"/>
          <w:u w:val="single"/>
        </w:rPr>
        <w:t xml:space="preserve"> and Taxes/Total Assets</w:t>
      </w:r>
    </w:p>
    <w:p w:rsidR="00545F03" w:rsidRPr="00545F03" w:rsidRDefault="00545F03" w:rsidP="00545F03">
      <w:pPr>
        <w:pStyle w:val="z-TopofForm"/>
        <w:rPr>
          <w:rFonts w:ascii="Times New Roman" w:hAnsi="Times New Roman" w:cs="Times New Roman"/>
          <w:sz w:val="18"/>
          <w:u w:val="single"/>
        </w:rPr>
      </w:pPr>
      <w:r w:rsidRPr="00545F03">
        <w:rPr>
          <w:rFonts w:ascii="Times New Roman" w:hAnsi="Times New Roman" w:cs="Times New Roman"/>
          <w:sz w:val="18"/>
          <w:u w:val="single"/>
        </w:rPr>
        <w:t>Top of Form</w:t>
      </w:r>
    </w:p>
    <w:p w:rsidR="00545F03" w:rsidRPr="00545F03" w:rsidRDefault="00545F03" w:rsidP="00545F03">
      <w:pPr>
        <w:pStyle w:val="Heading3"/>
        <w:rPr>
          <w:color w:val="057ABD"/>
          <w:sz w:val="28"/>
          <w:u w:val="single"/>
        </w:rPr>
      </w:pPr>
      <w:r w:rsidRPr="00545F03">
        <w:rPr>
          <w:color w:val="057ABD"/>
          <w:sz w:val="28"/>
          <w:u w:val="single"/>
        </w:rPr>
        <w:t>Interest Coverage Ratio</w:t>
      </w:r>
    </w:p>
    <w:p w:rsidR="00545F03" w:rsidRPr="00545F03" w:rsidRDefault="00545F03" w:rsidP="00545F03">
      <w:pPr>
        <w:pStyle w:val="NormalWeb"/>
        <w:rPr>
          <w:sz w:val="22"/>
          <w:szCs w:val="20"/>
        </w:rPr>
      </w:pPr>
      <w:r w:rsidRPr="00545F03">
        <w:rPr>
          <w:sz w:val="22"/>
          <w:szCs w:val="20"/>
        </w:rPr>
        <w:t xml:space="preserve">The Interest Coverage Ratio measures how readily the company can pay its Interest Expense payments </w:t>
      </w:r>
      <w:proofErr w:type="gramStart"/>
      <w:r w:rsidRPr="00545F03">
        <w:rPr>
          <w:sz w:val="22"/>
          <w:szCs w:val="20"/>
        </w:rPr>
        <w:t>on</w:t>
      </w:r>
      <w:proofErr w:type="gramEnd"/>
      <w:r w:rsidRPr="00545F03">
        <w:rPr>
          <w:sz w:val="22"/>
          <w:szCs w:val="20"/>
        </w:rPr>
        <w:t xml:space="preserve"> its debt obligations.</w:t>
      </w:r>
    </w:p>
    <w:p w:rsidR="00545F03" w:rsidRPr="00545F03" w:rsidRDefault="00545F03" w:rsidP="00545F03">
      <w:pPr>
        <w:pStyle w:val="Heading4"/>
        <w:rPr>
          <w:rFonts w:ascii="Times New Roman" w:hAnsi="Times New Roman" w:cs="Times New Roman"/>
          <w:sz w:val="28"/>
          <w:szCs w:val="24"/>
        </w:rPr>
      </w:pPr>
      <w:r w:rsidRPr="00545F03">
        <w:rPr>
          <w:rFonts w:ascii="Times New Roman" w:hAnsi="Times New Roman" w:cs="Times New Roman"/>
          <w:sz w:val="24"/>
        </w:rPr>
        <w:t>If Interest Coverage Ratio increases over time:</w:t>
      </w:r>
    </w:p>
    <w:p w:rsidR="00545F03" w:rsidRPr="00545F03" w:rsidRDefault="00545F03" w:rsidP="00545F03">
      <w:pPr>
        <w:pStyle w:val="NormalWeb"/>
        <w:rPr>
          <w:sz w:val="22"/>
          <w:szCs w:val="20"/>
        </w:rPr>
      </w:pPr>
      <w:r w:rsidRPr="00545F03">
        <w:rPr>
          <w:sz w:val="22"/>
          <w:szCs w:val="20"/>
        </w:rPr>
        <w:t>An increasing Interest Coverage Ratio is usually a positive sign, showing the company is more able to pay its Interest Expense with its earnings.</w:t>
      </w:r>
    </w:p>
    <w:p w:rsidR="00545F03" w:rsidRPr="00545F03" w:rsidRDefault="00545F03" w:rsidP="00545F03">
      <w:pPr>
        <w:pStyle w:val="Heading4"/>
        <w:rPr>
          <w:rFonts w:ascii="Times New Roman" w:hAnsi="Times New Roman" w:cs="Times New Roman"/>
          <w:sz w:val="28"/>
          <w:szCs w:val="24"/>
        </w:rPr>
      </w:pPr>
      <w:r w:rsidRPr="00545F03">
        <w:rPr>
          <w:rFonts w:ascii="Times New Roman" w:hAnsi="Times New Roman" w:cs="Times New Roman"/>
          <w:sz w:val="24"/>
        </w:rPr>
        <w:t>If Interest Coverage Ratio decreases over time:</w:t>
      </w:r>
    </w:p>
    <w:p w:rsidR="00545F03" w:rsidRPr="00545F03" w:rsidRDefault="00545F03" w:rsidP="00545F03">
      <w:pPr>
        <w:pStyle w:val="NormalWeb"/>
        <w:rPr>
          <w:sz w:val="22"/>
          <w:szCs w:val="20"/>
        </w:rPr>
      </w:pPr>
      <w:r w:rsidRPr="00545F03">
        <w:rPr>
          <w:sz w:val="22"/>
          <w:szCs w:val="20"/>
        </w:rPr>
        <w:t>A decreasing Interest Coverage Ratio is usually a negative sign, showing the company is less able to pay its Interest Expense with its earnings.</w:t>
      </w:r>
    </w:p>
    <w:p w:rsidR="00545F03" w:rsidRPr="00545F03" w:rsidRDefault="00545F03" w:rsidP="00545F03">
      <w:pPr>
        <w:pStyle w:val="Heading4"/>
        <w:rPr>
          <w:rFonts w:ascii="Times New Roman" w:hAnsi="Times New Roman" w:cs="Times New Roman"/>
          <w:sz w:val="28"/>
          <w:szCs w:val="24"/>
        </w:rPr>
      </w:pPr>
      <w:r w:rsidRPr="00545F03">
        <w:rPr>
          <w:rFonts w:ascii="Times New Roman" w:hAnsi="Times New Roman" w:cs="Times New Roman"/>
          <w:sz w:val="24"/>
        </w:rPr>
        <w:t>If Interest Coverage Ratio stays the same over time:</w:t>
      </w:r>
    </w:p>
    <w:p w:rsidR="00545F03" w:rsidRPr="00545F03" w:rsidRDefault="00545F03" w:rsidP="00545F03">
      <w:pPr>
        <w:pStyle w:val="NormalWeb"/>
        <w:rPr>
          <w:sz w:val="22"/>
          <w:szCs w:val="20"/>
        </w:rPr>
      </w:pPr>
      <w:r w:rsidRPr="00545F03">
        <w:rPr>
          <w:sz w:val="22"/>
          <w:szCs w:val="20"/>
        </w:rPr>
        <w:t xml:space="preserve">An unchanged Interest Coverage Ratio may indicate the </w:t>
      </w:r>
      <w:proofErr w:type="spellStart"/>
      <w:r w:rsidRPr="00545F03">
        <w:rPr>
          <w:sz w:val="22"/>
          <w:szCs w:val="20"/>
        </w:rPr>
        <w:t>company''s</w:t>
      </w:r>
      <w:proofErr w:type="spellEnd"/>
      <w:r w:rsidRPr="00545F03">
        <w:rPr>
          <w:sz w:val="22"/>
          <w:szCs w:val="20"/>
        </w:rPr>
        <w:t xml:space="preserve"> ability to pay its Interest Expense with its earnings has remained the same.</w:t>
      </w:r>
    </w:p>
    <w:p w:rsidR="00545F03" w:rsidRDefault="00322A94" w:rsidP="00545F03">
      <w:pPr>
        <w:numPr>
          <w:ilvl w:val="0"/>
          <w:numId w:val="4"/>
        </w:numPr>
        <w:spacing w:before="100" w:beforeAutospacing="1" w:after="100" w:afterAutospacing="1" w:line="240" w:lineRule="auto"/>
        <w:rPr>
          <w:rFonts w:ascii="Times New Roman" w:eastAsia="Times New Roman" w:hAnsi="Times New Roman" w:cs="Times New Roman"/>
          <w:color w:val="984806" w:themeColor="accent6" w:themeShade="80"/>
          <w:sz w:val="24"/>
          <w:szCs w:val="24"/>
          <w:u w:val="single"/>
        </w:rPr>
      </w:pPr>
      <w:r>
        <w:rPr>
          <w:rFonts w:ascii="Times New Roman" w:eastAsia="Times New Roman" w:hAnsi="Times New Roman" w:cs="Times New Roman"/>
          <w:color w:val="984806" w:themeColor="accent6" w:themeShade="80"/>
          <w:sz w:val="24"/>
          <w:szCs w:val="24"/>
          <w:u w:val="single"/>
        </w:rPr>
        <w:t>Debt Equity Ratio</w:t>
      </w:r>
    </w:p>
    <w:p w:rsidR="00322A94" w:rsidRPr="00322A94" w:rsidRDefault="00322A94" w:rsidP="00322A94">
      <w:pPr>
        <w:spacing w:before="100" w:beforeAutospacing="1" w:after="100" w:afterAutospacing="1" w:line="240" w:lineRule="auto"/>
        <w:ind w:left="720"/>
        <w:rPr>
          <w:rFonts w:ascii="Times New Roman" w:eastAsia="Times New Roman" w:hAnsi="Times New Roman" w:cs="Times New Roman"/>
          <w:color w:val="984806" w:themeColor="accent6" w:themeShade="80"/>
          <w:sz w:val="28"/>
          <w:szCs w:val="24"/>
          <w:u w:val="single"/>
        </w:rPr>
      </w:pPr>
      <w:r w:rsidRPr="00322A94">
        <w:rPr>
          <w:rFonts w:ascii="Times New Roman" w:hAnsi="Times New Roman" w:cs="Times New Roman"/>
          <w:sz w:val="24"/>
          <w:lang/>
        </w:rPr>
        <w:t xml:space="preserve">The </w:t>
      </w:r>
      <w:r w:rsidRPr="00322A94">
        <w:rPr>
          <w:rFonts w:ascii="Times New Roman" w:hAnsi="Times New Roman" w:cs="Times New Roman"/>
          <w:b/>
          <w:bCs/>
          <w:sz w:val="24"/>
          <w:lang/>
        </w:rPr>
        <w:t>debt-to-equity ratio (D/E)</w:t>
      </w:r>
      <w:r w:rsidRPr="00322A94">
        <w:rPr>
          <w:rFonts w:ascii="Times New Roman" w:hAnsi="Times New Roman" w:cs="Times New Roman"/>
          <w:sz w:val="24"/>
          <w:lang/>
        </w:rPr>
        <w:t xml:space="preserve"> is a </w:t>
      </w:r>
      <w:hyperlink r:id="rId23" w:tooltip="Financial ratio" w:history="1">
        <w:r w:rsidRPr="00322A94">
          <w:rPr>
            <w:rStyle w:val="Hyperlink"/>
            <w:rFonts w:ascii="Times New Roman" w:hAnsi="Times New Roman" w:cs="Times New Roman"/>
            <w:sz w:val="24"/>
            <w:lang/>
          </w:rPr>
          <w:t>financial ratio</w:t>
        </w:r>
      </w:hyperlink>
      <w:r w:rsidRPr="00322A94">
        <w:rPr>
          <w:rFonts w:ascii="Times New Roman" w:hAnsi="Times New Roman" w:cs="Times New Roman"/>
          <w:sz w:val="24"/>
          <w:lang/>
        </w:rPr>
        <w:t xml:space="preserve"> indicating the relative proportion of </w:t>
      </w:r>
      <w:hyperlink r:id="rId24" w:tooltip="Shareholders' equity" w:history="1">
        <w:r w:rsidRPr="00322A94">
          <w:rPr>
            <w:rStyle w:val="Hyperlink"/>
            <w:rFonts w:ascii="Times New Roman" w:hAnsi="Times New Roman" w:cs="Times New Roman"/>
            <w:sz w:val="24"/>
            <w:lang/>
          </w:rPr>
          <w:t>shareholders' equity</w:t>
        </w:r>
      </w:hyperlink>
      <w:r w:rsidRPr="00322A94">
        <w:rPr>
          <w:rFonts w:ascii="Times New Roman" w:hAnsi="Times New Roman" w:cs="Times New Roman"/>
          <w:sz w:val="24"/>
          <w:lang/>
        </w:rPr>
        <w:t xml:space="preserve"> and </w:t>
      </w:r>
      <w:hyperlink r:id="rId25" w:tooltip="Debt" w:history="1">
        <w:r w:rsidRPr="00322A94">
          <w:rPr>
            <w:rStyle w:val="Hyperlink"/>
            <w:rFonts w:ascii="Times New Roman" w:hAnsi="Times New Roman" w:cs="Times New Roman"/>
            <w:sz w:val="24"/>
            <w:lang/>
          </w:rPr>
          <w:t>debt</w:t>
        </w:r>
      </w:hyperlink>
      <w:r w:rsidRPr="00322A94">
        <w:rPr>
          <w:rFonts w:ascii="Times New Roman" w:hAnsi="Times New Roman" w:cs="Times New Roman"/>
          <w:sz w:val="24"/>
          <w:lang/>
        </w:rPr>
        <w:t xml:space="preserve"> used to finance a company's assets.</w:t>
      </w:r>
      <w:hyperlink r:id="rId26" w:anchor="cite_note-Peterson1999-0" w:history="1">
        <w:r w:rsidRPr="00322A94">
          <w:rPr>
            <w:rFonts w:ascii="Times New Roman" w:hAnsi="Times New Roman" w:cs="Times New Roman"/>
            <w:color w:val="0000FF"/>
            <w:sz w:val="24"/>
            <w:u w:val="single"/>
            <w:vertAlign w:val="superscript"/>
            <w:lang/>
          </w:rPr>
          <w:t>[1]</w:t>
        </w:r>
      </w:hyperlink>
      <w:r w:rsidRPr="00322A94">
        <w:rPr>
          <w:rFonts w:ascii="Times New Roman" w:hAnsi="Times New Roman" w:cs="Times New Roman"/>
          <w:sz w:val="24"/>
          <w:lang/>
        </w:rPr>
        <w:t xml:space="preserve"> Closely related to </w:t>
      </w:r>
      <w:hyperlink r:id="rId27" w:tooltip="Leverage (finance)" w:history="1">
        <w:r w:rsidRPr="00322A94">
          <w:rPr>
            <w:rStyle w:val="Hyperlink"/>
            <w:rFonts w:ascii="Times New Roman" w:hAnsi="Times New Roman" w:cs="Times New Roman"/>
            <w:sz w:val="24"/>
            <w:lang/>
          </w:rPr>
          <w:t>leveraging</w:t>
        </w:r>
      </w:hyperlink>
      <w:r w:rsidRPr="00322A94">
        <w:rPr>
          <w:rFonts w:ascii="Times New Roman" w:hAnsi="Times New Roman" w:cs="Times New Roman"/>
          <w:sz w:val="24"/>
          <w:lang/>
        </w:rPr>
        <w:t xml:space="preserve">, the ratio is also known as </w:t>
      </w:r>
      <w:r w:rsidRPr="00322A94">
        <w:rPr>
          <w:rFonts w:ascii="Times New Roman" w:hAnsi="Times New Roman" w:cs="Times New Roman"/>
          <w:b/>
          <w:bCs/>
          <w:sz w:val="24"/>
          <w:lang/>
        </w:rPr>
        <w:t>Risk</w:t>
      </w:r>
      <w:r w:rsidRPr="00322A94">
        <w:rPr>
          <w:rFonts w:ascii="Times New Roman" w:hAnsi="Times New Roman" w:cs="Times New Roman"/>
          <w:sz w:val="24"/>
          <w:lang/>
        </w:rPr>
        <w:t xml:space="preserve">, </w:t>
      </w:r>
      <w:r w:rsidRPr="00322A94">
        <w:rPr>
          <w:rFonts w:ascii="Times New Roman" w:hAnsi="Times New Roman" w:cs="Times New Roman"/>
          <w:b/>
          <w:bCs/>
          <w:sz w:val="24"/>
          <w:lang/>
        </w:rPr>
        <w:t>Gearing</w:t>
      </w:r>
      <w:r w:rsidRPr="00322A94">
        <w:rPr>
          <w:rFonts w:ascii="Times New Roman" w:hAnsi="Times New Roman" w:cs="Times New Roman"/>
          <w:sz w:val="24"/>
          <w:lang/>
        </w:rPr>
        <w:t xml:space="preserve"> or </w:t>
      </w:r>
      <w:r w:rsidRPr="00322A94">
        <w:rPr>
          <w:rFonts w:ascii="Times New Roman" w:hAnsi="Times New Roman" w:cs="Times New Roman"/>
          <w:b/>
          <w:bCs/>
          <w:sz w:val="24"/>
          <w:lang/>
        </w:rPr>
        <w:t>Leverage</w:t>
      </w:r>
      <w:r w:rsidRPr="00322A94">
        <w:rPr>
          <w:rFonts w:ascii="Times New Roman" w:hAnsi="Times New Roman" w:cs="Times New Roman"/>
          <w:sz w:val="24"/>
          <w:lang/>
        </w:rPr>
        <w:t xml:space="preserve">. The two components are often taken from the firm's </w:t>
      </w:r>
      <w:hyperlink r:id="rId28" w:tooltip="Balance sheet" w:history="1">
        <w:r w:rsidRPr="00322A94">
          <w:rPr>
            <w:rStyle w:val="Hyperlink"/>
            <w:rFonts w:ascii="Times New Roman" w:hAnsi="Times New Roman" w:cs="Times New Roman"/>
            <w:sz w:val="24"/>
            <w:lang/>
          </w:rPr>
          <w:t>balance sheet</w:t>
        </w:r>
      </w:hyperlink>
      <w:r w:rsidRPr="00322A94">
        <w:rPr>
          <w:rFonts w:ascii="Times New Roman" w:hAnsi="Times New Roman" w:cs="Times New Roman"/>
          <w:sz w:val="24"/>
          <w:lang/>
        </w:rPr>
        <w:t xml:space="preserve"> or statement of financial position (so-called </w:t>
      </w:r>
      <w:hyperlink r:id="rId29" w:tooltip="Book value" w:history="1">
        <w:r w:rsidRPr="00322A94">
          <w:rPr>
            <w:rStyle w:val="Hyperlink"/>
            <w:rFonts w:ascii="Times New Roman" w:hAnsi="Times New Roman" w:cs="Times New Roman"/>
            <w:sz w:val="24"/>
            <w:lang/>
          </w:rPr>
          <w:t>book value</w:t>
        </w:r>
      </w:hyperlink>
      <w:r w:rsidRPr="00322A94">
        <w:rPr>
          <w:rFonts w:ascii="Times New Roman" w:hAnsi="Times New Roman" w:cs="Times New Roman"/>
          <w:sz w:val="24"/>
          <w:lang/>
        </w:rPr>
        <w:t xml:space="preserve">), but the ratio may also be calculated using market values for both, if the company's debt and equity are </w:t>
      </w:r>
      <w:hyperlink r:id="rId30" w:tooltip="Public corporation" w:history="1">
        <w:r w:rsidRPr="00322A94">
          <w:rPr>
            <w:rStyle w:val="Hyperlink"/>
            <w:rFonts w:ascii="Times New Roman" w:hAnsi="Times New Roman" w:cs="Times New Roman"/>
            <w:sz w:val="24"/>
            <w:lang/>
          </w:rPr>
          <w:t>publicly traded</w:t>
        </w:r>
      </w:hyperlink>
      <w:r w:rsidRPr="00322A94">
        <w:rPr>
          <w:rFonts w:ascii="Times New Roman" w:hAnsi="Times New Roman" w:cs="Times New Roman"/>
          <w:sz w:val="24"/>
          <w:lang/>
        </w:rPr>
        <w:t>, or using a combination of book value for debt and market value for equity financially</w:t>
      </w:r>
    </w:p>
    <w:p w:rsidR="00545F03" w:rsidRDefault="00545F03" w:rsidP="001A1883">
      <w:pPr>
        <w:spacing w:before="100" w:beforeAutospacing="1" w:after="100" w:afterAutospacing="1" w:line="240" w:lineRule="auto"/>
        <w:ind w:left="720"/>
        <w:rPr>
          <w:rFonts w:ascii="Times New Roman" w:eastAsia="Times New Roman" w:hAnsi="Times New Roman" w:cs="Times New Roman"/>
          <w:color w:val="984806" w:themeColor="accent6" w:themeShade="80"/>
          <w:sz w:val="24"/>
          <w:szCs w:val="24"/>
          <w:u w:val="single"/>
        </w:rPr>
      </w:pPr>
    </w:p>
    <w:p w:rsidR="00545F03" w:rsidRPr="001A1883" w:rsidRDefault="00545F03" w:rsidP="00545F03">
      <w:pPr>
        <w:numPr>
          <w:ilvl w:val="0"/>
          <w:numId w:val="4"/>
        </w:numPr>
        <w:spacing w:before="100" w:beforeAutospacing="1" w:after="100" w:afterAutospacing="1" w:line="240" w:lineRule="auto"/>
        <w:rPr>
          <w:rFonts w:ascii="Times New Roman" w:eastAsia="Times New Roman" w:hAnsi="Times New Roman" w:cs="Times New Roman"/>
          <w:sz w:val="28"/>
          <w:szCs w:val="24"/>
          <w:u w:val="single"/>
        </w:rPr>
      </w:pPr>
      <w:r w:rsidRPr="001A1883">
        <w:rPr>
          <w:rFonts w:ascii="Times New Roman" w:eastAsia="Times New Roman" w:hAnsi="Times New Roman" w:cs="Times New Roman"/>
          <w:color w:val="984806" w:themeColor="accent6" w:themeShade="80"/>
          <w:sz w:val="28"/>
          <w:szCs w:val="24"/>
          <w:u w:val="single"/>
        </w:rPr>
        <w:t>Sales/Total Assets</w:t>
      </w:r>
    </w:p>
    <w:p w:rsidR="00545F03" w:rsidRPr="00C410A7" w:rsidRDefault="00545F03" w:rsidP="00545F03">
      <w:pPr>
        <w:pStyle w:val="z-TopofForm"/>
        <w:numPr>
          <w:ilvl w:val="0"/>
          <w:numId w:val="4"/>
        </w:numPr>
        <w:rPr>
          <w:rFonts w:ascii="Times New Roman" w:hAnsi="Times New Roman" w:cs="Times New Roman"/>
        </w:rPr>
      </w:pPr>
      <w:r w:rsidRPr="00C410A7">
        <w:rPr>
          <w:rFonts w:ascii="Times New Roman" w:hAnsi="Times New Roman" w:cs="Times New Roman"/>
        </w:rPr>
        <w:t>Top of Form</w:t>
      </w:r>
    </w:p>
    <w:p w:rsidR="00545F03" w:rsidRPr="00C410A7" w:rsidRDefault="00545F03" w:rsidP="00545F03">
      <w:pPr>
        <w:pStyle w:val="Heading3"/>
        <w:numPr>
          <w:ilvl w:val="0"/>
          <w:numId w:val="4"/>
        </w:numPr>
        <w:rPr>
          <w:color w:val="057ABD"/>
          <w:sz w:val="28"/>
        </w:rPr>
      </w:pPr>
      <w:r w:rsidRPr="00C410A7">
        <w:rPr>
          <w:color w:val="057ABD"/>
          <w:sz w:val="28"/>
        </w:rPr>
        <w:t>Total Asset Turnover</w:t>
      </w:r>
    </w:p>
    <w:p w:rsidR="00545F03" w:rsidRPr="00C410A7" w:rsidRDefault="00545F03" w:rsidP="00545F03">
      <w:pPr>
        <w:pStyle w:val="NormalWeb"/>
        <w:numPr>
          <w:ilvl w:val="0"/>
          <w:numId w:val="4"/>
        </w:numPr>
        <w:rPr>
          <w:sz w:val="22"/>
          <w:szCs w:val="20"/>
        </w:rPr>
      </w:pPr>
      <w:r w:rsidRPr="00C410A7">
        <w:rPr>
          <w:sz w:val="22"/>
          <w:szCs w:val="20"/>
        </w:rPr>
        <w:t>The Total Asset</w:t>
      </w:r>
      <w:r w:rsidR="00C410A7">
        <w:rPr>
          <w:sz w:val="22"/>
          <w:szCs w:val="20"/>
        </w:rPr>
        <w:t xml:space="preserve"> Turnover measures a company'</w:t>
      </w:r>
      <w:r w:rsidRPr="00C410A7">
        <w:rPr>
          <w:sz w:val="22"/>
          <w:szCs w:val="20"/>
        </w:rPr>
        <w:t>s effectiveness in generating sales revenue from investments back into the company. Total Asset Turnover evaluates the efficiency of</w:t>
      </w:r>
      <w:r w:rsidR="00C410A7">
        <w:rPr>
          <w:sz w:val="22"/>
          <w:szCs w:val="20"/>
        </w:rPr>
        <w:t xml:space="preserve"> managing all of the company'</w:t>
      </w:r>
      <w:r w:rsidRPr="00C410A7">
        <w:rPr>
          <w:sz w:val="22"/>
          <w:szCs w:val="20"/>
        </w:rPr>
        <w:t>s assets.</w:t>
      </w:r>
    </w:p>
    <w:p w:rsidR="00545F03" w:rsidRPr="00C410A7" w:rsidRDefault="00545F03" w:rsidP="00545F03">
      <w:pPr>
        <w:pStyle w:val="Heading4"/>
        <w:numPr>
          <w:ilvl w:val="0"/>
          <w:numId w:val="4"/>
        </w:numPr>
        <w:rPr>
          <w:rFonts w:ascii="Times New Roman" w:hAnsi="Times New Roman" w:cs="Times New Roman"/>
          <w:sz w:val="28"/>
          <w:szCs w:val="24"/>
        </w:rPr>
      </w:pPr>
      <w:r w:rsidRPr="00C410A7">
        <w:rPr>
          <w:rFonts w:ascii="Times New Roman" w:hAnsi="Times New Roman" w:cs="Times New Roman"/>
          <w:sz w:val="24"/>
        </w:rPr>
        <w:t>If Total Asset Turnover increases over time:</w:t>
      </w:r>
    </w:p>
    <w:p w:rsidR="00545F03" w:rsidRPr="00C410A7" w:rsidRDefault="00545F03" w:rsidP="00545F03">
      <w:pPr>
        <w:pStyle w:val="NormalWeb"/>
        <w:numPr>
          <w:ilvl w:val="0"/>
          <w:numId w:val="4"/>
        </w:numPr>
        <w:rPr>
          <w:sz w:val="22"/>
          <w:szCs w:val="20"/>
        </w:rPr>
      </w:pPr>
      <w:r w:rsidRPr="00C410A7">
        <w:rPr>
          <w:sz w:val="22"/>
          <w:szCs w:val="20"/>
        </w:rPr>
        <w:t>An increasing Total Asset Turnover usually indicates the company has been more effective in the use of the investments made in the company (Total Assets).</w:t>
      </w:r>
    </w:p>
    <w:p w:rsidR="00545F03" w:rsidRPr="00C410A7" w:rsidRDefault="00545F03" w:rsidP="00545F03">
      <w:pPr>
        <w:pStyle w:val="Heading4"/>
        <w:numPr>
          <w:ilvl w:val="0"/>
          <w:numId w:val="4"/>
        </w:numPr>
        <w:rPr>
          <w:rFonts w:ascii="Times New Roman" w:hAnsi="Times New Roman" w:cs="Times New Roman"/>
          <w:sz w:val="28"/>
          <w:szCs w:val="24"/>
        </w:rPr>
      </w:pPr>
      <w:r w:rsidRPr="00C410A7">
        <w:rPr>
          <w:rFonts w:ascii="Times New Roman" w:hAnsi="Times New Roman" w:cs="Times New Roman"/>
          <w:sz w:val="24"/>
        </w:rPr>
        <w:t>If Total Asset Turnover decreases over time:</w:t>
      </w:r>
    </w:p>
    <w:p w:rsidR="00545F03" w:rsidRPr="00C410A7" w:rsidRDefault="00545F03" w:rsidP="00545F03">
      <w:pPr>
        <w:pStyle w:val="NormalWeb"/>
        <w:numPr>
          <w:ilvl w:val="0"/>
          <w:numId w:val="4"/>
        </w:numPr>
        <w:rPr>
          <w:sz w:val="22"/>
          <w:szCs w:val="20"/>
        </w:rPr>
      </w:pPr>
      <w:r w:rsidRPr="00C410A7">
        <w:rPr>
          <w:sz w:val="22"/>
          <w:szCs w:val="20"/>
        </w:rPr>
        <w:t>A decreasing Total Asset Turnover usually indicates the company has been less effective in the use of the investments made in the company (Total Assets).</w:t>
      </w:r>
    </w:p>
    <w:p w:rsidR="00545F03" w:rsidRPr="00C410A7" w:rsidRDefault="00545F03" w:rsidP="00545F03">
      <w:pPr>
        <w:pStyle w:val="Heading4"/>
        <w:numPr>
          <w:ilvl w:val="0"/>
          <w:numId w:val="4"/>
        </w:numPr>
        <w:rPr>
          <w:rFonts w:ascii="Times New Roman" w:hAnsi="Times New Roman" w:cs="Times New Roman"/>
          <w:sz w:val="28"/>
          <w:szCs w:val="24"/>
        </w:rPr>
      </w:pPr>
      <w:r w:rsidRPr="00C410A7">
        <w:rPr>
          <w:rFonts w:ascii="Times New Roman" w:hAnsi="Times New Roman" w:cs="Times New Roman"/>
          <w:sz w:val="24"/>
        </w:rPr>
        <w:lastRenderedPageBreak/>
        <w:t>If Total Asset Turnover stays the same over time:</w:t>
      </w:r>
    </w:p>
    <w:p w:rsidR="00545F03" w:rsidRPr="00C410A7" w:rsidRDefault="00545F03" w:rsidP="00545F03">
      <w:pPr>
        <w:pStyle w:val="NormalWeb"/>
        <w:numPr>
          <w:ilvl w:val="0"/>
          <w:numId w:val="4"/>
        </w:numPr>
        <w:rPr>
          <w:sz w:val="22"/>
          <w:szCs w:val="20"/>
        </w:rPr>
      </w:pPr>
      <w:r w:rsidRPr="00C410A7">
        <w:rPr>
          <w:sz w:val="22"/>
          <w:szCs w:val="20"/>
        </w:rPr>
        <w:t xml:space="preserve">An unchanged Total Asset Turnover usually indicates the </w:t>
      </w:r>
      <w:proofErr w:type="spellStart"/>
      <w:r w:rsidRPr="00C410A7">
        <w:rPr>
          <w:sz w:val="22"/>
          <w:szCs w:val="20"/>
        </w:rPr>
        <w:t>company''s</w:t>
      </w:r>
      <w:proofErr w:type="spellEnd"/>
      <w:r w:rsidRPr="00C410A7">
        <w:rPr>
          <w:sz w:val="22"/>
          <w:szCs w:val="20"/>
        </w:rPr>
        <w:t xml:space="preserve"> effectiveness in the using the investments made in the company (Total Assets) has remained the same.</w:t>
      </w:r>
    </w:p>
    <w:p w:rsidR="00545F03" w:rsidRDefault="00545F03" w:rsidP="00545F03">
      <w:pPr>
        <w:pStyle w:val="z-BottomofForm"/>
        <w:numPr>
          <w:ilvl w:val="0"/>
          <w:numId w:val="4"/>
        </w:numPr>
      </w:pPr>
      <w:r>
        <w:t>Bottom of Form</w:t>
      </w:r>
    </w:p>
    <w:p w:rsidR="00545F03" w:rsidRDefault="00545F03" w:rsidP="00545F03">
      <w:pPr>
        <w:spacing w:before="100" w:beforeAutospacing="1" w:after="100" w:afterAutospacing="1" w:line="240" w:lineRule="auto"/>
        <w:ind w:left="720"/>
        <w:rPr>
          <w:rFonts w:ascii="Times New Roman" w:eastAsia="Times New Roman" w:hAnsi="Times New Roman" w:cs="Times New Roman"/>
          <w:color w:val="984806" w:themeColor="accent6" w:themeShade="80"/>
          <w:sz w:val="24"/>
          <w:szCs w:val="24"/>
          <w:u w:val="single"/>
        </w:rPr>
      </w:pPr>
    </w:p>
    <w:p w:rsidR="00545F03" w:rsidRDefault="00165704" w:rsidP="00545F03">
      <w:pPr>
        <w:spacing w:before="100" w:beforeAutospacing="1" w:after="100" w:afterAutospacing="1" w:line="240" w:lineRule="auto"/>
        <w:ind w:left="720"/>
        <w:rPr>
          <w:b/>
          <w:sz w:val="28"/>
          <w:u w:val="single"/>
          <w:lang/>
        </w:rPr>
      </w:pPr>
      <w:r w:rsidRPr="00165704">
        <w:rPr>
          <w:b/>
          <w:sz w:val="28"/>
          <w:u w:val="single"/>
          <w:lang/>
        </w:rPr>
        <w:t>P/E ratio</w:t>
      </w:r>
    </w:p>
    <w:p w:rsidR="00165704" w:rsidRPr="00165704" w:rsidRDefault="00165704" w:rsidP="00165704">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3276600" cy="438150"/>
            <wp:effectExtent l="19050" t="0" r="0" b="0"/>
            <wp:docPr id="9" name="Picture 9" descr="\mbox{P/E ratio}=\frac{\mbox{Price per Share}}{\mbox{Annual Earnings p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box{P/E ratio}=\frac{\mbox{Price per Share}}{\mbox{Annual Earnings per Share}}"/>
                    <pic:cNvPicPr>
                      <a:picLocks noChangeAspect="1" noChangeArrowheads="1"/>
                    </pic:cNvPicPr>
                  </pic:nvPicPr>
                  <pic:blipFill>
                    <a:blip r:embed="rId31"/>
                    <a:srcRect/>
                    <a:stretch>
                      <a:fillRect/>
                    </a:stretch>
                  </pic:blipFill>
                  <pic:spPr bwMode="auto">
                    <a:xfrm>
                      <a:off x="0" y="0"/>
                      <a:ext cx="3276600" cy="438150"/>
                    </a:xfrm>
                    <a:prstGeom prst="rect">
                      <a:avLst/>
                    </a:prstGeom>
                    <a:noFill/>
                    <a:ln w="9525">
                      <a:noFill/>
                      <a:miter lim="800000"/>
                      <a:headEnd/>
                      <a:tailEnd/>
                    </a:ln>
                  </pic:spPr>
                </pic:pic>
              </a:graphicData>
            </a:graphic>
          </wp:inline>
        </w:drawing>
      </w:r>
    </w:p>
    <w:p w:rsidR="00165704" w:rsidRDefault="00165704" w:rsidP="00165704">
      <w:pPr>
        <w:pStyle w:val="NormalWeb"/>
        <w:rPr>
          <w:lang/>
        </w:rPr>
      </w:pPr>
      <w:r>
        <w:rPr>
          <w:lang/>
        </w:rPr>
        <w:t xml:space="preserve">For example, if stock A is trading at $24 and the earnings per share for the most recent 12 month period is $3, </w:t>
      </w:r>
      <w:proofErr w:type="gramStart"/>
      <w:r>
        <w:rPr>
          <w:lang/>
        </w:rPr>
        <w:t>then</w:t>
      </w:r>
      <w:proofErr w:type="gramEnd"/>
      <w:r>
        <w:rPr>
          <w:lang/>
        </w:rPr>
        <w:t xml:space="preserve"> stock A has a P/E ratio of 24/3 or 8. Put another way, the purchaser of the </w:t>
      </w:r>
      <w:proofErr w:type="gramStart"/>
      <w:r>
        <w:rPr>
          <w:lang/>
        </w:rPr>
        <w:t>stock</w:t>
      </w:r>
      <w:proofErr w:type="gramEnd"/>
      <w:r>
        <w:rPr>
          <w:lang/>
        </w:rPr>
        <w:t xml:space="preserve"> is paying $8 for every dollar of earnings. Companies with losses (negative earnings) or no profit have an undefined P/E ratio (usually shown as Not applicable or "N/A"); sometimes, however, a negative P/E ratio may be shown.</w:t>
      </w:r>
    </w:p>
    <w:p w:rsidR="00165704" w:rsidRDefault="00165704" w:rsidP="00165704">
      <w:pPr>
        <w:pStyle w:val="NormalWeb"/>
        <w:rPr>
          <w:lang/>
        </w:rPr>
      </w:pPr>
      <w:r>
        <w:rPr>
          <w:lang/>
        </w:rPr>
        <w:t xml:space="preserve">By comparing price and earnings per share for a company, one can analyze the market's </w:t>
      </w:r>
      <w:hyperlink r:id="rId32" w:tooltip="Stock valuation" w:history="1">
        <w:r>
          <w:rPr>
            <w:rStyle w:val="Hyperlink"/>
            <w:lang/>
          </w:rPr>
          <w:t>stock valuation</w:t>
        </w:r>
      </w:hyperlink>
      <w:r>
        <w:rPr>
          <w:lang/>
        </w:rPr>
        <w:t xml:space="preserve"> of a company and its shares relative to the income the company is actually generating. Stocks with higher (and/or more certain) forecast </w:t>
      </w:r>
      <w:hyperlink r:id="rId33" w:tooltip="Earnings growth" w:history="1">
        <w:r>
          <w:rPr>
            <w:rStyle w:val="Hyperlink"/>
            <w:lang/>
          </w:rPr>
          <w:t>earnings growth</w:t>
        </w:r>
      </w:hyperlink>
      <w:r>
        <w:rPr>
          <w:lang/>
        </w:rPr>
        <w:t xml:space="preserve"> will usually have a higher P/E, and those expected to have lower (and/or riskier) earnings growth will in most cases have a lower P/E. Investors can use the P/E ratio to compare the value of stocks: if one stock has a P/E twice that of another stock, all things being equal (especially the </w:t>
      </w:r>
      <w:hyperlink r:id="rId34" w:tooltip="Earnings growth" w:history="1">
        <w:r>
          <w:rPr>
            <w:rStyle w:val="Hyperlink"/>
            <w:lang/>
          </w:rPr>
          <w:t>earnings growth</w:t>
        </w:r>
      </w:hyperlink>
      <w:r>
        <w:rPr>
          <w:lang/>
        </w:rPr>
        <w:t xml:space="preserve"> rate), it is a less attractive investment. Companies are rarely equal, however, and comparisons between industries, companies, and time periods may be misleading</w:t>
      </w:r>
    </w:p>
    <w:tbl>
      <w:tblPr>
        <w:tblStyle w:val="TableGrid"/>
        <w:tblW w:w="0" w:type="auto"/>
        <w:tblLook w:val="04A0"/>
      </w:tblPr>
      <w:tblGrid>
        <w:gridCol w:w="828"/>
        <w:gridCol w:w="8748"/>
      </w:tblGrid>
      <w:tr w:rsidR="00165704" w:rsidTr="00165704">
        <w:tc>
          <w:tcPr>
            <w:tcW w:w="828" w:type="dxa"/>
          </w:tcPr>
          <w:p w:rsidR="00165704" w:rsidRDefault="00165704" w:rsidP="00165704">
            <w:pPr>
              <w:pStyle w:val="NormalWeb"/>
              <w:rPr>
                <w:lang/>
              </w:rPr>
            </w:pPr>
            <w:r>
              <w:rPr>
                <w:b/>
                <w:bCs/>
              </w:rPr>
              <w:t>N/A  </w:t>
            </w:r>
          </w:p>
        </w:tc>
        <w:tc>
          <w:tcPr>
            <w:tcW w:w="8748" w:type="dxa"/>
          </w:tcPr>
          <w:p w:rsidR="00165704" w:rsidRDefault="00165704" w:rsidP="00165704">
            <w:pPr>
              <w:pStyle w:val="NormalWeb"/>
              <w:rPr>
                <w:lang/>
              </w:rPr>
            </w:pPr>
            <w:r>
              <w:t xml:space="preserve">A company with no earnings has an </w:t>
            </w:r>
            <w:hyperlink r:id="rId35" w:tooltip="Division by zero" w:history="1">
              <w:r>
                <w:rPr>
                  <w:rStyle w:val="Hyperlink"/>
                </w:rPr>
                <w:t>undefined</w:t>
              </w:r>
            </w:hyperlink>
            <w:r>
              <w:t xml:space="preserve"> P/E ratio. By convention, companies with losses (negative earnings) are usually treated as having an undefined P/E ratio, even though a negative P/E ratio can be mathematically determined.</w:t>
            </w:r>
          </w:p>
        </w:tc>
      </w:tr>
      <w:tr w:rsidR="00165704" w:rsidTr="00165704">
        <w:tc>
          <w:tcPr>
            <w:tcW w:w="828" w:type="dxa"/>
          </w:tcPr>
          <w:p w:rsidR="00165704" w:rsidRDefault="00165704" w:rsidP="00165704">
            <w:pPr>
              <w:pStyle w:val="NormalWeb"/>
              <w:rPr>
                <w:lang/>
              </w:rPr>
            </w:pPr>
            <w:r>
              <w:rPr>
                <w:b/>
                <w:bCs/>
              </w:rPr>
              <w:t>0–10</w:t>
            </w:r>
          </w:p>
        </w:tc>
        <w:tc>
          <w:tcPr>
            <w:tcW w:w="8748" w:type="dxa"/>
          </w:tcPr>
          <w:p w:rsidR="00165704" w:rsidRDefault="007A51B6" w:rsidP="00165704">
            <w:pPr>
              <w:pStyle w:val="NormalWeb"/>
              <w:rPr>
                <w:lang/>
              </w:rPr>
            </w:pPr>
            <w:r>
              <w:t>Either the stock is undervalued or the company's earnings are thought to be in decline. Alternatively, current earnings may be substantially above historic trends or the company may have profited from selling assets.</w:t>
            </w:r>
          </w:p>
        </w:tc>
      </w:tr>
      <w:tr w:rsidR="007A51B6" w:rsidTr="001F3B99">
        <w:tc>
          <w:tcPr>
            <w:tcW w:w="828" w:type="dxa"/>
          </w:tcPr>
          <w:p w:rsidR="007A51B6" w:rsidRDefault="007A51B6" w:rsidP="00165704">
            <w:pPr>
              <w:pStyle w:val="NormalWeb"/>
              <w:rPr>
                <w:lang/>
              </w:rPr>
            </w:pPr>
            <w:r>
              <w:rPr>
                <w:b/>
                <w:bCs/>
              </w:rPr>
              <w:t>10–17</w:t>
            </w:r>
          </w:p>
        </w:tc>
        <w:tc>
          <w:tcPr>
            <w:tcW w:w="8748" w:type="dxa"/>
            <w:vAlign w:val="center"/>
          </w:tcPr>
          <w:p w:rsidR="007A51B6" w:rsidRDefault="007A51B6" w:rsidP="00862791">
            <w:pPr>
              <w:rPr>
                <w:sz w:val="24"/>
                <w:szCs w:val="24"/>
              </w:rPr>
            </w:pPr>
            <w:r>
              <w:t>For many companies a P/E ratio in this range may be considered fair value.</w:t>
            </w:r>
          </w:p>
        </w:tc>
      </w:tr>
      <w:tr w:rsidR="007A51B6" w:rsidTr="00165704">
        <w:tc>
          <w:tcPr>
            <w:tcW w:w="828" w:type="dxa"/>
          </w:tcPr>
          <w:p w:rsidR="007A51B6" w:rsidRDefault="007A51B6" w:rsidP="00165704">
            <w:pPr>
              <w:pStyle w:val="NormalWeb"/>
              <w:rPr>
                <w:lang/>
              </w:rPr>
            </w:pPr>
            <w:r>
              <w:rPr>
                <w:b/>
                <w:bCs/>
              </w:rPr>
              <w:t>17–25</w:t>
            </w:r>
          </w:p>
        </w:tc>
        <w:tc>
          <w:tcPr>
            <w:tcW w:w="8748" w:type="dxa"/>
          </w:tcPr>
          <w:p w:rsidR="007A51B6" w:rsidRDefault="007A51B6" w:rsidP="00165704">
            <w:pPr>
              <w:pStyle w:val="NormalWeb"/>
              <w:rPr>
                <w:lang/>
              </w:rPr>
            </w:pPr>
            <w:r>
              <w:t xml:space="preserve">Either the stock is overvalued or the company's earnings have increased since the last earnings figure was published. The stock may also be a </w:t>
            </w:r>
            <w:hyperlink r:id="rId36" w:tooltip="Growth stock" w:history="1">
              <w:r>
                <w:rPr>
                  <w:rStyle w:val="Hyperlink"/>
                </w:rPr>
                <w:t>growth stock</w:t>
              </w:r>
            </w:hyperlink>
            <w:r>
              <w:t xml:space="preserve"> with earnings expected to increase substantially in future.</w:t>
            </w:r>
          </w:p>
        </w:tc>
      </w:tr>
      <w:tr w:rsidR="007A51B6" w:rsidTr="00ED04B3">
        <w:tc>
          <w:tcPr>
            <w:tcW w:w="828" w:type="dxa"/>
          </w:tcPr>
          <w:p w:rsidR="007A51B6" w:rsidRPr="007A51B6" w:rsidRDefault="007A51B6" w:rsidP="00165704">
            <w:pPr>
              <w:pStyle w:val="NormalWeb"/>
              <w:rPr>
                <w:b/>
                <w:lang/>
              </w:rPr>
            </w:pPr>
            <w:r w:rsidRPr="007A51B6">
              <w:rPr>
                <w:b/>
                <w:lang/>
              </w:rPr>
              <w:t>25+</w:t>
            </w:r>
          </w:p>
        </w:tc>
        <w:tc>
          <w:tcPr>
            <w:tcW w:w="8748" w:type="dxa"/>
            <w:vAlign w:val="center"/>
          </w:tcPr>
          <w:p w:rsidR="007A51B6" w:rsidRDefault="007A51B6" w:rsidP="00862791">
            <w:pPr>
              <w:rPr>
                <w:sz w:val="24"/>
                <w:szCs w:val="24"/>
              </w:rPr>
            </w:pPr>
            <w:r>
              <w:t xml:space="preserve">A company whose shares have a very high P/E may have high expected future growth in earnings or the stock may be the subject of a </w:t>
            </w:r>
            <w:hyperlink r:id="rId37" w:tooltip="Speculation" w:history="1">
              <w:r>
                <w:rPr>
                  <w:rStyle w:val="Hyperlink"/>
                </w:rPr>
                <w:t>speculative</w:t>
              </w:r>
            </w:hyperlink>
            <w:r>
              <w:t xml:space="preserve"> </w:t>
            </w:r>
            <w:hyperlink r:id="rId38" w:tooltip="Stock market bubble" w:history="1">
              <w:r>
                <w:rPr>
                  <w:rStyle w:val="Hyperlink"/>
                </w:rPr>
                <w:t>bubble</w:t>
              </w:r>
            </w:hyperlink>
            <w:r>
              <w:t>.</w:t>
            </w:r>
          </w:p>
        </w:tc>
      </w:tr>
    </w:tbl>
    <w:p w:rsidR="00165704" w:rsidRDefault="00165704" w:rsidP="00165704">
      <w:pPr>
        <w:pStyle w:val="NormalWeb"/>
        <w:rPr>
          <w:lang/>
        </w:rPr>
      </w:pPr>
    </w:p>
    <w:p w:rsidR="00165704" w:rsidRPr="00165704" w:rsidRDefault="00165704" w:rsidP="007A51B6">
      <w:pPr>
        <w:spacing w:before="100" w:beforeAutospacing="1" w:after="100" w:afterAutospacing="1" w:line="240" w:lineRule="auto"/>
        <w:rPr>
          <w:rFonts w:ascii="Times New Roman" w:eastAsia="Times New Roman" w:hAnsi="Times New Roman" w:cs="Times New Roman"/>
          <w:b/>
          <w:color w:val="984806" w:themeColor="accent6" w:themeShade="80"/>
          <w:sz w:val="32"/>
          <w:szCs w:val="24"/>
          <w:u w:val="single"/>
        </w:rPr>
      </w:pPr>
    </w:p>
    <w:p w:rsidR="00545F03" w:rsidRDefault="00545F03" w:rsidP="00545F03">
      <w:pPr>
        <w:pStyle w:val="z-BottomofForm"/>
      </w:pPr>
      <w:r>
        <w:t>Bottom of Form</w:t>
      </w:r>
    </w:p>
    <w:sectPr w:rsidR="00545F03" w:rsidSect="008130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278"/>
    <w:multiLevelType w:val="multilevel"/>
    <w:tmpl w:val="81B0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A3183"/>
    <w:multiLevelType w:val="multilevel"/>
    <w:tmpl w:val="336E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FF3596"/>
    <w:multiLevelType w:val="multilevel"/>
    <w:tmpl w:val="D04E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B12D2A"/>
    <w:multiLevelType w:val="multilevel"/>
    <w:tmpl w:val="D792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9E9"/>
    <w:rsid w:val="00165704"/>
    <w:rsid w:val="001A1883"/>
    <w:rsid w:val="001C634C"/>
    <w:rsid w:val="00322A94"/>
    <w:rsid w:val="0038658D"/>
    <w:rsid w:val="00545F03"/>
    <w:rsid w:val="007A51B6"/>
    <w:rsid w:val="0081307F"/>
    <w:rsid w:val="008C5D5A"/>
    <w:rsid w:val="009A1239"/>
    <w:rsid w:val="00C410A7"/>
    <w:rsid w:val="00C71850"/>
    <w:rsid w:val="00CB6BAC"/>
    <w:rsid w:val="00D14A5F"/>
    <w:rsid w:val="00E90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7F"/>
  </w:style>
  <w:style w:type="paragraph" w:styleId="Heading3">
    <w:name w:val="heading 3"/>
    <w:basedOn w:val="Normal"/>
    <w:link w:val="Heading3Char"/>
    <w:uiPriority w:val="9"/>
    <w:qFormat/>
    <w:rsid w:val="00E909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45F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09E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909E9"/>
    <w:rPr>
      <w:color w:val="0000FF"/>
      <w:u w:val="single"/>
    </w:rPr>
  </w:style>
  <w:style w:type="paragraph" w:styleId="NormalWeb">
    <w:name w:val="Normal (Web)"/>
    <w:basedOn w:val="Normal"/>
    <w:uiPriority w:val="99"/>
    <w:semiHidden/>
    <w:unhideWhenUsed/>
    <w:rsid w:val="00E909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09E9"/>
    <w:rPr>
      <w:b/>
      <w:bCs/>
    </w:rPr>
  </w:style>
  <w:style w:type="character" w:styleId="FollowedHyperlink">
    <w:name w:val="FollowedHyperlink"/>
    <w:basedOn w:val="DefaultParagraphFont"/>
    <w:uiPriority w:val="99"/>
    <w:semiHidden/>
    <w:unhideWhenUsed/>
    <w:rsid w:val="00CB6BAC"/>
    <w:rPr>
      <w:color w:val="800080" w:themeColor="followedHyperlink"/>
      <w:u w:val="single"/>
    </w:rPr>
  </w:style>
  <w:style w:type="character" w:customStyle="1" w:styleId="Heading4Char">
    <w:name w:val="Heading 4 Char"/>
    <w:basedOn w:val="DefaultParagraphFont"/>
    <w:link w:val="Heading4"/>
    <w:uiPriority w:val="9"/>
    <w:semiHidden/>
    <w:rsid w:val="00545F03"/>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545F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45F0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45F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45F0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5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04"/>
    <w:rPr>
      <w:rFonts w:ascii="Tahoma" w:hAnsi="Tahoma" w:cs="Tahoma"/>
      <w:sz w:val="16"/>
      <w:szCs w:val="16"/>
    </w:rPr>
  </w:style>
  <w:style w:type="table" w:styleId="TableGrid">
    <w:name w:val="Table Grid"/>
    <w:basedOn w:val="TableNormal"/>
    <w:uiPriority w:val="59"/>
    <w:rsid w:val="001657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6901878">
      <w:bodyDiv w:val="1"/>
      <w:marLeft w:val="0"/>
      <w:marRight w:val="0"/>
      <w:marTop w:val="0"/>
      <w:marBottom w:val="0"/>
      <w:divBdr>
        <w:top w:val="none" w:sz="0" w:space="0" w:color="auto"/>
        <w:left w:val="none" w:sz="0" w:space="0" w:color="auto"/>
        <w:bottom w:val="none" w:sz="0" w:space="0" w:color="auto"/>
        <w:right w:val="none" w:sz="0" w:space="0" w:color="auto"/>
      </w:divBdr>
      <w:divsChild>
        <w:div w:id="193691240">
          <w:marLeft w:val="0"/>
          <w:marRight w:val="0"/>
          <w:marTop w:val="0"/>
          <w:marBottom w:val="0"/>
          <w:divBdr>
            <w:top w:val="single" w:sz="6" w:space="0" w:color="969696"/>
            <w:left w:val="single" w:sz="6" w:space="0" w:color="969696"/>
            <w:bottom w:val="single" w:sz="6" w:space="0" w:color="969696"/>
            <w:right w:val="single" w:sz="6" w:space="0" w:color="969696"/>
          </w:divBdr>
          <w:divsChild>
            <w:div w:id="1103912456">
              <w:marLeft w:val="0"/>
              <w:marRight w:val="0"/>
              <w:marTop w:val="0"/>
              <w:marBottom w:val="0"/>
              <w:divBdr>
                <w:top w:val="none" w:sz="0" w:space="0" w:color="auto"/>
                <w:left w:val="none" w:sz="0" w:space="0" w:color="auto"/>
                <w:bottom w:val="none" w:sz="0" w:space="0" w:color="auto"/>
                <w:right w:val="none" w:sz="0" w:space="0" w:color="auto"/>
              </w:divBdr>
              <w:divsChild>
                <w:div w:id="830293332">
                  <w:marLeft w:val="0"/>
                  <w:marRight w:val="0"/>
                  <w:marTop w:val="0"/>
                  <w:marBottom w:val="0"/>
                  <w:divBdr>
                    <w:top w:val="none" w:sz="0" w:space="0" w:color="auto"/>
                    <w:left w:val="none" w:sz="0" w:space="0" w:color="auto"/>
                    <w:bottom w:val="none" w:sz="0" w:space="0" w:color="auto"/>
                    <w:right w:val="none" w:sz="0" w:space="0" w:color="auto"/>
                  </w:divBdr>
                  <w:divsChild>
                    <w:div w:id="73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21235">
      <w:bodyDiv w:val="1"/>
      <w:marLeft w:val="0"/>
      <w:marRight w:val="0"/>
      <w:marTop w:val="0"/>
      <w:marBottom w:val="0"/>
      <w:divBdr>
        <w:top w:val="none" w:sz="0" w:space="0" w:color="auto"/>
        <w:left w:val="none" w:sz="0" w:space="0" w:color="auto"/>
        <w:bottom w:val="none" w:sz="0" w:space="0" w:color="auto"/>
        <w:right w:val="none" w:sz="0" w:space="0" w:color="auto"/>
      </w:divBdr>
      <w:divsChild>
        <w:div w:id="2128237965">
          <w:marLeft w:val="0"/>
          <w:marRight w:val="0"/>
          <w:marTop w:val="0"/>
          <w:marBottom w:val="0"/>
          <w:divBdr>
            <w:top w:val="single" w:sz="6" w:space="0" w:color="969696"/>
            <w:left w:val="single" w:sz="6" w:space="0" w:color="969696"/>
            <w:bottom w:val="single" w:sz="6" w:space="0" w:color="969696"/>
            <w:right w:val="single" w:sz="6" w:space="0" w:color="969696"/>
          </w:divBdr>
          <w:divsChild>
            <w:div w:id="423300891">
              <w:marLeft w:val="0"/>
              <w:marRight w:val="0"/>
              <w:marTop w:val="0"/>
              <w:marBottom w:val="0"/>
              <w:divBdr>
                <w:top w:val="none" w:sz="0" w:space="0" w:color="auto"/>
                <w:left w:val="none" w:sz="0" w:space="0" w:color="auto"/>
                <w:bottom w:val="none" w:sz="0" w:space="0" w:color="auto"/>
                <w:right w:val="none" w:sz="0" w:space="0" w:color="auto"/>
              </w:divBdr>
              <w:divsChild>
                <w:div w:id="1330714056">
                  <w:marLeft w:val="0"/>
                  <w:marRight w:val="0"/>
                  <w:marTop w:val="0"/>
                  <w:marBottom w:val="0"/>
                  <w:divBdr>
                    <w:top w:val="none" w:sz="0" w:space="0" w:color="auto"/>
                    <w:left w:val="none" w:sz="0" w:space="0" w:color="auto"/>
                    <w:bottom w:val="none" w:sz="0" w:space="0" w:color="auto"/>
                    <w:right w:val="none" w:sz="0" w:space="0" w:color="auto"/>
                  </w:divBdr>
                  <w:divsChild>
                    <w:div w:id="11758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02538">
      <w:bodyDiv w:val="1"/>
      <w:marLeft w:val="0"/>
      <w:marRight w:val="0"/>
      <w:marTop w:val="0"/>
      <w:marBottom w:val="0"/>
      <w:divBdr>
        <w:top w:val="none" w:sz="0" w:space="0" w:color="auto"/>
        <w:left w:val="none" w:sz="0" w:space="0" w:color="auto"/>
        <w:bottom w:val="none" w:sz="0" w:space="0" w:color="auto"/>
        <w:right w:val="none" w:sz="0" w:space="0" w:color="auto"/>
      </w:divBdr>
      <w:divsChild>
        <w:div w:id="1029916961">
          <w:marLeft w:val="0"/>
          <w:marRight w:val="0"/>
          <w:marTop w:val="0"/>
          <w:marBottom w:val="0"/>
          <w:divBdr>
            <w:top w:val="single" w:sz="6" w:space="0" w:color="969696"/>
            <w:left w:val="single" w:sz="6" w:space="0" w:color="969696"/>
            <w:bottom w:val="single" w:sz="6" w:space="0" w:color="969696"/>
            <w:right w:val="single" w:sz="6" w:space="0" w:color="969696"/>
          </w:divBdr>
          <w:divsChild>
            <w:div w:id="42563657">
              <w:marLeft w:val="0"/>
              <w:marRight w:val="0"/>
              <w:marTop w:val="0"/>
              <w:marBottom w:val="0"/>
              <w:divBdr>
                <w:top w:val="none" w:sz="0" w:space="0" w:color="auto"/>
                <w:left w:val="none" w:sz="0" w:space="0" w:color="auto"/>
                <w:bottom w:val="none" w:sz="0" w:space="0" w:color="auto"/>
                <w:right w:val="none" w:sz="0" w:space="0" w:color="auto"/>
              </w:divBdr>
              <w:divsChild>
                <w:div w:id="1023090900">
                  <w:marLeft w:val="0"/>
                  <w:marRight w:val="0"/>
                  <w:marTop w:val="0"/>
                  <w:marBottom w:val="0"/>
                  <w:divBdr>
                    <w:top w:val="none" w:sz="0" w:space="0" w:color="auto"/>
                    <w:left w:val="none" w:sz="0" w:space="0" w:color="auto"/>
                    <w:bottom w:val="none" w:sz="0" w:space="0" w:color="auto"/>
                    <w:right w:val="none" w:sz="0" w:space="0" w:color="auto"/>
                  </w:divBdr>
                  <w:divsChild>
                    <w:div w:id="11518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837305">
      <w:bodyDiv w:val="1"/>
      <w:marLeft w:val="0"/>
      <w:marRight w:val="0"/>
      <w:marTop w:val="0"/>
      <w:marBottom w:val="0"/>
      <w:divBdr>
        <w:top w:val="none" w:sz="0" w:space="0" w:color="auto"/>
        <w:left w:val="none" w:sz="0" w:space="0" w:color="auto"/>
        <w:bottom w:val="none" w:sz="0" w:space="0" w:color="auto"/>
        <w:right w:val="none" w:sz="0" w:space="0" w:color="auto"/>
      </w:divBdr>
      <w:divsChild>
        <w:div w:id="1153839575">
          <w:marLeft w:val="0"/>
          <w:marRight w:val="0"/>
          <w:marTop w:val="0"/>
          <w:marBottom w:val="0"/>
          <w:divBdr>
            <w:top w:val="none" w:sz="0" w:space="0" w:color="auto"/>
            <w:left w:val="none" w:sz="0" w:space="0" w:color="auto"/>
            <w:bottom w:val="none" w:sz="0" w:space="0" w:color="auto"/>
            <w:right w:val="none" w:sz="0" w:space="0" w:color="auto"/>
          </w:divBdr>
          <w:divsChild>
            <w:div w:id="13227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6012">
      <w:bodyDiv w:val="1"/>
      <w:marLeft w:val="0"/>
      <w:marRight w:val="0"/>
      <w:marTop w:val="0"/>
      <w:marBottom w:val="0"/>
      <w:divBdr>
        <w:top w:val="none" w:sz="0" w:space="0" w:color="auto"/>
        <w:left w:val="none" w:sz="0" w:space="0" w:color="auto"/>
        <w:bottom w:val="none" w:sz="0" w:space="0" w:color="auto"/>
        <w:right w:val="none" w:sz="0" w:space="0" w:color="auto"/>
      </w:divBdr>
      <w:divsChild>
        <w:div w:id="414016757">
          <w:marLeft w:val="0"/>
          <w:marRight w:val="0"/>
          <w:marTop w:val="0"/>
          <w:marBottom w:val="0"/>
          <w:divBdr>
            <w:top w:val="none" w:sz="0" w:space="0" w:color="auto"/>
            <w:left w:val="none" w:sz="0" w:space="0" w:color="auto"/>
            <w:bottom w:val="none" w:sz="0" w:space="0" w:color="auto"/>
            <w:right w:val="none" w:sz="0" w:space="0" w:color="auto"/>
          </w:divBdr>
          <w:divsChild>
            <w:div w:id="648289379">
              <w:marLeft w:val="0"/>
              <w:marRight w:val="0"/>
              <w:marTop w:val="0"/>
              <w:marBottom w:val="0"/>
              <w:divBdr>
                <w:top w:val="none" w:sz="0" w:space="0" w:color="auto"/>
                <w:left w:val="none" w:sz="0" w:space="0" w:color="auto"/>
                <w:bottom w:val="none" w:sz="0" w:space="0" w:color="auto"/>
                <w:right w:val="none" w:sz="0" w:space="0" w:color="auto"/>
              </w:divBdr>
              <w:divsChild>
                <w:div w:id="2134211153">
                  <w:marLeft w:val="0"/>
                  <w:marRight w:val="0"/>
                  <w:marTop w:val="0"/>
                  <w:marBottom w:val="0"/>
                  <w:divBdr>
                    <w:top w:val="none" w:sz="0" w:space="0" w:color="auto"/>
                    <w:left w:val="none" w:sz="0" w:space="0" w:color="auto"/>
                    <w:bottom w:val="none" w:sz="0" w:space="0" w:color="auto"/>
                    <w:right w:val="none" w:sz="0" w:space="0" w:color="auto"/>
                  </w:divBdr>
                  <w:divsChild>
                    <w:div w:id="1690832276">
                      <w:marLeft w:val="0"/>
                      <w:marRight w:val="0"/>
                      <w:marTop w:val="0"/>
                      <w:marBottom w:val="0"/>
                      <w:divBdr>
                        <w:top w:val="none" w:sz="0" w:space="0" w:color="auto"/>
                        <w:left w:val="none" w:sz="0" w:space="0" w:color="auto"/>
                        <w:bottom w:val="none" w:sz="0" w:space="0" w:color="auto"/>
                        <w:right w:val="none" w:sz="0" w:space="0" w:color="auto"/>
                      </w:divBdr>
                      <w:divsChild>
                        <w:div w:id="750659282">
                          <w:marLeft w:val="0"/>
                          <w:marRight w:val="0"/>
                          <w:marTop w:val="0"/>
                          <w:marBottom w:val="0"/>
                          <w:divBdr>
                            <w:top w:val="none" w:sz="0" w:space="0" w:color="auto"/>
                            <w:left w:val="none" w:sz="0" w:space="0" w:color="auto"/>
                            <w:bottom w:val="none" w:sz="0" w:space="0" w:color="auto"/>
                            <w:right w:val="none" w:sz="0" w:space="0" w:color="auto"/>
                          </w:divBdr>
                          <w:divsChild>
                            <w:div w:id="839734125">
                              <w:marLeft w:val="0"/>
                              <w:marRight w:val="0"/>
                              <w:marTop w:val="0"/>
                              <w:marBottom w:val="0"/>
                              <w:divBdr>
                                <w:top w:val="none" w:sz="0" w:space="0" w:color="auto"/>
                                <w:left w:val="none" w:sz="0" w:space="0" w:color="auto"/>
                                <w:bottom w:val="none" w:sz="0" w:space="0" w:color="auto"/>
                                <w:right w:val="none" w:sz="0" w:space="0" w:color="auto"/>
                              </w:divBdr>
                              <w:divsChild>
                                <w:div w:id="4926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099662">
      <w:bodyDiv w:val="1"/>
      <w:marLeft w:val="0"/>
      <w:marRight w:val="0"/>
      <w:marTop w:val="0"/>
      <w:marBottom w:val="0"/>
      <w:divBdr>
        <w:top w:val="none" w:sz="0" w:space="0" w:color="auto"/>
        <w:left w:val="none" w:sz="0" w:space="0" w:color="auto"/>
        <w:bottom w:val="none" w:sz="0" w:space="0" w:color="auto"/>
        <w:right w:val="none" w:sz="0" w:space="0" w:color="auto"/>
      </w:divBdr>
      <w:divsChild>
        <w:div w:id="653336967">
          <w:marLeft w:val="0"/>
          <w:marRight w:val="0"/>
          <w:marTop w:val="0"/>
          <w:marBottom w:val="0"/>
          <w:divBdr>
            <w:top w:val="none" w:sz="0" w:space="0" w:color="auto"/>
            <w:left w:val="none" w:sz="0" w:space="0" w:color="auto"/>
            <w:bottom w:val="none" w:sz="0" w:space="0" w:color="auto"/>
            <w:right w:val="none" w:sz="0" w:space="0" w:color="auto"/>
          </w:divBdr>
          <w:divsChild>
            <w:div w:id="14358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3028">
      <w:bodyDiv w:val="1"/>
      <w:marLeft w:val="0"/>
      <w:marRight w:val="0"/>
      <w:marTop w:val="0"/>
      <w:marBottom w:val="0"/>
      <w:divBdr>
        <w:top w:val="none" w:sz="0" w:space="0" w:color="auto"/>
        <w:left w:val="none" w:sz="0" w:space="0" w:color="auto"/>
        <w:bottom w:val="none" w:sz="0" w:space="0" w:color="auto"/>
        <w:right w:val="none" w:sz="0" w:space="0" w:color="auto"/>
      </w:divBdr>
      <w:divsChild>
        <w:div w:id="2023241201">
          <w:marLeft w:val="0"/>
          <w:marRight w:val="0"/>
          <w:marTop w:val="0"/>
          <w:marBottom w:val="0"/>
          <w:divBdr>
            <w:top w:val="single" w:sz="6" w:space="0" w:color="969696"/>
            <w:left w:val="single" w:sz="6" w:space="0" w:color="969696"/>
            <w:bottom w:val="single" w:sz="6" w:space="0" w:color="969696"/>
            <w:right w:val="single" w:sz="6" w:space="0" w:color="969696"/>
          </w:divBdr>
          <w:divsChild>
            <w:div w:id="271132591">
              <w:marLeft w:val="0"/>
              <w:marRight w:val="0"/>
              <w:marTop w:val="0"/>
              <w:marBottom w:val="0"/>
              <w:divBdr>
                <w:top w:val="none" w:sz="0" w:space="0" w:color="auto"/>
                <w:left w:val="none" w:sz="0" w:space="0" w:color="auto"/>
                <w:bottom w:val="none" w:sz="0" w:space="0" w:color="auto"/>
                <w:right w:val="none" w:sz="0" w:space="0" w:color="auto"/>
              </w:divBdr>
              <w:divsChild>
                <w:div w:id="186674097">
                  <w:marLeft w:val="0"/>
                  <w:marRight w:val="0"/>
                  <w:marTop w:val="0"/>
                  <w:marBottom w:val="0"/>
                  <w:divBdr>
                    <w:top w:val="none" w:sz="0" w:space="0" w:color="auto"/>
                    <w:left w:val="none" w:sz="0" w:space="0" w:color="auto"/>
                    <w:bottom w:val="none" w:sz="0" w:space="0" w:color="auto"/>
                    <w:right w:val="none" w:sz="0" w:space="0" w:color="auto"/>
                  </w:divBdr>
                  <w:divsChild>
                    <w:div w:id="824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79507">
      <w:bodyDiv w:val="1"/>
      <w:marLeft w:val="0"/>
      <w:marRight w:val="0"/>
      <w:marTop w:val="0"/>
      <w:marBottom w:val="0"/>
      <w:divBdr>
        <w:top w:val="none" w:sz="0" w:space="0" w:color="auto"/>
        <w:left w:val="none" w:sz="0" w:space="0" w:color="auto"/>
        <w:bottom w:val="none" w:sz="0" w:space="0" w:color="auto"/>
        <w:right w:val="none" w:sz="0" w:space="0" w:color="auto"/>
      </w:divBdr>
      <w:divsChild>
        <w:div w:id="1348214676">
          <w:marLeft w:val="0"/>
          <w:marRight w:val="0"/>
          <w:marTop w:val="0"/>
          <w:marBottom w:val="0"/>
          <w:divBdr>
            <w:top w:val="none" w:sz="0" w:space="0" w:color="auto"/>
            <w:left w:val="none" w:sz="0" w:space="0" w:color="auto"/>
            <w:bottom w:val="none" w:sz="0" w:space="0" w:color="auto"/>
            <w:right w:val="none" w:sz="0" w:space="0" w:color="auto"/>
          </w:divBdr>
          <w:divsChild>
            <w:div w:id="2466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ounting-financial-tax.com/category/accounting/equity/" TargetMode="External"/><Relationship Id="rId13" Type="http://schemas.openxmlformats.org/officeDocument/2006/relationships/hyperlink" Target="http://www.spireframe.com/docs/financial-statement-total-assets.aspx" TargetMode="External"/><Relationship Id="rId18" Type="http://schemas.openxmlformats.org/officeDocument/2006/relationships/hyperlink" Target="http://accounting-financial-tax.com/tag/retained-earnings/" TargetMode="External"/><Relationship Id="rId26" Type="http://schemas.openxmlformats.org/officeDocument/2006/relationships/hyperlink" Target="http://en.wikipedia.org/wiki/Debt-to-equity_rati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pireframe.com/docs/financial-statement-total-assets.aspx" TargetMode="External"/><Relationship Id="rId34" Type="http://schemas.openxmlformats.org/officeDocument/2006/relationships/hyperlink" Target="http://en.wikipedia.org/wiki/Earnings_growth" TargetMode="External"/><Relationship Id="rId7" Type="http://schemas.openxmlformats.org/officeDocument/2006/relationships/hyperlink" Target="http://accounting-financial-tax.com/tag/use-of-analytical-procedures-as-a-substantive-test/" TargetMode="External"/><Relationship Id="rId12" Type="http://schemas.openxmlformats.org/officeDocument/2006/relationships/hyperlink" Target="http://www.spireframe.com/docs/financial-statement-total-current-liabilities.aspx" TargetMode="External"/><Relationship Id="rId17" Type="http://schemas.openxmlformats.org/officeDocument/2006/relationships/hyperlink" Target="http://www.spireframe.com/docs/financial-statement-total-current-liabilities.aspx" TargetMode="External"/><Relationship Id="rId25" Type="http://schemas.openxmlformats.org/officeDocument/2006/relationships/hyperlink" Target="http://en.wikipedia.org/wiki/Debt" TargetMode="External"/><Relationship Id="rId33" Type="http://schemas.openxmlformats.org/officeDocument/2006/relationships/hyperlink" Target="http://en.wikipedia.org/wiki/Earnings_growth" TargetMode="External"/><Relationship Id="rId38" Type="http://schemas.openxmlformats.org/officeDocument/2006/relationships/hyperlink" Target="http://en.wikipedia.org/wiki/Stock_market_bubble" TargetMode="External"/><Relationship Id="rId2" Type="http://schemas.openxmlformats.org/officeDocument/2006/relationships/numbering" Target="numbering.xml"/><Relationship Id="rId16" Type="http://schemas.openxmlformats.org/officeDocument/2006/relationships/hyperlink" Target="http://www.spireframe.com/docs/financial-statement-total-current-liabilities.aspx" TargetMode="External"/><Relationship Id="rId20" Type="http://schemas.openxmlformats.org/officeDocument/2006/relationships/hyperlink" Target="http://www.spireframe.com/docs/financial-statement-total-assets.aspx" TargetMode="External"/><Relationship Id="rId29" Type="http://schemas.openxmlformats.org/officeDocument/2006/relationships/hyperlink" Target="http://en.wikipedia.org/wiki/Book_value" TargetMode="External"/><Relationship Id="rId1" Type="http://schemas.openxmlformats.org/officeDocument/2006/relationships/customXml" Target="../customXml/item1.xml"/><Relationship Id="rId6" Type="http://schemas.openxmlformats.org/officeDocument/2006/relationships/hyperlink" Target="http://accounting-financial-tax.com/tag/use-of-analytical-procedures-in-planning-the-audit/" TargetMode="External"/><Relationship Id="rId11" Type="http://schemas.openxmlformats.org/officeDocument/2006/relationships/hyperlink" Target="http://www.spireframe.com/docs/financial-statement-total-current-assets.aspx" TargetMode="External"/><Relationship Id="rId24" Type="http://schemas.openxmlformats.org/officeDocument/2006/relationships/hyperlink" Target="http://en.wikipedia.org/wiki/Shareholders%27_equity" TargetMode="External"/><Relationship Id="rId32" Type="http://schemas.openxmlformats.org/officeDocument/2006/relationships/hyperlink" Target="http://en.wikipedia.org/wiki/Stock_valuation" TargetMode="External"/><Relationship Id="rId37" Type="http://schemas.openxmlformats.org/officeDocument/2006/relationships/hyperlink" Target="http://en.wikipedia.org/wiki/Speculatio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pireframe.com/docs/financial-statement-total-assets.aspx" TargetMode="External"/><Relationship Id="rId23" Type="http://schemas.openxmlformats.org/officeDocument/2006/relationships/hyperlink" Target="http://en.wikipedia.org/wiki/Financial_ratio" TargetMode="External"/><Relationship Id="rId28" Type="http://schemas.openxmlformats.org/officeDocument/2006/relationships/hyperlink" Target="http://en.wikipedia.org/wiki/Balance_sheet" TargetMode="External"/><Relationship Id="rId36" Type="http://schemas.openxmlformats.org/officeDocument/2006/relationships/hyperlink" Target="http://en.wikipedia.org/wiki/Growth_stock" TargetMode="External"/><Relationship Id="rId10" Type="http://schemas.openxmlformats.org/officeDocument/2006/relationships/hyperlink" Target="http://accounting-financial-tax.com/category/accounting/interest-accounting/" TargetMode="External"/><Relationship Id="rId19" Type="http://schemas.openxmlformats.org/officeDocument/2006/relationships/hyperlink" Target="http://www.spireframe.com/docs/financial-statement-retained-earnings.aspx"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accounting-financial-tax.com/tag/retained-earnings/" TargetMode="External"/><Relationship Id="rId14" Type="http://schemas.openxmlformats.org/officeDocument/2006/relationships/hyperlink" Target="http://www.spireframe.com/docs/financial-statement-total-current-assets.aspx" TargetMode="External"/><Relationship Id="rId22" Type="http://schemas.openxmlformats.org/officeDocument/2006/relationships/hyperlink" Target="http://accounting-financial-tax.com/category/accounting/interest-accounting/" TargetMode="External"/><Relationship Id="rId27" Type="http://schemas.openxmlformats.org/officeDocument/2006/relationships/hyperlink" Target="http://en.wikipedia.org/wiki/Leverage_(finance)" TargetMode="External"/><Relationship Id="rId30" Type="http://schemas.openxmlformats.org/officeDocument/2006/relationships/hyperlink" Target="http://en.wikipedia.org/wiki/Public_corporation" TargetMode="External"/><Relationship Id="rId35" Type="http://schemas.openxmlformats.org/officeDocument/2006/relationships/hyperlink" Target="http://en.wikipedia.org/wiki/Division_by_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B75B-DA10-4CD6-8D0A-27F00760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nilesh.jain</dc:creator>
  <cp:lastModifiedBy>nilesh.jain</cp:lastModifiedBy>
  <cp:revision>11</cp:revision>
  <dcterms:created xsi:type="dcterms:W3CDTF">2011-01-03T08:55:00Z</dcterms:created>
  <dcterms:modified xsi:type="dcterms:W3CDTF">2011-01-04T12:26:00Z</dcterms:modified>
</cp:coreProperties>
</file>