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F93" w:rsidRPr="00C01F93" w:rsidRDefault="00C01F93" w:rsidP="00C01F93">
      <w:pPr>
        <w:jc w:val="center"/>
        <w:rPr>
          <w:rFonts w:ascii="Bradley Hand ITC" w:hAnsi="Bradley Hand ITC"/>
          <w:b/>
          <w:bCs/>
          <w:color w:val="000000"/>
          <w:spacing w:val="50"/>
          <w:sz w:val="48"/>
          <w:szCs w:val="48"/>
          <w14:shadow w14:blurRad="50800" w14:dist="38100" w14:dir="2700000" w14:sx="100000" w14:sy="100000" w14:kx="0" w14:ky="0" w14:algn="tl">
            <w14:srgbClr w14:val="000000">
              <w14:alpha w14:val="60000"/>
            </w14:srgbClr>
          </w14:shadow>
        </w:rPr>
      </w:pPr>
      <w:r w:rsidRPr="00C01F93">
        <w:rPr>
          <w:rFonts w:ascii="Bradley Hand ITC" w:hAnsi="Bradley Hand ITC"/>
          <w:b/>
          <w:bCs/>
          <w:color w:val="000000"/>
          <w:spacing w:val="50"/>
          <w:sz w:val="48"/>
          <w:szCs w:val="48"/>
          <w14:shadow w14:blurRad="50800" w14:dist="38100" w14:dir="2700000" w14:sx="100000" w14:sy="100000" w14:kx="0" w14:ky="0" w14:algn="tl">
            <w14:srgbClr w14:val="000000">
              <w14:alpha w14:val="60000"/>
            </w14:srgbClr>
          </w14:shadow>
        </w:rPr>
        <w:t>8. COMPANY AUDIT - II</w:t>
      </w:r>
    </w:p>
    <w:p w:rsidR="00C01F93" w:rsidRPr="00C01F93" w:rsidRDefault="00C01F93" w:rsidP="00C01F93">
      <w:pPr>
        <w:jc w:val="center"/>
        <w:rPr>
          <w:color w:val="000000"/>
          <w:sz w:val="16"/>
          <w:szCs w:val="16"/>
          <w14:shadow w14:blurRad="50800" w14:dist="38100" w14:dir="2700000" w14:sx="100000" w14:sy="100000" w14:kx="0" w14:ky="0" w14:algn="tl">
            <w14:srgbClr w14:val="000000">
              <w14:alpha w14:val="60000"/>
            </w14:srgbClr>
          </w14:shadow>
        </w:rPr>
      </w:pPr>
    </w:p>
    <w:p w:rsidR="00C01F93" w:rsidRPr="00C01F93" w:rsidRDefault="00C01F93" w:rsidP="00C01F93">
      <w:pPr>
        <w:jc w:val="center"/>
        <w:rPr>
          <w:rFonts w:ascii="Blackadder ITC" w:hAnsi="Blackadder ITC"/>
          <w:b/>
          <w:bCs/>
          <w:color w:val="333333"/>
          <w:sz w:val="40"/>
          <w:szCs w:val="40"/>
          <w:u w:val="single"/>
          <w14:shadow w14:blurRad="50800" w14:dist="38100" w14:dir="2700000" w14:sx="100000" w14:sy="100000" w14:kx="0" w14:ky="0" w14:algn="tl">
            <w14:srgbClr w14:val="000000">
              <w14:alpha w14:val="60000"/>
            </w14:srgbClr>
          </w14:shadow>
        </w:rPr>
      </w:pPr>
      <w:r w:rsidRPr="00C01F93">
        <w:rPr>
          <w:rFonts w:ascii="Blackadder ITC" w:hAnsi="Blackadder ITC"/>
          <w:b/>
          <w:bCs/>
          <w:color w:val="333333"/>
          <w:sz w:val="40"/>
          <w:szCs w:val="40"/>
          <w:u w:val="single"/>
          <w14:shadow w14:blurRad="50800" w14:dist="38100" w14:dir="2700000" w14:sx="100000" w14:sy="100000" w14:kx="0" w14:ky="0" w14:algn="tl">
            <w14:srgbClr w14:val="000000">
              <w14:alpha w14:val="60000"/>
            </w14:srgbClr>
          </w14:shadow>
        </w:rPr>
        <w:t>Indian Com</w:t>
      </w:r>
      <w:r w:rsidRPr="00C01F93">
        <w:rPr>
          <w:rFonts w:ascii="Blackadder ITC" w:hAnsi="Blackadder ITC"/>
          <w:b/>
          <w:bCs/>
          <w:color w:val="333333"/>
          <w:sz w:val="40"/>
          <w:szCs w:val="40"/>
          <w14:shadow w14:blurRad="50800" w14:dist="38100" w14:dir="2700000" w14:sx="100000" w14:sy="100000" w14:kx="0" w14:ky="0" w14:algn="tl">
            <w14:srgbClr w14:val="000000">
              <w14:alpha w14:val="60000"/>
            </w14:srgbClr>
          </w14:shadow>
        </w:rPr>
        <w:t>p</w:t>
      </w:r>
      <w:r w:rsidRPr="00C01F93">
        <w:rPr>
          <w:rFonts w:ascii="Blackadder ITC" w:hAnsi="Blackadder ITC"/>
          <w:b/>
          <w:bCs/>
          <w:color w:val="333333"/>
          <w:sz w:val="40"/>
          <w:szCs w:val="40"/>
          <w:u w:val="single"/>
          <w14:shadow w14:blurRad="50800" w14:dist="38100" w14:dir="2700000" w14:sx="100000" w14:sy="100000" w14:kx="0" w14:ky="0" w14:algn="tl">
            <w14:srgbClr w14:val="000000">
              <w14:alpha w14:val="60000"/>
            </w14:srgbClr>
          </w14:shadow>
        </w:rPr>
        <w:t>anies Act, 1</w:t>
      </w:r>
      <w:r w:rsidRPr="00C01F93">
        <w:rPr>
          <w:rFonts w:ascii="Blackadder ITC" w:hAnsi="Blackadder ITC"/>
          <w:b/>
          <w:bCs/>
          <w:color w:val="333333"/>
          <w:sz w:val="40"/>
          <w:szCs w:val="40"/>
          <w14:shadow w14:blurRad="50800" w14:dist="38100" w14:dir="2700000" w14:sx="100000" w14:sy="100000" w14:kx="0" w14:ky="0" w14:algn="tl">
            <w14:srgbClr w14:val="000000">
              <w14:alpha w14:val="60000"/>
            </w14:srgbClr>
          </w14:shadow>
        </w:rPr>
        <w:t>9</w:t>
      </w:r>
      <w:r w:rsidRPr="00C01F93">
        <w:rPr>
          <w:rFonts w:ascii="Blackadder ITC" w:hAnsi="Blackadder ITC"/>
          <w:b/>
          <w:bCs/>
          <w:color w:val="333333"/>
          <w:sz w:val="40"/>
          <w:szCs w:val="40"/>
          <w:u w:val="single"/>
          <w14:shadow w14:blurRad="50800" w14:dist="38100" w14:dir="2700000" w14:sx="100000" w14:sy="100000" w14:kx="0" w14:ky="0" w14:algn="tl">
            <w14:srgbClr w14:val="000000">
              <w14:alpha w14:val="60000"/>
            </w14:srgbClr>
          </w14:shadow>
        </w:rPr>
        <w:t>56</w:t>
      </w:r>
    </w:p>
    <w:p w:rsidR="00C01F93" w:rsidRPr="00C01F93" w:rsidRDefault="00C01F93" w:rsidP="00C01F93">
      <w:pPr>
        <w:jc w:val="center"/>
        <w:rPr>
          <w:rFonts w:ascii="Blackadder ITC" w:hAnsi="Blackadder ITC"/>
          <w:b/>
          <w:bCs/>
          <w:color w:val="000000"/>
          <w:sz w:val="18"/>
          <w:szCs w:val="18"/>
          <w:u w:val="single"/>
          <w14:shadow w14:blurRad="50800" w14:dist="38100" w14:dir="2700000" w14:sx="100000" w14:sy="100000" w14:kx="0" w14:ky="0" w14:algn="tl">
            <w14:srgbClr w14:val="000000">
              <w14:alpha w14:val="60000"/>
            </w14:srgbClr>
          </w14:shad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00"/>
        <w:gridCol w:w="7560"/>
      </w:tblGrid>
      <w:tr w:rsidR="00C01F93" w:rsidRPr="00C01F93" w:rsidTr="00026A47">
        <w:trPr>
          <w:trHeight w:val="390"/>
        </w:trPr>
        <w:tc>
          <w:tcPr>
            <w:tcW w:w="1908" w:type="dxa"/>
            <w:gridSpan w:val="2"/>
            <w:shd w:val="clear" w:color="auto" w:fill="auto"/>
          </w:tcPr>
          <w:p w:rsidR="00C01F93" w:rsidRPr="00C01F93" w:rsidRDefault="00C01F93" w:rsidP="00026A47">
            <w:pPr>
              <w:jc w:val="center"/>
              <w:rPr>
                <w:rFonts w:ascii="Candara" w:eastAsia="SimHei" w:hAnsi="Candara"/>
                <w:b/>
                <w:bCs/>
                <w:color w:val="000000"/>
                <w:sz w:val="28"/>
                <w:szCs w:val="28"/>
                <w14:shadow w14:blurRad="50800" w14:dist="38100" w14:dir="2700000" w14:sx="100000" w14:sy="100000" w14:kx="0" w14:ky="0" w14:algn="tl">
                  <w14:srgbClr w14:val="000000">
                    <w14:alpha w14:val="60000"/>
                  </w14:srgbClr>
                </w14:shadow>
              </w:rPr>
            </w:pPr>
            <w:r w:rsidRPr="00C01F93">
              <w:rPr>
                <w:rFonts w:ascii="Candara" w:eastAsia="SimHei" w:hAnsi="Candara"/>
                <w:b/>
                <w:bCs/>
                <w:color w:val="000000"/>
                <w:sz w:val="28"/>
                <w:szCs w:val="28"/>
                <w14:shadow w14:blurRad="50800" w14:dist="38100" w14:dir="2700000" w14:sx="100000" w14:sy="100000" w14:kx="0" w14:ky="0" w14:algn="tl">
                  <w14:srgbClr w14:val="000000">
                    <w14:alpha w14:val="60000"/>
                  </w14:srgbClr>
                </w14:shadow>
              </w:rPr>
              <w:t>SECTION</w:t>
            </w:r>
          </w:p>
        </w:tc>
        <w:tc>
          <w:tcPr>
            <w:tcW w:w="7560" w:type="dxa"/>
            <w:vMerge w:val="restart"/>
            <w:shd w:val="clear" w:color="auto" w:fill="auto"/>
          </w:tcPr>
          <w:p w:rsidR="00C01F93" w:rsidRPr="00C01F93" w:rsidRDefault="00C01F93" w:rsidP="00026A47">
            <w:pPr>
              <w:jc w:val="center"/>
              <w:rPr>
                <w:rFonts w:ascii="Candara" w:hAnsi="Candara"/>
                <w:b/>
                <w:bCs/>
                <w:color w:val="000000"/>
                <w:sz w:val="28"/>
                <w:szCs w:val="28"/>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andara" w:hAnsi="Candara"/>
                <w:b/>
                <w:bCs/>
                <w:color w:val="000000"/>
                <w:sz w:val="28"/>
                <w:szCs w:val="28"/>
                <w14:shadow w14:blurRad="50800" w14:dist="38100" w14:dir="2700000" w14:sx="100000" w14:sy="100000" w14:kx="0" w14:ky="0" w14:algn="tl">
                  <w14:srgbClr w14:val="000000">
                    <w14:alpha w14:val="60000"/>
                  </w14:srgbClr>
                </w14:shadow>
              </w:rPr>
            </w:pPr>
            <w:r w:rsidRPr="00C01F93">
              <w:rPr>
                <w:rFonts w:ascii="Candara" w:hAnsi="Candara"/>
                <w:b/>
                <w:bCs/>
                <w:color w:val="000000"/>
                <w:sz w:val="28"/>
                <w:szCs w:val="28"/>
                <w14:shadow w14:blurRad="50800" w14:dist="38100" w14:dir="2700000" w14:sx="100000" w14:sy="100000" w14:kx="0" w14:ky="0" w14:algn="tl">
                  <w14:srgbClr w14:val="000000">
                    <w14:alpha w14:val="60000"/>
                  </w14:srgbClr>
                </w14:shadow>
              </w:rPr>
              <w:t>PROVISION / CONTENTS</w:t>
            </w:r>
          </w:p>
        </w:tc>
      </w:tr>
      <w:tr w:rsidR="00C01F93" w:rsidRPr="00C01F93" w:rsidTr="00026A47">
        <w:trPr>
          <w:trHeight w:val="345"/>
        </w:trPr>
        <w:tc>
          <w:tcPr>
            <w:tcW w:w="1008" w:type="dxa"/>
            <w:shd w:val="clear" w:color="auto" w:fill="auto"/>
          </w:tcPr>
          <w:p w:rsidR="00C01F93" w:rsidRPr="00C01F93" w:rsidRDefault="00C01F93" w:rsidP="00026A47">
            <w:pPr>
              <w:jc w:val="center"/>
              <w:rPr>
                <w:rFonts w:ascii="Candara" w:eastAsia="SimHei" w:hAnsi="Candara"/>
                <w:b/>
                <w:bCs/>
                <w:color w:val="000000"/>
                <w:sz w:val="28"/>
                <w:szCs w:val="28"/>
                <w14:shadow w14:blurRad="50800" w14:dist="38100" w14:dir="2700000" w14:sx="100000" w14:sy="100000" w14:kx="0" w14:ky="0" w14:algn="tl">
                  <w14:srgbClr w14:val="000000">
                    <w14:alpha w14:val="60000"/>
                  </w14:srgbClr>
                </w14:shadow>
              </w:rPr>
            </w:pPr>
            <w:smartTag w:uri="urn:schemas-microsoft-com:office:smarttags" w:element="place">
              <w:r w:rsidRPr="00C01F93">
                <w:rPr>
                  <w:rFonts w:ascii="Candara" w:eastAsia="SimHei" w:hAnsi="Candara"/>
                  <w:b/>
                  <w:bCs/>
                  <w:color w:val="000000"/>
                  <w:sz w:val="28"/>
                  <w:szCs w:val="28"/>
                  <w14:shadow w14:blurRad="50800" w14:dist="38100" w14:dir="2700000" w14:sx="100000" w14:sy="100000" w14:kx="0" w14:ky="0" w14:algn="tl">
                    <w14:srgbClr w14:val="000000">
                      <w14:alpha w14:val="60000"/>
                    </w14:srgbClr>
                  </w14:shadow>
                </w:rPr>
                <w:t>MAIN</w:t>
              </w:r>
            </w:smartTag>
          </w:p>
        </w:tc>
        <w:tc>
          <w:tcPr>
            <w:tcW w:w="900" w:type="dxa"/>
            <w:shd w:val="clear" w:color="auto" w:fill="auto"/>
          </w:tcPr>
          <w:p w:rsidR="00C01F93" w:rsidRPr="00C01F93" w:rsidRDefault="00C01F93" w:rsidP="00026A47">
            <w:pPr>
              <w:jc w:val="center"/>
              <w:rPr>
                <w:rFonts w:ascii="Candara" w:eastAsia="SimHei" w:hAnsi="Candara"/>
                <w:b/>
                <w:bCs/>
                <w:color w:val="000000"/>
                <w:sz w:val="28"/>
                <w:szCs w:val="28"/>
                <w14:shadow w14:blurRad="50800" w14:dist="38100" w14:dir="2700000" w14:sx="100000" w14:sy="100000" w14:kx="0" w14:ky="0" w14:algn="tl">
                  <w14:srgbClr w14:val="000000">
                    <w14:alpha w14:val="60000"/>
                  </w14:srgbClr>
                </w14:shadow>
              </w:rPr>
            </w:pPr>
            <w:r w:rsidRPr="00C01F93">
              <w:rPr>
                <w:rFonts w:ascii="Candara" w:eastAsia="SimHei" w:hAnsi="Candara"/>
                <w:b/>
                <w:bCs/>
                <w:color w:val="000000"/>
                <w:sz w:val="28"/>
                <w:szCs w:val="28"/>
                <w14:shadow w14:blurRad="50800" w14:dist="38100" w14:dir="2700000" w14:sx="100000" w14:sy="100000" w14:kx="0" w14:ky="0" w14:algn="tl">
                  <w14:srgbClr w14:val="000000">
                    <w14:alpha w14:val="60000"/>
                  </w14:srgbClr>
                </w14:shadow>
              </w:rPr>
              <w:t>SUB</w:t>
            </w:r>
          </w:p>
        </w:tc>
        <w:tc>
          <w:tcPr>
            <w:tcW w:w="7560" w:type="dxa"/>
            <w:vMerge/>
            <w:shd w:val="clear" w:color="auto" w:fill="auto"/>
          </w:tcPr>
          <w:p w:rsidR="00C01F93" w:rsidRPr="00C01F93" w:rsidRDefault="00C01F93" w:rsidP="00026A47">
            <w:pPr>
              <w:rPr>
                <w:rFonts w:ascii="Candara" w:hAnsi="Candara"/>
                <w:b/>
                <w:bCs/>
                <w:color w:val="000000"/>
                <w14:shadow w14:blurRad="50800" w14:dist="38100" w14:dir="2700000" w14:sx="100000" w14:sy="100000" w14:kx="0" w14:ky="0" w14:algn="tl">
                  <w14:srgbClr w14:val="000000">
                    <w14:alpha w14:val="60000"/>
                  </w14:srgbClr>
                </w14:shadow>
              </w:rPr>
            </w:pPr>
          </w:p>
        </w:tc>
      </w:tr>
      <w:tr w:rsidR="00C01F93" w:rsidRPr="00C01F93" w:rsidTr="00026A47">
        <w:tc>
          <w:tcPr>
            <w:tcW w:w="1008" w:type="dxa"/>
            <w:shd w:val="clear" w:color="auto" w:fill="auto"/>
          </w:tcPr>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t>209</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209</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209</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209</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209</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209</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209</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209</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209</w:t>
            </w:r>
          </w:p>
        </w:tc>
        <w:tc>
          <w:tcPr>
            <w:tcW w:w="900" w:type="dxa"/>
            <w:shd w:val="clear" w:color="auto" w:fill="auto"/>
          </w:tcPr>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t>Head</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(1)</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(2)</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(3)</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(4)</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(4A)</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(5)</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(6)</w:t>
            </w: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(7)</w:t>
            </w:r>
          </w:p>
        </w:tc>
        <w:tc>
          <w:tcPr>
            <w:tcW w:w="7560" w:type="dxa"/>
            <w:shd w:val="clear" w:color="auto" w:fill="auto"/>
          </w:tcPr>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t>Maintenance of Books of Accounts by the company</w:t>
            </w:r>
          </w:p>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Every company must maintenance proper Books of Accounts at its registered office.</w:t>
            </w:r>
          </w:p>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Proper books of accounts of branch offices should also be maintained by the company &amp; returns of those branch offices should be forwarded to the head offices after suitable intervals which should not exceed three months.</w:t>
            </w:r>
          </w:p>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For the purpose of sub-sec.(1) &amp; (2), proper books of accounts shall not be deemed to be kept if:</w:t>
            </w:r>
          </w:p>
          <w:p w:rsidR="00C01F93" w:rsidRPr="00C01F93" w:rsidRDefault="00C01F93" w:rsidP="00026A47">
            <w:pPr>
              <w:ind w:left="432" w:hanging="43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(a) the books doesn’t exhibits true and fair view of the state of affairs of the company; </w:t>
            </w:r>
          </w:p>
          <w:p w:rsidR="00C01F93" w:rsidRPr="00C01F93" w:rsidRDefault="00C01F93" w:rsidP="00026A47">
            <w:pPr>
              <w:ind w:left="432" w:hanging="43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(b) If such books are not maintained on Accrual Basis and Double Entry Accounting system.</w:t>
            </w:r>
          </w:p>
          <w:p w:rsidR="00C01F93" w:rsidRPr="00C01F93" w:rsidRDefault="00C01F93" w:rsidP="00026A47">
            <w:pPr>
              <w:ind w:left="7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Books of Accounts and other papers shall be kept open for inspection by any director at business hours.</w:t>
            </w:r>
          </w:p>
          <w:p w:rsidR="00C01F93" w:rsidRPr="00C01F93" w:rsidRDefault="00C01F93" w:rsidP="00026A47">
            <w:pPr>
              <w:ind w:left="7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Books of Accounts &amp; all the relevant vouchers for preceding eight years from the current year should be kept safely by the company in good condition.</w:t>
            </w:r>
          </w:p>
          <w:p w:rsidR="00C01F93" w:rsidRPr="00C01F93" w:rsidRDefault="00C01F93" w:rsidP="00026A47">
            <w:pPr>
              <w:ind w:left="7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If the person as mentioned in section 209(6) fails to comply with the aforementioned sub sections, then he shall be punishable for each offence with </w:t>
            </w:r>
            <w:r w:rsidRPr="00C01F93">
              <w:rPr>
                <w:rFonts w:ascii="Century Gothic" w:hAnsi="Century Gothic"/>
                <w:b/>
                <w:bCs/>
                <w:color w:val="000000"/>
                <w14:shadow w14:blurRad="50800" w14:dist="38100" w14:dir="2700000" w14:sx="100000" w14:sy="100000" w14:kx="0" w14:ky="0" w14:algn="tl">
                  <w14:srgbClr w14:val="000000">
                    <w14:alpha w14:val="60000"/>
                  </w14:srgbClr>
                </w14:shadow>
              </w:rPr>
              <w:t>imprisonment</w:t>
            </w: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 </w:t>
            </w:r>
            <w:r w:rsidRPr="00C01F93">
              <w:rPr>
                <w:rFonts w:ascii="Century Gothic" w:hAnsi="Century Gothic"/>
                <w:b/>
                <w:bCs/>
                <w:color w:val="000000"/>
                <w14:shadow w14:blurRad="50800" w14:dist="38100" w14:dir="2700000" w14:sx="100000" w14:sy="100000" w14:kx="0" w14:ky="0" w14:algn="tl">
                  <w14:srgbClr w14:val="000000">
                    <w14:alpha w14:val="60000"/>
                  </w14:srgbClr>
                </w14:shadow>
              </w:rPr>
              <w:t>for six months</w:t>
            </w: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 and </w:t>
            </w:r>
            <w:r w:rsidRPr="00C01F93">
              <w:rPr>
                <w:rFonts w:ascii="Century Gothic" w:hAnsi="Century Gothic"/>
                <w:b/>
                <w:bCs/>
                <w:color w:val="000000"/>
                <w14:shadow w14:blurRad="50800" w14:dist="38100" w14:dir="2700000" w14:sx="100000" w14:sy="100000" w14:kx="0" w14:ky="0" w14:algn="tl">
                  <w14:srgbClr w14:val="000000">
                    <w14:alpha w14:val="60000"/>
                  </w14:srgbClr>
                </w14:shadow>
              </w:rPr>
              <w:t xml:space="preserve">fine </w:t>
            </w: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which may extend to </w:t>
            </w:r>
            <w:r w:rsidRPr="00C01F93">
              <w:rPr>
                <w:rFonts w:ascii="Century Gothic" w:hAnsi="Century Gothic"/>
                <w:b/>
                <w:bCs/>
                <w:color w:val="000000"/>
                <w14:shadow w14:blurRad="50800" w14:dist="38100" w14:dir="2700000" w14:sx="100000" w14:sy="100000" w14:kx="0" w14:ky="0" w14:algn="tl">
                  <w14:srgbClr w14:val="000000">
                    <w14:alpha w14:val="60000"/>
                  </w14:srgbClr>
                </w14:shadow>
              </w:rPr>
              <w:t>Rs.10,000/-</w:t>
            </w: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 or with both.</w:t>
            </w:r>
          </w:p>
          <w:p w:rsidR="00C01F93" w:rsidRPr="00C01F93" w:rsidRDefault="00C01F93" w:rsidP="00026A47">
            <w:pPr>
              <w:ind w:left="7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(He may be relieved from such liability, if on reasonable grounds he proves that any competent person was appointed for such compliances).</w:t>
            </w:r>
          </w:p>
          <w:p w:rsidR="00C01F93" w:rsidRPr="00C01F93" w:rsidRDefault="00C01F93" w:rsidP="00026A47">
            <w:pPr>
              <w:ind w:left="7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Responsibility of the aforementioned compliances vests with:</w:t>
            </w:r>
          </w:p>
          <w:p w:rsidR="00C01F93" w:rsidRPr="00C01F93" w:rsidRDefault="00C01F93" w:rsidP="00C01F93">
            <w:pPr>
              <w:numPr>
                <w:ilvl w:val="0"/>
                <w:numId w:val="1"/>
              </w:numPr>
              <w:tabs>
                <w:tab w:val="clear" w:pos="792"/>
                <w:tab w:val="num" w:pos="432"/>
              </w:tabs>
              <w:ind w:left="432" w:hanging="43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All the officers &amp; other employees of the company along with Managing Director or Manager, if the company has a Managing Director or Manager.</w:t>
            </w:r>
          </w:p>
          <w:p w:rsidR="00C01F93" w:rsidRPr="00C01F93" w:rsidRDefault="00C01F93" w:rsidP="00C01F93">
            <w:pPr>
              <w:numPr>
                <w:ilvl w:val="0"/>
                <w:numId w:val="1"/>
              </w:numPr>
              <w:tabs>
                <w:tab w:val="clear" w:pos="792"/>
                <w:tab w:val="num" w:pos="432"/>
              </w:tabs>
              <w:ind w:left="432" w:hanging="43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Every director of the company, if no Managing Director or manager.</w:t>
            </w:r>
          </w:p>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If the responsibility for compliance of legal requirements with </w:t>
            </w:r>
            <w:r w:rsidRPr="00C01F93">
              <w:rPr>
                <w:rFonts w:ascii="Century Gothic" w:hAnsi="Century Gothic"/>
                <w:color w:val="000000"/>
                <w14:shadow w14:blurRad="50800" w14:dist="38100" w14:dir="2700000" w14:sx="100000" w14:sy="100000" w14:kx="0" w14:ky="0" w14:algn="tl">
                  <w14:srgbClr w14:val="000000">
                    <w14:alpha w14:val="60000"/>
                  </w14:srgbClr>
                </w14:shadow>
              </w:rPr>
              <w:lastRenderedPageBreak/>
              <w:t>regards to the books of accounts vests with any other person other than as mentioned in section 209(6) and if he fails to comply all legal requirements, then he shall be penalised with the fine which may extend to Rs.10,000/- for each such offence.</w:t>
            </w:r>
          </w:p>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p>
        </w:tc>
      </w:tr>
      <w:tr w:rsidR="00C01F93" w:rsidRPr="00C01F93" w:rsidTr="00026A47">
        <w:tc>
          <w:tcPr>
            <w:tcW w:w="1008" w:type="dxa"/>
            <w:shd w:val="clear" w:color="auto" w:fill="auto"/>
          </w:tcPr>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t>209A</w:t>
            </w:r>
          </w:p>
        </w:tc>
        <w:tc>
          <w:tcPr>
            <w:tcW w:w="900" w:type="dxa"/>
            <w:shd w:val="clear" w:color="auto" w:fill="auto"/>
          </w:tcPr>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t>Head</w:t>
            </w:r>
          </w:p>
        </w:tc>
        <w:tc>
          <w:tcPr>
            <w:tcW w:w="7560" w:type="dxa"/>
            <w:shd w:val="clear" w:color="auto" w:fill="auto"/>
          </w:tcPr>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t>Inspection of the Company’s Books of Accounts</w:t>
            </w:r>
          </w:p>
          <w:p w:rsidR="00C01F93" w:rsidRPr="00C01F93" w:rsidRDefault="00C01F93" w:rsidP="00C01F93">
            <w:pPr>
              <w:numPr>
                <w:ilvl w:val="0"/>
                <w:numId w:val="2"/>
              </w:numPr>
              <w:tabs>
                <w:tab w:val="clear" w:pos="720"/>
                <w:tab w:val="num" w:pos="432"/>
              </w:tabs>
              <w:ind w:left="432"/>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Company’s books of accounts, other books and papers shall be kept open for inspection by:</w:t>
            </w:r>
          </w:p>
          <w:p w:rsidR="00C01F93" w:rsidRPr="00C01F93" w:rsidRDefault="00C01F93" w:rsidP="00026A47">
            <w:pPr>
              <w:ind w:left="43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(a) Registrar; </w:t>
            </w:r>
          </w:p>
          <w:p w:rsidR="00C01F93" w:rsidRPr="00C01F93" w:rsidRDefault="00C01F93" w:rsidP="00026A47">
            <w:pPr>
              <w:ind w:left="43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(b) an officer authorised by Central Government; and</w:t>
            </w:r>
          </w:p>
          <w:p w:rsidR="00C01F93" w:rsidRPr="00C01F93" w:rsidRDefault="00C01F93" w:rsidP="00026A47">
            <w:pPr>
              <w:ind w:left="43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(c) Any officer authorised by SEBI.</w:t>
            </w:r>
          </w:p>
          <w:p w:rsidR="00C01F93" w:rsidRPr="00C01F93" w:rsidRDefault="00C01F93" w:rsidP="00026A47">
            <w:pPr>
              <w:ind w:left="43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(No prior notice or intimation is required to be given by such authorities for such an inspection)</w:t>
            </w:r>
          </w:p>
          <w:p w:rsidR="00C01F93" w:rsidRPr="00C01F93" w:rsidRDefault="00C01F93" w:rsidP="00C01F93">
            <w:pPr>
              <w:numPr>
                <w:ilvl w:val="0"/>
                <w:numId w:val="2"/>
              </w:numPr>
              <w:tabs>
                <w:tab w:val="clear" w:pos="720"/>
                <w:tab w:val="num" w:pos="432"/>
              </w:tabs>
              <w:ind w:left="432"/>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It shall be the duty of every director, other officer or an employee of the company to furnish any statement, explanations, information and assistance to such an authority while inspection, as required by them.</w:t>
            </w:r>
          </w:p>
          <w:p w:rsidR="00C01F93" w:rsidRPr="00C01F93" w:rsidRDefault="00C01F93" w:rsidP="00C01F93">
            <w:pPr>
              <w:numPr>
                <w:ilvl w:val="0"/>
                <w:numId w:val="2"/>
              </w:numPr>
              <w:tabs>
                <w:tab w:val="clear" w:pos="720"/>
                <w:tab w:val="num" w:pos="432"/>
              </w:tabs>
              <w:ind w:left="432"/>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The person making inspection is also empowered to make copies of books of accounts and other papers and put any mark of identification on the books or papers.</w:t>
            </w:r>
          </w:p>
          <w:p w:rsidR="00C01F93" w:rsidRPr="00C01F93" w:rsidRDefault="00C01F93" w:rsidP="00026A47">
            <w:pPr>
              <w:ind w:left="72"/>
              <w:rPr>
                <w:rFonts w:ascii="Century Gothic" w:hAnsi="Century Gothic"/>
                <w:b/>
                <w:bCs/>
                <w:color w:val="000000"/>
                <w:u w:val="single"/>
                <w14:shadow w14:blurRad="50800" w14:dist="38100" w14:dir="2700000" w14:sx="100000" w14:sy="100000" w14:kx="0" w14:ky="0" w14:algn="tl">
                  <w14:srgbClr w14:val="000000">
                    <w14:alpha w14:val="60000"/>
                  </w14:srgbClr>
                </w14:shadow>
              </w:rPr>
            </w:pPr>
          </w:p>
        </w:tc>
      </w:tr>
      <w:tr w:rsidR="00C01F93" w:rsidRPr="00C01F93" w:rsidTr="00026A47">
        <w:tc>
          <w:tcPr>
            <w:tcW w:w="1008" w:type="dxa"/>
            <w:shd w:val="clear" w:color="auto" w:fill="auto"/>
          </w:tcPr>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t>210</w:t>
            </w:r>
          </w:p>
        </w:tc>
        <w:tc>
          <w:tcPr>
            <w:tcW w:w="900" w:type="dxa"/>
            <w:shd w:val="clear" w:color="auto" w:fill="auto"/>
          </w:tcPr>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t>Head</w:t>
            </w:r>
          </w:p>
        </w:tc>
        <w:tc>
          <w:tcPr>
            <w:tcW w:w="7560" w:type="dxa"/>
            <w:shd w:val="clear" w:color="auto" w:fill="auto"/>
          </w:tcPr>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t>Duty of Board to present the Annual Accounts &amp; Balance Sheet at an Annual General Meeting</w:t>
            </w:r>
          </w:p>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The board should present before AGM, the Balance Sheet and Profit &amp; Loss Account for the period of:</w:t>
            </w:r>
          </w:p>
          <w:p w:rsidR="00C01F93" w:rsidRPr="00C01F93" w:rsidRDefault="00C01F93" w:rsidP="00C01F93">
            <w:pPr>
              <w:numPr>
                <w:ilvl w:val="0"/>
                <w:numId w:val="3"/>
              </w:numPr>
              <w:tabs>
                <w:tab w:val="clear" w:pos="720"/>
                <w:tab w:val="num" w:pos="432"/>
              </w:tabs>
              <w:ind w:left="43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In case of first AGM, period beginning with incorporation and ending with the preceding day of an AGM.</w:t>
            </w:r>
          </w:p>
          <w:p w:rsidR="00C01F93" w:rsidRPr="00C01F93" w:rsidRDefault="00C01F93" w:rsidP="00C01F93">
            <w:pPr>
              <w:numPr>
                <w:ilvl w:val="0"/>
                <w:numId w:val="3"/>
              </w:numPr>
              <w:tabs>
                <w:tab w:val="clear" w:pos="720"/>
                <w:tab w:val="num" w:pos="432"/>
              </w:tabs>
              <w:ind w:left="43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In case of subsequent AGM, period from the beginning of the financial year and ending with the preceding day of an AGM.</w:t>
            </w:r>
          </w:p>
          <w:p w:rsidR="00C01F93" w:rsidRPr="00C01F93" w:rsidRDefault="00C01F93" w:rsidP="00026A47">
            <w:pPr>
              <w:ind w:left="72"/>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(An AGM should be held within </w:t>
            </w:r>
            <w:r w:rsidRPr="00C01F93">
              <w:rPr>
                <w:rFonts w:ascii="Century Gothic" w:hAnsi="Century Gothic"/>
                <w:b/>
                <w:bCs/>
                <w:color w:val="000000"/>
                <w14:shadow w14:blurRad="50800" w14:dist="38100" w14:dir="2700000" w14:sx="100000" w14:sy="100000" w14:kx="0" w14:ky="0" w14:algn="tl">
                  <w14:srgbClr w14:val="000000">
                    <w14:alpha w14:val="60000"/>
                  </w14:srgbClr>
                </w14:shadow>
              </w:rPr>
              <w:t>six months</w:t>
            </w: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 of the completion of financial year, extension of </w:t>
            </w:r>
            <w:r w:rsidRPr="00C01F93">
              <w:rPr>
                <w:rFonts w:ascii="Century Gothic" w:hAnsi="Century Gothic"/>
                <w:b/>
                <w:bCs/>
                <w:color w:val="000000"/>
                <w14:shadow w14:blurRad="50800" w14:dist="38100" w14:dir="2700000" w14:sx="100000" w14:sy="100000" w14:kx="0" w14:ky="0" w14:algn="tl">
                  <w14:srgbClr w14:val="000000">
                    <w14:alpha w14:val="60000"/>
                  </w14:srgbClr>
                </w14:shadow>
              </w:rPr>
              <w:t>three months</w:t>
            </w: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 can be taken with the permission of the registrar of companies. Difference between to successive AGM should not exceed </w:t>
            </w:r>
            <w:r w:rsidRPr="00C01F93">
              <w:rPr>
                <w:rFonts w:ascii="Century Gothic" w:hAnsi="Century Gothic"/>
                <w:b/>
                <w:bCs/>
                <w:color w:val="000000"/>
                <w14:shadow w14:blurRad="50800" w14:dist="38100" w14:dir="2700000" w14:sx="100000" w14:sy="100000" w14:kx="0" w14:ky="0" w14:algn="tl">
                  <w14:srgbClr w14:val="000000">
                    <w14:alpha w14:val="60000"/>
                  </w14:srgbClr>
                </w14:shadow>
              </w:rPr>
              <w:t>fifteen months</w:t>
            </w: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 (</w:t>
            </w:r>
            <w:r w:rsidRPr="00C01F93">
              <w:rPr>
                <w:rFonts w:ascii="Century Gothic" w:hAnsi="Century Gothic"/>
                <w:b/>
                <w:bCs/>
                <w:color w:val="000000"/>
                <w14:shadow w14:blurRad="50800" w14:dist="38100" w14:dir="2700000" w14:sx="100000" w14:sy="100000" w14:kx="0" w14:ky="0" w14:algn="tl">
                  <w14:srgbClr w14:val="000000">
                    <w14:alpha w14:val="60000"/>
                  </w14:srgbClr>
                </w14:shadow>
              </w:rPr>
              <w:t>Eighteen months</w:t>
            </w:r>
            <w:r w:rsidRPr="00C01F93">
              <w:rPr>
                <w:rFonts w:ascii="Century Gothic" w:hAnsi="Century Gothic"/>
                <w:color w:val="000000"/>
                <w14:shadow w14:blurRad="50800" w14:dist="38100" w14:dir="2700000" w14:sx="100000" w14:sy="100000" w14:kx="0" w14:ky="0" w14:algn="tl">
                  <w14:srgbClr w14:val="000000">
                    <w14:alpha w14:val="60000"/>
                  </w14:srgbClr>
                </w14:shadow>
              </w:rPr>
              <w:t xml:space="preserve"> in case of an extension).</w:t>
            </w:r>
          </w:p>
          <w:p w:rsidR="00C01F93" w:rsidRPr="00C01F93" w:rsidRDefault="00C01F93" w:rsidP="00026A47">
            <w:pPr>
              <w:ind w:left="72"/>
              <w:rPr>
                <w:rFonts w:ascii="Century Gothic" w:hAnsi="Century Gothic"/>
                <w:color w:val="000000"/>
                <w14:shadow w14:blurRad="50800" w14:dist="38100" w14:dir="2700000" w14:sx="100000" w14:sy="100000" w14:kx="0" w14:ky="0" w14:algn="tl">
                  <w14:srgbClr w14:val="000000">
                    <w14:alpha w14:val="60000"/>
                  </w14:srgbClr>
                </w14:shadow>
              </w:rPr>
            </w:pPr>
          </w:p>
        </w:tc>
      </w:tr>
      <w:tr w:rsidR="00C01F93" w:rsidRPr="00C01F93" w:rsidTr="00026A47">
        <w:tc>
          <w:tcPr>
            <w:tcW w:w="1008" w:type="dxa"/>
            <w:shd w:val="clear" w:color="auto" w:fill="auto"/>
          </w:tcPr>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t>210A</w:t>
            </w:r>
          </w:p>
        </w:tc>
        <w:tc>
          <w:tcPr>
            <w:tcW w:w="900" w:type="dxa"/>
            <w:shd w:val="clear" w:color="auto" w:fill="auto"/>
          </w:tcPr>
          <w:p w:rsidR="00C01F93" w:rsidRPr="00C01F93" w:rsidRDefault="00C01F93" w:rsidP="00026A47">
            <w:pPr>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jc w:val="center"/>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t>Head</w:t>
            </w:r>
          </w:p>
        </w:tc>
        <w:tc>
          <w:tcPr>
            <w:tcW w:w="7560" w:type="dxa"/>
            <w:shd w:val="clear" w:color="auto" w:fill="auto"/>
          </w:tcPr>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p>
          <w:p w:rsidR="00C01F93" w:rsidRPr="00C01F93" w:rsidRDefault="00C01F93" w:rsidP="00026A47">
            <w:pPr>
              <w:rPr>
                <w:rFonts w:ascii="Century Gothic" w:hAnsi="Century Gothic"/>
                <w:b/>
                <w:bCs/>
                <w:color w:val="000000"/>
                <w:u w:val="single"/>
                <w14:shadow w14:blurRad="50800" w14:dist="38100" w14:dir="2700000" w14:sx="100000" w14:sy="100000" w14:kx="0" w14:ky="0" w14:algn="tl">
                  <w14:srgbClr w14:val="000000">
                    <w14:alpha w14:val="60000"/>
                  </w14:srgbClr>
                </w14:shadow>
              </w:rPr>
            </w:pP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t xml:space="preserve">Constitution of ‘National Advisory Committee on Accounting </w:t>
            </w:r>
            <w:r w:rsidRPr="00C01F93">
              <w:rPr>
                <w:rFonts w:ascii="Century Gothic" w:hAnsi="Century Gothic"/>
                <w:b/>
                <w:bCs/>
                <w:color w:val="000000"/>
                <w:u w:val="single"/>
                <w14:shadow w14:blurRad="50800" w14:dist="38100" w14:dir="2700000" w14:sx="100000" w14:sy="100000" w14:kx="0" w14:ky="0" w14:algn="tl">
                  <w14:srgbClr w14:val="000000">
                    <w14:alpha w14:val="60000"/>
                  </w14:srgbClr>
                </w14:shadow>
              </w:rPr>
              <w:lastRenderedPageBreak/>
              <w:t>Standards’</w:t>
            </w:r>
          </w:p>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The Companies (Amendment) Act 1999, provides central government that it may constitute a ‘National Advisory Committee on Accounting Standards’ by issuing a notification in an official gazette to advise the central government on formulation and laying down of accounting standards for adoption of companies or class of companies under the Companies Act, 1956</w:t>
            </w:r>
          </w:p>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r w:rsidRPr="00C01F93">
              <w:rPr>
                <w:rFonts w:ascii="Century Gothic" w:hAnsi="Century Gothic"/>
                <w:color w:val="000000"/>
                <w14:shadow w14:blurRad="50800" w14:dist="38100" w14:dir="2700000" w14:sx="100000" w14:sy="100000" w14:kx="0" w14:ky="0" w14:algn="tl">
                  <w14:srgbClr w14:val="000000">
                    <w14:alpha w14:val="60000"/>
                  </w14:srgbClr>
                </w14:shadow>
              </w:rPr>
              <w:t>(A notification for constitution of ‘National Advisory Committee on Accounting Standards’ was issued by the Central Government in July 2001).</w:t>
            </w:r>
          </w:p>
          <w:p w:rsidR="00C01F93" w:rsidRPr="00C01F93" w:rsidRDefault="00C01F93" w:rsidP="00026A47">
            <w:pPr>
              <w:rPr>
                <w:rFonts w:ascii="Century Gothic" w:hAnsi="Century Gothic"/>
                <w:color w:val="000000"/>
                <w14:shadow w14:blurRad="50800" w14:dist="38100" w14:dir="2700000" w14:sx="100000" w14:sy="100000" w14:kx="0" w14:ky="0" w14:algn="tl">
                  <w14:srgbClr w14:val="000000">
                    <w14:alpha w14:val="60000"/>
                  </w14:srgbClr>
                </w14:shadow>
              </w:rPr>
            </w:pPr>
          </w:p>
        </w:tc>
      </w:tr>
    </w:tbl>
    <w:p w:rsidR="00C01F93" w:rsidRPr="00C01F93" w:rsidRDefault="00C01F93" w:rsidP="00C01F93">
      <w:pPr>
        <w:tabs>
          <w:tab w:val="left" w:pos="4320"/>
        </w:tabs>
        <w:jc w:val="center"/>
        <w:rPr>
          <w:rFonts w:ascii="Century Gothic" w:hAnsi="Century Gothic"/>
          <w:color w:val="000000"/>
          <w14:shadow w14:blurRad="50800" w14:dist="38100" w14:dir="2700000" w14:sx="100000" w14:sy="100000" w14:kx="0" w14:ky="0" w14:algn="tl">
            <w14:srgbClr w14:val="000000">
              <w14:alpha w14:val="60000"/>
            </w14:srgbClr>
          </w14:shadow>
        </w:rPr>
      </w:pPr>
    </w:p>
    <w:p w:rsidR="00C01F93" w:rsidRDefault="00C01F93" w:rsidP="00C01F93"/>
    <w:p w:rsidR="00A279B2" w:rsidRDefault="00A279B2"/>
    <w:sectPr w:rsidR="00A279B2" w:rsidSect="00FB6653">
      <w:headerReference w:type="even" r:id="rId8"/>
      <w:headerReference w:type="default" r:id="rId9"/>
      <w:footerReference w:type="even" r:id="rId10"/>
      <w:footerReference w:type="default" r:id="rId11"/>
      <w:headerReference w:type="first" r:id="rId12"/>
      <w:footerReference w:type="first" r:id="rId13"/>
      <w:pgSz w:w="11906" w:h="16838" w:code="9"/>
      <w:pgMar w:top="1440" w:right="1152" w:bottom="108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860" w:rsidRDefault="00DD4860" w:rsidP="00C01F93">
      <w:r>
        <w:separator/>
      </w:r>
    </w:p>
  </w:endnote>
  <w:endnote w:type="continuationSeparator" w:id="0">
    <w:p w:rsidR="00DD4860" w:rsidRDefault="00DD4860" w:rsidP="00C0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radley Hand ITC">
    <w:panose1 w:val="03070402050302030203"/>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463" w:rsidRDefault="007344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F93" w:rsidRPr="00C01F93" w:rsidRDefault="00C01F93" w:rsidP="00C01F93">
    <w:pPr>
      <w:pStyle w:val="Footer"/>
    </w:pPr>
    <w:r>
      <w:tab/>
    </w:r>
    <w:r>
      <w:tab/>
    </w:r>
    <w:r w:rsidR="00734463">
      <w:t xml:space="preserve">   </w:t>
    </w:r>
    <w:bookmarkStart w:id="0" w:name="_GoBack"/>
    <w:bookmarkEnd w:id="0"/>
    <w:r>
      <w:t>Priyan Sathiamoorthy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463" w:rsidRDefault="007344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860" w:rsidRDefault="00DD4860" w:rsidP="00C01F93">
      <w:r>
        <w:separator/>
      </w:r>
    </w:p>
  </w:footnote>
  <w:footnote w:type="continuationSeparator" w:id="0">
    <w:p w:rsidR="00DD4860" w:rsidRDefault="00DD4860" w:rsidP="00C01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463" w:rsidRDefault="007344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C37" w:rsidRDefault="00DD4860">
    <w:pPr>
      <w:pStyle w:val="Header"/>
    </w:pPr>
  </w:p>
  <w:p w:rsidR="00F56C37" w:rsidRDefault="00DD4860">
    <w:pPr>
      <w:pStyle w:val="Header"/>
    </w:pPr>
  </w:p>
  <w:p w:rsidR="00F56C37" w:rsidRPr="003723AC" w:rsidRDefault="00DD4860">
    <w:pPr>
      <w:pStyle w:val="Header"/>
      <w:rPr>
        <w:rFonts w:ascii="Edwardian Script ITC" w:hAnsi="Edwardian Script ITC"/>
        <w:b/>
        <w:bCs/>
        <w:color w:val="999999"/>
        <w:sz w:val="36"/>
        <w:szCs w:val="36"/>
      </w:rPr>
    </w:pPr>
    <w:r w:rsidRPr="003723AC">
      <w:rPr>
        <w:rFonts w:ascii="Edwardian Script ITC" w:hAnsi="Edwardian Script ITC"/>
        <w:b/>
        <w:bCs/>
        <w:color w:val="999999"/>
        <w:sz w:val="36"/>
        <w:szCs w:val="36"/>
      </w:rPr>
      <w:t>Auditing</w:t>
    </w:r>
    <w:r w:rsidRPr="003723AC">
      <w:rPr>
        <w:rFonts w:ascii="Edwardian Script ITC" w:hAnsi="Edwardian Script ITC"/>
        <w:b/>
        <w:bCs/>
        <w:color w:val="999999"/>
        <w:sz w:val="36"/>
        <w:szCs w:val="36"/>
      </w:rPr>
      <w:t xml:space="preserve"> </w:t>
    </w:r>
    <w:r>
      <w:rPr>
        <w:rFonts w:ascii="Edwardian Script ITC" w:hAnsi="Edwardian Script ITC"/>
        <w:b/>
        <w:bCs/>
        <w:color w:val="999999"/>
        <w:sz w:val="36"/>
        <w:szCs w:val="36"/>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463" w:rsidRDefault="007344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D95020"/>
    <w:multiLevelType w:val="hybridMultilevel"/>
    <w:tmpl w:val="43B4A294"/>
    <w:lvl w:ilvl="0" w:tplc="4009000B">
      <w:start w:val="1"/>
      <w:numFmt w:val="bullet"/>
      <w:lvlText w:val=""/>
      <w:lvlJc w:val="left"/>
      <w:pPr>
        <w:tabs>
          <w:tab w:val="num" w:pos="792"/>
        </w:tabs>
        <w:ind w:left="792" w:hanging="360"/>
      </w:pPr>
      <w:rPr>
        <w:rFonts w:ascii="Wingdings" w:hAnsi="Wingdings" w:hint="default"/>
      </w:rPr>
    </w:lvl>
    <w:lvl w:ilvl="1" w:tplc="40090003" w:tentative="1">
      <w:start w:val="1"/>
      <w:numFmt w:val="bullet"/>
      <w:lvlText w:val="o"/>
      <w:lvlJc w:val="left"/>
      <w:pPr>
        <w:tabs>
          <w:tab w:val="num" w:pos="1512"/>
        </w:tabs>
        <w:ind w:left="1512" w:hanging="360"/>
      </w:pPr>
      <w:rPr>
        <w:rFonts w:ascii="Courier New" w:hAnsi="Courier New" w:hint="default"/>
      </w:rPr>
    </w:lvl>
    <w:lvl w:ilvl="2" w:tplc="40090005" w:tentative="1">
      <w:start w:val="1"/>
      <w:numFmt w:val="bullet"/>
      <w:lvlText w:val=""/>
      <w:lvlJc w:val="left"/>
      <w:pPr>
        <w:tabs>
          <w:tab w:val="num" w:pos="2232"/>
        </w:tabs>
        <w:ind w:left="2232" w:hanging="360"/>
      </w:pPr>
      <w:rPr>
        <w:rFonts w:ascii="Wingdings" w:hAnsi="Wingdings" w:hint="default"/>
      </w:rPr>
    </w:lvl>
    <w:lvl w:ilvl="3" w:tplc="40090001" w:tentative="1">
      <w:start w:val="1"/>
      <w:numFmt w:val="bullet"/>
      <w:lvlText w:val=""/>
      <w:lvlJc w:val="left"/>
      <w:pPr>
        <w:tabs>
          <w:tab w:val="num" w:pos="2952"/>
        </w:tabs>
        <w:ind w:left="2952" w:hanging="360"/>
      </w:pPr>
      <w:rPr>
        <w:rFonts w:ascii="Symbol" w:hAnsi="Symbol" w:hint="default"/>
      </w:rPr>
    </w:lvl>
    <w:lvl w:ilvl="4" w:tplc="40090003" w:tentative="1">
      <w:start w:val="1"/>
      <w:numFmt w:val="bullet"/>
      <w:lvlText w:val="o"/>
      <w:lvlJc w:val="left"/>
      <w:pPr>
        <w:tabs>
          <w:tab w:val="num" w:pos="3672"/>
        </w:tabs>
        <w:ind w:left="3672" w:hanging="360"/>
      </w:pPr>
      <w:rPr>
        <w:rFonts w:ascii="Courier New" w:hAnsi="Courier New" w:hint="default"/>
      </w:rPr>
    </w:lvl>
    <w:lvl w:ilvl="5" w:tplc="40090005" w:tentative="1">
      <w:start w:val="1"/>
      <w:numFmt w:val="bullet"/>
      <w:lvlText w:val=""/>
      <w:lvlJc w:val="left"/>
      <w:pPr>
        <w:tabs>
          <w:tab w:val="num" w:pos="4392"/>
        </w:tabs>
        <w:ind w:left="4392" w:hanging="360"/>
      </w:pPr>
      <w:rPr>
        <w:rFonts w:ascii="Wingdings" w:hAnsi="Wingdings" w:hint="default"/>
      </w:rPr>
    </w:lvl>
    <w:lvl w:ilvl="6" w:tplc="40090001" w:tentative="1">
      <w:start w:val="1"/>
      <w:numFmt w:val="bullet"/>
      <w:lvlText w:val=""/>
      <w:lvlJc w:val="left"/>
      <w:pPr>
        <w:tabs>
          <w:tab w:val="num" w:pos="5112"/>
        </w:tabs>
        <w:ind w:left="5112" w:hanging="360"/>
      </w:pPr>
      <w:rPr>
        <w:rFonts w:ascii="Symbol" w:hAnsi="Symbol" w:hint="default"/>
      </w:rPr>
    </w:lvl>
    <w:lvl w:ilvl="7" w:tplc="40090003" w:tentative="1">
      <w:start w:val="1"/>
      <w:numFmt w:val="bullet"/>
      <w:lvlText w:val="o"/>
      <w:lvlJc w:val="left"/>
      <w:pPr>
        <w:tabs>
          <w:tab w:val="num" w:pos="5832"/>
        </w:tabs>
        <w:ind w:left="5832" w:hanging="360"/>
      </w:pPr>
      <w:rPr>
        <w:rFonts w:ascii="Courier New" w:hAnsi="Courier New" w:hint="default"/>
      </w:rPr>
    </w:lvl>
    <w:lvl w:ilvl="8" w:tplc="40090005" w:tentative="1">
      <w:start w:val="1"/>
      <w:numFmt w:val="bullet"/>
      <w:lvlText w:val=""/>
      <w:lvlJc w:val="left"/>
      <w:pPr>
        <w:tabs>
          <w:tab w:val="num" w:pos="6552"/>
        </w:tabs>
        <w:ind w:left="6552" w:hanging="360"/>
      </w:pPr>
      <w:rPr>
        <w:rFonts w:ascii="Wingdings" w:hAnsi="Wingdings" w:hint="default"/>
      </w:rPr>
    </w:lvl>
  </w:abstractNum>
  <w:abstractNum w:abstractNumId="1">
    <w:nsid w:val="723406BA"/>
    <w:multiLevelType w:val="hybridMultilevel"/>
    <w:tmpl w:val="75768A94"/>
    <w:lvl w:ilvl="0" w:tplc="4009000B">
      <w:start w:val="1"/>
      <w:numFmt w:val="bullet"/>
      <w:lvlText w:val=""/>
      <w:lvlJc w:val="left"/>
      <w:pPr>
        <w:tabs>
          <w:tab w:val="num" w:pos="720"/>
        </w:tabs>
        <w:ind w:left="720" w:hanging="360"/>
      </w:pPr>
      <w:rPr>
        <w:rFonts w:ascii="Wingdings" w:hAnsi="Wingdings" w:hint="default"/>
      </w:rPr>
    </w:lvl>
    <w:lvl w:ilvl="1" w:tplc="40090003" w:tentative="1">
      <w:start w:val="1"/>
      <w:numFmt w:val="bullet"/>
      <w:lvlText w:val="o"/>
      <w:lvlJc w:val="left"/>
      <w:pPr>
        <w:tabs>
          <w:tab w:val="num" w:pos="1440"/>
        </w:tabs>
        <w:ind w:left="1440" w:hanging="360"/>
      </w:pPr>
      <w:rPr>
        <w:rFonts w:ascii="Courier New" w:hAnsi="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2">
    <w:nsid w:val="7B9308F8"/>
    <w:multiLevelType w:val="hybridMultilevel"/>
    <w:tmpl w:val="79149994"/>
    <w:lvl w:ilvl="0" w:tplc="4009000B">
      <w:start w:val="1"/>
      <w:numFmt w:val="bullet"/>
      <w:lvlText w:val=""/>
      <w:lvlJc w:val="left"/>
      <w:pPr>
        <w:tabs>
          <w:tab w:val="num" w:pos="720"/>
        </w:tabs>
        <w:ind w:left="720" w:hanging="360"/>
      </w:pPr>
      <w:rPr>
        <w:rFonts w:ascii="Wingdings" w:hAnsi="Wingdings" w:hint="default"/>
      </w:rPr>
    </w:lvl>
    <w:lvl w:ilvl="1" w:tplc="40090003" w:tentative="1">
      <w:start w:val="1"/>
      <w:numFmt w:val="bullet"/>
      <w:lvlText w:val="o"/>
      <w:lvlJc w:val="left"/>
      <w:pPr>
        <w:tabs>
          <w:tab w:val="num" w:pos="1440"/>
        </w:tabs>
        <w:ind w:left="1440" w:hanging="360"/>
      </w:pPr>
      <w:rPr>
        <w:rFonts w:ascii="Courier New" w:hAnsi="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533"/>
    <w:rsid w:val="00734463"/>
    <w:rsid w:val="00A04533"/>
    <w:rsid w:val="00A279B2"/>
    <w:rsid w:val="00C01F93"/>
    <w:rsid w:val="00DD48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F93"/>
    <w:pPr>
      <w:spacing w:after="0" w:line="240" w:lineRule="auto"/>
    </w:pPr>
    <w:rPr>
      <w:rFonts w:ascii="Times New Roman" w:eastAsia="PMingLiU"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1F93"/>
    <w:pPr>
      <w:tabs>
        <w:tab w:val="center" w:pos="4153"/>
        <w:tab w:val="right" w:pos="8306"/>
      </w:tabs>
    </w:pPr>
  </w:style>
  <w:style w:type="character" w:customStyle="1" w:styleId="HeaderChar">
    <w:name w:val="Header Char"/>
    <w:basedOn w:val="DefaultParagraphFont"/>
    <w:link w:val="Header"/>
    <w:rsid w:val="00C01F93"/>
    <w:rPr>
      <w:rFonts w:ascii="Times New Roman" w:eastAsia="PMingLiU" w:hAnsi="Times New Roman" w:cs="Times New Roman"/>
      <w:sz w:val="24"/>
      <w:szCs w:val="24"/>
      <w:lang w:eastAsia="zh-TW"/>
    </w:rPr>
  </w:style>
  <w:style w:type="paragraph" w:styleId="Footer">
    <w:name w:val="footer"/>
    <w:basedOn w:val="Normal"/>
    <w:link w:val="FooterChar"/>
    <w:rsid w:val="00C01F93"/>
    <w:pPr>
      <w:tabs>
        <w:tab w:val="center" w:pos="4153"/>
        <w:tab w:val="right" w:pos="8306"/>
      </w:tabs>
    </w:pPr>
  </w:style>
  <w:style w:type="character" w:customStyle="1" w:styleId="FooterChar">
    <w:name w:val="Footer Char"/>
    <w:basedOn w:val="DefaultParagraphFont"/>
    <w:link w:val="Footer"/>
    <w:rsid w:val="00C01F93"/>
    <w:rPr>
      <w:rFonts w:ascii="Times New Roman" w:eastAsia="PMingLiU" w:hAnsi="Times New Roman" w:cs="Times New Roman"/>
      <w:sz w:val="24"/>
      <w:szCs w:val="24"/>
      <w:lang w:eastAsia="zh-TW"/>
    </w:rPr>
  </w:style>
  <w:style w:type="character" w:styleId="PageNumber">
    <w:name w:val="page number"/>
    <w:basedOn w:val="DefaultParagraphFont"/>
    <w:rsid w:val="00C01F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F93"/>
    <w:pPr>
      <w:spacing w:after="0" w:line="240" w:lineRule="auto"/>
    </w:pPr>
    <w:rPr>
      <w:rFonts w:ascii="Times New Roman" w:eastAsia="PMingLiU"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1F93"/>
    <w:pPr>
      <w:tabs>
        <w:tab w:val="center" w:pos="4153"/>
        <w:tab w:val="right" w:pos="8306"/>
      </w:tabs>
    </w:pPr>
  </w:style>
  <w:style w:type="character" w:customStyle="1" w:styleId="HeaderChar">
    <w:name w:val="Header Char"/>
    <w:basedOn w:val="DefaultParagraphFont"/>
    <w:link w:val="Header"/>
    <w:rsid w:val="00C01F93"/>
    <w:rPr>
      <w:rFonts w:ascii="Times New Roman" w:eastAsia="PMingLiU" w:hAnsi="Times New Roman" w:cs="Times New Roman"/>
      <w:sz w:val="24"/>
      <w:szCs w:val="24"/>
      <w:lang w:eastAsia="zh-TW"/>
    </w:rPr>
  </w:style>
  <w:style w:type="paragraph" w:styleId="Footer">
    <w:name w:val="footer"/>
    <w:basedOn w:val="Normal"/>
    <w:link w:val="FooterChar"/>
    <w:rsid w:val="00C01F93"/>
    <w:pPr>
      <w:tabs>
        <w:tab w:val="center" w:pos="4153"/>
        <w:tab w:val="right" w:pos="8306"/>
      </w:tabs>
    </w:pPr>
  </w:style>
  <w:style w:type="character" w:customStyle="1" w:styleId="FooterChar">
    <w:name w:val="Footer Char"/>
    <w:basedOn w:val="DefaultParagraphFont"/>
    <w:link w:val="Footer"/>
    <w:rsid w:val="00C01F93"/>
    <w:rPr>
      <w:rFonts w:ascii="Times New Roman" w:eastAsia="PMingLiU" w:hAnsi="Times New Roman" w:cs="Times New Roman"/>
      <w:sz w:val="24"/>
      <w:szCs w:val="24"/>
      <w:lang w:eastAsia="zh-TW"/>
    </w:rPr>
  </w:style>
  <w:style w:type="character" w:styleId="PageNumber">
    <w:name w:val="page number"/>
    <w:basedOn w:val="DefaultParagraphFont"/>
    <w:rsid w:val="00C01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608</Words>
  <Characters>3467</Characters>
  <Application>Microsoft Office Word</Application>
  <DocSecurity>0</DocSecurity>
  <Lines>28</Lines>
  <Paragraphs>8</Paragraphs>
  <ScaleCrop>false</ScaleCrop>
  <Company/>
  <LinksUpToDate>false</LinksUpToDate>
  <CharactersWithSpaces>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dc:creator>
  <cp:keywords/>
  <dc:description/>
  <cp:lastModifiedBy>Priyan</cp:lastModifiedBy>
  <cp:revision>3</cp:revision>
  <dcterms:created xsi:type="dcterms:W3CDTF">2010-10-15T12:45:00Z</dcterms:created>
  <dcterms:modified xsi:type="dcterms:W3CDTF">2010-10-15T12:46:00Z</dcterms:modified>
</cp:coreProperties>
</file>