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349E" w:themeColor="accent6"/>
  <w:body>
    <w:p w:rsidR="00C733E7" w:rsidRPr="00424068" w:rsidRDefault="008A3519" w:rsidP="008A3519">
      <w:pPr>
        <w:pStyle w:val="Title"/>
        <w:rPr>
          <w:color w:val="FF5597" w:themeColor="accent2" w:themeTint="99"/>
        </w:rPr>
      </w:pPr>
      <w:r w:rsidRPr="00424068">
        <w:rPr>
          <w:rFonts w:ascii="Cambria" w:eastAsia="Times New Roman" w:hAnsi="Cambria" w:cs="Times New Roman"/>
          <w:color w:val="FF5597" w:themeColor="accent2" w:themeTint="99"/>
        </w:rPr>
        <w:t>Standards of Auditing (SA) issued by ICAI</w:t>
      </w:r>
      <w:r w:rsidRPr="00424068">
        <w:rPr>
          <w:color w:val="FF5597" w:themeColor="accent2" w:themeTint="99"/>
        </w:rPr>
        <w:tab/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200: </w:t>
      </w:r>
      <w:r>
        <w:rPr>
          <w:rFonts w:ascii="Verdana" w:hAnsi="Verdana"/>
          <w:b/>
          <w:bCs/>
          <w:sz w:val="20"/>
          <w:szCs w:val="20"/>
          <w:u w:val="single"/>
        </w:rPr>
        <w:t>Basic Principles Governing an Audit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200A: </w:t>
      </w:r>
      <w:r>
        <w:rPr>
          <w:rFonts w:ascii="Verdana" w:hAnsi="Verdana"/>
          <w:b/>
          <w:bCs/>
          <w:sz w:val="20"/>
          <w:szCs w:val="20"/>
          <w:u w:val="single"/>
        </w:rPr>
        <w:t>Objective and Scope of the Audit of Financial Statements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210: </w:t>
      </w:r>
      <w:r>
        <w:rPr>
          <w:rFonts w:ascii="Verdana" w:hAnsi="Verdana"/>
          <w:b/>
          <w:bCs/>
          <w:sz w:val="20"/>
          <w:szCs w:val="20"/>
          <w:u w:val="single"/>
        </w:rPr>
        <w:t>Terms of Audit Engagement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220: </w:t>
      </w:r>
      <w:r>
        <w:rPr>
          <w:rFonts w:ascii="Verdana" w:hAnsi="Verdana"/>
          <w:b/>
          <w:bCs/>
          <w:sz w:val="20"/>
          <w:szCs w:val="20"/>
          <w:u w:val="single"/>
        </w:rPr>
        <w:t>Quality Control for Audit Work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230: </w:t>
      </w:r>
      <w:r>
        <w:rPr>
          <w:rFonts w:ascii="Verdana" w:hAnsi="Verdana"/>
          <w:b/>
          <w:bCs/>
          <w:sz w:val="20"/>
          <w:szCs w:val="20"/>
          <w:u w:val="single"/>
        </w:rPr>
        <w:t>Audit Documentation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240: </w:t>
      </w:r>
      <w:proofErr w:type="gramStart"/>
      <w:r>
        <w:rPr>
          <w:rFonts w:ascii="Verdana" w:hAnsi="Verdana"/>
          <w:b/>
          <w:bCs/>
          <w:sz w:val="20"/>
          <w:szCs w:val="20"/>
          <w:u w:val="single"/>
        </w:rPr>
        <w:t>The</w:t>
      </w:r>
      <w:proofErr w:type="gramEnd"/>
      <w:r>
        <w:rPr>
          <w:rFonts w:ascii="Verdana" w:hAnsi="Verdana"/>
          <w:b/>
          <w:bCs/>
          <w:sz w:val="20"/>
          <w:szCs w:val="20"/>
          <w:u w:val="single"/>
        </w:rPr>
        <w:t xml:space="preserve"> Auditor’s Responsibilities Relating to Fraud in an Audit of Financial Statements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caps/>
          <w:sz w:val="20"/>
          <w:szCs w:val="20"/>
        </w:rPr>
        <w:t xml:space="preserve">SA 250: </w:t>
      </w:r>
      <w:r>
        <w:rPr>
          <w:rFonts w:ascii="Verdana" w:hAnsi="Verdana"/>
          <w:b/>
          <w:bCs/>
          <w:caps/>
          <w:sz w:val="20"/>
          <w:szCs w:val="20"/>
          <w:u w:val="single"/>
        </w:rPr>
        <w:t xml:space="preserve">Consideration of </w:t>
      </w:r>
      <w:smartTag w:uri="urn:schemas-microsoft-com:office:smarttags" w:element="stockticker">
        <w:r>
          <w:rPr>
            <w:rFonts w:ascii="Verdana" w:hAnsi="Verdana"/>
            <w:b/>
            <w:bCs/>
            <w:caps/>
            <w:sz w:val="20"/>
            <w:szCs w:val="20"/>
            <w:u w:val="single"/>
          </w:rPr>
          <w:t>Laws</w:t>
        </w:r>
      </w:smartTag>
      <w:r>
        <w:rPr>
          <w:rFonts w:ascii="Verdana" w:hAnsi="Verdana"/>
          <w:b/>
          <w:bCs/>
          <w:caps/>
          <w:sz w:val="20"/>
          <w:szCs w:val="20"/>
          <w:u w:val="single"/>
        </w:rPr>
        <w:t xml:space="preserve"> </w:t>
      </w:r>
      <w:smartTag w:uri="urn:schemas-microsoft-com:office:smarttags" w:element="stockticker">
        <w:r>
          <w:rPr>
            <w:rFonts w:ascii="Verdana" w:hAnsi="Verdana"/>
            <w:b/>
            <w:bCs/>
            <w:caps/>
            <w:sz w:val="20"/>
            <w:szCs w:val="20"/>
            <w:u w:val="single"/>
          </w:rPr>
          <w:t>and</w:t>
        </w:r>
      </w:smartTag>
      <w:r>
        <w:rPr>
          <w:rFonts w:ascii="Verdana" w:hAnsi="Verdana"/>
          <w:b/>
          <w:bCs/>
          <w:caps/>
          <w:sz w:val="20"/>
          <w:szCs w:val="20"/>
          <w:u w:val="single"/>
        </w:rPr>
        <w:t xml:space="preserve"> Regulations in an Audit of Financial Statements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260: 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Communication </w:t>
      </w:r>
      <w:proofErr w:type="gramStart"/>
      <w:r>
        <w:rPr>
          <w:rFonts w:ascii="Verdana" w:hAnsi="Verdana"/>
          <w:b/>
          <w:bCs/>
          <w:sz w:val="20"/>
          <w:szCs w:val="20"/>
          <w:u w:val="single"/>
        </w:rPr>
        <w:t>With</w:t>
      </w:r>
      <w:proofErr w:type="gramEnd"/>
      <w:r>
        <w:rPr>
          <w:rFonts w:ascii="Verdana" w:hAnsi="Verdana"/>
          <w:b/>
          <w:bCs/>
          <w:sz w:val="20"/>
          <w:szCs w:val="20"/>
          <w:u w:val="single"/>
        </w:rPr>
        <w:t xml:space="preserve"> those Charged With Governance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299: </w:t>
      </w:r>
      <w:r>
        <w:rPr>
          <w:rFonts w:ascii="Verdana" w:hAnsi="Verdana"/>
          <w:b/>
          <w:bCs/>
          <w:sz w:val="20"/>
          <w:szCs w:val="20"/>
          <w:u w:val="single"/>
        </w:rPr>
        <w:t>Responsibility of Joint Auditors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300: </w:t>
      </w:r>
      <w:r>
        <w:rPr>
          <w:rFonts w:ascii="Verdana" w:hAnsi="Verdana"/>
          <w:b/>
          <w:bCs/>
          <w:sz w:val="20"/>
          <w:szCs w:val="20"/>
          <w:u w:val="single"/>
        </w:rPr>
        <w:t>Planning an Audit of Financial Statements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caps/>
          <w:sz w:val="20"/>
          <w:szCs w:val="20"/>
        </w:rPr>
        <w:t xml:space="preserve">SA 310: </w:t>
      </w:r>
      <w:r>
        <w:rPr>
          <w:rFonts w:ascii="Verdana" w:hAnsi="Verdana"/>
          <w:b/>
          <w:bCs/>
          <w:caps/>
          <w:sz w:val="20"/>
          <w:szCs w:val="20"/>
          <w:u w:val="single"/>
        </w:rPr>
        <w:t>Knowledge of the Business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315: </w:t>
      </w:r>
      <w:r>
        <w:rPr>
          <w:rFonts w:ascii="Verdana" w:hAnsi="Verdana"/>
          <w:b/>
          <w:bCs/>
          <w:sz w:val="20"/>
          <w:szCs w:val="20"/>
          <w:u w:val="single"/>
        </w:rPr>
        <w:t>Understanding the Entity and its Environment and Assessing the Risk of Material Misstatement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320: </w:t>
      </w:r>
      <w:r>
        <w:rPr>
          <w:rFonts w:ascii="Verdana" w:hAnsi="Verdana"/>
          <w:b/>
          <w:bCs/>
          <w:sz w:val="20"/>
          <w:szCs w:val="20"/>
          <w:u w:val="single"/>
        </w:rPr>
        <w:t>Audit Materiality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330: </w:t>
      </w:r>
      <w:proofErr w:type="gramStart"/>
      <w:r>
        <w:rPr>
          <w:rFonts w:ascii="Verdana" w:hAnsi="Verdana"/>
          <w:b/>
          <w:bCs/>
          <w:sz w:val="20"/>
          <w:szCs w:val="20"/>
          <w:u w:val="single"/>
        </w:rPr>
        <w:t>The</w:t>
      </w:r>
      <w:proofErr w:type="gramEnd"/>
      <w:r>
        <w:rPr>
          <w:rFonts w:ascii="Verdana" w:hAnsi="Verdana"/>
          <w:b/>
          <w:bCs/>
          <w:sz w:val="20"/>
          <w:szCs w:val="20"/>
          <w:u w:val="single"/>
        </w:rPr>
        <w:t xml:space="preserve"> Auditor’s Responses to Assessed Risks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402: 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Audit Considerations relating to Entities using Service </w:t>
      </w:r>
      <w:proofErr w:type="spellStart"/>
      <w:r>
        <w:rPr>
          <w:rFonts w:ascii="Verdana" w:hAnsi="Verdana"/>
          <w:b/>
          <w:bCs/>
          <w:sz w:val="20"/>
          <w:szCs w:val="20"/>
          <w:u w:val="single"/>
        </w:rPr>
        <w:t>Organisations</w:t>
      </w:r>
      <w:proofErr w:type="spellEnd"/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500: </w:t>
      </w:r>
      <w:r>
        <w:rPr>
          <w:rFonts w:ascii="Verdana" w:hAnsi="Verdana"/>
          <w:b/>
          <w:bCs/>
          <w:sz w:val="20"/>
          <w:szCs w:val="20"/>
          <w:u w:val="single"/>
        </w:rPr>
        <w:t>Audit Evidence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501: </w:t>
      </w:r>
      <w:r>
        <w:rPr>
          <w:rFonts w:ascii="Verdana" w:hAnsi="Verdana"/>
          <w:b/>
          <w:bCs/>
          <w:sz w:val="20"/>
          <w:szCs w:val="20"/>
          <w:u w:val="single"/>
        </w:rPr>
        <w:t>Audit Evidence – Additional Consideration for Specific Items</w:t>
      </w:r>
    </w:p>
    <w:p w:rsidR="008A3519" w:rsidRDefault="008A3519" w:rsidP="008A3519">
      <w:pPr>
        <w:pStyle w:val="NormalWeb"/>
        <w:ind w:left="144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Part A:</w:t>
      </w:r>
      <w:r>
        <w:rPr>
          <w:rFonts w:ascii="Verdana" w:hAnsi="Verdana"/>
          <w:b/>
          <w:bCs/>
          <w:sz w:val="20"/>
          <w:szCs w:val="20"/>
        </w:rPr>
        <w:t xml:space="preserve"> Attendance at Physical Inventory Counting</w:t>
      </w:r>
    </w:p>
    <w:p w:rsidR="008A3519" w:rsidRDefault="008A3519" w:rsidP="008A3519">
      <w:pPr>
        <w:pStyle w:val="NormalWeb"/>
        <w:tabs>
          <w:tab w:val="right" w:pos="9360"/>
        </w:tabs>
        <w:ind w:left="144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 xml:space="preserve">   </w:t>
      </w:r>
      <w:r>
        <w:rPr>
          <w:rFonts w:ascii="Verdana" w:hAnsi="Verdana"/>
          <w:sz w:val="20"/>
          <w:szCs w:val="20"/>
        </w:rPr>
        <w:t>Part B:</w:t>
      </w:r>
      <w:r>
        <w:rPr>
          <w:rFonts w:ascii="Verdana" w:hAnsi="Verdana"/>
          <w:b/>
          <w:bCs/>
          <w:sz w:val="20"/>
          <w:szCs w:val="20"/>
        </w:rPr>
        <w:t xml:space="preserve"> Inquiry regarding Litigation and claims</w:t>
      </w:r>
      <w:r>
        <w:rPr>
          <w:rFonts w:ascii="Verdana" w:hAnsi="Verdana"/>
          <w:b/>
          <w:bCs/>
          <w:sz w:val="20"/>
          <w:szCs w:val="20"/>
        </w:rPr>
        <w:tab/>
      </w:r>
    </w:p>
    <w:p w:rsidR="008A3519" w:rsidRDefault="008A3519" w:rsidP="008A3519">
      <w:pPr>
        <w:pStyle w:val="NormalWeb"/>
        <w:ind w:left="144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Part C:</w:t>
      </w:r>
      <w:r>
        <w:rPr>
          <w:rFonts w:ascii="Verdana" w:hAnsi="Verdana"/>
          <w:b/>
          <w:bCs/>
          <w:sz w:val="20"/>
          <w:szCs w:val="20"/>
        </w:rPr>
        <w:t xml:space="preserve"> Valuation and Disclosure of Long Term Investments</w:t>
      </w:r>
    </w:p>
    <w:p w:rsidR="008A3519" w:rsidRDefault="008A3519" w:rsidP="008A3519">
      <w:pPr>
        <w:pStyle w:val="NormalWeb"/>
        <w:ind w:left="144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Part D: </w:t>
      </w:r>
      <w:r>
        <w:rPr>
          <w:rFonts w:ascii="Verdana" w:hAnsi="Verdana"/>
          <w:b/>
          <w:bCs/>
          <w:sz w:val="20"/>
          <w:szCs w:val="20"/>
        </w:rPr>
        <w:t>Segment Information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 xml:space="preserve">SA 505: </w:t>
      </w:r>
      <w:r>
        <w:rPr>
          <w:rFonts w:ascii="Verdana" w:hAnsi="Verdana"/>
          <w:b/>
          <w:bCs/>
          <w:sz w:val="20"/>
          <w:szCs w:val="20"/>
          <w:u w:val="single"/>
        </w:rPr>
        <w:t>External Confirmations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510: </w:t>
      </w:r>
      <w:r>
        <w:rPr>
          <w:rFonts w:ascii="Verdana" w:hAnsi="Verdana"/>
          <w:b/>
          <w:bCs/>
          <w:sz w:val="20"/>
          <w:szCs w:val="20"/>
          <w:u w:val="single"/>
        </w:rPr>
        <w:t>Initial Audit Engagements – Opening Balances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520: </w:t>
      </w:r>
      <w:r>
        <w:rPr>
          <w:rFonts w:ascii="Verdana" w:hAnsi="Verdana"/>
          <w:b/>
          <w:bCs/>
          <w:sz w:val="20"/>
          <w:szCs w:val="20"/>
          <w:u w:val="single"/>
        </w:rPr>
        <w:t>Analytical Procedures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530: </w:t>
      </w:r>
      <w:r>
        <w:rPr>
          <w:rFonts w:ascii="Verdana" w:hAnsi="Verdana"/>
          <w:b/>
          <w:bCs/>
          <w:sz w:val="20"/>
          <w:szCs w:val="20"/>
          <w:u w:val="single"/>
        </w:rPr>
        <w:t>Audit Sampling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caps/>
          <w:sz w:val="20"/>
          <w:szCs w:val="20"/>
        </w:rPr>
        <w:t xml:space="preserve">SA 540: </w:t>
      </w:r>
      <w:r>
        <w:rPr>
          <w:rFonts w:ascii="Verdana" w:hAnsi="Verdana"/>
          <w:b/>
          <w:bCs/>
          <w:caps/>
          <w:sz w:val="20"/>
          <w:szCs w:val="20"/>
          <w:u w:val="single"/>
        </w:rPr>
        <w:t xml:space="preserve">Auditing Accounting Estimates, Including Fair Value Accounting Estimates, </w:t>
      </w:r>
      <w:smartTag w:uri="urn:schemas-microsoft-com:office:smarttags" w:element="stockticker">
        <w:r>
          <w:rPr>
            <w:rFonts w:ascii="Verdana" w:hAnsi="Verdana"/>
            <w:b/>
            <w:bCs/>
            <w:caps/>
            <w:sz w:val="20"/>
            <w:szCs w:val="20"/>
            <w:u w:val="single"/>
          </w:rPr>
          <w:t>and</w:t>
        </w:r>
      </w:smartTag>
      <w:r>
        <w:rPr>
          <w:rFonts w:ascii="Verdana" w:hAnsi="Verdana"/>
          <w:b/>
          <w:bCs/>
          <w:caps/>
          <w:sz w:val="20"/>
          <w:szCs w:val="20"/>
          <w:u w:val="single"/>
        </w:rPr>
        <w:t xml:space="preserve"> Related Disclosures</w:t>
      </w:r>
    </w:p>
    <w:p w:rsidR="008A3519" w:rsidRDefault="008A3519" w:rsidP="008A3519">
      <w:pPr>
        <w:pStyle w:val="NormalWeb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(a) </w:t>
      </w:r>
      <w:proofErr w:type="gramStart"/>
      <w:r>
        <w:rPr>
          <w:rFonts w:ascii="Verdana" w:hAnsi="Verdana"/>
          <w:sz w:val="20"/>
          <w:szCs w:val="20"/>
        </w:rPr>
        <w:t>review</w:t>
      </w:r>
      <w:proofErr w:type="gramEnd"/>
      <w:r>
        <w:rPr>
          <w:rFonts w:ascii="Verdana" w:hAnsi="Verdana"/>
          <w:sz w:val="20"/>
          <w:szCs w:val="20"/>
        </w:rPr>
        <w:t xml:space="preserve"> and test process used by management to develop the estimate; </w:t>
      </w:r>
    </w:p>
    <w:p w:rsidR="008A3519" w:rsidRDefault="008A3519" w:rsidP="008A3519">
      <w:pPr>
        <w:pStyle w:val="NormalWeb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</w:t>
      </w:r>
      <w:proofErr w:type="gramStart"/>
      <w:r>
        <w:rPr>
          <w:rFonts w:ascii="Verdana" w:hAnsi="Verdana"/>
          <w:sz w:val="20"/>
          <w:szCs w:val="20"/>
        </w:rPr>
        <w:t>use</w:t>
      </w:r>
      <w:proofErr w:type="gramEnd"/>
      <w:r>
        <w:rPr>
          <w:rFonts w:ascii="Verdana" w:hAnsi="Verdana"/>
          <w:sz w:val="20"/>
          <w:szCs w:val="20"/>
        </w:rPr>
        <w:t xml:space="preserve"> an independent estimate for comparison with that prepared by management; or </w:t>
      </w:r>
    </w:p>
    <w:p w:rsidR="008A3519" w:rsidRDefault="008A3519" w:rsidP="008A3519">
      <w:pPr>
        <w:pStyle w:val="NormalWeb"/>
        <w:tabs>
          <w:tab w:val="left" w:pos="8265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</w:t>
      </w:r>
      <w:proofErr w:type="gramStart"/>
      <w:r>
        <w:rPr>
          <w:rFonts w:ascii="Verdana" w:hAnsi="Verdana"/>
          <w:sz w:val="20"/>
          <w:szCs w:val="20"/>
        </w:rPr>
        <w:t>review</w:t>
      </w:r>
      <w:proofErr w:type="gramEnd"/>
      <w:r>
        <w:rPr>
          <w:rFonts w:ascii="Verdana" w:hAnsi="Verdana"/>
          <w:sz w:val="20"/>
          <w:szCs w:val="20"/>
        </w:rPr>
        <w:t xml:space="preserve"> subsequent events which confirm the estimate made</w:t>
      </w:r>
      <w:r>
        <w:rPr>
          <w:rFonts w:ascii="Verdana" w:hAnsi="Verdana"/>
          <w:sz w:val="20"/>
          <w:szCs w:val="20"/>
        </w:rPr>
        <w:tab/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550: </w:t>
      </w:r>
      <w:r>
        <w:rPr>
          <w:rFonts w:ascii="Verdana" w:hAnsi="Verdana"/>
          <w:b/>
          <w:bCs/>
          <w:sz w:val="20"/>
          <w:szCs w:val="20"/>
          <w:u w:val="single"/>
        </w:rPr>
        <w:t>Related Parties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560: </w:t>
      </w:r>
      <w:r>
        <w:rPr>
          <w:rFonts w:ascii="Verdana" w:hAnsi="Verdana"/>
          <w:b/>
          <w:bCs/>
          <w:sz w:val="20"/>
          <w:szCs w:val="20"/>
          <w:u w:val="single"/>
        </w:rPr>
        <w:t>Subsequent Events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570: </w:t>
      </w:r>
      <w:r>
        <w:rPr>
          <w:rFonts w:ascii="Verdana" w:hAnsi="Verdana"/>
          <w:b/>
          <w:bCs/>
          <w:sz w:val="20"/>
          <w:szCs w:val="20"/>
          <w:u w:val="single"/>
        </w:rPr>
        <w:t>Going Concern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580: </w:t>
      </w:r>
      <w:r>
        <w:rPr>
          <w:rFonts w:ascii="Verdana" w:hAnsi="Verdana"/>
          <w:b/>
          <w:bCs/>
          <w:sz w:val="20"/>
          <w:szCs w:val="20"/>
          <w:u w:val="single"/>
        </w:rPr>
        <w:t>Written Representations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600: </w:t>
      </w:r>
      <w:r>
        <w:rPr>
          <w:rFonts w:ascii="Verdana" w:hAnsi="Verdana"/>
          <w:b/>
          <w:bCs/>
          <w:sz w:val="20"/>
          <w:szCs w:val="20"/>
          <w:u w:val="single"/>
        </w:rPr>
        <w:t>Using the Work of another Auditor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610: </w:t>
      </w:r>
      <w:r>
        <w:rPr>
          <w:rFonts w:ascii="Verdana" w:hAnsi="Verdana"/>
          <w:b/>
          <w:bCs/>
          <w:sz w:val="20"/>
          <w:szCs w:val="20"/>
          <w:u w:val="single"/>
        </w:rPr>
        <w:t>Relying Upon the Work of an Internal Auditor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620: </w:t>
      </w:r>
      <w:r>
        <w:rPr>
          <w:rFonts w:ascii="Verdana" w:hAnsi="Verdana"/>
          <w:b/>
          <w:bCs/>
          <w:sz w:val="20"/>
          <w:szCs w:val="20"/>
          <w:u w:val="single"/>
        </w:rPr>
        <w:t>Using the Work of an Expert</w:t>
      </w:r>
    </w:p>
    <w:p w:rsidR="008A3519" w:rsidRPr="00424068" w:rsidRDefault="00424068" w:rsidP="008A3519">
      <w:pPr>
        <w:pStyle w:val="NormalWeb"/>
        <w:rPr>
          <w:rFonts w:ascii="Verdana" w:hAnsi="Verdana"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SA700: </w:t>
      </w:r>
      <w:proofErr w:type="gramStart"/>
      <w:r>
        <w:rPr>
          <w:rFonts w:ascii="Verdana" w:hAnsi="Verdana"/>
          <w:b/>
          <w:bCs/>
          <w:sz w:val="20"/>
          <w:szCs w:val="20"/>
          <w:u w:val="single"/>
        </w:rPr>
        <w:t>The</w:t>
      </w:r>
      <w:proofErr w:type="gramEnd"/>
      <w:r>
        <w:rPr>
          <w:rFonts w:ascii="Verdana" w:hAnsi="Verdana"/>
          <w:b/>
          <w:bCs/>
          <w:sz w:val="20"/>
          <w:szCs w:val="20"/>
          <w:u w:val="single"/>
        </w:rPr>
        <w:t xml:space="preserve"> Auditor’s Report on Financial Statements</w:t>
      </w:r>
    </w:p>
    <w:p w:rsidR="00424068" w:rsidRDefault="00424068" w:rsidP="00424068">
      <w:r>
        <w:rPr>
          <w:rFonts w:ascii="Verdana" w:eastAsia="Calibri" w:hAnsi="Verdana" w:cs="Times New Roman"/>
          <w:b/>
          <w:bCs/>
          <w:caps/>
          <w:sz w:val="20"/>
          <w:szCs w:val="20"/>
        </w:rPr>
        <w:t>SA 705: "</w:t>
      </w:r>
      <w:r>
        <w:rPr>
          <w:rFonts w:ascii="Verdana" w:eastAsia="Calibri" w:hAnsi="Verdana" w:cs="Times New Roman"/>
          <w:b/>
          <w:bCs/>
          <w:caps/>
          <w:sz w:val="20"/>
          <w:szCs w:val="20"/>
          <w:u w:val="single"/>
        </w:rPr>
        <w:t>Modifications to the Opinion in the Independent Auditor’s Report</w:t>
      </w:r>
      <w:r>
        <w:rPr>
          <w:rFonts w:ascii="Verdana" w:eastAsia="Calibri" w:hAnsi="Verdana" w:cs="Times New Roman"/>
          <w:b/>
          <w:bCs/>
          <w:caps/>
          <w:sz w:val="20"/>
          <w:szCs w:val="20"/>
        </w:rPr>
        <w:t xml:space="preserve">" </w:t>
      </w:r>
    </w:p>
    <w:p w:rsidR="00424068" w:rsidRDefault="00424068" w:rsidP="00424068">
      <w:r>
        <w:rPr>
          <w:rFonts w:ascii="Verdana" w:eastAsia="Calibri" w:hAnsi="Verdana" w:cs="Times New Roman"/>
          <w:b/>
          <w:bCs/>
          <w:sz w:val="20"/>
          <w:szCs w:val="20"/>
        </w:rPr>
        <w:t>SA 706: "</w:t>
      </w:r>
      <w:r>
        <w:rPr>
          <w:rFonts w:ascii="Verdana" w:eastAsia="Calibri" w:hAnsi="Verdana" w:cs="Times New Roman"/>
          <w:b/>
          <w:bCs/>
          <w:sz w:val="20"/>
          <w:szCs w:val="20"/>
          <w:u w:val="single"/>
        </w:rPr>
        <w:t>Emphasis of Matter Paragraphs and Other Matter in the Independent Auditor’s Report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SA 710: </w:t>
      </w:r>
      <w:r>
        <w:rPr>
          <w:rFonts w:ascii="Verdana" w:hAnsi="Verdana"/>
          <w:b/>
          <w:bCs/>
          <w:sz w:val="20"/>
          <w:szCs w:val="20"/>
          <w:u w:val="single"/>
        </w:rPr>
        <w:t>Comparatives</w:t>
      </w:r>
    </w:p>
    <w:p w:rsidR="00424068" w:rsidRDefault="00424068" w:rsidP="00424068">
      <w:r>
        <w:rPr>
          <w:rFonts w:ascii="Verdana" w:eastAsia="Calibri" w:hAnsi="Verdana" w:cs="Times New Roman"/>
          <w:b/>
          <w:bCs/>
          <w:sz w:val="20"/>
          <w:szCs w:val="20"/>
        </w:rPr>
        <w:t xml:space="preserve">SA 720: </w:t>
      </w:r>
      <w:proofErr w:type="gramStart"/>
      <w:r>
        <w:rPr>
          <w:rFonts w:ascii="Verdana" w:eastAsia="Calibri" w:hAnsi="Verdana" w:cs="Times New Roman"/>
          <w:b/>
          <w:bCs/>
          <w:sz w:val="20"/>
          <w:szCs w:val="20"/>
        </w:rPr>
        <w:t>The</w:t>
      </w:r>
      <w:proofErr w:type="gramEnd"/>
      <w:r>
        <w:rPr>
          <w:rFonts w:ascii="Verdana" w:eastAsia="Calibri" w:hAnsi="Verdana" w:cs="Times New Roman"/>
          <w:b/>
          <w:bCs/>
          <w:sz w:val="20"/>
          <w:szCs w:val="20"/>
        </w:rPr>
        <w:t xml:space="preserve"> Auditors Responsibility in Relation to Other Information in Documents containing Audited Financial Statements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caps/>
          <w:sz w:val="20"/>
          <w:szCs w:val="20"/>
        </w:rPr>
        <w:t>Standard on Review Engagements (</w:t>
      </w:r>
      <w:smartTag w:uri="urn:schemas-microsoft-com:office:smarttags" w:element="stockticker">
        <w:r>
          <w:rPr>
            <w:rFonts w:ascii="Verdana" w:hAnsi="Verdana"/>
            <w:b/>
            <w:bCs/>
            <w:caps/>
            <w:sz w:val="20"/>
            <w:szCs w:val="20"/>
          </w:rPr>
          <w:t>SRE</w:t>
        </w:r>
      </w:smartTag>
      <w:r>
        <w:rPr>
          <w:rFonts w:ascii="Verdana" w:hAnsi="Verdana"/>
          <w:b/>
          <w:bCs/>
          <w:caps/>
          <w:sz w:val="20"/>
          <w:szCs w:val="20"/>
        </w:rPr>
        <w:t>) 2400: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  <w:u w:val="single"/>
        </w:rPr>
        <w:br/>
        <w:t>Engagements to Review Financial Statements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Standard on Assurance Engagements (</w:t>
      </w:r>
      <w:smartTag w:uri="urn:schemas-microsoft-com:office:smarttags" w:element="stockticker">
        <w:r>
          <w:rPr>
            <w:rFonts w:ascii="Verdana" w:hAnsi="Verdana"/>
            <w:b/>
            <w:bCs/>
            <w:sz w:val="20"/>
            <w:szCs w:val="20"/>
          </w:rPr>
          <w:t>SAE</w:t>
        </w:r>
      </w:smartTag>
      <w:r>
        <w:rPr>
          <w:rFonts w:ascii="Verdana" w:hAnsi="Verdana"/>
          <w:b/>
          <w:bCs/>
          <w:sz w:val="20"/>
          <w:szCs w:val="20"/>
        </w:rPr>
        <w:t xml:space="preserve">) </w:t>
      </w:r>
      <w:proofErr w:type="gramStart"/>
      <w:r>
        <w:rPr>
          <w:rFonts w:ascii="Verdana" w:hAnsi="Verdana"/>
          <w:b/>
          <w:bCs/>
          <w:sz w:val="20"/>
          <w:szCs w:val="20"/>
        </w:rPr>
        <w:t>3400 :</w:t>
      </w:r>
      <w:proofErr w:type="gramEnd"/>
      <w:r>
        <w:rPr>
          <w:rFonts w:ascii="Verdana" w:hAnsi="Verdana"/>
          <w:b/>
          <w:bCs/>
          <w:sz w:val="20"/>
          <w:szCs w:val="20"/>
        </w:rPr>
        <w:t xml:space="preserve"> The Examination of Prospective Financial Information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>Standards on Related Services (</w:t>
      </w:r>
      <w:smartTag w:uri="urn:schemas-microsoft-com:office:smarttags" w:element="stockticker">
        <w:r>
          <w:rPr>
            <w:rFonts w:ascii="Verdana" w:hAnsi="Verdana"/>
            <w:b/>
            <w:bCs/>
            <w:sz w:val="20"/>
            <w:szCs w:val="20"/>
          </w:rPr>
          <w:t>SRS</w:t>
        </w:r>
      </w:smartTag>
      <w:r>
        <w:rPr>
          <w:rFonts w:ascii="Verdana" w:hAnsi="Verdana"/>
          <w:b/>
          <w:bCs/>
          <w:sz w:val="20"/>
          <w:szCs w:val="20"/>
        </w:rPr>
        <w:t xml:space="preserve">) 4400: </w:t>
      </w:r>
      <w:r>
        <w:rPr>
          <w:rFonts w:ascii="Verdana" w:hAnsi="Verdana"/>
          <w:b/>
          <w:bCs/>
          <w:sz w:val="20"/>
          <w:szCs w:val="20"/>
          <w:u w:val="single"/>
        </w:rPr>
        <w:t>Engagements to Perform Agreed–upon Procedures regarding Financial Information</w:t>
      </w:r>
    </w:p>
    <w:p w:rsidR="00424068" w:rsidRDefault="00424068" w:rsidP="00424068">
      <w:pPr>
        <w:pStyle w:val="NormalWeb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SRS 4410: Engagements to Compile Financial Information</w:t>
      </w: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</w:p>
    <w:p w:rsidR="008A3519" w:rsidRDefault="008A3519" w:rsidP="008A3519">
      <w:pPr>
        <w:pStyle w:val="NormalWeb"/>
        <w:rPr>
          <w:rFonts w:ascii="Verdana" w:hAnsi="Verdana"/>
          <w:b/>
          <w:bCs/>
          <w:sz w:val="20"/>
          <w:szCs w:val="20"/>
          <w:u w:val="single"/>
        </w:rPr>
      </w:pPr>
    </w:p>
    <w:p w:rsidR="008A3519" w:rsidRPr="008B2B23" w:rsidRDefault="00424068" w:rsidP="008A3519">
      <w:pPr>
        <w:rPr>
          <w:color w:val="00B0F0"/>
          <w:sz w:val="44"/>
          <w:szCs w:val="44"/>
        </w:rPr>
      </w:pPr>
      <w:r w:rsidRPr="008B2B23">
        <w:rPr>
          <w:color w:val="00B0F0"/>
          <w:sz w:val="44"/>
          <w:szCs w:val="44"/>
        </w:rPr>
        <w:t>BIJENDRA KUMAR SAH</w:t>
      </w:r>
    </w:p>
    <w:p w:rsidR="00424068" w:rsidRPr="00424068" w:rsidRDefault="00424068" w:rsidP="008A3519">
      <w:pPr>
        <w:rPr>
          <w:color w:val="FF0000"/>
        </w:rPr>
      </w:pPr>
      <w:hyperlink r:id="rId4" w:history="1">
        <w:r w:rsidRPr="00424068">
          <w:rPr>
            <w:rStyle w:val="Hyperlink"/>
            <w:color w:val="FF0000"/>
          </w:rPr>
          <w:t>BIKASH3@GMAIL.COM</w:t>
        </w:r>
      </w:hyperlink>
    </w:p>
    <w:p w:rsidR="00424068" w:rsidRPr="008A3519" w:rsidRDefault="00424068" w:rsidP="008A3519">
      <w:r>
        <w:t>CHENNAI</w:t>
      </w:r>
      <w:proofErr w:type="gramStart"/>
      <w:r>
        <w:t>,INDIA</w:t>
      </w:r>
      <w:proofErr w:type="gramEnd"/>
    </w:p>
    <w:sectPr w:rsidR="00424068" w:rsidRPr="008A3519" w:rsidSect="00424068">
      <w:pgSz w:w="12240" w:h="15840"/>
      <w:pgMar w:top="1440" w:right="1440" w:bottom="1440" w:left="1440" w:header="720" w:footer="720" w:gutter="0"/>
      <w:pgBorders w:offsetFrom="page">
        <w:top w:val="single" w:sz="8" w:space="24" w:color="FF388C" w:themeColor="accent1"/>
        <w:left w:val="single" w:sz="8" w:space="24" w:color="FF388C" w:themeColor="accent1"/>
        <w:bottom w:val="single" w:sz="8" w:space="24" w:color="FF388C" w:themeColor="accent1"/>
        <w:right w:val="single" w:sz="8" w:space="24" w:color="FF388C" w:themeColor="accent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8A3519"/>
    <w:rsid w:val="00424068"/>
    <w:rsid w:val="005F6C25"/>
    <w:rsid w:val="008A3519"/>
    <w:rsid w:val="008B2B23"/>
    <w:rsid w:val="00C733E7"/>
    <w:rsid w:val="00D0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>
      <o:colormenu v:ext="edit" fillcolor="none [32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A3519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3519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8A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4068"/>
    <w:rPr>
      <w:color w:val="17BBFD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KASH3@GMAIL.COM" TargetMode="Externa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2010-10-02T13:03:00Z</dcterms:created>
  <dcterms:modified xsi:type="dcterms:W3CDTF">2010-10-02T13:24:00Z</dcterms:modified>
</cp:coreProperties>
</file>