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7E4" w:rsidRPr="00CC3E67" w:rsidRDefault="00DB77E4">
      <w:pPr>
        <w:spacing w:line="360" w:lineRule="auto"/>
        <w:jc w:val="both"/>
        <w:rPr>
          <w:sz w:val="24"/>
          <w:szCs w:val="24"/>
        </w:rPr>
      </w:pPr>
      <w:r w:rsidRPr="00CC3E67">
        <w:rPr>
          <w:sz w:val="24"/>
          <w:szCs w:val="24"/>
        </w:rPr>
        <w:t xml:space="preserve">The need for analytical studies and review procedures arises from the need to understand the business of the entity being audited. The usual audit procedures give the auditor an understanding of the entity at a microlevel. When it comes to true and fairness of the financial statements, which is the auditor’s primary concern, too many questions are unanswered because of a lack of perspective at macrolevel. A study of analytical studies and review procedures tries to fill the gap. Also, when one completes  the procedure along with the </w:t>
      </w:r>
      <w:r w:rsidRPr="00CC3E67">
        <w:rPr>
          <w:b/>
          <w:i/>
          <w:sz w:val="24"/>
          <w:szCs w:val="24"/>
        </w:rPr>
        <w:t>International Standard on Auditing ‘Knowledge of the Business’</w:t>
      </w:r>
      <w:r w:rsidRPr="00CC3E67">
        <w:rPr>
          <w:sz w:val="24"/>
          <w:szCs w:val="24"/>
        </w:rPr>
        <w:t>, it completes the auditing procedure giving the auditor an insight into the business of the entity being audited which is so essential for expressing an opinion of true and fairness of the financial statements and the value of the business to the shareholders.</w:t>
      </w:r>
    </w:p>
    <w:p w:rsidR="00DB77E4" w:rsidRPr="00CC3E67" w:rsidRDefault="00DB77E4">
      <w:pPr>
        <w:spacing w:line="360" w:lineRule="auto"/>
        <w:jc w:val="both"/>
        <w:rPr>
          <w:sz w:val="24"/>
          <w:szCs w:val="24"/>
        </w:rPr>
      </w:pPr>
    </w:p>
    <w:p w:rsidR="00DB77E4" w:rsidRPr="00CC3E67" w:rsidRDefault="00DB77E4">
      <w:pPr>
        <w:spacing w:line="360" w:lineRule="auto"/>
        <w:jc w:val="both"/>
        <w:rPr>
          <w:sz w:val="24"/>
          <w:szCs w:val="24"/>
        </w:rPr>
      </w:pPr>
      <w:r w:rsidRPr="00CC3E67">
        <w:rPr>
          <w:sz w:val="24"/>
          <w:szCs w:val="24"/>
        </w:rPr>
        <w:t xml:space="preserve">The study of ratios will depend on the complexities of the business of the client. For example, a simple comparison of sales of the current year with that of the preceding year may not be adequate. A further break-up of sales will be necessary in terms of sales product-wise, segment-wise such as sales to OEM (Original Equipment Manufacturers), sales to replacement or retail markets, export sales, sales broken down into geographical areas. </w:t>
      </w:r>
      <w:r w:rsidR="00CC3E67">
        <w:rPr>
          <w:sz w:val="24"/>
          <w:szCs w:val="24"/>
        </w:rPr>
        <w:t xml:space="preserve"> </w:t>
      </w:r>
      <w:r w:rsidRPr="00CC3E67">
        <w:rPr>
          <w:sz w:val="24"/>
          <w:szCs w:val="24"/>
        </w:rPr>
        <w:t>A sample of ratios is given in the following pages, which may be refined, as we go along to suit the individual requirements of each client.</w:t>
      </w:r>
      <w:r w:rsidR="00CC3E67">
        <w:rPr>
          <w:sz w:val="24"/>
          <w:szCs w:val="24"/>
        </w:rPr>
        <w:t xml:space="preserve"> </w:t>
      </w:r>
      <w:r w:rsidRPr="00CC3E67">
        <w:rPr>
          <w:sz w:val="24"/>
          <w:szCs w:val="24"/>
        </w:rPr>
        <w:t xml:space="preserve">In every company of a reasonable size, all the information will be readily available in the form of MIS which may be utilised. </w:t>
      </w:r>
    </w:p>
    <w:p w:rsidR="00DB77E4" w:rsidRPr="00CC3E67" w:rsidRDefault="00DB77E4">
      <w:pPr>
        <w:spacing w:line="360" w:lineRule="auto"/>
        <w:jc w:val="both"/>
        <w:rPr>
          <w:sz w:val="24"/>
          <w:szCs w:val="24"/>
        </w:rPr>
      </w:pPr>
    </w:p>
    <w:p w:rsidR="00DB77E4" w:rsidRPr="00CC3E67" w:rsidRDefault="00DB77E4">
      <w:pPr>
        <w:spacing w:line="360" w:lineRule="auto"/>
        <w:jc w:val="both"/>
        <w:rPr>
          <w:sz w:val="24"/>
          <w:szCs w:val="24"/>
        </w:rPr>
      </w:pPr>
      <w:r w:rsidRPr="00CC3E67">
        <w:rPr>
          <w:sz w:val="24"/>
          <w:szCs w:val="24"/>
        </w:rPr>
        <w:t>The ratios may be broadly classified into two different kinds. The first set are the ratios that will give the business trends and the other is performance oriented ie. financials of the company that will give  indication</w:t>
      </w:r>
      <w:r w:rsidR="000B38F2">
        <w:rPr>
          <w:sz w:val="24"/>
          <w:szCs w:val="24"/>
        </w:rPr>
        <w:t>s of growth, strengths and weak</w:t>
      </w:r>
      <w:r w:rsidRPr="00CC3E67">
        <w:rPr>
          <w:sz w:val="24"/>
          <w:szCs w:val="24"/>
        </w:rPr>
        <w:t>nesses of the company.</w:t>
      </w:r>
      <w:r w:rsidR="000B38F2">
        <w:rPr>
          <w:sz w:val="24"/>
          <w:szCs w:val="24"/>
        </w:rPr>
        <w:t xml:space="preserve"> I</w:t>
      </w:r>
      <w:r w:rsidRPr="00CC3E67">
        <w:rPr>
          <w:sz w:val="24"/>
          <w:szCs w:val="24"/>
        </w:rPr>
        <w:t>n the second case where we have to report to the holding company’s auditors, a summary of  financial evaluation of the company will be required as a part of the audit package the parent company’s auditors may require us to prepare.</w:t>
      </w:r>
    </w:p>
    <w:p w:rsidR="00DB77E4" w:rsidRPr="00CC3E67" w:rsidRDefault="00DB77E4">
      <w:pPr>
        <w:spacing w:line="360" w:lineRule="auto"/>
        <w:jc w:val="both"/>
        <w:rPr>
          <w:sz w:val="24"/>
          <w:szCs w:val="24"/>
        </w:rPr>
      </w:pPr>
    </w:p>
    <w:p w:rsidR="00DB77E4" w:rsidRPr="00CC3E67" w:rsidRDefault="00DB77E4">
      <w:pPr>
        <w:spacing w:line="360" w:lineRule="auto"/>
        <w:jc w:val="both"/>
        <w:rPr>
          <w:sz w:val="24"/>
          <w:szCs w:val="24"/>
        </w:rPr>
      </w:pPr>
      <w:r w:rsidRPr="00CC3E67">
        <w:rPr>
          <w:sz w:val="24"/>
          <w:szCs w:val="24"/>
        </w:rPr>
        <w:t>Some of the ratios are to be computed on a year to year basis while some others should be carried in our files at least for 5 years (we may start with 1997 to 1998 initially). An example of the former is sales analysis while in the later case, the return on networth (RONW). Ultimately, rather than follow the procedure routinely, it should be ensured that there is value addition to the audit.</w:t>
      </w:r>
    </w:p>
    <w:p w:rsidR="00DB77E4" w:rsidRPr="00CC3E67" w:rsidRDefault="00DB77E4">
      <w:pPr>
        <w:spacing w:line="360" w:lineRule="auto"/>
        <w:jc w:val="both"/>
        <w:rPr>
          <w:sz w:val="24"/>
          <w:szCs w:val="24"/>
        </w:rPr>
      </w:pPr>
    </w:p>
    <w:p w:rsidR="00DB77E4" w:rsidRDefault="00DB77E4">
      <w:pPr>
        <w:pStyle w:val="Heading1"/>
      </w:pPr>
      <w:r>
        <w:t>Ratios extracted from the ICAI Guidance Note on Audit of Inventories</w:t>
      </w:r>
    </w:p>
    <w:p w:rsidR="00DB77E4" w:rsidRDefault="00DB77E4"/>
    <w:tbl>
      <w:tblPr>
        <w:tblW w:w="9378" w:type="dxa"/>
        <w:tblLayout w:type="fixed"/>
        <w:tblLook w:val="0000"/>
      </w:tblPr>
      <w:tblGrid>
        <w:gridCol w:w="558"/>
        <w:gridCol w:w="90"/>
        <w:gridCol w:w="4140"/>
        <w:gridCol w:w="360"/>
        <w:gridCol w:w="3870"/>
        <w:gridCol w:w="360"/>
      </w:tblGrid>
      <w:tr w:rsidR="00DB77E4">
        <w:tblPrEx>
          <w:tblCellMar>
            <w:top w:w="0" w:type="dxa"/>
            <w:bottom w:w="0" w:type="dxa"/>
          </w:tblCellMar>
        </w:tblPrEx>
        <w:tc>
          <w:tcPr>
            <w:tcW w:w="648" w:type="dxa"/>
            <w:gridSpan w:val="2"/>
          </w:tcPr>
          <w:p w:rsidR="00DB77E4" w:rsidRDefault="00DB77E4" w:rsidP="00CC3E67">
            <w:pPr>
              <w:spacing w:line="320" w:lineRule="exact"/>
              <w:jc w:val="both"/>
              <w:rPr>
                <w:sz w:val="22"/>
              </w:rPr>
            </w:pPr>
            <w:r>
              <w:rPr>
                <w:sz w:val="22"/>
              </w:rPr>
              <w:t>1.</w:t>
            </w:r>
          </w:p>
        </w:tc>
        <w:tc>
          <w:tcPr>
            <w:tcW w:w="4140" w:type="dxa"/>
          </w:tcPr>
          <w:p w:rsidR="00DB77E4" w:rsidRDefault="00DB77E4" w:rsidP="00CC3E67">
            <w:pPr>
              <w:spacing w:line="320" w:lineRule="exact"/>
              <w:jc w:val="both"/>
              <w:rPr>
                <w:sz w:val="22"/>
              </w:rPr>
            </w:pPr>
            <w:r>
              <w:rPr>
                <w:sz w:val="22"/>
              </w:rPr>
              <w:t xml:space="preserve">Reconciliations of quantities of </w:t>
            </w:r>
          </w:p>
          <w:p w:rsidR="00DB77E4" w:rsidRDefault="00DB77E4" w:rsidP="00CC3E67">
            <w:pPr>
              <w:spacing w:line="320" w:lineRule="exact"/>
              <w:jc w:val="both"/>
              <w:rPr>
                <w:sz w:val="22"/>
              </w:rPr>
            </w:pPr>
            <w:r>
              <w:rPr>
                <w:sz w:val="22"/>
              </w:rPr>
              <w:t>Opening stocks</w:t>
            </w:r>
          </w:p>
          <w:p w:rsidR="00DB77E4" w:rsidRDefault="00DB77E4" w:rsidP="00CC3E67">
            <w:pPr>
              <w:spacing w:line="320" w:lineRule="exact"/>
              <w:jc w:val="both"/>
              <w:rPr>
                <w:sz w:val="22"/>
              </w:rPr>
            </w:pPr>
            <w:r>
              <w:rPr>
                <w:sz w:val="22"/>
              </w:rPr>
              <w:t>Purchases</w:t>
            </w:r>
          </w:p>
          <w:p w:rsidR="00DB77E4" w:rsidRDefault="00DB77E4" w:rsidP="00CC3E67">
            <w:pPr>
              <w:spacing w:line="320" w:lineRule="exact"/>
              <w:jc w:val="both"/>
              <w:rPr>
                <w:sz w:val="22"/>
              </w:rPr>
            </w:pPr>
            <w:r>
              <w:rPr>
                <w:sz w:val="22"/>
              </w:rPr>
              <w:t xml:space="preserve">Production </w:t>
            </w:r>
          </w:p>
          <w:p w:rsidR="00DB77E4" w:rsidRDefault="00DB77E4" w:rsidP="00CC3E67">
            <w:pPr>
              <w:spacing w:line="320" w:lineRule="exact"/>
              <w:jc w:val="both"/>
              <w:rPr>
                <w:sz w:val="22"/>
              </w:rPr>
            </w:pPr>
            <w:r>
              <w:rPr>
                <w:sz w:val="22"/>
              </w:rPr>
              <w:t>Sales</w:t>
            </w:r>
          </w:p>
          <w:p w:rsidR="00DB77E4" w:rsidRDefault="00DB77E4" w:rsidP="00CC3E67">
            <w:pPr>
              <w:spacing w:line="320" w:lineRule="exact"/>
              <w:jc w:val="both"/>
              <w:rPr>
                <w:sz w:val="22"/>
              </w:rPr>
            </w:pPr>
            <w:r>
              <w:rPr>
                <w:sz w:val="22"/>
              </w:rPr>
              <w:t>Closing stocks</w:t>
            </w:r>
          </w:p>
        </w:tc>
        <w:tc>
          <w:tcPr>
            <w:tcW w:w="4590" w:type="dxa"/>
            <w:gridSpan w:val="3"/>
          </w:tcPr>
          <w:p w:rsidR="00DB77E4" w:rsidRDefault="00DB77E4" w:rsidP="00CC3E67">
            <w:pPr>
              <w:spacing w:line="320" w:lineRule="exact"/>
              <w:jc w:val="both"/>
              <w:rPr>
                <w:sz w:val="22"/>
              </w:rPr>
            </w:pPr>
          </w:p>
        </w:tc>
      </w:tr>
      <w:tr w:rsidR="00DB77E4">
        <w:tblPrEx>
          <w:tblCellMar>
            <w:top w:w="0" w:type="dxa"/>
            <w:bottom w:w="0" w:type="dxa"/>
          </w:tblCellMar>
        </w:tblPrEx>
        <w:tc>
          <w:tcPr>
            <w:tcW w:w="648" w:type="dxa"/>
            <w:gridSpan w:val="2"/>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 xml:space="preserve">2. </w:t>
            </w:r>
          </w:p>
        </w:tc>
        <w:tc>
          <w:tcPr>
            <w:tcW w:w="414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 xml:space="preserve">Comparison of </w:t>
            </w:r>
          </w:p>
          <w:p w:rsidR="00DB77E4" w:rsidRDefault="00DB77E4" w:rsidP="00CC3E67">
            <w:pPr>
              <w:spacing w:line="320" w:lineRule="exact"/>
              <w:jc w:val="both"/>
              <w:rPr>
                <w:sz w:val="22"/>
              </w:rPr>
            </w:pPr>
            <w:r>
              <w:rPr>
                <w:sz w:val="22"/>
              </w:rPr>
              <w:t xml:space="preserve">Closing stock quantities and values   with those of </w:t>
            </w:r>
          </w:p>
          <w:p w:rsidR="00DB77E4" w:rsidRDefault="00DB77E4" w:rsidP="00CC3E67">
            <w:pPr>
              <w:spacing w:line="320" w:lineRule="exact"/>
              <w:jc w:val="both"/>
              <w:rPr>
                <w:sz w:val="22"/>
              </w:rPr>
            </w:pPr>
            <w:r>
              <w:rPr>
                <w:sz w:val="22"/>
              </w:rPr>
              <w:t>Opening stocks quantities  and values</w:t>
            </w:r>
          </w:p>
        </w:tc>
        <w:tc>
          <w:tcPr>
            <w:tcW w:w="4590" w:type="dxa"/>
            <w:gridSpan w:val="3"/>
          </w:tcPr>
          <w:p w:rsidR="00DB77E4" w:rsidRDefault="00DB77E4" w:rsidP="00CC3E67">
            <w:pPr>
              <w:spacing w:line="320" w:lineRule="exact"/>
              <w:jc w:val="both"/>
              <w:rPr>
                <w:sz w:val="22"/>
              </w:rPr>
            </w:pPr>
          </w:p>
        </w:tc>
      </w:tr>
      <w:tr w:rsidR="00DB77E4">
        <w:tblPrEx>
          <w:tblCellMar>
            <w:top w:w="0" w:type="dxa"/>
            <w:bottom w:w="0" w:type="dxa"/>
          </w:tblCellMar>
        </w:tblPrEx>
        <w:tc>
          <w:tcPr>
            <w:tcW w:w="648" w:type="dxa"/>
            <w:gridSpan w:val="2"/>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3.</w:t>
            </w:r>
          </w:p>
        </w:tc>
        <w:tc>
          <w:tcPr>
            <w:tcW w:w="414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Comparison of the relationship of Current year stock quantities and amounts with Current year sales and purchases, with</w:t>
            </w:r>
          </w:p>
          <w:p w:rsidR="00DB77E4" w:rsidRDefault="00DB77E4" w:rsidP="00CC3E67">
            <w:pPr>
              <w:spacing w:line="320" w:lineRule="exact"/>
              <w:jc w:val="both"/>
              <w:rPr>
                <w:sz w:val="22"/>
              </w:rPr>
            </w:pPr>
            <w:r>
              <w:rPr>
                <w:sz w:val="22"/>
              </w:rPr>
              <w:t xml:space="preserve">Corresponding figures for the previous year  </w:t>
            </w:r>
          </w:p>
        </w:tc>
        <w:tc>
          <w:tcPr>
            <w:tcW w:w="4590" w:type="dxa"/>
            <w:gridSpan w:val="3"/>
          </w:tcPr>
          <w:p w:rsidR="00DB77E4" w:rsidRDefault="00DB77E4" w:rsidP="00CC3E67">
            <w:pPr>
              <w:spacing w:line="320" w:lineRule="exact"/>
              <w:jc w:val="both"/>
              <w:rPr>
                <w:sz w:val="22"/>
              </w:rPr>
            </w:pPr>
          </w:p>
        </w:tc>
      </w:tr>
      <w:tr w:rsidR="00DB77E4">
        <w:tblPrEx>
          <w:tblCellMar>
            <w:top w:w="0" w:type="dxa"/>
            <w:bottom w:w="0" w:type="dxa"/>
          </w:tblCellMar>
        </w:tblPrEx>
        <w:tc>
          <w:tcPr>
            <w:tcW w:w="648" w:type="dxa"/>
            <w:gridSpan w:val="2"/>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4.</w:t>
            </w:r>
          </w:p>
        </w:tc>
        <w:tc>
          <w:tcPr>
            <w:tcW w:w="414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Comparison of the composition  of the closing stock (e.g. raw material, WIP and finished goods) as a percentage of total stocks with the previous year.</w:t>
            </w:r>
          </w:p>
        </w:tc>
        <w:tc>
          <w:tcPr>
            <w:tcW w:w="4590" w:type="dxa"/>
            <w:gridSpan w:val="3"/>
          </w:tcPr>
          <w:p w:rsidR="00DB77E4" w:rsidRDefault="00DB77E4" w:rsidP="00CC3E67">
            <w:pPr>
              <w:spacing w:line="320" w:lineRule="exact"/>
              <w:jc w:val="both"/>
              <w:rPr>
                <w:sz w:val="22"/>
              </w:rPr>
            </w:pPr>
          </w:p>
        </w:tc>
      </w:tr>
      <w:tr w:rsidR="00DB77E4">
        <w:tblPrEx>
          <w:tblCellMar>
            <w:top w:w="0" w:type="dxa"/>
            <w:bottom w:w="0" w:type="dxa"/>
          </w:tblCellMar>
        </w:tblPrEx>
        <w:tc>
          <w:tcPr>
            <w:tcW w:w="648" w:type="dxa"/>
            <w:gridSpan w:val="2"/>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5.</w:t>
            </w:r>
          </w:p>
        </w:tc>
        <w:tc>
          <w:tcPr>
            <w:tcW w:w="414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Comparison of actual stock, purchases and sales figures with the corresponding budgeted figures if available.</w:t>
            </w:r>
          </w:p>
        </w:tc>
        <w:tc>
          <w:tcPr>
            <w:tcW w:w="4590" w:type="dxa"/>
            <w:gridSpan w:val="3"/>
          </w:tcPr>
          <w:p w:rsidR="00DB77E4" w:rsidRDefault="00DB77E4" w:rsidP="00CC3E67">
            <w:pPr>
              <w:spacing w:line="320" w:lineRule="exact"/>
              <w:jc w:val="both"/>
              <w:rPr>
                <w:sz w:val="22"/>
              </w:rPr>
            </w:pPr>
          </w:p>
        </w:tc>
      </w:tr>
      <w:tr w:rsidR="00DB77E4">
        <w:tblPrEx>
          <w:tblCellMar>
            <w:top w:w="0" w:type="dxa"/>
            <w:bottom w:w="0" w:type="dxa"/>
          </w:tblCellMar>
        </w:tblPrEx>
        <w:trPr>
          <w:gridAfter w:val="1"/>
          <w:wAfter w:w="360" w:type="dxa"/>
        </w:trPr>
        <w:tc>
          <w:tcPr>
            <w:tcW w:w="558" w:type="dxa"/>
          </w:tcPr>
          <w:p w:rsidR="00DB77E4" w:rsidRDefault="00DB77E4" w:rsidP="00CC3E67">
            <w:pPr>
              <w:spacing w:line="320" w:lineRule="exact"/>
              <w:jc w:val="both"/>
              <w:rPr>
                <w:sz w:val="22"/>
              </w:rPr>
            </w:pPr>
            <w:r>
              <w:rPr>
                <w:sz w:val="22"/>
              </w:rPr>
              <w:t>6.</w:t>
            </w:r>
          </w:p>
        </w:tc>
        <w:tc>
          <w:tcPr>
            <w:tcW w:w="4590" w:type="dxa"/>
            <w:gridSpan w:val="3"/>
          </w:tcPr>
          <w:p w:rsidR="00DB77E4" w:rsidRDefault="00DB77E4" w:rsidP="00CC3E67">
            <w:pPr>
              <w:spacing w:line="320" w:lineRule="exact"/>
              <w:jc w:val="both"/>
              <w:rPr>
                <w:sz w:val="22"/>
              </w:rPr>
            </w:pPr>
            <w:r>
              <w:rPr>
                <w:sz w:val="22"/>
              </w:rPr>
              <w:t>Comparison of significant ratios relating to inventories with similar ratios for other firms in the same industry if available.</w:t>
            </w:r>
          </w:p>
        </w:tc>
        <w:tc>
          <w:tcPr>
            <w:tcW w:w="3870" w:type="dxa"/>
          </w:tcPr>
          <w:p w:rsidR="00DB77E4" w:rsidRDefault="00DB77E4" w:rsidP="00CC3E67">
            <w:pPr>
              <w:spacing w:line="320" w:lineRule="exact"/>
              <w:jc w:val="both"/>
              <w:rPr>
                <w:sz w:val="22"/>
              </w:rPr>
            </w:pPr>
          </w:p>
        </w:tc>
      </w:tr>
      <w:tr w:rsidR="00DB77E4">
        <w:tblPrEx>
          <w:tblCellMar>
            <w:top w:w="0" w:type="dxa"/>
            <w:bottom w:w="0" w:type="dxa"/>
          </w:tblCellMar>
        </w:tblPrEx>
        <w:trPr>
          <w:gridAfter w:val="1"/>
          <w:wAfter w:w="360" w:type="dxa"/>
        </w:trPr>
        <w:tc>
          <w:tcPr>
            <w:tcW w:w="558"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7.</w:t>
            </w:r>
          </w:p>
        </w:tc>
        <w:tc>
          <w:tcPr>
            <w:tcW w:w="4590" w:type="dxa"/>
            <w:gridSpan w:val="3"/>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Comparison of significant ratios relating to inventories with the industry norms, if available. It may be clarified that the foregoing is only an illustrative list of analytical review procedures which an auditor may employ in carrying out the audit of inventories. The exact nature of analytical studies and review procedures to be applied in a specify situation is a matter of professional judgement of the auditor.</w:t>
            </w:r>
          </w:p>
        </w:tc>
        <w:tc>
          <w:tcPr>
            <w:tcW w:w="3870" w:type="dxa"/>
          </w:tcPr>
          <w:p w:rsidR="00DB77E4" w:rsidRDefault="00DB77E4" w:rsidP="00CC3E67">
            <w:pPr>
              <w:spacing w:line="320" w:lineRule="exact"/>
              <w:jc w:val="both"/>
              <w:rPr>
                <w:sz w:val="22"/>
              </w:rPr>
            </w:pPr>
          </w:p>
        </w:tc>
      </w:tr>
    </w:tbl>
    <w:p w:rsidR="00DB77E4" w:rsidRDefault="00DB77E4" w:rsidP="00CC3E67">
      <w:pPr>
        <w:spacing w:line="320" w:lineRule="exact"/>
        <w:jc w:val="both"/>
        <w:rPr>
          <w:sz w:val="22"/>
        </w:rPr>
      </w:pPr>
    </w:p>
    <w:p w:rsidR="00DB77E4" w:rsidRDefault="00DB77E4">
      <w:pPr>
        <w:pStyle w:val="Heading1"/>
      </w:pPr>
      <w:r>
        <w:t>Ratios extracted  from the ICAI Guidance Note on  Audit of  Liabilities</w:t>
      </w:r>
    </w:p>
    <w:p w:rsidR="00DB77E4" w:rsidRDefault="00DB77E4">
      <w:pPr>
        <w:spacing w:line="360" w:lineRule="auto"/>
        <w:jc w:val="both"/>
        <w:rPr>
          <w:sz w:val="22"/>
        </w:rPr>
      </w:pPr>
    </w:p>
    <w:tbl>
      <w:tblPr>
        <w:tblW w:w="0" w:type="auto"/>
        <w:tblLayout w:type="fixed"/>
        <w:tblLook w:val="0000"/>
      </w:tblPr>
      <w:tblGrid>
        <w:gridCol w:w="558"/>
        <w:gridCol w:w="4590"/>
        <w:gridCol w:w="4770"/>
      </w:tblGrid>
      <w:tr w:rsidR="00DB77E4">
        <w:tblPrEx>
          <w:tblCellMar>
            <w:top w:w="0" w:type="dxa"/>
            <w:bottom w:w="0" w:type="dxa"/>
          </w:tblCellMar>
        </w:tblPrEx>
        <w:tc>
          <w:tcPr>
            <w:tcW w:w="558" w:type="dxa"/>
          </w:tcPr>
          <w:p w:rsidR="00DB77E4" w:rsidRDefault="00DB77E4" w:rsidP="00CC3E67">
            <w:pPr>
              <w:spacing w:line="320" w:lineRule="exact"/>
              <w:jc w:val="both"/>
              <w:rPr>
                <w:sz w:val="22"/>
              </w:rPr>
            </w:pPr>
            <w:r>
              <w:rPr>
                <w:sz w:val="22"/>
              </w:rPr>
              <w:t>1.</w:t>
            </w:r>
          </w:p>
        </w:tc>
        <w:tc>
          <w:tcPr>
            <w:tcW w:w="4590" w:type="dxa"/>
          </w:tcPr>
          <w:p w:rsidR="00DB77E4" w:rsidRDefault="00DB77E4" w:rsidP="00CC3E67">
            <w:pPr>
              <w:spacing w:line="320" w:lineRule="exact"/>
              <w:jc w:val="both"/>
              <w:rPr>
                <w:sz w:val="22"/>
              </w:rPr>
            </w:pPr>
            <w:r>
              <w:rPr>
                <w:sz w:val="22"/>
              </w:rPr>
              <w:t xml:space="preserve">Comparisons of closing balances of </w:t>
            </w:r>
          </w:p>
          <w:p w:rsidR="00DB77E4" w:rsidRDefault="00DB77E4" w:rsidP="00CC3E67">
            <w:pPr>
              <w:spacing w:line="320" w:lineRule="exact"/>
              <w:jc w:val="both"/>
              <w:rPr>
                <w:sz w:val="22"/>
              </w:rPr>
            </w:pPr>
            <w:r>
              <w:rPr>
                <w:sz w:val="22"/>
              </w:rPr>
              <w:t>Loans and borrowings, Creditors</w:t>
            </w:r>
          </w:p>
          <w:p w:rsidR="00DB77E4" w:rsidRDefault="00DB77E4" w:rsidP="00CC3E67">
            <w:pPr>
              <w:spacing w:line="320" w:lineRule="exact"/>
              <w:jc w:val="both"/>
              <w:rPr>
                <w:sz w:val="22"/>
              </w:rPr>
            </w:pPr>
            <w:r>
              <w:rPr>
                <w:sz w:val="22"/>
              </w:rPr>
              <w:t>With the correspondin</w:t>
            </w:r>
            <w:r w:rsidR="00CC3E67">
              <w:rPr>
                <w:sz w:val="22"/>
              </w:rPr>
              <w:t xml:space="preserve">g figures for the previous year </w:t>
            </w:r>
          </w:p>
        </w:tc>
        <w:tc>
          <w:tcPr>
            <w:tcW w:w="4770" w:type="dxa"/>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2.</w:t>
            </w:r>
          </w:p>
        </w:tc>
        <w:tc>
          <w:tcPr>
            <w:tcW w:w="459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 xml:space="preserve">Comparison of the relationship between current year creditor balances and purchases with </w:t>
            </w:r>
          </w:p>
          <w:p w:rsidR="00DB77E4" w:rsidRDefault="00DB77E4" w:rsidP="00CC3E67">
            <w:pPr>
              <w:spacing w:line="320" w:lineRule="exact"/>
              <w:jc w:val="both"/>
              <w:rPr>
                <w:sz w:val="22"/>
              </w:rPr>
            </w:pPr>
            <w:r>
              <w:rPr>
                <w:sz w:val="22"/>
              </w:rPr>
              <w:t>Creditors balances and purchases of the previous year.</w:t>
            </w:r>
          </w:p>
        </w:tc>
        <w:tc>
          <w:tcPr>
            <w:tcW w:w="4770" w:type="dxa"/>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3.</w:t>
            </w:r>
          </w:p>
        </w:tc>
        <w:tc>
          <w:tcPr>
            <w:tcW w:w="459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Comparison of actual closing balances of Loans and borrowings,</w:t>
            </w:r>
          </w:p>
          <w:p w:rsidR="00DB77E4" w:rsidRDefault="00DB77E4" w:rsidP="00CC3E67">
            <w:pPr>
              <w:spacing w:line="320" w:lineRule="exact"/>
              <w:jc w:val="both"/>
              <w:rPr>
                <w:sz w:val="22"/>
              </w:rPr>
            </w:pPr>
            <w:r>
              <w:rPr>
                <w:sz w:val="22"/>
              </w:rPr>
              <w:t>Creditors with the corresponding budgeted figures if available</w:t>
            </w:r>
          </w:p>
        </w:tc>
        <w:tc>
          <w:tcPr>
            <w:tcW w:w="4770" w:type="dxa"/>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r>
              <w:rPr>
                <w:sz w:val="22"/>
              </w:rPr>
              <w:t>4.</w:t>
            </w:r>
          </w:p>
        </w:tc>
        <w:tc>
          <w:tcPr>
            <w:tcW w:w="4590" w:type="dxa"/>
          </w:tcPr>
          <w:p w:rsidR="00DB77E4" w:rsidRDefault="00DB77E4" w:rsidP="00CC3E67">
            <w:pPr>
              <w:spacing w:line="320" w:lineRule="exact"/>
              <w:jc w:val="both"/>
              <w:rPr>
                <w:sz w:val="22"/>
              </w:rPr>
            </w:pPr>
            <w:r>
              <w:rPr>
                <w:sz w:val="22"/>
              </w:rPr>
              <w:t>Comparison of current year’s aging schedule of creditors with the corresponding figures for the previous year.</w:t>
            </w:r>
          </w:p>
        </w:tc>
        <w:tc>
          <w:tcPr>
            <w:tcW w:w="4770" w:type="dxa"/>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r>
              <w:rPr>
                <w:sz w:val="22"/>
              </w:rPr>
              <w:t>5.</w:t>
            </w:r>
          </w:p>
        </w:tc>
        <w:tc>
          <w:tcPr>
            <w:tcW w:w="4590" w:type="dxa"/>
          </w:tcPr>
          <w:p w:rsidR="00DB77E4" w:rsidRDefault="00DB77E4" w:rsidP="00CC3E67">
            <w:pPr>
              <w:spacing w:line="320" w:lineRule="exact"/>
              <w:jc w:val="both"/>
              <w:rPr>
                <w:sz w:val="22"/>
              </w:rPr>
            </w:pPr>
            <w:r>
              <w:rPr>
                <w:sz w:val="22"/>
              </w:rPr>
              <w:t xml:space="preserve">Comparison of significant ratios relating to  Loans and borrowings and </w:t>
            </w:r>
          </w:p>
          <w:p w:rsidR="00DB77E4" w:rsidRDefault="00DB77E4" w:rsidP="00CC3E67">
            <w:pPr>
              <w:spacing w:line="320" w:lineRule="exact"/>
              <w:jc w:val="both"/>
              <w:rPr>
                <w:sz w:val="22"/>
              </w:rPr>
            </w:pPr>
            <w:r>
              <w:rPr>
                <w:sz w:val="22"/>
              </w:rPr>
              <w:t>Creditors with similar ratios for other firms in the same industry if available.</w:t>
            </w:r>
          </w:p>
        </w:tc>
        <w:tc>
          <w:tcPr>
            <w:tcW w:w="4770" w:type="dxa"/>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6.</w:t>
            </w:r>
          </w:p>
          <w:p w:rsidR="00DB77E4" w:rsidRDefault="00DB77E4" w:rsidP="00CC3E67">
            <w:pPr>
              <w:spacing w:line="320" w:lineRule="exact"/>
              <w:jc w:val="both"/>
              <w:rPr>
                <w:sz w:val="22"/>
              </w:rPr>
            </w:pPr>
          </w:p>
        </w:tc>
        <w:tc>
          <w:tcPr>
            <w:tcW w:w="459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Comparison of significant ratios relating to loans and borrowings, creditors with the industry norms if available.</w:t>
            </w:r>
          </w:p>
        </w:tc>
        <w:tc>
          <w:tcPr>
            <w:tcW w:w="4770" w:type="dxa"/>
          </w:tcPr>
          <w:p w:rsidR="00DB77E4" w:rsidRDefault="00DB77E4" w:rsidP="00CC3E67">
            <w:pPr>
              <w:spacing w:line="320" w:lineRule="exact"/>
              <w:jc w:val="both"/>
              <w:rPr>
                <w:sz w:val="22"/>
              </w:rPr>
            </w:pPr>
          </w:p>
        </w:tc>
      </w:tr>
    </w:tbl>
    <w:p w:rsidR="00DB77E4" w:rsidRDefault="00DB77E4" w:rsidP="00CC3E67">
      <w:pPr>
        <w:spacing w:line="320" w:lineRule="exact"/>
        <w:jc w:val="both"/>
        <w:rPr>
          <w:sz w:val="22"/>
        </w:rPr>
      </w:pPr>
    </w:p>
    <w:p w:rsidR="00DB77E4" w:rsidRDefault="00DB77E4" w:rsidP="00CC3E67">
      <w:pPr>
        <w:pStyle w:val="Heading1"/>
        <w:spacing w:line="320" w:lineRule="exact"/>
      </w:pPr>
    </w:p>
    <w:p w:rsidR="00DB77E4" w:rsidRDefault="00DB77E4" w:rsidP="00CC3E67">
      <w:pPr>
        <w:pStyle w:val="Heading1"/>
        <w:spacing w:line="320" w:lineRule="exact"/>
      </w:pPr>
      <w:r>
        <w:t>Ratios  extracted  from the ICAI Guidance Note on  Audit of Debtors,  Loans and Advances</w:t>
      </w:r>
    </w:p>
    <w:p w:rsidR="00DB77E4" w:rsidRDefault="00DB77E4" w:rsidP="00CC3E67">
      <w:pPr>
        <w:spacing w:line="320" w:lineRule="exact"/>
      </w:pPr>
    </w:p>
    <w:tbl>
      <w:tblPr>
        <w:tblW w:w="0" w:type="auto"/>
        <w:tblLayout w:type="fixed"/>
        <w:tblLook w:val="0000"/>
      </w:tblPr>
      <w:tblGrid>
        <w:gridCol w:w="558"/>
        <w:gridCol w:w="4500"/>
        <w:gridCol w:w="3870"/>
      </w:tblGrid>
      <w:tr w:rsidR="00DB77E4">
        <w:tblPrEx>
          <w:tblCellMar>
            <w:top w:w="0" w:type="dxa"/>
            <w:bottom w:w="0" w:type="dxa"/>
          </w:tblCellMar>
        </w:tblPrEx>
        <w:tc>
          <w:tcPr>
            <w:tcW w:w="558" w:type="dxa"/>
          </w:tcPr>
          <w:p w:rsidR="00DB77E4" w:rsidRDefault="00DB77E4" w:rsidP="00CC3E67">
            <w:pPr>
              <w:spacing w:line="320" w:lineRule="exact"/>
              <w:jc w:val="both"/>
              <w:rPr>
                <w:sz w:val="22"/>
              </w:rPr>
            </w:pPr>
            <w:r>
              <w:rPr>
                <w:sz w:val="22"/>
              </w:rPr>
              <w:t>1.</w:t>
            </w:r>
          </w:p>
        </w:tc>
        <w:tc>
          <w:tcPr>
            <w:tcW w:w="4500" w:type="dxa"/>
          </w:tcPr>
          <w:p w:rsidR="00DB77E4" w:rsidRDefault="00DB77E4" w:rsidP="00CC3E67">
            <w:pPr>
              <w:spacing w:line="320" w:lineRule="exact"/>
              <w:jc w:val="both"/>
              <w:rPr>
                <w:sz w:val="22"/>
              </w:rPr>
            </w:pPr>
            <w:r>
              <w:rPr>
                <w:sz w:val="22"/>
              </w:rPr>
              <w:t xml:space="preserve">Comparison of </w:t>
            </w:r>
          </w:p>
          <w:p w:rsidR="00DB77E4" w:rsidRDefault="00DB77E4" w:rsidP="00CC3E67">
            <w:pPr>
              <w:spacing w:line="320" w:lineRule="exact"/>
              <w:jc w:val="both"/>
              <w:rPr>
                <w:sz w:val="22"/>
              </w:rPr>
            </w:pPr>
            <w:r>
              <w:rPr>
                <w:sz w:val="22"/>
              </w:rPr>
              <w:t>Closing balances of Debtors, Loans and Advances with the corresponding balances of the previous year</w:t>
            </w:r>
          </w:p>
        </w:tc>
        <w:tc>
          <w:tcPr>
            <w:tcW w:w="3870" w:type="dxa"/>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2.</w:t>
            </w:r>
          </w:p>
        </w:tc>
        <w:tc>
          <w:tcPr>
            <w:tcW w:w="450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Comparison of relationship between current year debtor balances and the current sales with the corresponding figures for the previous year.</w:t>
            </w:r>
          </w:p>
        </w:tc>
        <w:tc>
          <w:tcPr>
            <w:tcW w:w="3870" w:type="dxa"/>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lastRenderedPageBreak/>
              <w:t>3.</w:t>
            </w:r>
          </w:p>
        </w:tc>
        <w:tc>
          <w:tcPr>
            <w:tcW w:w="450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lastRenderedPageBreak/>
              <w:t>Comparison of actual closing balances of  Debtors, Loans and Advances with the corresponding budgeted figures if available.</w:t>
            </w:r>
          </w:p>
          <w:p w:rsidR="00DB77E4" w:rsidRDefault="00DB77E4" w:rsidP="00CC3E67">
            <w:pPr>
              <w:spacing w:line="320" w:lineRule="exact"/>
              <w:jc w:val="both"/>
              <w:rPr>
                <w:sz w:val="22"/>
              </w:rPr>
            </w:pPr>
          </w:p>
        </w:tc>
        <w:tc>
          <w:tcPr>
            <w:tcW w:w="3870" w:type="dxa"/>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r>
              <w:rPr>
                <w:sz w:val="22"/>
              </w:rPr>
              <w:lastRenderedPageBreak/>
              <w:t>4.</w:t>
            </w:r>
          </w:p>
        </w:tc>
        <w:tc>
          <w:tcPr>
            <w:tcW w:w="4500" w:type="dxa"/>
          </w:tcPr>
          <w:p w:rsidR="00DB77E4" w:rsidRDefault="00DB77E4" w:rsidP="00CC3E67">
            <w:pPr>
              <w:spacing w:line="320" w:lineRule="exact"/>
              <w:jc w:val="both"/>
              <w:rPr>
                <w:sz w:val="22"/>
              </w:rPr>
            </w:pPr>
            <w:r>
              <w:rPr>
                <w:sz w:val="22"/>
              </w:rPr>
              <w:t>Comparison of current year’s aging schedule with the corresponding  figures for the previous year.</w:t>
            </w:r>
          </w:p>
        </w:tc>
        <w:tc>
          <w:tcPr>
            <w:tcW w:w="3870" w:type="dxa"/>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5</w:t>
            </w:r>
          </w:p>
        </w:tc>
        <w:tc>
          <w:tcPr>
            <w:tcW w:w="450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Comparison of significant ratios relating to Debtors, Loans and Advances with similar ratios for other firms in the same industry if available.</w:t>
            </w:r>
          </w:p>
        </w:tc>
        <w:tc>
          <w:tcPr>
            <w:tcW w:w="3870" w:type="dxa"/>
          </w:tcPr>
          <w:p w:rsidR="00DB77E4" w:rsidRDefault="00DB77E4" w:rsidP="00CC3E67">
            <w:pPr>
              <w:spacing w:line="320" w:lineRule="exact"/>
              <w:jc w:val="both"/>
              <w:rPr>
                <w:sz w:val="22"/>
              </w:rPr>
            </w:pPr>
          </w:p>
        </w:tc>
      </w:tr>
    </w:tbl>
    <w:p w:rsidR="00DB77E4" w:rsidRDefault="00DB77E4" w:rsidP="00CC3E67">
      <w:pPr>
        <w:spacing w:line="320" w:lineRule="exact"/>
        <w:jc w:val="both"/>
        <w:rPr>
          <w:sz w:val="22"/>
        </w:rPr>
      </w:pPr>
    </w:p>
    <w:p w:rsidR="00DB77E4" w:rsidRDefault="00DB77E4" w:rsidP="00CC3E67">
      <w:pPr>
        <w:pStyle w:val="Heading1"/>
        <w:spacing w:line="320" w:lineRule="exact"/>
      </w:pPr>
      <w:r>
        <w:t>Ratios extracted from the ICAI Guidance Note Audit of Investments</w:t>
      </w:r>
    </w:p>
    <w:p w:rsidR="00DB77E4" w:rsidRDefault="00DB77E4" w:rsidP="00CC3E67">
      <w:pPr>
        <w:spacing w:line="320" w:lineRule="exact"/>
        <w:jc w:val="both"/>
        <w:rPr>
          <w:sz w:val="22"/>
        </w:rPr>
      </w:pPr>
    </w:p>
    <w:tbl>
      <w:tblPr>
        <w:tblW w:w="0" w:type="auto"/>
        <w:tblLayout w:type="fixed"/>
        <w:tblLook w:val="0000"/>
      </w:tblPr>
      <w:tblGrid>
        <w:gridCol w:w="558"/>
        <w:gridCol w:w="4590"/>
        <w:gridCol w:w="3870"/>
      </w:tblGrid>
      <w:tr w:rsidR="00DB77E4">
        <w:tblPrEx>
          <w:tblCellMar>
            <w:top w:w="0" w:type="dxa"/>
            <w:bottom w:w="0" w:type="dxa"/>
          </w:tblCellMar>
        </w:tblPrEx>
        <w:tc>
          <w:tcPr>
            <w:tcW w:w="558" w:type="dxa"/>
          </w:tcPr>
          <w:p w:rsidR="00DB77E4" w:rsidRDefault="00DB77E4" w:rsidP="00CC3E67">
            <w:pPr>
              <w:spacing w:line="320" w:lineRule="exact"/>
              <w:jc w:val="both"/>
              <w:rPr>
                <w:sz w:val="22"/>
              </w:rPr>
            </w:pPr>
            <w:r>
              <w:rPr>
                <w:sz w:val="22"/>
              </w:rPr>
              <w:t>1.</w:t>
            </w:r>
          </w:p>
        </w:tc>
        <w:tc>
          <w:tcPr>
            <w:tcW w:w="4590" w:type="dxa"/>
          </w:tcPr>
          <w:p w:rsidR="00DB77E4" w:rsidRDefault="00DB77E4" w:rsidP="00CC3E67">
            <w:pPr>
              <w:spacing w:line="320" w:lineRule="exact"/>
              <w:jc w:val="both"/>
              <w:rPr>
                <w:sz w:val="22"/>
              </w:rPr>
            </w:pPr>
            <w:r>
              <w:rPr>
                <w:sz w:val="22"/>
              </w:rPr>
              <w:t>Comparison of income received to the investments held with the corresponding  figures for the previous year.</w:t>
            </w:r>
          </w:p>
        </w:tc>
        <w:tc>
          <w:tcPr>
            <w:tcW w:w="3870" w:type="dxa"/>
          </w:tcPr>
          <w:p w:rsidR="00DB77E4" w:rsidRDefault="00DB77E4" w:rsidP="00CC3E67">
            <w:pPr>
              <w:spacing w:line="320" w:lineRule="exact"/>
              <w:jc w:val="both"/>
              <w:rPr>
                <w:sz w:val="22"/>
              </w:rPr>
            </w:pPr>
          </w:p>
        </w:tc>
      </w:tr>
    </w:tbl>
    <w:p w:rsidR="00DB77E4" w:rsidRDefault="00DB77E4" w:rsidP="00CC3E67">
      <w:pPr>
        <w:spacing w:line="320" w:lineRule="exact"/>
        <w:jc w:val="both"/>
        <w:rPr>
          <w:sz w:val="22"/>
        </w:rPr>
      </w:pPr>
    </w:p>
    <w:p w:rsidR="00DB77E4" w:rsidRDefault="00DB77E4" w:rsidP="00CC3E67">
      <w:pPr>
        <w:pStyle w:val="Heading1"/>
        <w:spacing w:line="320" w:lineRule="exact"/>
      </w:pPr>
      <w:r>
        <w:t>Ratios extracted from the ICAI Guidance Note on  Audit of Revenue</w:t>
      </w:r>
    </w:p>
    <w:p w:rsidR="00DB77E4" w:rsidRDefault="00DB77E4" w:rsidP="00CC3E67">
      <w:pPr>
        <w:spacing w:line="320" w:lineRule="exact"/>
        <w:jc w:val="both"/>
        <w:rPr>
          <w:sz w:val="22"/>
        </w:rPr>
      </w:pPr>
    </w:p>
    <w:tbl>
      <w:tblPr>
        <w:tblW w:w="0" w:type="auto"/>
        <w:tblLayout w:type="fixed"/>
        <w:tblLook w:val="0000"/>
      </w:tblPr>
      <w:tblGrid>
        <w:gridCol w:w="558"/>
        <w:gridCol w:w="4320"/>
        <w:gridCol w:w="90"/>
        <w:gridCol w:w="3960"/>
      </w:tblGrid>
      <w:tr w:rsidR="00DB77E4">
        <w:tblPrEx>
          <w:tblCellMar>
            <w:top w:w="0" w:type="dxa"/>
            <w:bottom w:w="0" w:type="dxa"/>
          </w:tblCellMar>
        </w:tblPrEx>
        <w:tc>
          <w:tcPr>
            <w:tcW w:w="558" w:type="dxa"/>
          </w:tcPr>
          <w:p w:rsidR="00DB77E4" w:rsidRDefault="00DB77E4" w:rsidP="00CC3E67">
            <w:pPr>
              <w:spacing w:line="320" w:lineRule="exact"/>
              <w:jc w:val="both"/>
              <w:rPr>
                <w:sz w:val="22"/>
              </w:rPr>
            </w:pPr>
            <w:r>
              <w:rPr>
                <w:sz w:val="22"/>
              </w:rPr>
              <w:t>1.</w:t>
            </w:r>
          </w:p>
        </w:tc>
        <w:tc>
          <w:tcPr>
            <w:tcW w:w="4320" w:type="dxa"/>
          </w:tcPr>
          <w:p w:rsidR="00DB77E4" w:rsidRDefault="00DB77E4" w:rsidP="00CC3E67">
            <w:pPr>
              <w:spacing w:line="320" w:lineRule="exact"/>
              <w:jc w:val="both"/>
              <w:rPr>
                <w:sz w:val="22"/>
              </w:rPr>
            </w:pPr>
            <w:r>
              <w:rPr>
                <w:sz w:val="22"/>
              </w:rPr>
              <w:t>Comparison, product-wise, location-wise revenue for the current year with the corresponding  figures for the previous year.</w:t>
            </w:r>
          </w:p>
        </w:tc>
        <w:tc>
          <w:tcPr>
            <w:tcW w:w="4050" w:type="dxa"/>
            <w:gridSpan w:val="2"/>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2.</w:t>
            </w:r>
          </w:p>
        </w:tc>
        <w:tc>
          <w:tcPr>
            <w:tcW w:w="432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Comparison of ratio of gross margin to sales for the current year with corresponding  figures for the previous year.</w:t>
            </w:r>
          </w:p>
        </w:tc>
        <w:tc>
          <w:tcPr>
            <w:tcW w:w="4050" w:type="dxa"/>
            <w:gridSpan w:val="2"/>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3.</w:t>
            </w:r>
          </w:p>
        </w:tc>
        <w:tc>
          <w:tcPr>
            <w:tcW w:w="432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Comparison of ratio of sales returns to sales for the current year with   the corresponding  figures for the previous year.</w:t>
            </w:r>
          </w:p>
        </w:tc>
        <w:tc>
          <w:tcPr>
            <w:tcW w:w="4050" w:type="dxa"/>
            <w:gridSpan w:val="2"/>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4.</w:t>
            </w:r>
          </w:p>
        </w:tc>
        <w:tc>
          <w:tcPr>
            <w:tcW w:w="432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Comparison of ratio of trade discounts to sales for the current year with the corresponding  figures for the previous year.</w:t>
            </w:r>
          </w:p>
        </w:tc>
        <w:tc>
          <w:tcPr>
            <w:tcW w:w="4050" w:type="dxa"/>
            <w:gridSpan w:val="2"/>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5.</w:t>
            </w:r>
          </w:p>
        </w:tc>
        <w:tc>
          <w:tcPr>
            <w:tcW w:w="432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Comparison of ratio of Excise Duty/ sales tax/ export incentives to sales for the current year with the corresponding figures for the previous year.</w:t>
            </w:r>
          </w:p>
        </w:tc>
        <w:tc>
          <w:tcPr>
            <w:tcW w:w="4050" w:type="dxa"/>
            <w:gridSpan w:val="2"/>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6.</w:t>
            </w:r>
          </w:p>
        </w:tc>
        <w:tc>
          <w:tcPr>
            <w:tcW w:w="432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Comparison product-wise and location-wise of quantity sold during the year with the corresponding  figures for the previous year.</w:t>
            </w:r>
          </w:p>
        </w:tc>
        <w:tc>
          <w:tcPr>
            <w:tcW w:w="4050" w:type="dxa"/>
            <w:gridSpan w:val="2"/>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7.</w:t>
            </w:r>
          </w:p>
        </w:tc>
        <w:tc>
          <w:tcPr>
            <w:tcW w:w="432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 xml:space="preserve">Product-wise reconciliation of quantity sold during the year with </w:t>
            </w:r>
          </w:p>
          <w:p w:rsidR="00DB77E4" w:rsidRDefault="00DB77E4" w:rsidP="00CC3E67">
            <w:pPr>
              <w:spacing w:line="320" w:lineRule="exact"/>
              <w:jc w:val="both"/>
              <w:rPr>
                <w:sz w:val="22"/>
              </w:rPr>
            </w:pPr>
            <w:r>
              <w:rPr>
                <w:sz w:val="22"/>
              </w:rPr>
              <w:t>Opening stocks,</w:t>
            </w:r>
          </w:p>
          <w:p w:rsidR="00DB77E4" w:rsidRDefault="00DB77E4" w:rsidP="00CC3E67">
            <w:pPr>
              <w:spacing w:line="320" w:lineRule="exact"/>
              <w:jc w:val="both"/>
              <w:rPr>
                <w:sz w:val="22"/>
              </w:rPr>
            </w:pPr>
            <w:r>
              <w:rPr>
                <w:sz w:val="22"/>
              </w:rPr>
              <w:t>Purchases,</w:t>
            </w:r>
          </w:p>
          <w:p w:rsidR="00DB77E4" w:rsidRDefault="00DB77E4" w:rsidP="00CC3E67">
            <w:pPr>
              <w:spacing w:line="320" w:lineRule="exact"/>
              <w:jc w:val="both"/>
              <w:rPr>
                <w:sz w:val="22"/>
              </w:rPr>
            </w:pPr>
            <w:r>
              <w:rPr>
                <w:sz w:val="22"/>
              </w:rPr>
              <w:t>Production,</w:t>
            </w:r>
          </w:p>
          <w:p w:rsidR="00DB77E4" w:rsidRDefault="00DB77E4" w:rsidP="00CC3E67">
            <w:pPr>
              <w:spacing w:line="320" w:lineRule="exact"/>
              <w:jc w:val="both"/>
              <w:rPr>
                <w:sz w:val="22"/>
              </w:rPr>
            </w:pPr>
            <w:r>
              <w:rPr>
                <w:sz w:val="22"/>
              </w:rPr>
              <w:t>Closing stocks</w:t>
            </w:r>
          </w:p>
        </w:tc>
        <w:tc>
          <w:tcPr>
            <w:tcW w:w="4050" w:type="dxa"/>
            <w:gridSpan w:val="2"/>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r>
              <w:rPr>
                <w:sz w:val="22"/>
              </w:rPr>
              <w:t>8.</w:t>
            </w:r>
          </w:p>
        </w:tc>
        <w:tc>
          <w:tcPr>
            <w:tcW w:w="4410" w:type="dxa"/>
            <w:gridSpan w:val="2"/>
          </w:tcPr>
          <w:p w:rsidR="00DB77E4" w:rsidRDefault="00DB77E4" w:rsidP="00CC3E67">
            <w:pPr>
              <w:spacing w:line="320" w:lineRule="exact"/>
              <w:jc w:val="both"/>
              <w:rPr>
                <w:sz w:val="22"/>
              </w:rPr>
            </w:pPr>
            <w:r>
              <w:rPr>
                <w:sz w:val="22"/>
              </w:rPr>
              <w:t xml:space="preserve">Comparison of  </w:t>
            </w:r>
          </w:p>
          <w:p w:rsidR="00DB77E4" w:rsidRDefault="00DB77E4" w:rsidP="00CC3E67">
            <w:pPr>
              <w:spacing w:line="320" w:lineRule="exact"/>
              <w:jc w:val="both"/>
              <w:rPr>
                <w:sz w:val="22"/>
              </w:rPr>
            </w:pPr>
            <w:r>
              <w:rPr>
                <w:sz w:val="22"/>
              </w:rPr>
              <w:t xml:space="preserve">Dividend </w:t>
            </w:r>
          </w:p>
          <w:p w:rsidR="00DB77E4" w:rsidRDefault="00DB77E4" w:rsidP="00CC3E67">
            <w:pPr>
              <w:spacing w:line="320" w:lineRule="exact"/>
              <w:jc w:val="both"/>
              <w:rPr>
                <w:sz w:val="22"/>
              </w:rPr>
            </w:pPr>
            <w:r>
              <w:rPr>
                <w:sz w:val="22"/>
              </w:rPr>
              <w:t>Royalty</w:t>
            </w:r>
          </w:p>
          <w:p w:rsidR="00DB77E4" w:rsidRDefault="00DB77E4" w:rsidP="00CC3E67">
            <w:pPr>
              <w:spacing w:line="320" w:lineRule="exact"/>
              <w:jc w:val="both"/>
              <w:rPr>
                <w:sz w:val="22"/>
              </w:rPr>
            </w:pPr>
            <w:r>
              <w:rPr>
                <w:sz w:val="22"/>
              </w:rPr>
              <w:t xml:space="preserve">Interest </w:t>
            </w:r>
          </w:p>
          <w:p w:rsidR="00DB77E4" w:rsidRDefault="00DB77E4" w:rsidP="00CC3E67">
            <w:pPr>
              <w:spacing w:line="320" w:lineRule="exact"/>
              <w:jc w:val="both"/>
              <w:rPr>
                <w:sz w:val="22"/>
              </w:rPr>
            </w:pPr>
            <w:r>
              <w:rPr>
                <w:sz w:val="22"/>
              </w:rPr>
              <w:t>For the current year with the corresponding  figures for the previous year.</w:t>
            </w:r>
          </w:p>
        </w:tc>
        <w:tc>
          <w:tcPr>
            <w:tcW w:w="3960" w:type="dxa"/>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9.</w:t>
            </w:r>
          </w:p>
        </w:tc>
        <w:tc>
          <w:tcPr>
            <w:tcW w:w="4410" w:type="dxa"/>
            <w:gridSpan w:val="2"/>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Comparison of ratios of income on investments to average investments for the current year (separately for each major type of investment) with the corresponding figures for the previous year.</w:t>
            </w:r>
          </w:p>
        </w:tc>
        <w:tc>
          <w:tcPr>
            <w:tcW w:w="3960" w:type="dxa"/>
          </w:tcPr>
          <w:p w:rsidR="00DB77E4" w:rsidRDefault="00DB77E4" w:rsidP="00CC3E67">
            <w:pPr>
              <w:spacing w:line="320" w:lineRule="exact"/>
              <w:jc w:val="both"/>
              <w:rPr>
                <w:sz w:val="22"/>
              </w:rPr>
            </w:pPr>
          </w:p>
        </w:tc>
      </w:tr>
    </w:tbl>
    <w:p w:rsidR="00DB77E4" w:rsidRDefault="00DB77E4" w:rsidP="00CC3E67">
      <w:pPr>
        <w:spacing w:line="320" w:lineRule="exact"/>
        <w:jc w:val="both"/>
        <w:rPr>
          <w:sz w:val="22"/>
        </w:rPr>
      </w:pPr>
    </w:p>
    <w:p w:rsidR="00DB77E4" w:rsidRDefault="00DB77E4" w:rsidP="00CC3E67">
      <w:pPr>
        <w:pStyle w:val="Heading1"/>
        <w:spacing w:line="320" w:lineRule="exact"/>
      </w:pPr>
      <w:r>
        <w:t>Materials</w:t>
      </w:r>
    </w:p>
    <w:p w:rsidR="00DB77E4" w:rsidRDefault="00DB77E4" w:rsidP="00CC3E67">
      <w:pPr>
        <w:spacing w:line="320" w:lineRule="exact"/>
      </w:pPr>
    </w:p>
    <w:tbl>
      <w:tblPr>
        <w:tblW w:w="0" w:type="auto"/>
        <w:tblLayout w:type="fixed"/>
        <w:tblLook w:val="0000"/>
      </w:tblPr>
      <w:tblGrid>
        <w:gridCol w:w="558"/>
        <w:gridCol w:w="4230"/>
        <w:gridCol w:w="4140"/>
      </w:tblGrid>
      <w:tr w:rsidR="00DB77E4">
        <w:tblPrEx>
          <w:tblCellMar>
            <w:top w:w="0" w:type="dxa"/>
            <w:bottom w:w="0" w:type="dxa"/>
          </w:tblCellMar>
        </w:tblPrEx>
        <w:tc>
          <w:tcPr>
            <w:tcW w:w="558" w:type="dxa"/>
          </w:tcPr>
          <w:p w:rsidR="00DB77E4" w:rsidRDefault="00DB77E4" w:rsidP="00CC3E67">
            <w:pPr>
              <w:spacing w:line="320" w:lineRule="exact"/>
              <w:jc w:val="both"/>
              <w:rPr>
                <w:sz w:val="22"/>
              </w:rPr>
            </w:pPr>
            <w:r>
              <w:rPr>
                <w:sz w:val="22"/>
              </w:rPr>
              <w:t>1.</w:t>
            </w:r>
          </w:p>
        </w:tc>
        <w:tc>
          <w:tcPr>
            <w:tcW w:w="4230" w:type="dxa"/>
          </w:tcPr>
          <w:p w:rsidR="00DB77E4" w:rsidRDefault="00DB77E4" w:rsidP="00CC3E67">
            <w:pPr>
              <w:spacing w:line="320" w:lineRule="exact"/>
              <w:jc w:val="both"/>
              <w:rPr>
                <w:sz w:val="22"/>
              </w:rPr>
            </w:pPr>
            <w:r>
              <w:rPr>
                <w:sz w:val="22"/>
              </w:rPr>
              <w:t>Comparison of input/output ratios with those of the corresponding  figures of the previous year.</w:t>
            </w:r>
          </w:p>
        </w:tc>
        <w:tc>
          <w:tcPr>
            <w:tcW w:w="4140" w:type="dxa"/>
          </w:tcPr>
          <w:p w:rsidR="00DB77E4" w:rsidRDefault="00DB77E4" w:rsidP="00CC3E67">
            <w:pPr>
              <w:spacing w:line="320" w:lineRule="exact"/>
              <w:jc w:val="both"/>
              <w:rPr>
                <w:sz w:val="22"/>
              </w:rPr>
            </w:pPr>
          </w:p>
        </w:tc>
      </w:tr>
      <w:tr w:rsidR="00DB77E4">
        <w:tblPrEx>
          <w:tblCellMar>
            <w:top w:w="0" w:type="dxa"/>
            <w:bottom w:w="0" w:type="dxa"/>
          </w:tblCellMar>
        </w:tblPrEx>
        <w:tc>
          <w:tcPr>
            <w:tcW w:w="558"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2.</w:t>
            </w:r>
          </w:p>
        </w:tc>
        <w:tc>
          <w:tcPr>
            <w:tcW w:w="4230"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Comparison of output grade-wise with the corresponding  figures of the previous year.</w:t>
            </w:r>
          </w:p>
        </w:tc>
        <w:tc>
          <w:tcPr>
            <w:tcW w:w="4140" w:type="dxa"/>
          </w:tcPr>
          <w:p w:rsidR="00DB77E4" w:rsidRDefault="00DB77E4" w:rsidP="00CC3E67">
            <w:pPr>
              <w:spacing w:line="320" w:lineRule="exact"/>
              <w:jc w:val="both"/>
              <w:rPr>
                <w:sz w:val="22"/>
              </w:rPr>
            </w:pPr>
          </w:p>
        </w:tc>
      </w:tr>
    </w:tbl>
    <w:p w:rsidR="00DB77E4" w:rsidRDefault="00DB77E4" w:rsidP="00CC3E67">
      <w:pPr>
        <w:pStyle w:val="Caption"/>
        <w:spacing w:line="320" w:lineRule="exact"/>
      </w:pPr>
    </w:p>
    <w:p w:rsidR="00DB77E4" w:rsidRDefault="00DB77E4" w:rsidP="00CC3E67">
      <w:pPr>
        <w:spacing w:line="320" w:lineRule="exact"/>
      </w:pPr>
    </w:p>
    <w:p w:rsidR="00DB77E4" w:rsidRDefault="00DB77E4" w:rsidP="00CC3E67">
      <w:pPr>
        <w:pStyle w:val="Caption"/>
        <w:spacing w:line="320" w:lineRule="exact"/>
      </w:pPr>
      <w:r>
        <w:t>Expenditure</w:t>
      </w:r>
    </w:p>
    <w:tbl>
      <w:tblPr>
        <w:tblW w:w="0" w:type="auto"/>
        <w:tblLayout w:type="fixed"/>
        <w:tblLook w:val="0000"/>
      </w:tblPr>
      <w:tblGrid>
        <w:gridCol w:w="558"/>
        <w:gridCol w:w="4410"/>
        <w:gridCol w:w="3960"/>
      </w:tblGrid>
      <w:tr w:rsidR="00DB77E4">
        <w:tblPrEx>
          <w:tblCellMar>
            <w:top w:w="0" w:type="dxa"/>
            <w:bottom w:w="0" w:type="dxa"/>
          </w:tblCellMar>
        </w:tblPrEx>
        <w:tc>
          <w:tcPr>
            <w:tcW w:w="558" w:type="dxa"/>
          </w:tcPr>
          <w:p w:rsidR="00DB77E4" w:rsidRDefault="00DB77E4" w:rsidP="00CC3E67">
            <w:pPr>
              <w:spacing w:line="320" w:lineRule="exact"/>
              <w:jc w:val="both"/>
              <w:rPr>
                <w:sz w:val="22"/>
              </w:rPr>
            </w:pPr>
            <w:r>
              <w:rPr>
                <w:sz w:val="22"/>
              </w:rPr>
              <w:t>1.</w:t>
            </w:r>
          </w:p>
        </w:tc>
        <w:tc>
          <w:tcPr>
            <w:tcW w:w="4410" w:type="dxa"/>
          </w:tcPr>
          <w:p w:rsidR="00DB77E4" w:rsidRDefault="00DB77E4" w:rsidP="00CC3E67">
            <w:pPr>
              <w:spacing w:line="320" w:lineRule="exact"/>
              <w:jc w:val="both"/>
              <w:rPr>
                <w:sz w:val="22"/>
              </w:rPr>
            </w:pPr>
            <w:r>
              <w:rPr>
                <w:sz w:val="22"/>
              </w:rPr>
              <w:t>Ratios of  expenditure to sales of the year compared with the corresponding  figures of the previous year.</w:t>
            </w:r>
          </w:p>
        </w:tc>
        <w:tc>
          <w:tcPr>
            <w:tcW w:w="3960" w:type="dxa"/>
          </w:tcPr>
          <w:p w:rsidR="00DB77E4" w:rsidRDefault="00DB77E4" w:rsidP="00CC3E67">
            <w:pPr>
              <w:spacing w:line="320" w:lineRule="exact"/>
              <w:jc w:val="both"/>
              <w:rPr>
                <w:sz w:val="22"/>
              </w:rPr>
            </w:pPr>
          </w:p>
        </w:tc>
      </w:tr>
    </w:tbl>
    <w:p w:rsidR="00DB77E4" w:rsidRDefault="00DB77E4" w:rsidP="00CC3E67">
      <w:pPr>
        <w:spacing w:line="320" w:lineRule="exact"/>
        <w:jc w:val="both"/>
        <w:rPr>
          <w:sz w:val="22"/>
        </w:rPr>
      </w:pPr>
    </w:p>
    <w:p w:rsidR="00DB77E4" w:rsidRDefault="00DB77E4" w:rsidP="00CC3E67">
      <w:pPr>
        <w:pStyle w:val="Heading1"/>
        <w:spacing w:line="320" w:lineRule="exact"/>
      </w:pPr>
    </w:p>
    <w:p w:rsidR="00DB77E4" w:rsidRDefault="00DB77E4" w:rsidP="00CC3E67">
      <w:pPr>
        <w:pStyle w:val="Heading1"/>
        <w:spacing w:line="320" w:lineRule="exact"/>
      </w:pPr>
      <w:r>
        <w:t>Other key-ratios</w:t>
      </w:r>
    </w:p>
    <w:p w:rsidR="00DB77E4" w:rsidRDefault="00DB77E4" w:rsidP="00CC3E67">
      <w:pPr>
        <w:pStyle w:val="Heading1"/>
        <w:spacing w:line="320" w:lineRule="exact"/>
      </w:pPr>
      <w:r>
        <w:t>Financial Performance</w:t>
      </w:r>
    </w:p>
    <w:p w:rsidR="00DB77E4" w:rsidRDefault="00DB77E4" w:rsidP="00CC3E67">
      <w:pPr>
        <w:spacing w:line="320" w:lineRule="exact"/>
      </w:pPr>
    </w:p>
    <w:tbl>
      <w:tblPr>
        <w:tblW w:w="0" w:type="auto"/>
        <w:tblLayout w:type="fixed"/>
        <w:tblLook w:val="0000"/>
      </w:tblPr>
      <w:tblGrid>
        <w:gridCol w:w="288"/>
        <w:gridCol w:w="4770"/>
        <w:gridCol w:w="3870"/>
      </w:tblGrid>
      <w:tr w:rsidR="00DB77E4">
        <w:tblPrEx>
          <w:tblCellMar>
            <w:top w:w="0" w:type="dxa"/>
            <w:bottom w:w="0" w:type="dxa"/>
          </w:tblCellMar>
        </w:tblPrEx>
        <w:tc>
          <w:tcPr>
            <w:tcW w:w="288" w:type="dxa"/>
          </w:tcPr>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tc>
        <w:tc>
          <w:tcPr>
            <w:tcW w:w="4770" w:type="dxa"/>
          </w:tcPr>
          <w:p w:rsidR="00DB77E4" w:rsidRDefault="00DB77E4" w:rsidP="00CC3E67">
            <w:pPr>
              <w:spacing w:line="320" w:lineRule="exact"/>
              <w:jc w:val="both"/>
              <w:rPr>
                <w:sz w:val="22"/>
              </w:rPr>
            </w:pPr>
            <w:r>
              <w:rPr>
                <w:sz w:val="22"/>
              </w:rPr>
              <w:t>Direct material to sales</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Indirect material to sales</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Sales per employee</w:t>
            </w:r>
          </w:p>
          <w:p w:rsidR="00DB77E4" w:rsidRDefault="00DB77E4" w:rsidP="00CC3E67">
            <w:pPr>
              <w:spacing w:line="320" w:lineRule="exact"/>
              <w:jc w:val="both"/>
              <w:rPr>
                <w:sz w:val="22"/>
              </w:rPr>
            </w:pPr>
            <w:r>
              <w:rPr>
                <w:sz w:val="22"/>
              </w:rPr>
              <w:t>(sales net of duties)</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pStyle w:val="Heading1"/>
              <w:spacing w:line="320" w:lineRule="exact"/>
              <w:rPr>
                <w:u w:val="none"/>
              </w:rPr>
            </w:pPr>
          </w:p>
          <w:p w:rsidR="00DB77E4" w:rsidRDefault="00DB77E4" w:rsidP="00CC3E67">
            <w:pPr>
              <w:pStyle w:val="Heading1"/>
              <w:spacing w:line="320" w:lineRule="exact"/>
              <w:rPr>
                <w:u w:val="none"/>
              </w:rPr>
            </w:pPr>
            <w:r>
              <w:rPr>
                <w:u w:val="none"/>
              </w:rPr>
              <w:t>Profitability on sales</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 xml:space="preserve">Capital / output ratio or </w:t>
            </w:r>
          </w:p>
          <w:p w:rsidR="00DB77E4" w:rsidRDefault="00DB77E4" w:rsidP="00CC3E67">
            <w:pPr>
              <w:spacing w:line="320" w:lineRule="exact"/>
              <w:jc w:val="both"/>
              <w:rPr>
                <w:sz w:val="22"/>
              </w:rPr>
            </w:pPr>
            <w:r>
              <w:rPr>
                <w:sz w:val="22"/>
              </w:rPr>
              <w:t>Asset turnover ratio</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Current ratio</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Stock turnover ratio</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pStyle w:val="Heading1"/>
              <w:spacing w:line="320" w:lineRule="exact"/>
            </w:pPr>
            <w:r>
              <w:t>Other key-ratios</w:t>
            </w:r>
          </w:p>
          <w:p w:rsidR="00DB77E4" w:rsidRDefault="00DB77E4" w:rsidP="00CC3E67">
            <w:pPr>
              <w:pStyle w:val="Heading1"/>
              <w:spacing w:line="320" w:lineRule="exact"/>
            </w:pPr>
            <w:r>
              <w:t>Financial Performance</w:t>
            </w: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 xml:space="preserve">Stock turnover days to </w:t>
            </w:r>
          </w:p>
          <w:p w:rsidR="00DB77E4" w:rsidRDefault="00DB77E4" w:rsidP="00CC3E67">
            <w:pPr>
              <w:spacing w:line="320" w:lineRule="exact"/>
              <w:jc w:val="both"/>
              <w:rPr>
                <w:sz w:val="22"/>
              </w:rPr>
            </w:pPr>
            <w:r>
              <w:rPr>
                <w:sz w:val="22"/>
              </w:rPr>
              <w:t>Cost of sales</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Capacity utilisation</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Cost of capacity installed</w:t>
            </w:r>
          </w:p>
          <w:p w:rsidR="00DB77E4" w:rsidRDefault="00DB77E4" w:rsidP="00CC3E67">
            <w:pPr>
              <w:spacing w:line="320" w:lineRule="exact"/>
              <w:jc w:val="both"/>
              <w:rPr>
                <w:sz w:val="22"/>
              </w:rPr>
            </w:pPr>
            <w:r>
              <w:rPr>
                <w:sz w:val="22"/>
              </w:rPr>
              <w:t>Per unit</w:t>
            </w:r>
          </w:p>
          <w:p w:rsidR="00DB77E4" w:rsidRDefault="00DB77E4" w:rsidP="00CC3E67">
            <w:pPr>
              <w:spacing w:line="320" w:lineRule="exact"/>
              <w:jc w:val="both"/>
              <w:rPr>
                <w:i/>
                <w:sz w:val="16"/>
              </w:rPr>
            </w:pPr>
            <w:r>
              <w:rPr>
                <w:i/>
                <w:sz w:val="16"/>
              </w:rPr>
              <w:t>(especially useful for inter-firm</w:t>
            </w:r>
          </w:p>
          <w:p w:rsidR="00DB77E4" w:rsidRDefault="00DB77E4" w:rsidP="00CC3E67">
            <w:pPr>
              <w:spacing w:line="320" w:lineRule="exact"/>
              <w:jc w:val="both"/>
              <w:rPr>
                <w:i/>
                <w:sz w:val="16"/>
              </w:rPr>
            </w:pPr>
            <w:r>
              <w:rPr>
                <w:i/>
                <w:sz w:val="16"/>
              </w:rPr>
              <w:t>comparison)</w:t>
            </w: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Networth</w:t>
            </w: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Earnings per share</w:t>
            </w: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Cash earnings per share</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Dividend per share</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Networth per share</w:t>
            </w:r>
          </w:p>
          <w:p w:rsidR="00DB77E4" w:rsidRDefault="00DB77E4" w:rsidP="00CC3E67">
            <w:pPr>
              <w:spacing w:line="320" w:lineRule="exact"/>
              <w:jc w:val="both"/>
              <w:rPr>
                <w:sz w:val="22"/>
              </w:rPr>
            </w:pPr>
          </w:p>
        </w:tc>
        <w:tc>
          <w:tcPr>
            <w:tcW w:w="3870" w:type="dxa"/>
          </w:tcPr>
          <w:p w:rsidR="00DB77E4" w:rsidRDefault="00DB77E4" w:rsidP="00CC3E67">
            <w:pPr>
              <w:spacing w:line="320" w:lineRule="exact"/>
              <w:jc w:val="both"/>
              <w:rPr>
                <w:sz w:val="22"/>
              </w:rPr>
            </w:pPr>
            <w:r>
              <w:rPr>
                <w:sz w:val="22"/>
              </w:rPr>
              <w:lastRenderedPageBreak/>
              <w:t>Direct material / sales * 100</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Indirect material / sales * 100</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Sales / all employees including casual, temporary etc.</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PBT from ordinary activities / total turnover</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Sales / Gross fixed assets *100</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Current assets / current liabilities including working capital loans</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 xml:space="preserve">Sales / stock * 100 </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Stock / cost of sales per day</w:t>
            </w:r>
          </w:p>
          <w:p w:rsidR="00DB77E4" w:rsidRDefault="00DB77E4" w:rsidP="00CC3E67">
            <w:pPr>
              <w:spacing w:line="320" w:lineRule="exact"/>
              <w:jc w:val="both"/>
              <w:rPr>
                <w:sz w:val="22"/>
              </w:rPr>
            </w:pPr>
            <w:r>
              <w:rPr>
                <w:sz w:val="22"/>
              </w:rPr>
              <w:t xml:space="preserve">Cost of sale  =  material cost </w:t>
            </w:r>
          </w:p>
          <w:p w:rsidR="00DB77E4" w:rsidRDefault="00DB77E4" w:rsidP="00CC3E67">
            <w:pPr>
              <w:spacing w:line="320" w:lineRule="exact"/>
              <w:jc w:val="both"/>
              <w:rPr>
                <w:sz w:val="22"/>
              </w:rPr>
            </w:pPr>
            <w:r>
              <w:rPr>
                <w:sz w:val="22"/>
              </w:rPr>
              <w:t>Cost of sales per day = Material cost / 365</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Actual production / installed capacity * 100</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Gross fixed assets / installed capacity</w:t>
            </w:r>
          </w:p>
          <w:p w:rsidR="00DB77E4" w:rsidRDefault="00DB77E4" w:rsidP="00CC3E67">
            <w:pPr>
              <w:spacing w:line="320" w:lineRule="exact"/>
              <w:jc w:val="both"/>
              <w:rPr>
                <w:sz w:val="16"/>
              </w:rPr>
            </w:pPr>
          </w:p>
          <w:p w:rsidR="00DB77E4" w:rsidRDefault="00DB77E4" w:rsidP="00CC3E67">
            <w:pPr>
              <w:spacing w:line="320" w:lineRule="exact"/>
              <w:jc w:val="both"/>
              <w:rPr>
                <w:sz w:val="16"/>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In absolute terms from year to year</w:t>
            </w: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PBT / number of shares</w:t>
            </w: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PBT + Depreciation / number of shares</w:t>
            </w:r>
          </w:p>
          <w:p w:rsidR="00DB77E4" w:rsidRDefault="00DB77E4" w:rsidP="00CC3E67">
            <w:pPr>
              <w:spacing w:line="320" w:lineRule="exact"/>
              <w:jc w:val="both"/>
              <w:rPr>
                <w:sz w:val="22"/>
              </w:rPr>
            </w:pP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Quantum of dividend / number of shares</w:t>
            </w:r>
          </w:p>
          <w:p w:rsidR="00DB77E4" w:rsidRDefault="00DB77E4" w:rsidP="00CC3E67">
            <w:pPr>
              <w:spacing w:line="320" w:lineRule="exact"/>
              <w:jc w:val="both"/>
              <w:rPr>
                <w:sz w:val="22"/>
              </w:rPr>
            </w:pPr>
            <w:r>
              <w:rPr>
                <w:sz w:val="22"/>
              </w:rPr>
              <w:t>(i.e.dividend per share)</w:t>
            </w:r>
          </w:p>
          <w:p w:rsidR="00DB77E4" w:rsidRDefault="00DB77E4" w:rsidP="00CC3E67">
            <w:pPr>
              <w:spacing w:line="320" w:lineRule="exact"/>
              <w:jc w:val="both"/>
              <w:rPr>
                <w:sz w:val="22"/>
              </w:rPr>
            </w:pPr>
          </w:p>
          <w:p w:rsidR="00DB77E4" w:rsidRDefault="00DB77E4" w:rsidP="00CC3E67">
            <w:pPr>
              <w:spacing w:line="320" w:lineRule="exact"/>
              <w:jc w:val="both"/>
              <w:rPr>
                <w:sz w:val="22"/>
              </w:rPr>
            </w:pPr>
            <w:r>
              <w:rPr>
                <w:sz w:val="22"/>
              </w:rPr>
              <w:t>Networth at the end of the year /</w:t>
            </w:r>
          </w:p>
          <w:p w:rsidR="00DB77E4" w:rsidRDefault="00DB77E4" w:rsidP="00CC3E67">
            <w:pPr>
              <w:spacing w:line="320" w:lineRule="exact"/>
              <w:jc w:val="both"/>
              <w:rPr>
                <w:sz w:val="22"/>
              </w:rPr>
            </w:pPr>
            <w:r>
              <w:rPr>
                <w:sz w:val="22"/>
              </w:rPr>
              <w:t>Number of shares</w:t>
            </w:r>
          </w:p>
          <w:p w:rsidR="00DB77E4" w:rsidRDefault="00DB77E4" w:rsidP="00CC3E67">
            <w:pPr>
              <w:spacing w:line="320" w:lineRule="exact"/>
              <w:jc w:val="both"/>
              <w:rPr>
                <w:sz w:val="22"/>
              </w:rPr>
            </w:pPr>
            <w:r>
              <w:rPr>
                <w:sz w:val="22"/>
              </w:rPr>
              <w:t>(networth = share capital + reserves and Surplus)</w:t>
            </w:r>
          </w:p>
        </w:tc>
      </w:tr>
    </w:tbl>
    <w:p w:rsidR="000B38F2" w:rsidRDefault="000B38F2">
      <w:pPr>
        <w:pStyle w:val="Heading1"/>
      </w:pPr>
    </w:p>
    <w:p w:rsidR="00DB77E4" w:rsidRDefault="00DB77E4">
      <w:pPr>
        <w:pStyle w:val="Heading1"/>
      </w:pPr>
      <w:r>
        <w:t>Other key-ratios</w:t>
      </w:r>
    </w:p>
    <w:p w:rsidR="00DB77E4" w:rsidRDefault="00DB77E4">
      <w:pPr>
        <w:pStyle w:val="Heading1"/>
      </w:pPr>
      <w:r>
        <w:t>Financial Performance</w:t>
      </w:r>
    </w:p>
    <w:p w:rsidR="00DB77E4" w:rsidRDefault="00DB77E4">
      <w:pPr>
        <w:spacing w:line="360" w:lineRule="auto"/>
        <w:rPr>
          <w:sz w:val="22"/>
        </w:rPr>
      </w:pPr>
    </w:p>
    <w:tbl>
      <w:tblPr>
        <w:tblW w:w="0" w:type="auto"/>
        <w:tblLayout w:type="fixed"/>
        <w:tblLook w:val="0000"/>
      </w:tblPr>
      <w:tblGrid>
        <w:gridCol w:w="4622"/>
        <w:gridCol w:w="4622"/>
      </w:tblGrid>
      <w:tr w:rsidR="00DB77E4">
        <w:tblPrEx>
          <w:tblCellMar>
            <w:top w:w="0" w:type="dxa"/>
            <w:bottom w:w="0" w:type="dxa"/>
          </w:tblCellMar>
        </w:tblPrEx>
        <w:tc>
          <w:tcPr>
            <w:tcW w:w="4622" w:type="dxa"/>
          </w:tcPr>
          <w:p w:rsidR="00DB77E4" w:rsidRDefault="00DB77E4">
            <w:pPr>
              <w:spacing w:line="360" w:lineRule="auto"/>
              <w:rPr>
                <w:sz w:val="22"/>
              </w:rPr>
            </w:pPr>
            <w:r>
              <w:rPr>
                <w:sz w:val="22"/>
              </w:rPr>
              <w:t xml:space="preserve">Dividend cover </w:t>
            </w:r>
          </w:p>
        </w:tc>
        <w:tc>
          <w:tcPr>
            <w:tcW w:w="4622" w:type="dxa"/>
          </w:tcPr>
          <w:p w:rsidR="00DB77E4" w:rsidRDefault="00DB77E4">
            <w:pPr>
              <w:spacing w:line="360" w:lineRule="auto"/>
              <w:rPr>
                <w:sz w:val="22"/>
              </w:rPr>
            </w:pPr>
            <w:r>
              <w:rPr>
                <w:sz w:val="22"/>
              </w:rPr>
              <w:t>Earnings per share / dividend per share</w:t>
            </w: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r>
              <w:rPr>
                <w:sz w:val="22"/>
              </w:rPr>
              <w:t>Tax ratio</w:t>
            </w:r>
          </w:p>
        </w:tc>
        <w:tc>
          <w:tcPr>
            <w:tcW w:w="4622" w:type="dxa"/>
          </w:tcPr>
          <w:p w:rsidR="00DB77E4" w:rsidRDefault="00DB77E4">
            <w:pPr>
              <w:spacing w:line="360" w:lineRule="auto"/>
              <w:rPr>
                <w:sz w:val="22"/>
              </w:rPr>
            </w:pPr>
            <w:r>
              <w:rPr>
                <w:sz w:val="22"/>
              </w:rPr>
              <w:t>Tax / Profit before tax *100</w:t>
            </w: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r>
              <w:rPr>
                <w:sz w:val="22"/>
              </w:rPr>
              <w:t>Return on gross capital employed</w:t>
            </w:r>
          </w:p>
        </w:tc>
        <w:tc>
          <w:tcPr>
            <w:tcW w:w="4622" w:type="dxa"/>
          </w:tcPr>
          <w:p w:rsidR="00DB77E4" w:rsidRDefault="00DB77E4">
            <w:pPr>
              <w:spacing w:line="360" w:lineRule="auto"/>
              <w:rPr>
                <w:sz w:val="22"/>
              </w:rPr>
            </w:pPr>
            <w:r>
              <w:rPr>
                <w:sz w:val="22"/>
              </w:rPr>
              <w:t>PBT + Interest on Term loan /</w:t>
            </w:r>
          </w:p>
          <w:p w:rsidR="00DB77E4" w:rsidRDefault="00DB77E4">
            <w:pPr>
              <w:spacing w:line="360" w:lineRule="auto"/>
              <w:rPr>
                <w:sz w:val="22"/>
              </w:rPr>
            </w:pPr>
            <w:r>
              <w:rPr>
                <w:sz w:val="22"/>
              </w:rPr>
              <w:t>Networth + Term loan * 100</w:t>
            </w: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r>
              <w:rPr>
                <w:sz w:val="22"/>
              </w:rPr>
              <w:t>Return on networth</w:t>
            </w:r>
          </w:p>
        </w:tc>
        <w:tc>
          <w:tcPr>
            <w:tcW w:w="4622" w:type="dxa"/>
          </w:tcPr>
          <w:p w:rsidR="00DB77E4" w:rsidRDefault="00DB77E4">
            <w:pPr>
              <w:spacing w:line="360" w:lineRule="auto"/>
              <w:rPr>
                <w:sz w:val="22"/>
              </w:rPr>
            </w:pPr>
            <w:r>
              <w:rPr>
                <w:sz w:val="22"/>
              </w:rPr>
              <w:t>PBT / Networth * 100</w:t>
            </w: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r>
              <w:rPr>
                <w:sz w:val="22"/>
              </w:rPr>
              <w:t>Return on networth</w:t>
            </w:r>
          </w:p>
          <w:p w:rsidR="00DB77E4" w:rsidRDefault="00DB77E4">
            <w:pPr>
              <w:spacing w:line="360" w:lineRule="auto"/>
              <w:rPr>
                <w:sz w:val="22"/>
              </w:rPr>
            </w:pPr>
          </w:p>
          <w:p w:rsidR="00DB77E4" w:rsidRDefault="00DB77E4">
            <w:pPr>
              <w:spacing w:line="360" w:lineRule="auto"/>
              <w:rPr>
                <w:sz w:val="22"/>
              </w:rPr>
            </w:pPr>
          </w:p>
          <w:p w:rsidR="00DB77E4" w:rsidRDefault="00DB77E4">
            <w:pPr>
              <w:spacing w:line="360" w:lineRule="auto"/>
              <w:rPr>
                <w:sz w:val="22"/>
              </w:rPr>
            </w:pPr>
          </w:p>
          <w:p w:rsidR="00DB77E4" w:rsidRDefault="00DB77E4">
            <w:pPr>
              <w:spacing w:line="360" w:lineRule="auto"/>
              <w:rPr>
                <w:sz w:val="22"/>
              </w:rPr>
            </w:pPr>
          </w:p>
          <w:p w:rsidR="00DB77E4" w:rsidRDefault="00DB77E4">
            <w:pPr>
              <w:spacing w:line="360" w:lineRule="auto"/>
              <w:rPr>
                <w:sz w:val="22"/>
              </w:rPr>
            </w:pPr>
            <w:r>
              <w:rPr>
                <w:sz w:val="22"/>
              </w:rPr>
              <w:t>Return on capital employed</w:t>
            </w:r>
          </w:p>
          <w:p w:rsidR="00DB77E4" w:rsidRDefault="00DB77E4">
            <w:pPr>
              <w:spacing w:line="360" w:lineRule="auto"/>
              <w:rPr>
                <w:sz w:val="22"/>
              </w:rPr>
            </w:pPr>
          </w:p>
        </w:tc>
        <w:tc>
          <w:tcPr>
            <w:tcW w:w="4622" w:type="dxa"/>
          </w:tcPr>
          <w:p w:rsidR="00DB77E4" w:rsidRDefault="00DB77E4">
            <w:pPr>
              <w:spacing w:line="360" w:lineRule="auto"/>
              <w:rPr>
                <w:sz w:val="22"/>
              </w:rPr>
            </w:pPr>
            <w:r>
              <w:rPr>
                <w:sz w:val="22"/>
              </w:rPr>
              <w:t>PBT / average networth</w:t>
            </w:r>
          </w:p>
          <w:p w:rsidR="00DB77E4" w:rsidRDefault="00DB77E4">
            <w:pPr>
              <w:spacing w:line="360" w:lineRule="auto"/>
              <w:rPr>
                <w:sz w:val="22"/>
              </w:rPr>
            </w:pPr>
            <w:r>
              <w:rPr>
                <w:sz w:val="22"/>
              </w:rPr>
              <w:t xml:space="preserve">(average networth = </w:t>
            </w:r>
          </w:p>
          <w:p w:rsidR="00DB77E4" w:rsidRDefault="00DB77E4">
            <w:pPr>
              <w:spacing w:line="360" w:lineRule="auto"/>
              <w:rPr>
                <w:sz w:val="22"/>
              </w:rPr>
            </w:pPr>
            <w:r>
              <w:rPr>
                <w:sz w:val="22"/>
              </w:rPr>
              <w:t>opening networth + closing networth / 2)</w:t>
            </w:r>
          </w:p>
          <w:p w:rsidR="00DB77E4" w:rsidRDefault="00DB77E4">
            <w:pPr>
              <w:spacing w:line="360" w:lineRule="auto"/>
              <w:rPr>
                <w:sz w:val="22"/>
              </w:rPr>
            </w:pPr>
          </w:p>
          <w:p w:rsidR="00DB77E4" w:rsidRDefault="00DB77E4">
            <w:pPr>
              <w:spacing w:line="360" w:lineRule="auto"/>
              <w:rPr>
                <w:sz w:val="22"/>
              </w:rPr>
            </w:pPr>
          </w:p>
          <w:p w:rsidR="00DB77E4" w:rsidRDefault="00DB77E4">
            <w:pPr>
              <w:spacing w:line="360" w:lineRule="auto"/>
              <w:rPr>
                <w:sz w:val="22"/>
              </w:rPr>
            </w:pPr>
            <w:r>
              <w:rPr>
                <w:sz w:val="22"/>
              </w:rPr>
              <w:t>PBIT / average capital employed</w:t>
            </w:r>
          </w:p>
          <w:p w:rsidR="00DB77E4" w:rsidRDefault="00DB77E4">
            <w:pPr>
              <w:spacing w:line="360" w:lineRule="auto"/>
              <w:rPr>
                <w:sz w:val="22"/>
              </w:rPr>
            </w:pPr>
            <w:r>
              <w:rPr>
                <w:sz w:val="22"/>
              </w:rPr>
              <w:t>(interest  means interest on term loan)</w:t>
            </w:r>
          </w:p>
          <w:p w:rsidR="00DB77E4" w:rsidRDefault="00DB77E4">
            <w:pPr>
              <w:spacing w:line="360" w:lineRule="auto"/>
              <w:rPr>
                <w:sz w:val="22"/>
              </w:rPr>
            </w:pPr>
            <w:r>
              <w:rPr>
                <w:sz w:val="22"/>
              </w:rPr>
              <w:t>Average Capital employed +</w:t>
            </w:r>
          </w:p>
          <w:p w:rsidR="00DB77E4" w:rsidRDefault="00DB77E4">
            <w:pPr>
              <w:spacing w:line="360" w:lineRule="auto"/>
              <w:rPr>
                <w:sz w:val="22"/>
              </w:rPr>
            </w:pPr>
            <w:r>
              <w:rPr>
                <w:sz w:val="22"/>
              </w:rPr>
              <w:t>Opening balance of capital employed +</w:t>
            </w:r>
          </w:p>
          <w:p w:rsidR="00DB77E4" w:rsidRDefault="00DB77E4">
            <w:pPr>
              <w:spacing w:line="360" w:lineRule="auto"/>
              <w:rPr>
                <w:sz w:val="22"/>
              </w:rPr>
            </w:pPr>
            <w:r>
              <w:rPr>
                <w:sz w:val="22"/>
              </w:rPr>
              <w:t>Closing balance of capital employed / 2</w:t>
            </w:r>
          </w:p>
        </w:tc>
      </w:tr>
    </w:tbl>
    <w:p w:rsidR="00DB77E4" w:rsidRDefault="00DB77E4">
      <w:pPr>
        <w:spacing w:line="360" w:lineRule="auto"/>
      </w:pPr>
    </w:p>
    <w:p w:rsidR="00DB77E4" w:rsidRDefault="00DB77E4">
      <w:pPr>
        <w:spacing w:line="360" w:lineRule="auto"/>
      </w:pPr>
    </w:p>
    <w:p w:rsidR="00DB77E4" w:rsidRDefault="00DB77E4">
      <w:pPr>
        <w:pStyle w:val="Heading1"/>
      </w:pPr>
      <w:r>
        <w:t>Other key-ratios</w:t>
      </w:r>
    </w:p>
    <w:p w:rsidR="00DB77E4" w:rsidRDefault="00DB77E4">
      <w:pPr>
        <w:pStyle w:val="Heading1"/>
      </w:pPr>
      <w:r>
        <w:t>Financial Performance</w:t>
      </w:r>
    </w:p>
    <w:p w:rsidR="00DB77E4" w:rsidRDefault="00DB77E4">
      <w:pPr>
        <w:pStyle w:val="Header"/>
        <w:tabs>
          <w:tab w:val="clear" w:pos="4320"/>
          <w:tab w:val="clear" w:pos="8640"/>
        </w:tabs>
        <w:spacing w:line="360" w:lineRule="auto"/>
      </w:pPr>
    </w:p>
    <w:tbl>
      <w:tblPr>
        <w:tblW w:w="0" w:type="auto"/>
        <w:tblLayout w:type="fixed"/>
        <w:tblLook w:val="0000"/>
      </w:tblPr>
      <w:tblGrid>
        <w:gridCol w:w="4622"/>
        <w:gridCol w:w="4622"/>
      </w:tblGrid>
      <w:tr w:rsidR="00DB77E4">
        <w:tblPrEx>
          <w:tblCellMar>
            <w:top w:w="0" w:type="dxa"/>
            <w:bottom w:w="0" w:type="dxa"/>
          </w:tblCellMar>
        </w:tblPrEx>
        <w:tc>
          <w:tcPr>
            <w:tcW w:w="4622" w:type="dxa"/>
          </w:tcPr>
          <w:p w:rsidR="00DB77E4" w:rsidRDefault="00DB77E4">
            <w:pPr>
              <w:spacing w:line="360" w:lineRule="auto"/>
              <w:rPr>
                <w:sz w:val="22"/>
              </w:rPr>
            </w:pPr>
            <w:r>
              <w:rPr>
                <w:sz w:val="22"/>
              </w:rPr>
              <w:t>Debt – equity ratio</w:t>
            </w:r>
          </w:p>
        </w:tc>
        <w:tc>
          <w:tcPr>
            <w:tcW w:w="4622" w:type="dxa"/>
          </w:tcPr>
          <w:p w:rsidR="00DB77E4" w:rsidRDefault="00DB77E4">
            <w:pPr>
              <w:spacing w:line="360" w:lineRule="auto"/>
              <w:rPr>
                <w:sz w:val="22"/>
              </w:rPr>
            </w:pPr>
            <w:r>
              <w:rPr>
                <w:sz w:val="22"/>
              </w:rPr>
              <w:t>Debt / equity * 100</w:t>
            </w:r>
          </w:p>
          <w:p w:rsidR="00DB77E4" w:rsidRDefault="00DB77E4">
            <w:pPr>
              <w:spacing w:line="360" w:lineRule="auto"/>
              <w:rPr>
                <w:sz w:val="22"/>
              </w:rPr>
            </w:pPr>
            <w:r>
              <w:rPr>
                <w:sz w:val="22"/>
              </w:rPr>
              <w:t>Debt = long term loans</w:t>
            </w:r>
          </w:p>
          <w:p w:rsidR="00DB77E4" w:rsidRDefault="00DB77E4">
            <w:pPr>
              <w:spacing w:line="360" w:lineRule="auto"/>
              <w:rPr>
                <w:sz w:val="22"/>
              </w:rPr>
            </w:pPr>
            <w:r>
              <w:rPr>
                <w:sz w:val="22"/>
              </w:rPr>
              <w:t>Equity = Share capital + Reserves and Surplus</w:t>
            </w: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r>
              <w:rPr>
                <w:sz w:val="22"/>
              </w:rPr>
              <w:t>Debtors turnover ratio</w:t>
            </w:r>
          </w:p>
        </w:tc>
        <w:tc>
          <w:tcPr>
            <w:tcW w:w="4622" w:type="dxa"/>
          </w:tcPr>
          <w:p w:rsidR="00DB77E4" w:rsidRDefault="00DB77E4">
            <w:pPr>
              <w:spacing w:line="360" w:lineRule="auto"/>
              <w:rPr>
                <w:sz w:val="22"/>
              </w:rPr>
            </w:pPr>
            <w:r>
              <w:rPr>
                <w:sz w:val="22"/>
              </w:rPr>
              <w:t>Debtors / turnover</w:t>
            </w: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r>
              <w:rPr>
                <w:sz w:val="22"/>
              </w:rPr>
              <w:t>Book value</w:t>
            </w:r>
          </w:p>
        </w:tc>
        <w:tc>
          <w:tcPr>
            <w:tcW w:w="4622" w:type="dxa"/>
          </w:tcPr>
          <w:p w:rsidR="00DB77E4" w:rsidRDefault="00DB77E4">
            <w:pPr>
              <w:spacing w:line="360" w:lineRule="auto"/>
              <w:rPr>
                <w:sz w:val="22"/>
              </w:rPr>
            </w:pPr>
            <w:r>
              <w:rPr>
                <w:sz w:val="22"/>
              </w:rPr>
              <w:t>In absolute terms from year to year</w:t>
            </w: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r>
              <w:rPr>
                <w:sz w:val="22"/>
              </w:rPr>
              <w:t>Dividend payout</w:t>
            </w:r>
          </w:p>
        </w:tc>
        <w:tc>
          <w:tcPr>
            <w:tcW w:w="4622" w:type="dxa"/>
          </w:tcPr>
          <w:p w:rsidR="00DB77E4" w:rsidRDefault="00DB77E4">
            <w:pPr>
              <w:spacing w:line="360" w:lineRule="auto"/>
              <w:rPr>
                <w:sz w:val="22"/>
              </w:rPr>
            </w:pPr>
            <w:r>
              <w:rPr>
                <w:sz w:val="22"/>
              </w:rPr>
              <w:t>As above</w:t>
            </w: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r>
              <w:rPr>
                <w:sz w:val="22"/>
              </w:rPr>
              <w:t>PE Ratio</w:t>
            </w:r>
          </w:p>
        </w:tc>
        <w:tc>
          <w:tcPr>
            <w:tcW w:w="4622" w:type="dxa"/>
          </w:tcPr>
          <w:p w:rsidR="00DB77E4" w:rsidRDefault="00DB77E4">
            <w:pPr>
              <w:spacing w:line="360" w:lineRule="auto"/>
              <w:rPr>
                <w:sz w:val="22"/>
              </w:rPr>
            </w:pPr>
            <w:r>
              <w:rPr>
                <w:sz w:val="22"/>
              </w:rPr>
              <w:t>Price / EPS</w:t>
            </w:r>
          </w:p>
          <w:p w:rsidR="00DB77E4" w:rsidRDefault="00DB77E4">
            <w:pPr>
              <w:spacing w:line="360" w:lineRule="auto"/>
              <w:rPr>
                <w:sz w:val="22"/>
              </w:rPr>
            </w:pPr>
            <w:r>
              <w:rPr>
                <w:sz w:val="22"/>
              </w:rPr>
              <w:t>(Price = market quotation )</w:t>
            </w:r>
          </w:p>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r>
              <w:rPr>
                <w:sz w:val="22"/>
              </w:rPr>
              <w:lastRenderedPageBreak/>
              <w:t>Price / book value</w:t>
            </w: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p>
        </w:tc>
        <w:tc>
          <w:tcPr>
            <w:tcW w:w="4622" w:type="dxa"/>
          </w:tcPr>
          <w:p w:rsidR="00DB77E4" w:rsidRDefault="00DB77E4">
            <w:pPr>
              <w:spacing w:line="360" w:lineRule="auto"/>
              <w:rPr>
                <w:sz w:val="22"/>
              </w:rPr>
            </w:pPr>
          </w:p>
        </w:tc>
      </w:tr>
      <w:tr w:rsidR="00DB77E4">
        <w:tblPrEx>
          <w:tblCellMar>
            <w:top w:w="0" w:type="dxa"/>
            <w:bottom w:w="0" w:type="dxa"/>
          </w:tblCellMar>
        </w:tblPrEx>
        <w:tc>
          <w:tcPr>
            <w:tcW w:w="4622" w:type="dxa"/>
          </w:tcPr>
          <w:p w:rsidR="00DB77E4" w:rsidRDefault="00DB77E4">
            <w:pPr>
              <w:spacing w:line="360" w:lineRule="auto"/>
              <w:rPr>
                <w:sz w:val="22"/>
              </w:rPr>
            </w:pPr>
            <w:r>
              <w:rPr>
                <w:sz w:val="22"/>
              </w:rPr>
              <w:t xml:space="preserve">Capital employed </w:t>
            </w:r>
          </w:p>
        </w:tc>
        <w:tc>
          <w:tcPr>
            <w:tcW w:w="4622" w:type="dxa"/>
          </w:tcPr>
          <w:p w:rsidR="00DB77E4" w:rsidRDefault="00DB77E4">
            <w:pPr>
              <w:spacing w:line="360" w:lineRule="auto"/>
              <w:rPr>
                <w:sz w:val="22"/>
              </w:rPr>
            </w:pPr>
            <w:r>
              <w:rPr>
                <w:sz w:val="22"/>
              </w:rPr>
              <w:t>Share Capital     +</w:t>
            </w:r>
          </w:p>
          <w:p w:rsidR="00DB77E4" w:rsidRDefault="00DB77E4">
            <w:pPr>
              <w:spacing w:line="360" w:lineRule="auto"/>
              <w:rPr>
                <w:sz w:val="22"/>
              </w:rPr>
            </w:pPr>
            <w:r>
              <w:rPr>
                <w:sz w:val="22"/>
              </w:rPr>
              <w:t xml:space="preserve">Reserves and Surplus       + </w:t>
            </w:r>
          </w:p>
          <w:p w:rsidR="00DB77E4" w:rsidRDefault="00DB77E4">
            <w:pPr>
              <w:spacing w:line="360" w:lineRule="auto"/>
              <w:rPr>
                <w:sz w:val="22"/>
              </w:rPr>
            </w:pPr>
            <w:r>
              <w:rPr>
                <w:sz w:val="22"/>
              </w:rPr>
              <w:t>Term loans</w:t>
            </w:r>
          </w:p>
          <w:p w:rsidR="00DB77E4" w:rsidRDefault="00DB77E4">
            <w:pPr>
              <w:spacing w:line="360" w:lineRule="auto"/>
              <w:rPr>
                <w:sz w:val="22"/>
              </w:rPr>
            </w:pPr>
            <w:r>
              <w:rPr>
                <w:sz w:val="22"/>
              </w:rPr>
              <w:t>(average capital employed =</w:t>
            </w:r>
          </w:p>
          <w:p w:rsidR="00DB77E4" w:rsidRDefault="00DB77E4">
            <w:pPr>
              <w:spacing w:line="360" w:lineRule="auto"/>
              <w:rPr>
                <w:sz w:val="22"/>
              </w:rPr>
            </w:pPr>
            <w:r>
              <w:rPr>
                <w:sz w:val="22"/>
              </w:rPr>
              <w:t>Opening capital employed +</w:t>
            </w:r>
          </w:p>
          <w:p w:rsidR="00DB77E4" w:rsidRDefault="00DB77E4">
            <w:pPr>
              <w:spacing w:line="360" w:lineRule="auto"/>
              <w:rPr>
                <w:sz w:val="22"/>
              </w:rPr>
            </w:pPr>
            <w:r>
              <w:rPr>
                <w:sz w:val="22"/>
              </w:rPr>
              <w:t>Closing capital employed / 2)</w:t>
            </w:r>
          </w:p>
          <w:p w:rsidR="00DB77E4" w:rsidRDefault="00DB77E4">
            <w:pPr>
              <w:spacing w:line="360" w:lineRule="auto"/>
              <w:rPr>
                <w:sz w:val="22"/>
              </w:rPr>
            </w:pPr>
          </w:p>
        </w:tc>
      </w:tr>
    </w:tbl>
    <w:p w:rsidR="00DB77E4" w:rsidRDefault="00DB77E4">
      <w:pPr>
        <w:spacing w:line="360" w:lineRule="auto"/>
        <w:rPr>
          <w:sz w:val="22"/>
        </w:rPr>
      </w:pPr>
    </w:p>
    <w:sectPr w:rsidR="00DB77E4">
      <w:headerReference w:type="default" r:id="rId7"/>
      <w:footerReference w:type="default" r:id="rId8"/>
      <w:pgSz w:w="11909" w:h="16834" w:code="9"/>
      <w:pgMar w:top="1440" w:right="1440" w:bottom="1440" w:left="1440" w:header="720" w:footer="129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EB3" w:rsidRDefault="00A22EB3">
      <w:r>
        <w:separator/>
      </w:r>
    </w:p>
  </w:endnote>
  <w:endnote w:type="continuationSeparator" w:id="1">
    <w:p w:rsidR="00A22EB3" w:rsidRDefault="00A22E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7E4" w:rsidRDefault="00DB77E4">
    <w:pPr>
      <w:pStyle w:val="Footer"/>
      <w:pBdr>
        <w:top w:val="single" w:sz="4" w:space="1" w:color="auto"/>
      </w:pBdr>
      <w:rPr>
        <w:i/>
        <w:sz w:val="16"/>
      </w:rPr>
    </w:pPr>
    <w:r>
      <w:rPr>
        <w:i/>
        <w:snapToGrid w:val="0"/>
        <w:sz w:val="16"/>
      </w:rPr>
      <w:t xml:space="preserve">Page </w:t>
    </w:r>
    <w:r>
      <w:rPr>
        <w:i/>
        <w:snapToGrid w:val="0"/>
        <w:sz w:val="16"/>
      </w:rPr>
      <w:fldChar w:fldCharType="begin"/>
    </w:r>
    <w:r>
      <w:rPr>
        <w:i/>
        <w:snapToGrid w:val="0"/>
        <w:sz w:val="16"/>
      </w:rPr>
      <w:instrText xml:space="preserve"> PAGE </w:instrText>
    </w:r>
    <w:r>
      <w:rPr>
        <w:i/>
        <w:snapToGrid w:val="0"/>
        <w:sz w:val="16"/>
      </w:rPr>
      <w:fldChar w:fldCharType="separate"/>
    </w:r>
    <w:r w:rsidR="003A0334">
      <w:rPr>
        <w:i/>
        <w:noProof/>
        <w:snapToGrid w:val="0"/>
        <w:sz w:val="16"/>
      </w:rPr>
      <w:t>1</w:t>
    </w:r>
    <w:r>
      <w:rPr>
        <w:i/>
        <w:snapToGrid w:val="0"/>
        <w:sz w:val="16"/>
      </w:rPr>
      <w:fldChar w:fldCharType="end"/>
    </w:r>
    <w:r>
      <w:rPr>
        <w:i/>
        <w:snapToGrid w:val="0"/>
        <w:sz w:val="16"/>
      </w:rPr>
      <w:t xml:space="preserve"> of </w:t>
    </w:r>
    <w:r>
      <w:rPr>
        <w:rStyle w:val="PageNumber"/>
      </w:rPr>
      <w:fldChar w:fldCharType="begin"/>
    </w:r>
    <w:r>
      <w:rPr>
        <w:rStyle w:val="PageNumber"/>
      </w:rPr>
      <w:instrText xml:space="preserve"> NUMPAGES </w:instrText>
    </w:r>
    <w:r>
      <w:rPr>
        <w:rStyle w:val="PageNumber"/>
      </w:rPr>
      <w:fldChar w:fldCharType="separate"/>
    </w:r>
    <w:r w:rsidR="003A0334">
      <w:rPr>
        <w:rStyle w:val="PageNumber"/>
        <w:noProof/>
      </w:rPr>
      <w:t>9</w:t>
    </w:r>
    <w:r>
      <w:rPr>
        <w:rStyle w:val="PageNumber"/>
      </w:rPr>
      <w:fldChar w:fldCharType="end"/>
    </w:r>
    <w:r>
      <w:rPr>
        <w:rStyle w:val="PageNumber"/>
      </w:rPr>
      <w:tab/>
    </w:r>
  </w:p>
  <w:p w:rsidR="00DB77E4" w:rsidRDefault="00DB77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EB3" w:rsidRDefault="00A22EB3">
      <w:r>
        <w:separator/>
      </w:r>
    </w:p>
  </w:footnote>
  <w:footnote w:type="continuationSeparator" w:id="1">
    <w:p w:rsidR="00A22EB3" w:rsidRDefault="00A22E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57"/>
    </w:tblGrid>
    <w:tr w:rsidR="00DB77E4">
      <w:tblPrEx>
        <w:tblCellMar>
          <w:top w:w="0" w:type="dxa"/>
          <w:bottom w:w="0" w:type="dxa"/>
        </w:tblCellMar>
      </w:tblPrEx>
      <w:tc>
        <w:tcPr>
          <w:tcW w:w="8957" w:type="dxa"/>
        </w:tcPr>
        <w:p w:rsidR="00DB77E4" w:rsidRDefault="00CC3E67" w:rsidP="00CC3E67">
          <w:pPr>
            <w:pStyle w:val="Header"/>
            <w:jc w:val="center"/>
            <w:rPr>
              <w:rFonts w:ascii="Arial" w:hAnsi="Arial" w:cs="Arial"/>
              <w:b/>
              <w:u w:val="single"/>
            </w:rPr>
          </w:pPr>
          <w:r w:rsidRPr="00CC3E67">
            <w:rPr>
              <w:rFonts w:ascii="Arial" w:hAnsi="Arial" w:cs="Arial"/>
              <w:b/>
              <w:u w:val="single"/>
            </w:rPr>
            <w:t>Brahmayya &amp; Co.,</w:t>
          </w:r>
        </w:p>
        <w:p w:rsidR="00CC3E67" w:rsidRPr="00CC3E67" w:rsidRDefault="00CC3E67" w:rsidP="00CC3E67">
          <w:pPr>
            <w:pStyle w:val="Header"/>
            <w:jc w:val="center"/>
            <w:rPr>
              <w:rFonts w:ascii="Arial" w:hAnsi="Arial" w:cs="Arial"/>
              <w:b/>
              <w:u w:val="single"/>
            </w:rPr>
          </w:pPr>
        </w:p>
        <w:p w:rsidR="00CC3E67" w:rsidRPr="00CC3E67" w:rsidRDefault="00CC3E67" w:rsidP="00CC3E67">
          <w:pPr>
            <w:pStyle w:val="Header"/>
            <w:tabs>
              <w:tab w:val="left" w:pos="7455"/>
            </w:tabs>
            <w:jc w:val="center"/>
            <w:rPr>
              <w:rFonts w:ascii="Arial" w:hAnsi="Arial" w:cs="Arial"/>
              <w:b/>
              <w:u w:val="single"/>
            </w:rPr>
          </w:pPr>
          <w:r>
            <w:rPr>
              <w:rFonts w:ascii="Arial" w:hAnsi="Arial" w:cs="Arial"/>
              <w:b/>
              <w:u w:val="single"/>
            </w:rPr>
            <w:t>Analytical Procedures</w:t>
          </w:r>
        </w:p>
      </w:tc>
    </w:tr>
  </w:tbl>
  <w:p w:rsidR="00DB77E4" w:rsidRDefault="00DB77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46517"/>
    <w:multiLevelType w:val="singleLevel"/>
    <w:tmpl w:val="220EBF2A"/>
    <w:lvl w:ilvl="0">
      <w:start w:val="1"/>
      <w:numFmt w:val="lowerLetter"/>
      <w:lvlText w:val="%1)"/>
      <w:lvlJc w:val="left"/>
      <w:pPr>
        <w:tabs>
          <w:tab w:val="num" w:pos="360"/>
        </w:tabs>
        <w:ind w:left="360" w:hanging="360"/>
      </w:pPr>
      <w:rPr>
        <w:rFonts w:hint="default"/>
      </w:rPr>
    </w:lvl>
  </w:abstractNum>
  <w:abstractNum w:abstractNumId="1">
    <w:nsid w:val="46E15E04"/>
    <w:multiLevelType w:val="singleLevel"/>
    <w:tmpl w:val="220EBF2A"/>
    <w:lvl w:ilvl="0">
      <w:start w:val="1"/>
      <w:numFmt w:val="lowerLetter"/>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CC3E67"/>
    <w:rsid w:val="000A45C6"/>
    <w:rsid w:val="000B38F2"/>
    <w:rsid w:val="003A0334"/>
    <w:rsid w:val="005A5261"/>
    <w:rsid w:val="00A22EB3"/>
    <w:rsid w:val="00A533C8"/>
    <w:rsid w:val="00AE2A75"/>
    <w:rsid w:val="00CC3E67"/>
    <w:rsid w:val="00DB77E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1">
    <w:name w:val="heading 1"/>
    <w:basedOn w:val="Normal"/>
    <w:next w:val="Normal"/>
    <w:qFormat/>
    <w:pPr>
      <w:keepNext/>
      <w:spacing w:line="360" w:lineRule="auto"/>
      <w:jc w:val="both"/>
      <w:outlineLvl w:val="0"/>
    </w:pPr>
    <w:rPr>
      <w:sz w:val="2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line="360" w:lineRule="auto"/>
      <w:jc w:val="both"/>
    </w:pPr>
    <w:rPr>
      <w:sz w:val="22"/>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1451</Words>
  <Characters>8274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Analytical Procedures – as prescribed by SAP 14 has been mandatory since 1st April, 1997 and therefore should be thoroughly studied</vt:lpstr>
    </vt:vector>
  </TitlesOfParts>
  <Company>BRAHMAYYA &amp; CO.</Company>
  <LinksUpToDate>false</LinksUpToDate>
  <CharactersWithSpaces>9706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Analytical Procedures – as prescribed by SAP 14 has been mandatory since 1st April, 1997 and therefore should be thoroughly studied</dc:title>
  <dc:creator>P.S.KUMAR</dc:creator>
  <cp:lastModifiedBy>Brahmayya 037</cp:lastModifiedBy>
  <cp:revision>2</cp:revision>
  <cp:lastPrinted>2004-05-25T14:14:00Z</cp:lastPrinted>
  <dcterms:created xsi:type="dcterms:W3CDTF">2010-08-05T09:58:00Z</dcterms:created>
  <dcterms:modified xsi:type="dcterms:W3CDTF">2010-08-05T09:58:00Z</dcterms:modified>
</cp:coreProperties>
</file>