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0" w:type="dxa"/>
        <w:tblInd w:w="93" w:type="dxa"/>
        <w:tblLook w:val="04A0"/>
      </w:tblPr>
      <w:tblGrid>
        <w:gridCol w:w="10396"/>
      </w:tblGrid>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Default="009758FA" w:rsidP="003A2A44">
            <w:pPr>
              <w:spacing w:after="0" w:line="240" w:lineRule="auto"/>
              <w:rPr>
                <w:rFonts w:ascii="Calibri" w:eastAsia="Times New Roman" w:hAnsi="Calibri" w:cs="Times New Roman"/>
                <w:b/>
                <w:bCs/>
                <w:color w:val="000000"/>
                <w:sz w:val="32"/>
                <w:szCs w:val="32"/>
              </w:rPr>
            </w:pPr>
            <w:r>
              <w:rPr>
                <w:rFonts w:ascii="Calibri" w:eastAsia="Times New Roman" w:hAnsi="Calibri" w:cs="Times New Roman"/>
                <w:b/>
                <w:bCs/>
                <w:color w:val="000000"/>
                <w:sz w:val="32"/>
                <w:szCs w:val="32"/>
              </w:rPr>
              <w:t>Note on whether trading is exempted service or not</w:t>
            </w:r>
          </w:p>
          <w:p w:rsidR="007C6492" w:rsidRDefault="007C6492" w:rsidP="003A2A44">
            <w:pPr>
              <w:spacing w:after="0" w:line="240" w:lineRule="auto"/>
              <w:rPr>
                <w:rFonts w:ascii="Calibri" w:eastAsia="Times New Roman" w:hAnsi="Calibri" w:cs="Times New Roman"/>
                <w:b/>
                <w:bCs/>
                <w:color w:val="000000"/>
                <w:sz w:val="32"/>
                <w:szCs w:val="32"/>
              </w:rPr>
            </w:pPr>
          </w:p>
          <w:p w:rsidR="009758FA" w:rsidRPr="00CD0066" w:rsidRDefault="009758FA" w:rsidP="003A2A44">
            <w:pPr>
              <w:spacing w:after="0" w:line="240" w:lineRule="auto"/>
              <w:rPr>
                <w:rFonts w:ascii="Calibri" w:eastAsia="Times New Roman" w:hAnsi="Calibri" w:cs="Times New Roman"/>
                <w:b/>
                <w:bCs/>
                <w:color w:val="000000"/>
                <w:sz w:val="32"/>
                <w:szCs w:val="32"/>
              </w:rPr>
            </w:pPr>
            <w:r w:rsidRPr="00CD0066">
              <w:rPr>
                <w:rFonts w:ascii="Calibri" w:eastAsia="Times New Roman" w:hAnsi="Calibri" w:cs="Times New Roman"/>
                <w:b/>
                <w:bCs/>
                <w:color w:val="000000"/>
                <w:sz w:val="32"/>
                <w:szCs w:val="32"/>
              </w:rPr>
              <w:t>Up to 30 June 2012</w:t>
            </w: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bCs/>
                <w:color w:val="000000"/>
                <w:sz w:val="28"/>
                <w:szCs w:val="28"/>
              </w:rPr>
              <w:t>Exempted services means</w:t>
            </w:r>
            <w:r w:rsidRPr="00CD0066">
              <w:rPr>
                <w:rFonts w:ascii="Calibri" w:eastAsia="Times New Roman" w:hAnsi="Calibri" w:cs="Times New Roman"/>
                <w:b/>
                <w:color w:val="000000"/>
                <w:sz w:val="28"/>
                <w:szCs w:val="28"/>
              </w:rPr>
              <w:t xml:space="preserve"> taxable services which are exempt from the                                                                                      </w:t>
            </w: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whole of the service tax leviable thereon, and includes services on which</w:t>
            </w: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no service tax is leviable under section 66 of the Finance Act and taxable</w:t>
            </w: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services whose part of value is exempted on the condition that no credit</w:t>
            </w: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of inputs and input services, used for providing such taxable service, shall</w:t>
            </w: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be taken.</w:t>
            </w: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b/>
                <w:color w:val="000000"/>
                <w:sz w:val="28"/>
                <w:szCs w:val="28"/>
              </w:rPr>
            </w:pP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 xml:space="preserve">Explanation.- For the removal of doubts, it is hereby clarified that </w:t>
            </w: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exempted services includes trading</w:t>
            </w: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color w:val="000000"/>
              </w:rPr>
            </w:pP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color w:val="000000"/>
              </w:rPr>
            </w:pP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color w:val="000000"/>
              </w:rPr>
            </w:pP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b/>
                <w:bCs/>
                <w:color w:val="000000"/>
                <w:sz w:val="28"/>
                <w:szCs w:val="28"/>
              </w:rPr>
            </w:pPr>
            <w:r w:rsidRPr="00CD0066">
              <w:rPr>
                <w:rFonts w:ascii="Calibri" w:eastAsia="Times New Roman" w:hAnsi="Calibri" w:cs="Times New Roman"/>
                <w:b/>
                <w:bCs/>
                <w:color w:val="000000"/>
                <w:sz w:val="28"/>
                <w:szCs w:val="28"/>
              </w:rPr>
              <w:t>From 01 JULY 2012</w:t>
            </w: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b/>
                <w:bCs/>
                <w:color w:val="000000"/>
                <w:sz w:val="28"/>
                <w:szCs w:val="28"/>
              </w:rPr>
            </w:pPr>
            <w:r w:rsidRPr="00CD0066">
              <w:rPr>
                <w:rFonts w:ascii="Calibri" w:eastAsia="Times New Roman" w:hAnsi="Calibri" w:cs="Times New Roman"/>
                <w:b/>
                <w:bCs/>
                <w:color w:val="000000"/>
                <w:sz w:val="28"/>
                <w:szCs w:val="28"/>
              </w:rPr>
              <w:t>Exempted service means a -</w:t>
            </w: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1. Taxable service which is exempt from the whole of service tax leviable thereon ; or</w:t>
            </w: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2. service , on which no service tax is leviable under se</w:t>
            </w:r>
            <w:r w:rsidR="007C6492">
              <w:rPr>
                <w:rFonts w:ascii="Calibri" w:eastAsia="Times New Roman" w:hAnsi="Calibri" w:cs="Times New Roman"/>
                <w:b/>
                <w:color w:val="000000"/>
                <w:sz w:val="28"/>
                <w:szCs w:val="28"/>
              </w:rPr>
              <w:t>ction 66 B of the finance act ;</w:t>
            </w:r>
            <w:r w:rsidRPr="00CD0066">
              <w:rPr>
                <w:rFonts w:ascii="Calibri" w:eastAsia="Times New Roman" w:hAnsi="Calibri" w:cs="Times New Roman"/>
                <w:b/>
                <w:color w:val="000000"/>
                <w:sz w:val="28"/>
                <w:szCs w:val="28"/>
              </w:rPr>
              <w:t>or</w:t>
            </w:r>
          </w:p>
        </w:tc>
      </w:tr>
      <w:tr w:rsidR="009758FA" w:rsidRPr="00CD0066" w:rsidTr="003A2A44">
        <w:trPr>
          <w:trHeight w:val="300"/>
        </w:trPr>
        <w:tc>
          <w:tcPr>
            <w:tcW w:w="10180" w:type="dxa"/>
            <w:tcBorders>
              <w:top w:val="nil"/>
              <w:left w:val="nil"/>
              <w:bottom w:val="nil"/>
              <w:right w:val="nil"/>
            </w:tcBorders>
            <w:shd w:val="clear" w:color="auto" w:fill="auto"/>
            <w:noWrap/>
            <w:vAlign w:val="bottom"/>
            <w:hideMark/>
          </w:tcPr>
          <w:p w:rsidR="009758FA" w:rsidRPr="00CD0066" w:rsidRDefault="009758FA"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3. taxable service whose part of value is exempted on the condition that no credit of inputs</w:t>
            </w:r>
            <w:r w:rsidR="007C6492">
              <w:rPr>
                <w:rFonts w:ascii="Calibri" w:eastAsia="Times New Roman" w:hAnsi="Calibri" w:cs="Times New Roman"/>
                <w:b/>
                <w:color w:val="000000"/>
                <w:sz w:val="28"/>
                <w:szCs w:val="28"/>
              </w:rPr>
              <w:t xml:space="preserve"> </w:t>
            </w:r>
            <w:r w:rsidR="007C6492" w:rsidRPr="00CD0066">
              <w:rPr>
                <w:rFonts w:ascii="Calibri" w:eastAsia="Times New Roman" w:hAnsi="Calibri" w:cs="Times New Roman"/>
                <w:b/>
                <w:color w:val="000000"/>
                <w:sz w:val="28"/>
                <w:szCs w:val="28"/>
              </w:rPr>
              <w:t>and input services ,used for providing such taxable service ,shall be taken</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but shall not include a service which is exported in terms of rule 6A OF THE SERVICE TAX RULES ,</w:t>
            </w:r>
            <w:r>
              <w:rPr>
                <w:rFonts w:ascii="Calibri" w:eastAsia="Times New Roman" w:hAnsi="Calibri" w:cs="Times New Roman"/>
                <w:b/>
                <w:color w:val="000000"/>
                <w:sz w:val="28"/>
                <w:szCs w:val="28"/>
              </w:rPr>
              <w:t>1994</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bCs/>
                <w:color w:val="000000"/>
                <w:sz w:val="28"/>
                <w:szCs w:val="28"/>
              </w:rPr>
            </w:pPr>
            <w:r w:rsidRPr="00CD0066">
              <w:rPr>
                <w:rFonts w:ascii="Calibri" w:eastAsia="Times New Roman" w:hAnsi="Calibri" w:cs="Times New Roman"/>
                <w:b/>
                <w:bCs/>
                <w:color w:val="000000"/>
                <w:sz w:val="28"/>
                <w:szCs w:val="28"/>
              </w:rPr>
              <w:t>Sec 66 B Charging section of service tax</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Arial" w:eastAsia="Times New Roman" w:hAnsi="Arial" w:cs="Arial"/>
                <w:b/>
                <w:color w:val="000000"/>
                <w:sz w:val="28"/>
                <w:szCs w:val="28"/>
              </w:rPr>
            </w:pPr>
            <w:r w:rsidRPr="00CD0066">
              <w:rPr>
                <w:rFonts w:ascii="Arial" w:eastAsia="Times New Roman" w:hAnsi="Arial" w:cs="Arial"/>
                <w:b/>
                <w:color w:val="000000"/>
                <w:sz w:val="28"/>
                <w:szCs w:val="28"/>
              </w:rPr>
              <w:t>There shall be levied a tax (hereinafter referred to as the service tax) at the rate of twelve per cent. on the value of all services, other than those services specified in the negative list, provided or agreed to be</w:t>
            </w:r>
            <w:r>
              <w:rPr>
                <w:rFonts w:ascii="Arial" w:eastAsia="Times New Roman" w:hAnsi="Arial" w:cs="Arial"/>
                <w:b/>
                <w:color w:val="000000"/>
                <w:sz w:val="28"/>
                <w:szCs w:val="28"/>
              </w:rPr>
              <w:t xml:space="preserve"> </w:t>
            </w:r>
            <w:r w:rsidRPr="00CD0066">
              <w:rPr>
                <w:rFonts w:ascii="Arial" w:eastAsia="Times New Roman" w:hAnsi="Arial" w:cs="Arial"/>
                <w:b/>
                <w:color w:val="000000"/>
                <w:sz w:val="28"/>
                <w:szCs w:val="28"/>
              </w:rPr>
              <w:t>provided</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Arial" w:eastAsia="Times New Roman" w:hAnsi="Arial" w:cs="Arial"/>
                <w:b/>
                <w:color w:val="000000"/>
                <w:sz w:val="28"/>
                <w:szCs w:val="28"/>
              </w:rPr>
            </w:pPr>
            <w:r w:rsidRPr="00CD0066">
              <w:rPr>
                <w:rFonts w:ascii="Arial" w:eastAsia="Times New Roman" w:hAnsi="Arial" w:cs="Arial"/>
                <w:b/>
                <w:color w:val="000000"/>
                <w:sz w:val="28"/>
                <w:szCs w:val="28"/>
              </w:rPr>
              <w:t>in the taxable territory by one person to another and collected in such manner as may be</w:t>
            </w:r>
            <w:r>
              <w:rPr>
                <w:rFonts w:ascii="Arial" w:eastAsia="Times New Roman" w:hAnsi="Arial" w:cs="Arial"/>
                <w:b/>
                <w:color w:val="000000"/>
                <w:sz w:val="28"/>
                <w:szCs w:val="28"/>
              </w:rPr>
              <w:t xml:space="preserve"> </w:t>
            </w:r>
            <w:r w:rsidRPr="00CD0066">
              <w:rPr>
                <w:rFonts w:ascii="Arial" w:eastAsia="Times New Roman" w:hAnsi="Arial" w:cs="Arial"/>
                <w:b/>
                <w:color w:val="000000"/>
                <w:sz w:val="28"/>
                <w:szCs w:val="28"/>
              </w:rPr>
              <w:t>prescribed.</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Arial" w:eastAsia="Times New Roman" w:hAnsi="Arial" w:cs="Arial"/>
                <w:b/>
                <w:color w:val="000000"/>
                <w:sz w:val="28"/>
                <w:szCs w:val="28"/>
              </w:rPr>
            </w:pPr>
            <w:r w:rsidRPr="00CD0066">
              <w:rPr>
                <w:rFonts w:ascii="Arial" w:eastAsia="Times New Roman" w:hAnsi="Arial" w:cs="Arial"/>
                <w:b/>
                <w:color w:val="000000"/>
                <w:sz w:val="28"/>
                <w:szCs w:val="28"/>
              </w:rPr>
              <w:t>Sec 66 B is not applicable on negative listed service .It means negative listed services are exempted services</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Arial" w:eastAsia="Times New Roman" w:hAnsi="Arial" w:cs="Arial"/>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Arial" w:eastAsia="Times New Roman" w:hAnsi="Arial" w:cs="Arial"/>
                <w:b/>
                <w:bCs/>
                <w:color w:val="000000"/>
                <w:sz w:val="28"/>
                <w:szCs w:val="28"/>
              </w:rPr>
            </w:pPr>
            <w:r w:rsidRPr="00CD0066">
              <w:rPr>
                <w:rFonts w:ascii="Arial" w:eastAsia="Times New Roman" w:hAnsi="Arial" w:cs="Arial"/>
                <w:b/>
                <w:bCs/>
                <w:color w:val="000000"/>
                <w:sz w:val="28"/>
                <w:szCs w:val="28"/>
              </w:rPr>
              <w:t>Negative list services are defined in sec 66D of finace act 1994 which has been come from 01/07/2012</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7C6492">
        <w:trPr>
          <w:trHeight w:val="405"/>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Arial" w:eastAsia="Times New Roman" w:hAnsi="Arial" w:cs="Arial"/>
                <w:b/>
                <w:color w:val="000000"/>
                <w:sz w:val="28"/>
                <w:szCs w:val="28"/>
              </w:rPr>
            </w:pPr>
            <w:r w:rsidRPr="00CD0066">
              <w:rPr>
                <w:rFonts w:ascii="Arial" w:eastAsia="Times New Roman" w:hAnsi="Arial" w:cs="Arial"/>
                <w:b/>
                <w:color w:val="000000"/>
                <w:sz w:val="28"/>
                <w:szCs w:val="28"/>
              </w:rPr>
              <w:lastRenderedPageBreak/>
              <w:t>Sec 66 D Negative list of services</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The negative list shall comprise of the following services, namely:––</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(e)  trading of goods;</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bCs/>
                <w:color w:val="000000"/>
                <w:sz w:val="28"/>
                <w:szCs w:val="28"/>
              </w:rPr>
            </w:pPr>
            <w:r w:rsidRPr="00CD0066">
              <w:rPr>
                <w:rFonts w:ascii="Calibri" w:eastAsia="Times New Roman" w:hAnsi="Calibri" w:cs="Times New Roman"/>
                <w:b/>
                <w:bCs/>
                <w:color w:val="000000"/>
                <w:sz w:val="28"/>
                <w:szCs w:val="28"/>
              </w:rPr>
              <w:t xml:space="preserve">As per my opinion trading is exempted service </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bCs/>
                <w:color w:val="000000"/>
                <w:sz w:val="28"/>
                <w:szCs w:val="28"/>
              </w:rPr>
            </w:pPr>
            <w:r w:rsidRPr="00CD0066">
              <w:rPr>
                <w:rFonts w:ascii="Calibri" w:eastAsia="Times New Roman" w:hAnsi="Calibri" w:cs="Times New Roman"/>
                <w:b/>
                <w:bCs/>
                <w:color w:val="000000"/>
                <w:sz w:val="28"/>
                <w:szCs w:val="28"/>
              </w:rPr>
              <w:t>1.From the above we can say that intention of government is same as before 01/07/2012</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bCs/>
                <w:color w:val="000000"/>
                <w:sz w:val="28"/>
                <w:szCs w:val="28"/>
              </w:rPr>
            </w:pPr>
            <w:r w:rsidRPr="00CD0066">
              <w:rPr>
                <w:rFonts w:ascii="Calibri" w:eastAsia="Times New Roman" w:hAnsi="Calibri" w:cs="Times New Roman"/>
                <w:b/>
                <w:bCs/>
                <w:color w:val="000000"/>
                <w:sz w:val="28"/>
                <w:szCs w:val="28"/>
              </w:rPr>
              <w:t>means Trading is exempted service</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bCs/>
                <w:color w:val="000000"/>
                <w:sz w:val="28"/>
                <w:szCs w:val="28"/>
              </w:rPr>
            </w:pPr>
            <w:r w:rsidRPr="00CD0066">
              <w:rPr>
                <w:rFonts w:ascii="Calibri" w:eastAsia="Times New Roman" w:hAnsi="Calibri" w:cs="Times New Roman"/>
                <w:b/>
                <w:bCs/>
                <w:color w:val="000000"/>
                <w:sz w:val="28"/>
                <w:szCs w:val="28"/>
              </w:rPr>
              <w:t xml:space="preserve">2. CIRCULAR NO.943/04/2011 in which point no.  6. and point no. 7 also says trading is exempted service </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 xml:space="preserve">3.From 01/07/2012 Rule 6 of Cenvat Credit Rules 2004 has been amended in which one explanation has been </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 xml:space="preserve">added  </w:t>
            </w: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Default="007C6492" w:rsidP="003A2A44">
            <w:pPr>
              <w:spacing w:after="0" w:line="240" w:lineRule="auto"/>
              <w:rPr>
                <w:rFonts w:ascii="Calibri" w:eastAsia="Times New Roman" w:hAnsi="Calibri" w:cs="Times New Roman"/>
                <w:b/>
                <w:color w:val="000000"/>
                <w:sz w:val="28"/>
                <w:szCs w:val="28"/>
              </w:rPr>
            </w:pPr>
          </w:p>
          <w:p w:rsidR="007C6492" w:rsidRDefault="007C6492" w:rsidP="003A2A44">
            <w:pPr>
              <w:spacing w:after="0" w:line="240" w:lineRule="auto"/>
              <w:rPr>
                <w:rFonts w:ascii="Calibri" w:eastAsia="Times New Roman" w:hAnsi="Calibri" w:cs="Times New Roman"/>
                <w:b/>
                <w:color w:val="000000"/>
                <w:sz w:val="28"/>
                <w:szCs w:val="28"/>
              </w:rPr>
            </w:pPr>
            <w:r w:rsidRPr="00CD0066">
              <w:rPr>
                <w:rFonts w:ascii="Calibri" w:eastAsia="Times New Roman" w:hAnsi="Calibri" w:cs="Times New Roman"/>
                <w:b/>
                <w:color w:val="000000"/>
                <w:sz w:val="28"/>
                <w:szCs w:val="28"/>
              </w:rPr>
              <w:t xml:space="preserve">Rule 6 is for reversal /payment of cenvat credit if common inputs and /or common inputs service is used for </w:t>
            </w:r>
            <w:r w:rsidR="000B527A" w:rsidRPr="00CD0066">
              <w:rPr>
                <w:rFonts w:ascii="Calibri" w:eastAsia="Times New Roman" w:hAnsi="Calibri" w:cs="Times New Roman"/>
                <w:b/>
                <w:color w:val="000000"/>
                <w:sz w:val="28"/>
                <w:szCs w:val="28"/>
              </w:rPr>
              <w:t>both dutiable goods and exempted services</w:t>
            </w:r>
          </w:p>
          <w:p w:rsidR="000B527A" w:rsidRDefault="000B527A" w:rsidP="003A2A44">
            <w:pPr>
              <w:spacing w:after="0" w:line="240" w:lineRule="auto"/>
              <w:rPr>
                <w:rFonts w:ascii="Calibri" w:eastAsia="Times New Roman" w:hAnsi="Calibri" w:cs="Times New Roman"/>
                <w:b/>
                <w:color w:val="000000"/>
                <w:sz w:val="28"/>
                <w:szCs w:val="28"/>
              </w:rPr>
            </w:pPr>
          </w:p>
          <w:tbl>
            <w:tblPr>
              <w:tblW w:w="10180" w:type="dxa"/>
              <w:tblLook w:val="04A0"/>
            </w:tblPr>
            <w:tblGrid>
              <w:gridCol w:w="10180"/>
            </w:tblGrid>
            <w:tr w:rsidR="000B527A" w:rsidRPr="000B527A" w:rsidTr="000B527A">
              <w:trPr>
                <w:trHeight w:val="315"/>
              </w:trPr>
              <w:tc>
                <w:tcPr>
                  <w:tcW w:w="10180" w:type="dxa"/>
                  <w:tcBorders>
                    <w:top w:val="nil"/>
                    <w:left w:val="nil"/>
                    <w:bottom w:val="nil"/>
                    <w:right w:val="nil"/>
                  </w:tcBorders>
                  <w:shd w:val="clear" w:color="auto" w:fill="auto"/>
                  <w:vAlign w:val="bottom"/>
                  <w:hideMark/>
                </w:tcPr>
                <w:p w:rsidR="000B527A" w:rsidRPr="000B527A" w:rsidRDefault="000B527A" w:rsidP="000B527A">
                  <w:pPr>
                    <w:spacing w:after="0" w:line="240" w:lineRule="auto"/>
                    <w:jc w:val="both"/>
                    <w:rPr>
                      <w:rFonts w:ascii="Times New Roman" w:eastAsia="Times New Roman" w:hAnsi="Times New Roman" w:cs="Times New Roman"/>
                      <w:b/>
                      <w:bCs/>
                      <w:i/>
                      <w:iCs/>
                      <w:color w:val="000000"/>
                      <w:sz w:val="28"/>
                      <w:szCs w:val="28"/>
                    </w:rPr>
                  </w:pPr>
                  <w:r w:rsidRPr="000B527A">
                    <w:rPr>
                      <w:rFonts w:ascii="Times New Roman" w:eastAsia="Times New Roman" w:hAnsi="Times New Roman" w:cs="Times New Roman"/>
                      <w:b/>
                      <w:bCs/>
                      <w:i/>
                      <w:iCs/>
                      <w:color w:val="000000"/>
                      <w:sz w:val="28"/>
                      <w:szCs w:val="28"/>
                    </w:rPr>
                    <w:t>“</w:t>
                  </w:r>
                  <w:r w:rsidRPr="000B527A">
                    <w:rPr>
                      <w:rFonts w:ascii="Times New Roman" w:eastAsia="Times New Roman" w:hAnsi="Times New Roman" w:cs="Times New Roman"/>
                      <w:b/>
                      <w:i/>
                      <w:iCs/>
                      <w:color w:val="000000"/>
                      <w:sz w:val="28"/>
                      <w:szCs w:val="28"/>
                    </w:rPr>
                    <w:t>Explanation I</w:t>
                  </w:r>
                  <w:r w:rsidRPr="000B527A">
                    <w:rPr>
                      <w:rFonts w:ascii="Times New Roman" w:eastAsia="Times New Roman" w:hAnsi="Times New Roman" w:cs="Times New Roman"/>
                      <w:b/>
                      <w:color w:val="000000"/>
                      <w:sz w:val="28"/>
                      <w:szCs w:val="28"/>
                    </w:rPr>
                    <w:t>. - “Value” for the purpose of sub-rules (3) and (3A),—</w:t>
                  </w:r>
                </w:p>
              </w:tc>
            </w:tr>
            <w:tr w:rsidR="000B527A" w:rsidRPr="000B527A" w:rsidTr="000B527A">
              <w:trPr>
                <w:trHeight w:val="945"/>
              </w:trPr>
              <w:tc>
                <w:tcPr>
                  <w:tcW w:w="10180" w:type="dxa"/>
                  <w:tcBorders>
                    <w:top w:val="nil"/>
                    <w:left w:val="nil"/>
                    <w:bottom w:val="nil"/>
                    <w:right w:val="nil"/>
                  </w:tcBorders>
                  <w:shd w:val="clear" w:color="auto" w:fill="auto"/>
                  <w:vAlign w:val="bottom"/>
                  <w:hideMark/>
                </w:tcPr>
                <w:p w:rsidR="000B527A" w:rsidRDefault="000B527A" w:rsidP="000B527A">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 </w:t>
                  </w:r>
                  <w:r w:rsidRPr="000B527A">
                    <w:rPr>
                      <w:rFonts w:ascii="Times New Roman" w:eastAsia="Times New Roman" w:hAnsi="Times New Roman" w:cs="Times New Roman"/>
                      <w:b/>
                      <w:color w:val="000000"/>
                      <w:sz w:val="28"/>
                      <w:szCs w:val="28"/>
                    </w:rPr>
                    <w:t>shall have the same meaning as assigned to it under section 67 of the Finance Act, read with rules made there under or, as the case may be, the value determined under section 3, 4 or 4A of the Excise Act, read with rules made there under;</w:t>
                  </w:r>
                </w:p>
                <w:p w:rsidR="000B527A" w:rsidRPr="000B527A" w:rsidRDefault="000B527A" w:rsidP="000B527A">
                  <w:pPr>
                    <w:spacing w:after="0" w:line="240" w:lineRule="auto"/>
                    <w:jc w:val="both"/>
                    <w:rPr>
                      <w:rFonts w:ascii="Times New Roman" w:eastAsia="Times New Roman" w:hAnsi="Times New Roman" w:cs="Times New Roman"/>
                      <w:b/>
                      <w:color w:val="000000"/>
                      <w:sz w:val="28"/>
                      <w:szCs w:val="28"/>
                    </w:rPr>
                  </w:pPr>
                </w:p>
              </w:tc>
            </w:tr>
            <w:tr w:rsidR="000B527A" w:rsidRPr="000B527A" w:rsidTr="000B527A">
              <w:trPr>
                <w:trHeight w:val="1575"/>
              </w:trPr>
              <w:tc>
                <w:tcPr>
                  <w:tcW w:w="10180" w:type="dxa"/>
                  <w:tcBorders>
                    <w:top w:val="nil"/>
                    <w:left w:val="nil"/>
                    <w:bottom w:val="nil"/>
                    <w:right w:val="nil"/>
                  </w:tcBorders>
                  <w:shd w:val="clear" w:color="auto" w:fill="auto"/>
                  <w:vAlign w:val="bottom"/>
                  <w:hideMark/>
                </w:tcPr>
                <w:p w:rsidR="000B527A" w:rsidRPr="000B527A" w:rsidRDefault="000B527A" w:rsidP="000B527A">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w:t>
                  </w:r>
                  <w:r w:rsidRPr="000B527A">
                    <w:rPr>
                      <w:rFonts w:ascii="Times New Roman" w:eastAsia="Times New Roman" w:hAnsi="Times New Roman" w:cs="Times New Roman"/>
                      <w:b/>
                      <w:color w:val="000000"/>
                      <w:sz w:val="28"/>
                      <w:szCs w:val="28"/>
                    </w:rPr>
                    <w:t>in the case of a taxable service, when the option available under sub-rules  (7),(7A),(7B) or (7C) of rule 6 of the Service Tax Rules, 1994, has been availed, shall be the value on which the rate of service tax under section 66B  of the Finance Act, read with an exemption notification, if any, relating to such rate, when applied for calculation of service tax results in the same amount of tax as calculated under the option availed; or</w:t>
                  </w:r>
                </w:p>
              </w:tc>
            </w:tr>
            <w:tr w:rsidR="000B527A" w:rsidRPr="000B527A" w:rsidTr="000B527A">
              <w:trPr>
                <w:trHeight w:val="315"/>
              </w:trPr>
              <w:tc>
                <w:tcPr>
                  <w:tcW w:w="10180" w:type="dxa"/>
                  <w:tcBorders>
                    <w:top w:val="nil"/>
                    <w:left w:val="nil"/>
                    <w:bottom w:val="nil"/>
                    <w:right w:val="nil"/>
                  </w:tcBorders>
                  <w:shd w:val="clear" w:color="auto" w:fill="auto"/>
                  <w:vAlign w:val="bottom"/>
                  <w:hideMark/>
                </w:tcPr>
                <w:p w:rsidR="000B527A" w:rsidRPr="000B527A" w:rsidRDefault="000B527A" w:rsidP="000B527A">
                  <w:pPr>
                    <w:spacing w:after="0" w:line="240" w:lineRule="auto"/>
                    <w:jc w:val="both"/>
                    <w:rPr>
                      <w:rFonts w:ascii="Times New Roman" w:eastAsia="Times New Roman" w:hAnsi="Times New Roman" w:cs="Times New Roman"/>
                      <w:b/>
                      <w:color w:val="000000"/>
                      <w:sz w:val="28"/>
                      <w:szCs w:val="28"/>
                    </w:rPr>
                  </w:pPr>
                </w:p>
              </w:tc>
            </w:tr>
            <w:tr w:rsidR="000B527A" w:rsidRPr="000B527A" w:rsidTr="000B527A">
              <w:trPr>
                <w:trHeight w:val="945"/>
              </w:trPr>
              <w:tc>
                <w:tcPr>
                  <w:tcW w:w="10180" w:type="dxa"/>
                  <w:tcBorders>
                    <w:top w:val="nil"/>
                    <w:left w:val="nil"/>
                    <w:bottom w:val="nil"/>
                    <w:right w:val="nil"/>
                  </w:tcBorders>
                  <w:shd w:val="clear" w:color="auto" w:fill="auto"/>
                  <w:vAlign w:val="bottom"/>
                  <w:hideMark/>
                </w:tcPr>
                <w:p w:rsidR="000B527A" w:rsidRDefault="000B527A" w:rsidP="000B527A">
                  <w:pPr>
                    <w:spacing w:after="0" w:line="240" w:lineRule="auto"/>
                    <w:jc w:val="both"/>
                    <w:rPr>
                      <w:rFonts w:ascii="Times New Roman" w:eastAsia="Times New Roman" w:hAnsi="Times New Roman" w:cs="Times New Roman"/>
                      <w:b/>
                      <w:color w:val="000000"/>
                      <w:sz w:val="28"/>
                      <w:szCs w:val="28"/>
                    </w:rPr>
                  </w:pPr>
                  <w:r w:rsidRPr="000B527A">
                    <w:rPr>
                      <w:rFonts w:ascii="Times New Roman" w:eastAsia="Times New Roman" w:hAnsi="Times New Roman" w:cs="Times New Roman"/>
                      <w:b/>
                      <w:color w:val="000000"/>
                      <w:sz w:val="28"/>
                      <w:szCs w:val="28"/>
                    </w:rPr>
                    <w:t>(c)        in case of trading, shall be the difference between the sale price and the cost of goods sold (determined as per the generally accepted accounting principles without including the expenses incurred towards their purchase) or ten per cent of the cost of goods sold, whichever is more.</w:t>
                  </w:r>
                </w:p>
                <w:p w:rsidR="000B527A" w:rsidRPr="000B527A" w:rsidRDefault="000B527A" w:rsidP="000B527A">
                  <w:pPr>
                    <w:spacing w:after="0" w:line="240" w:lineRule="auto"/>
                    <w:jc w:val="both"/>
                    <w:rPr>
                      <w:rFonts w:ascii="Times New Roman" w:eastAsia="Times New Roman" w:hAnsi="Times New Roman" w:cs="Times New Roman"/>
                      <w:b/>
                      <w:color w:val="000000"/>
                      <w:sz w:val="28"/>
                      <w:szCs w:val="28"/>
                    </w:rPr>
                  </w:pPr>
                </w:p>
              </w:tc>
            </w:tr>
            <w:tr w:rsidR="000B527A" w:rsidRPr="000B527A" w:rsidTr="000B527A">
              <w:trPr>
                <w:trHeight w:val="315"/>
              </w:trPr>
              <w:tc>
                <w:tcPr>
                  <w:tcW w:w="10180" w:type="dxa"/>
                  <w:tcBorders>
                    <w:top w:val="nil"/>
                    <w:left w:val="nil"/>
                    <w:bottom w:val="nil"/>
                    <w:right w:val="nil"/>
                  </w:tcBorders>
                  <w:shd w:val="clear" w:color="auto" w:fill="auto"/>
                  <w:vAlign w:val="bottom"/>
                  <w:hideMark/>
                </w:tcPr>
                <w:p w:rsidR="000B527A" w:rsidRPr="000B527A" w:rsidRDefault="000B527A" w:rsidP="000B527A">
                  <w:pPr>
                    <w:spacing w:after="0" w:line="240" w:lineRule="auto"/>
                    <w:jc w:val="both"/>
                    <w:rPr>
                      <w:rFonts w:ascii="Times New Roman" w:eastAsia="Times New Roman" w:hAnsi="Times New Roman" w:cs="Times New Roman"/>
                      <w:b/>
                      <w:color w:val="000000"/>
                      <w:sz w:val="28"/>
                      <w:szCs w:val="28"/>
                    </w:rPr>
                  </w:pPr>
                </w:p>
              </w:tc>
            </w:tr>
            <w:tr w:rsidR="000B527A" w:rsidRPr="000B527A" w:rsidTr="000B527A">
              <w:trPr>
                <w:trHeight w:val="630"/>
              </w:trPr>
              <w:tc>
                <w:tcPr>
                  <w:tcW w:w="10180" w:type="dxa"/>
                  <w:tcBorders>
                    <w:top w:val="nil"/>
                    <w:left w:val="nil"/>
                    <w:bottom w:val="nil"/>
                    <w:right w:val="nil"/>
                  </w:tcBorders>
                  <w:shd w:val="clear" w:color="auto" w:fill="auto"/>
                  <w:vAlign w:val="bottom"/>
                  <w:hideMark/>
                </w:tcPr>
                <w:p w:rsidR="000B527A" w:rsidRPr="000B527A" w:rsidRDefault="000B527A" w:rsidP="000B527A">
                  <w:pPr>
                    <w:spacing w:after="0" w:line="240" w:lineRule="auto"/>
                    <w:jc w:val="both"/>
                    <w:rPr>
                      <w:rFonts w:ascii="Times New Roman" w:eastAsia="Times New Roman" w:hAnsi="Times New Roman" w:cs="Times New Roman"/>
                      <w:b/>
                      <w:color w:val="000000"/>
                      <w:sz w:val="28"/>
                      <w:szCs w:val="28"/>
                    </w:rPr>
                  </w:pPr>
                  <w:r w:rsidRPr="000B527A">
                    <w:rPr>
                      <w:rFonts w:ascii="Times New Roman" w:eastAsia="Times New Roman" w:hAnsi="Times New Roman" w:cs="Times New Roman"/>
                      <w:b/>
                      <w:color w:val="000000"/>
                      <w:sz w:val="28"/>
                      <w:szCs w:val="28"/>
                    </w:rPr>
                    <w:lastRenderedPageBreak/>
                    <w:t>(d)  in case of trading of securities, shall be the difference between the sale price and the purchase price of the securities traded  or one per cent. of the purchase price of the securities traded, whichever is more.</w:t>
                  </w:r>
                </w:p>
              </w:tc>
            </w:tr>
            <w:tr w:rsidR="000B527A" w:rsidRPr="000B527A" w:rsidTr="000B527A">
              <w:trPr>
                <w:trHeight w:val="315"/>
              </w:trPr>
              <w:tc>
                <w:tcPr>
                  <w:tcW w:w="10180" w:type="dxa"/>
                  <w:tcBorders>
                    <w:top w:val="nil"/>
                    <w:left w:val="nil"/>
                    <w:bottom w:val="nil"/>
                    <w:right w:val="nil"/>
                  </w:tcBorders>
                  <w:shd w:val="clear" w:color="auto" w:fill="auto"/>
                  <w:vAlign w:val="bottom"/>
                  <w:hideMark/>
                </w:tcPr>
                <w:p w:rsidR="000B527A" w:rsidRPr="000B527A" w:rsidRDefault="000B527A" w:rsidP="000B527A">
                  <w:pPr>
                    <w:spacing w:after="0" w:line="240" w:lineRule="auto"/>
                    <w:jc w:val="both"/>
                    <w:rPr>
                      <w:rFonts w:ascii="Times New Roman" w:eastAsia="Times New Roman" w:hAnsi="Times New Roman" w:cs="Times New Roman"/>
                      <w:b/>
                      <w:color w:val="000000"/>
                      <w:sz w:val="28"/>
                      <w:szCs w:val="28"/>
                    </w:rPr>
                  </w:pPr>
                </w:p>
              </w:tc>
            </w:tr>
            <w:tr w:rsidR="000B527A" w:rsidRPr="000B527A" w:rsidTr="000B527A">
              <w:trPr>
                <w:trHeight w:val="630"/>
              </w:trPr>
              <w:tc>
                <w:tcPr>
                  <w:tcW w:w="10180" w:type="dxa"/>
                  <w:tcBorders>
                    <w:top w:val="nil"/>
                    <w:left w:val="nil"/>
                    <w:bottom w:val="nil"/>
                    <w:right w:val="nil"/>
                  </w:tcBorders>
                  <w:shd w:val="clear" w:color="auto" w:fill="auto"/>
                  <w:vAlign w:val="bottom"/>
                  <w:hideMark/>
                </w:tcPr>
                <w:p w:rsidR="000B527A" w:rsidRPr="000B527A" w:rsidRDefault="000B527A" w:rsidP="000B527A">
                  <w:pPr>
                    <w:spacing w:after="0" w:line="240" w:lineRule="auto"/>
                    <w:jc w:val="both"/>
                    <w:rPr>
                      <w:rFonts w:ascii="Times New Roman" w:eastAsia="Times New Roman" w:hAnsi="Times New Roman" w:cs="Times New Roman"/>
                      <w:b/>
                      <w:color w:val="000000"/>
                      <w:sz w:val="28"/>
                      <w:szCs w:val="28"/>
                    </w:rPr>
                  </w:pPr>
                  <w:r w:rsidRPr="000B527A">
                    <w:rPr>
                      <w:rFonts w:ascii="Times New Roman" w:eastAsia="Times New Roman" w:hAnsi="Times New Roman" w:cs="Times New Roman"/>
                      <w:b/>
                      <w:color w:val="000000"/>
                      <w:sz w:val="28"/>
                      <w:szCs w:val="28"/>
                    </w:rPr>
                    <w:t>(e) shall not include the value of services by way of extending deposits, loans or advances in so far as the consideration is represented by way of interest or discount;”</w:t>
                  </w:r>
                </w:p>
              </w:tc>
            </w:tr>
            <w:tr w:rsidR="000B527A" w:rsidRPr="000B527A" w:rsidTr="000B527A">
              <w:trPr>
                <w:trHeight w:val="300"/>
              </w:trPr>
              <w:tc>
                <w:tcPr>
                  <w:tcW w:w="10180" w:type="dxa"/>
                  <w:tcBorders>
                    <w:top w:val="nil"/>
                    <w:left w:val="nil"/>
                    <w:bottom w:val="nil"/>
                    <w:right w:val="nil"/>
                  </w:tcBorders>
                  <w:shd w:val="clear" w:color="auto" w:fill="auto"/>
                  <w:noWrap/>
                  <w:vAlign w:val="bottom"/>
                  <w:hideMark/>
                </w:tcPr>
                <w:p w:rsidR="000B527A" w:rsidRPr="000B527A" w:rsidRDefault="000B527A" w:rsidP="000B527A">
                  <w:pPr>
                    <w:spacing w:after="0" w:line="240" w:lineRule="auto"/>
                    <w:rPr>
                      <w:rFonts w:ascii="Calibri" w:eastAsia="Times New Roman" w:hAnsi="Calibri" w:cs="Times New Roman"/>
                      <w:b/>
                      <w:color w:val="000000"/>
                      <w:sz w:val="28"/>
                      <w:szCs w:val="28"/>
                    </w:rPr>
                  </w:pPr>
                </w:p>
              </w:tc>
            </w:tr>
            <w:tr w:rsidR="000B527A" w:rsidRPr="000B527A" w:rsidTr="000B527A">
              <w:trPr>
                <w:trHeight w:val="300"/>
              </w:trPr>
              <w:tc>
                <w:tcPr>
                  <w:tcW w:w="10180" w:type="dxa"/>
                  <w:tcBorders>
                    <w:top w:val="nil"/>
                    <w:left w:val="nil"/>
                    <w:bottom w:val="nil"/>
                    <w:right w:val="nil"/>
                  </w:tcBorders>
                  <w:shd w:val="clear" w:color="auto" w:fill="auto"/>
                  <w:noWrap/>
                  <w:vAlign w:val="bottom"/>
                  <w:hideMark/>
                </w:tcPr>
                <w:p w:rsidR="000B527A" w:rsidRPr="000B527A" w:rsidRDefault="000B527A" w:rsidP="000B527A">
                  <w:pPr>
                    <w:spacing w:after="0" w:line="240" w:lineRule="auto"/>
                    <w:rPr>
                      <w:rFonts w:ascii="Calibri" w:eastAsia="Times New Roman" w:hAnsi="Calibri" w:cs="Times New Roman"/>
                      <w:b/>
                      <w:color w:val="000000"/>
                      <w:sz w:val="28"/>
                      <w:szCs w:val="28"/>
                    </w:rPr>
                  </w:pPr>
                </w:p>
              </w:tc>
            </w:tr>
            <w:tr w:rsidR="000B527A" w:rsidRPr="000B527A" w:rsidTr="000B527A">
              <w:trPr>
                <w:trHeight w:val="300"/>
              </w:trPr>
              <w:tc>
                <w:tcPr>
                  <w:tcW w:w="10180" w:type="dxa"/>
                  <w:tcBorders>
                    <w:top w:val="nil"/>
                    <w:left w:val="nil"/>
                    <w:bottom w:val="nil"/>
                    <w:right w:val="nil"/>
                  </w:tcBorders>
                  <w:shd w:val="clear" w:color="auto" w:fill="auto"/>
                  <w:noWrap/>
                  <w:vAlign w:val="bottom"/>
                  <w:hideMark/>
                </w:tcPr>
                <w:p w:rsidR="000B527A" w:rsidRPr="000B527A" w:rsidRDefault="000B527A" w:rsidP="000B527A">
                  <w:pPr>
                    <w:spacing w:after="0" w:line="240" w:lineRule="auto"/>
                    <w:rPr>
                      <w:rFonts w:ascii="Calibri" w:eastAsia="Times New Roman" w:hAnsi="Calibri" w:cs="Times New Roman"/>
                      <w:b/>
                      <w:color w:val="000000"/>
                      <w:sz w:val="28"/>
                      <w:szCs w:val="28"/>
                    </w:rPr>
                  </w:pPr>
                </w:p>
              </w:tc>
            </w:tr>
            <w:tr w:rsidR="000B527A" w:rsidRPr="000B527A" w:rsidTr="000B527A">
              <w:trPr>
                <w:trHeight w:val="300"/>
              </w:trPr>
              <w:tc>
                <w:tcPr>
                  <w:tcW w:w="10180" w:type="dxa"/>
                  <w:tcBorders>
                    <w:top w:val="nil"/>
                    <w:left w:val="nil"/>
                    <w:bottom w:val="nil"/>
                    <w:right w:val="nil"/>
                  </w:tcBorders>
                  <w:shd w:val="clear" w:color="auto" w:fill="auto"/>
                  <w:noWrap/>
                  <w:vAlign w:val="bottom"/>
                  <w:hideMark/>
                </w:tcPr>
                <w:p w:rsidR="000B527A" w:rsidRPr="000B527A" w:rsidRDefault="000B527A" w:rsidP="000B527A">
                  <w:pPr>
                    <w:spacing w:after="0" w:line="240" w:lineRule="auto"/>
                    <w:rPr>
                      <w:rFonts w:ascii="Calibri" w:eastAsia="Times New Roman" w:hAnsi="Calibri" w:cs="Times New Roman"/>
                      <w:b/>
                      <w:bCs/>
                      <w:color w:val="000000"/>
                      <w:sz w:val="28"/>
                      <w:szCs w:val="28"/>
                    </w:rPr>
                  </w:pPr>
                  <w:r w:rsidRPr="000B527A">
                    <w:rPr>
                      <w:rFonts w:ascii="Calibri" w:eastAsia="Times New Roman" w:hAnsi="Calibri" w:cs="Times New Roman"/>
                      <w:b/>
                      <w:bCs/>
                      <w:color w:val="000000"/>
                      <w:sz w:val="28"/>
                      <w:szCs w:val="28"/>
                    </w:rPr>
                    <w:t>3. If we see point no. (c ) we can see that  intention of government is also same as before 01/07/2012</w:t>
                  </w:r>
                </w:p>
              </w:tc>
            </w:tr>
            <w:tr w:rsidR="000B527A" w:rsidRPr="000B527A" w:rsidTr="000B527A">
              <w:trPr>
                <w:trHeight w:val="300"/>
              </w:trPr>
              <w:tc>
                <w:tcPr>
                  <w:tcW w:w="10180" w:type="dxa"/>
                  <w:tcBorders>
                    <w:top w:val="nil"/>
                    <w:left w:val="nil"/>
                    <w:bottom w:val="nil"/>
                    <w:right w:val="nil"/>
                  </w:tcBorders>
                  <w:shd w:val="clear" w:color="auto" w:fill="auto"/>
                  <w:noWrap/>
                  <w:vAlign w:val="bottom"/>
                  <w:hideMark/>
                </w:tcPr>
                <w:p w:rsidR="000B527A" w:rsidRPr="000B527A" w:rsidRDefault="000B527A" w:rsidP="000B527A">
                  <w:pPr>
                    <w:spacing w:after="0" w:line="240" w:lineRule="auto"/>
                    <w:rPr>
                      <w:rFonts w:ascii="Calibri" w:eastAsia="Times New Roman" w:hAnsi="Calibri" w:cs="Times New Roman"/>
                      <w:b/>
                      <w:bCs/>
                      <w:color w:val="000000"/>
                      <w:sz w:val="28"/>
                      <w:szCs w:val="28"/>
                    </w:rPr>
                  </w:pPr>
                  <w:r w:rsidRPr="000B527A">
                    <w:rPr>
                      <w:rFonts w:ascii="Calibri" w:eastAsia="Times New Roman" w:hAnsi="Calibri" w:cs="Times New Roman"/>
                      <w:b/>
                      <w:bCs/>
                      <w:color w:val="000000"/>
                      <w:sz w:val="28"/>
                      <w:szCs w:val="28"/>
                    </w:rPr>
                    <w:t xml:space="preserve">It means trading is exempted service </w:t>
                  </w:r>
                </w:p>
              </w:tc>
            </w:tr>
            <w:tr w:rsidR="000B527A" w:rsidRPr="000B527A" w:rsidTr="000B527A">
              <w:trPr>
                <w:trHeight w:val="300"/>
              </w:trPr>
              <w:tc>
                <w:tcPr>
                  <w:tcW w:w="10180" w:type="dxa"/>
                  <w:tcBorders>
                    <w:top w:val="nil"/>
                    <w:left w:val="nil"/>
                    <w:bottom w:val="nil"/>
                    <w:right w:val="nil"/>
                  </w:tcBorders>
                  <w:shd w:val="clear" w:color="auto" w:fill="auto"/>
                  <w:noWrap/>
                  <w:vAlign w:val="bottom"/>
                  <w:hideMark/>
                </w:tcPr>
                <w:p w:rsidR="000B527A" w:rsidRPr="000B527A" w:rsidRDefault="000B527A" w:rsidP="000B527A">
                  <w:pPr>
                    <w:spacing w:after="0" w:line="240" w:lineRule="auto"/>
                    <w:rPr>
                      <w:rFonts w:ascii="Calibri" w:eastAsia="Times New Roman" w:hAnsi="Calibri" w:cs="Times New Roman"/>
                      <w:b/>
                      <w:color w:val="000000"/>
                      <w:sz w:val="28"/>
                      <w:szCs w:val="28"/>
                    </w:rPr>
                  </w:pPr>
                </w:p>
              </w:tc>
            </w:tr>
          </w:tbl>
          <w:p w:rsidR="000B527A" w:rsidRPr="00CD0066" w:rsidRDefault="000B527A" w:rsidP="003A2A44">
            <w:pPr>
              <w:spacing w:after="0" w:line="240" w:lineRule="auto"/>
              <w:rPr>
                <w:rFonts w:ascii="Calibri" w:eastAsia="Times New Roman" w:hAnsi="Calibri" w:cs="Times New Roman"/>
                <w:b/>
                <w:color w:val="000000"/>
                <w:sz w:val="32"/>
                <w:szCs w:val="32"/>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jc w:val="both"/>
              <w:rPr>
                <w:rFonts w:ascii="Times New Roman" w:eastAsia="Times New Roman" w:hAnsi="Times New Roman" w:cs="Times New Roman"/>
                <w:b/>
                <w:bCs/>
                <w:i/>
                <w:iCs/>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jc w:val="both"/>
              <w:rPr>
                <w:rFonts w:ascii="Times New Roman" w:eastAsia="Times New Roman" w:hAnsi="Times New Roman"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15"/>
        </w:trPr>
        <w:tc>
          <w:tcPr>
            <w:tcW w:w="10180" w:type="dxa"/>
            <w:tcBorders>
              <w:top w:val="nil"/>
              <w:left w:val="nil"/>
              <w:bottom w:val="nil"/>
              <w:right w:val="nil"/>
            </w:tcBorders>
            <w:shd w:val="clear" w:color="auto" w:fill="auto"/>
            <w:vAlign w:val="bottom"/>
            <w:hideMark/>
          </w:tcPr>
          <w:p w:rsidR="007C6492" w:rsidRPr="00CD0066" w:rsidRDefault="007C6492" w:rsidP="003A2A44">
            <w:pPr>
              <w:spacing w:after="0" w:line="240" w:lineRule="auto"/>
              <w:jc w:val="both"/>
              <w:rPr>
                <w:rFonts w:ascii="Times New Roman" w:eastAsia="Times New Roman" w:hAnsi="Times New Roman" w:cs="Times New Roman"/>
                <w:b/>
                <w:bCs/>
                <w:i/>
                <w:iCs/>
                <w:color w:val="000000"/>
                <w:sz w:val="28"/>
                <w:szCs w:val="28"/>
              </w:rPr>
            </w:pPr>
          </w:p>
        </w:tc>
      </w:tr>
      <w:tr w:rsidR="007C6492" w:rsidRPr="00CD0066" w:rsidTr="003A2A44">
        <w:trPr>
          <w:trHeight w:val="945"/>
        </w:trPr>
        <w:tc>
          <w:tcPr>
            <w:tcW w:w="10180" w:type="dxa"/>
            <w:tcBorders>
              <w:top w:val="nil"/>
              <w:left w:val="nil"/>
              <w:bottom w:val="nil"/>
              <w:right w:val="nil"/>
            </w:tcBorders>
            <w:shd w:val="clear" w:color="auto" w:fill="auto"/>
            <w:vAlign w:val="bottom"/>
            <w:hideMark/>
          </w:tcPr>
          <w:p w:rsidR="007C6492" w:rsidRPr="00CD0066" w:rsidRDefault="007C6492" w:rsidP="003A2A44">
            <w:pPr>
              <w:spacing w:after="0" w:line="240" w:lineRule="auto"/>
              <w:jc w:val="both"/>
              <w:rPr>
                <w:rFonts w:ascii="Times New Roman" w:eastAsia="Times New Roman" w:hAnsi="Times New Roman" w:cs="Times New Roman"/>
                <w:b/>
                <w:color w:val="000000"/>
                <w:sz w:val="28"/>
                <w:szCs w:val="28"/>
              </w:rPr>
            </w:pPr>
          </w:p>
        </w:tc>
      </w:tr>
      <w:tr w:rsidR="007C6492" w:rsidRPr="00CD0066" w:rsidTr="003A2A44">
        <w:trPr>
          <w:trHeight w:val="1575"/>
        </w:trPr>
        <w:tc>
          <w:tcPr>
            <w:tcW w:w="10180" w:type="dxa"/>
            <w:tcBorders>
              <w:top w:val="nil"/>
              <w:left w:val="nil"/>
              <w:bottom w:val="nil"/>
              <w:right w:val="nil"/>
            </w:tcBorders>
            <w:shd w:val="clear" w:color="auto" w:fill="auto"/>
            <w:vAlign w:val="bottom"/>
            <w:hideMark/>
          </w:tcPr>
          <w:p w:rsidR="000B527A" w:rsidRPr="00CD0066" w:rsidRDefault="000B527A" w:rsidP="003A2A44">
            <w:pPr>
              <w:spacing w:after="0" w:line="240" w:lineRule="auto"/>
              <w:jc w:val="both"/>
              <w:rPr>
                <w:rFonts w:ascii="Times New Roman" w:eastAsia="Times New Roman" w:hAnsi="Times New Roman" w:cs="Times New Roman"/>
                <w:b/>
                <w:color w:val="000000"/>
                <w:sz w:val="28"/>
                <w:szCs w:val="28"/>
              </w:rPr>
            </w:pPr>
          </w:p>
        </w:tc>
      </w:tr>
      <w:tr w:rsidR="007C6492" w:rsidRPr="00CD0066" w:rsidTr="003A2A44">
        <w:trPr>
          <w:trHeight w:val="315"/>
        </w:trPr>
        <w:tc>
          <w:tcPr>
            <w:tcW w:w="10180" w:type="dxa"/>
            <w:tcBorders>
              <w:top w:val="nil"/>
              <w:left w:val="nil"/>
              <w:bottom w:val="nil"/>
              <w:right w:val="nil"/>
            </w:tcBorders>
            <w:shd w:val="clear" w:color="auto" w:fill="auto"/>
            <w:vAlign w:val="bottom"/>
            <w:hideMark/>
          </w:tcPr>
          <w:p w:rsidR="007C6492" w:rsidRPr="00CD0066" w:rsidRDefault="007C6492" w:rsidP="003A2A44">
            <w:pPr>
              <w:spacing w:after="0" w:line="240" w:lineRule="auto"/>
              <w:jc w:val="both"/>
              <w:rPr>
                <w:rFonts w:ascii="Times New Roman" w:eastAsia="Times New Roman" w:hAnsi="Times New Roman" w:cs="Times New Roman"/>
                <w:b/>
                <w:color w:val="000000"/>
                <w:sz w:val="28"/>
                <w:szCs w:val="28"/>
              </w:rPr>
            </w:pPr>
          </w:p>
        </w:tc>
      </w:tr>
      <w:tr w:rsidR="007C6492" w:rsidRPr="00CD0066" w:rsidTr="003A2A44">
        <w:trPr>
          <w:trHeight w:val="945"/>
        </w:trPr>
        <w:tc>
          <w:tcPr>
            <w:tcW w:w="10180" w:type="dxa"/>
            <w:tcBorders>
              <w:top w:val="nil"/>
              <w:left w:val="nil"/>
              <w:bottom w:val="nil"/>
              <w:right w:val="nil"/>
            </w:tcBorders>
            <w:shd w:val="clear" w:color="auto" w:fill="auto"/>
            <w:vAlign w:val="bottom"/>
            <w:hideMark/>
          </w:tcPr>
          <w:p w:rsidR="007C6492" w:rsidRPr="00CD0066" w:rsidRDefault="007C6492" w:rsidP="003A2A44">
            <w:pPr>
              <w:spacing w:after="0" w:line="240" w:lineRule="auto"/>
              <w:jc w:val="both"/>
              <w:rPr>
                <w:rFonts w:ascii="Times New Roman" w:eastAsia="Times New Roman" w:hAnsi="Times New Roman" w:cs="Times New Roman"/>
                <w:b/>
                <w:color w:val="000000"/>
                <w:sz w:val="28"/>
                <w:szCs w:val="28"/>
              </w:rPr>
            </w:pPr>
          </w:p>
        </w:tc>
      </w:tr>
      <w:tr w:rsidR="007C6492" w:rsidRPr="00CD0066" w:rsidTr="003A2A44">
        <w:trPr>
          <w:trHeight w:val="315"/>
        </w:trPr>
        <w:tc>
          <w:tcPr>
            <w:tcW w:w="10180" w:type="dxa"/>
            <w:tcBorders>
              <w:top w:val="nil"/>
              <w:left w:val="nil"/>
              <w:bottom w:val="nil"/>
              <w:right w:val="nil"/>
            </w:tcBorders>
            <w:shd w:val="clear" w:color="auto" w:fill="auto"/>
            <w:vAlign w:val="bottom"/>
            <w:hideMark/>
          </w:tcPr>
          <w:p w:rsidR="007C6492" w:rsidRPr="00CD0066" w:rsidRDefault="007C6492" w:rsidP="003A2A44">
            <w:pPr>
              <w:spacing w:after="0" w:line="240" w:lineRule="auto"/>
              <w:jc w:val="both"/>
              <w:rPr>
                <w:rFonts w:ascii="Times New Roman" w:eastAsia="Times New Roman" w:hAnsi="Times New Roman" w:cs="Times New Roman"/>
                <w:b/>
                <w:color w:val="000000"/>
                <w:sz w:val="28"/>
                <w:szCs w:val="28"/>
              </w:rPr>
            </w:pPr>
          </w:p>
        </w:tc>
      </w:tr>
      <w:tr w:rsidR="007C6492" w:rsidRPr="00CD0066" w:rsidTr="003A2A44">
        <w:trPr>
          <w:trHeight w:val="630"/>
        </w:trPr>
        <w:tc>
          <w:tcPr>
            <w:tcW w:w="10180" w:type="dxa"/>
            <w:tcBorders>
              <w:top w:val="nil"/>
              <w:left w:val="nil"/>
              <w:bottom w:val="nil"/>
              <w:right w:val="nil"/>
            </w:tcBorders>
            <w:shd w:val="clear" w:color="auto" w:fill="auto"/>
            <w:vAlign w:val="bottom"/>
            <w:hideMark/>
          </w:tcPr>
          <w:p w:rsidR="007C6492" w:rsidRPr="00CD0066" w:rsidRDefault="007C6492" w:rsidP="003A2A44">
            <w:pPr>
              <w:spacing w:after="0" w:line="240" w:lineRule="auto"/>
              <w:jc w:val="both"/>
              <w:rPr>
                <w:rFonts w:ascii="Times New Roman" w:eastAsia="Times New Roman" w:hAnsi="Times New Roman" w:cs="Times New Roman"/>
                <w:b/>
                <w:color w:val="000000"/>
                <w:sz w:val="28"/>
                <w:szCs w:val="28"/>
              </w:rPr>
            </w:pPr>
          </w:p>
        </w:tc>
      </w:tr>
      <w:tr w:rsidR="007C6492" w:rsidRPr="00CD0066" w:rsidTr="003A2A44">
        <w:trPr>
          <w:trHeight w:val="315"/>
        </w:trPr>
        <w:tc>
          <w:tcPr>
            <w:tcW w:w="10180" w:type="dxa"/>
            <w:tcBorders>
              <w:top w:val="nil"/>
              <w:left w:val="nil"/>
              <w:bottom w:val="nil"/>
              <w:right w:val="nil"/>
            </w:tcBorders>
            <w:shd w:val="clear" w:color="auto" w:fill="auto"/>
            <w:vAlign w:val="bottom"/>
            <w:hideMark/>
          </w:tcPr>
          <w:p w:rsidR="007C6492" w:rsidRPr="00CD0066" w:rsidRDefault="007C6492" w:rsidP="003A2A44">
            <w:pPr>
              <w:spacing w:after="0" w:line="240" w:lineRule="auto"/>
              <w:jc w:val="both"/>
              <w:rPr>
                <w:rFonts w:ascii="Times New Roman" w:eastAsia="Times New Roman" w:hAnsi="Times New Roman" w:cs="Times New Roman"/>
                <w:b/>
                <w:color w:val="000000"/>
                <w:sz w:val="28"/>
                <w:szCs w:val="28"/>
              </w:rPr>
            </w:pPr>
          </w:p>
        </w:tc>
      </w:tr>
      <w:tr w:rsidR="007C6492" w:rsidRPr="00CD0066" w:rsidTr="003A2A44">
        <w:trPr>
          <w:trHeight w:val="630"/>
        </w:trPr>
        <w:tc>
          <w:tcPr>
            <w:tcW w:w="10180" w:type="dxa"/>
            <w:tcBorders>
              <w:top w:val="nil"/>
              <w:left w:val="nil"/>
              <w:bottom w:val="nil"/>
              <w:right w:val="nil"/>
            </w:tcBorders>
            <w:shd w:val="clear" w:color="auto" w:fill="auto"/>
            <w:vAlign w:val="bottom"/>
            <w:hideMark/>
          </w:tcPr>
          <w:p w:rsidR="007C6492" w:rsidRPr="00CD0066" w:rsidRDefault="007C6492" w:rsidP="003A2A44">
            <w:pPr>
              <w:spacing w:after="0" w:line="240" w:lineRule="auto"/>
              <w:jc w:val="both"/>
              <w:rPr>
                <w:rFonts w:ascii="Times New Roman" w:eastAsia="Times New Roman" w:hAnsi="Times New Roman"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bCs/>
                <w:color w:val="000000"/>
                <w:sz w:val="28"/>
                <w:szCs w:val="28"/>
              </w:rPr>
            </w:pPr>
          </w:p>
        </w:tc>
      </w:tr>
      <w:tr w:rsidR="007C6492" w:rsidRPr="00CD0066" w:rsidTr="003A2A44">
        <w:trPr>
          <w:trHeight w:val="300"/>
        </w:trPr>
        <w:tc>
          <w:tcPr>
            <w:tcW w:w="10180" w:type="dxa"/>
            <w:tcBorders>
              <w:top w:val="nil"/>
              <w:left w:val="nil"/>
              <w:bottom w:val="nil"/>
              <w:right w:val="nil"/>
            </w:tcBorders>
            <w:shd w:val="clear" w:color="auto" w:fill="auto"/>
            <w:noWrap/>
            <w:vAlign w:val="bottom"/>
            <w:hideMark/>
          </w:tcPr>
          <w:p w:rsidR="007C6492" w:rsidRPr="00CD0066" w:rsidRDefault="007C6492" w:rsidP="003A2A44">
            <w:pPr>
              <w:spacing w:after="0" w:line="240" w:lineRule="auto"/>
              <w:rPr>
                <w:rFonts w:ascii="Calibri" w:eastAsia="Times New Roman" w:hAnsi="Calibri" w:cs="Times New Roman"/>
                <w:b/>
                <w:bCs/>
                <w:color w:val="000000"/>
                <w:sz w:val="28"/>
                <w:szCs w:val="28"/>
              </w:rPr>
            </w:pPr>
          </w:p>
        </w:tc>
      </w:tr>
    </w:tbl>
    <w:p w:rsidR="008B65BF" w:rsidRDefault="008B65BF"/>
    <w:sectPr w:rsidR="008B65BF" w:rsidSect="00B25F2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73D" w:rsidRDefault="002B473D" w:rsidP="009758FA">
      <w:pPr>
        <w:spacing w:after="0" w:line="240" w:lineRule="auto"/>
      </w:pPr>
      <w:r>
        <w:separator/>
      </w:r>
    </w:p>
  </w:endnote>
  <w:endnote w:type="continuationSeparator" w:id="1">
    <w:p w:rsidR="002B473D" w:rsidRDefault="002B473D" w:rsidP="009758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CAB" w:rsidRDefault="001E5C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8FA" w:rsidRDefault="009758F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CAB" w:rsidRDefault="001E5C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73D" w:rsidRDefault="002B473D" w:rsidP="009758FA">
      <w:pPr>
        <w:spacing w:after="0" w:line="240" w:lineRule="auto"/>
      </w:pPr>
      <w:r>
        <w:separator/>
      </w:r>
    </w:p>
  </w:footnote>
  <w:footnote w:type="continuationSeparator" w:id="1">
    <w:p w:rsidR="002B473D" w:rsidRDefault="002B473D" w:rsidP="009758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CAB" w:rsidRDefault="001E5C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CAB" w:rsidRDefault="001E5CA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CAB" w:rsidRDefault="001E5CA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758FA"/>
    <w:rsid w:val="000B527A"/>
    <w:rsid w:val="001E5CAB"/>
    <w:rsid w:val="002B473D"/>
    <w:rsid w:val="007C6492"/>
    <w:rsid w:val="008B65BF"/>
    <w:rsid w:val="009758FA"/>
    <w:rsid w:val="00B25F2D"/>
    <w:rsid w:val="00D95F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F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758F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58FA"/>
  </w:style>
  <w:style w:type="paragraph" w:styleId="Footer">
    <w:name w:val="footer"/>
    <w:basedOn w:val="Normal"/>
    <w:link w:val="FooterChar"/>
    <w:uiPriority w:val="99"/>
    <w:unhideWhenUsed/>
    <w:rsid w:val="00975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8FA"/>
  </w:style>
  <w:style w:type="paragraph" w:styleId="BalloonText">
    <w:name w:val="Balloon Text"/>
    <w:basedOn w:val="Normal"/>
    <w:link w:val="BalloonTextChar"/>
    <w:uiPriority w:val="99"/>
    <w:semiHidden/>
    <w:unhideWhenUsed/>
    <w:rsid w:val="009758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8FA"/>
    <w:rPr>
      <w:rFonts w:ascii="Tahoma" w:hAnsi="Tahoma" w:cs="Tahoma"/>
      <w:sz w:val="16"/>
      <w:szCs w:val="16"/>
    </w:rPr>
  </w:style>
  <w:style w:type="paragraph" w:styleId="ListParagraph">
    <w:name w:val="List Paragraph"/>
    <w:basedOn w:val="Normal"/>
    <w:uiPriority w:val="34"/>
    <w:qFormat/>
    <w:rsid w:val="000B527A"/>
    <w:pPr>
      <w:ind w:left="720"/>
      <w:contextualSpacing/>
    </w:pPr>
  </w:style>
</w:styles>
</file>

<file path=word/webSettings.xml><?xml version="1.0" encoding="utf-8"?>
<w:webSettings xmlns:r="http://schemas.openxmlformats.org/officeDocument/2006/relationships" xmlns:w="http://schemas.openxmlformats.org/wordprocessingml/2006/main">
  <w:divs>
    <w:div w:id="197469456">
      <w:bodyDiv w:val="1"/>
      <w:marLeft w:val="0"/>
      <w:marRight w:val="0"/>
      <w:marTop w:val="0"/>
      <w:marBottom w:val="0"/>
      <w:divBdr>
        <w:top w:val="none" w:sz="0" w:space="0" w:color="auto"/>
        <w:left w:val="none" w:sz="0" w:space="0" w:color="auto"/>
        <w:bottom w:val="none" w:sz="0" w:space="0" w:color="auto"/>
        <w:right w:val="none" w:sz="0" w:space="0" w:color="auto"/>
      </w:divBdr>
    </w:div>
    <w:div w:id="87905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nimish</dc:creator>
  <cp:keywords/>
  <dc:description/>
  <cp:lastModifiedBy>nimish</cp:lastModifiedBy>
  <cp:revision>35</cp:revision>
  <cp:lastPrinted>2014-09-26T11:05:00Z</cp:lastPrinted>
  <dcterms:created xsi:type="dcterms:W3CDTF">2014-09-26T10:47:00Z</dcterms:created>
  <dcterms:modified xsi:type="dcterms:W3CDTF">2014-10-01T09:25:00Z</dcterms:modified>
</cp:coreProperties>
</file>