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60" w:type="dxa"/>
          <w:left w:w="60" w:type="dxa"/>
          <w:bottom w:w="60" w:type="dxa"/>
          <w:right w:w="60" w:type="dxa"/>
        </w:tblCellMar>
        <w:tblLook w:val="04A0"/>
      </w:tblPr>
      <w:tblGrid>
        <w:gridCol w:w="9390"/>
      </w:tblGrid>
      <w:tr w:rsidR="005F7157" w:rsidRPr="005F7157" w:rsidTr="00886B85">
        <w:tc>
          <w:tcPr>
            <w:tcW w:w="0" w:type="auto"/>
            <w:tcBorders>
              <w:top w:val="nil"/>
              <w:left w:val="nil"/>
              <w:bottom w:val="nil"/>
              <w:right w:val="nil"/>
            </w:tcBorders>
            <w:shd w:val="clear" w:color="auto" w:fill="008080"/>
            <w:vAlign w:val="center"/>
            <w:hideMark/>
          </w:tcPr>
          <w:p w:rsidR="005F7157" w:rsidRPr="005F7157" w:rsidRDefault="005F7157" w:rsidP="00886B85">
            <w:pPr>
              <w:spacing w:before="100" w:beforeAutospacing="1" w:after="100" w:afterAutospacing="1" w:line="240" w:lineRule="auto"/>
              <w:jc w:val="center"/>
              <w:rPr>
                <w:rFonts w:ascii="Times New Roman" w:eastAsia="Times New Roman" w:hAnsi="Times New Roman" w:cs="Times New Roman"/>
                <w:sz w:val="24"/>
                <w:szCs w:val="24"/>
              </w:rPr>
            </w:pPr>
            <w:r w:rsidRPr="005F7157">
              <w:rPr>
                <w:rFonts w:ascii="Verdana" w:eastAsia="Times New Roman" w:hAnsi="Verdana" w:cs="Times New Roman"/>
                <w:b/>
                <w:bCs/>
                <w:sz w:val="27"/>
                <w:szCs w:val="27"/>
              </w:rPr>
              <w:t>INDIRECT TAXES</w:t>
            </w:r>
          </w:p>
        </w:tc>
      </w:tr>
      <w:tr w:rsidR="005F7157" w:rsidRPr="005F7157" w:rsidTr="00886B85">
        <w:tc>
          <w:tcPr>
            <w:tcW w:w="0" w:type="auto"/>
            <w:tcBorders>
              <w:top w:val="nil"/>
              <w:left w:val="nil"/>
              <w:bottom w:val="nil"/>
              <w:right w:val="nil"/>
            </w:tcBorders>
            <w:shd w:val="clear" w:color="auto" w:fill="B5E6E8"/>
            <w:vAlign w:val="center"/>
            <w:hideMark/>
          </w:tcPr>
          <w:p w:rsidR="005F7157" w:rsidRPr="005F7157" w:rsidRDefault="005F7157" w:rsidP="005F7157">
            <w:pPr>
              <w:spacing w:before="100" w:beforeAutospacing="1" w:after="100" w:afterAutospacing="1" w:line="240" w:lineRule="auto"/>
              <w:jc w:val="center"/>
              <w:rPr>
                <w:rFonts w:ascii="Times New Roman" w:eastAsia="Times New Roman" w:hAnsi="Times New Roman" w:cs="Times New Roman"/>
                <w:sz w:val="24"/>
                <w:szCs w:val="24"/>
              </w:rPr>
            </w:pPr>
            <w:r w:rsidRPr="005F7157">
              <w:rPr>
                <w:rFonts w:ascii="Verdana" w:eastAsia="Times New Roman" w:hAnsi="Verdana" w:cs="Times New Roman"/>
                <w:b/>
                <w:bCs/>
              </w:rPr>
              <w:t xml:space="preserve">Central Excise </w:t>
            </w:r>
          </w:p>
        </w:tc>
      </w:tr>
    </w:tbl>
    <w:p w:rsidR="005F7157" w:rsidRDefault="005F7157" w:rsidP="009F15F3">
      <w:pPr>
        <w:autoSpaceDE w:val="0"/>
        <w:autoSpaceDN w:val="0"/>
        <w:adjustRightInd w:val="0"/>
        <w:spacing w:after="0" w:line="240" w:lineRule="auto"/>
        <w:jc w:val="both"/>
        <w:rPr>
          <w:rFonts w:ascii="Arial Narrow" w:hAnsi="Arial Narrow" w:cs="Arial Narrow"/>
          <w:b/>
        </w:rPr>
      </w:pPr>
    </w:p>
    <w:p w:rsidR="005F7157" w:rsidRDefault="005F7157" w:rsidP="009F15F3">
      <w:pPr>
        <w:autoSpaceDE w:val="0"/>
        <w:autoSpaceDN w:val="0"/>
        <w:adjustRightInd w:val="0"/>
        <w:spacing w:after="0" w:line="240" w:lineRule="auto"/>
        <w:jc w:val="both"/>
        <w:rPr>
          <w:rFonts w:ascii="Arial Narrow" w:hAnsi="Arial Narrow" w:cs="Arial Narrow"/>
          <w:b/>
        </w:rPr>
      </w:pPr>
    </w:p>
    <w:p w:rsidR="005F7157" w:rsidRDefault="005F7157" w:rsidP="009F15F3">
      <w:pPr>
        <w:autoSpaceDE w:val="0"/>
        <w:autoSpaceDN w:val="0"/>
        <w:adjustRightInd w:val="0"/>
        <w:spacing w:after="0" w:line="240" w:lineRule="auto"/>
        <w:jc w:val="both"/>
        <w:rPr>
          <w:rFonts w:ascii="Arial Narrow" w:hAnsi="Arial Narrow" w:cs="Arial Narrow"/>
          <w:b/>
        </w:rPr>
      </w:pPr>
    </w:p>
    <w:p w:rsidR="009F15F3" w:rsidRPr="00273040" w:rsidRDefault="00132125" w:rsidP="009F15F3">
      <w:pPr>
        <w:autoSpaceDE w:val="0"/>
        <w:autoSpaceDN w:val="0"/>
        <w:adjustRightInd w:val="0"/>
        <w:spacing w:after="0" w:line="240" w:lineRule="auto"/>
        <w:jc w:val="both"/>
        <w:rPr>
          <w:rFonts w:ascii="Arial Narrow" w:hAnsi="Arial Narrow" w:cs="Arial Narrow"/>
          <w:b/>
        </w:rPr>
      </w:pPr>
      <w:r w:rsidRPr="00273040">
        <w:rPr>
          <w:rFonts w:ascii="Arial Narrow" w:hAnsi="Arial Narrow" w:cs="Arial Narrow"/>
          <w:b/>
        </w:rPr>
        <w:t>1. Whether the manufacturers of concentrates are eligible to avail credit of the service-tax paid on</w:t>
      </w:r>
      <w:r w:rsidR="009F15F3" w:rsidRPr="00273040">
        <w:rPr>
          <w:rFonts w:ascii="Arial Narrow" w:hAnsi="Arial Narrow" w:cs="Arial Narrow"/>
          <w:b/>
        </w:rPr>
        <w:t xml:space="preserve"> </w:t>
      </w:r>
      <w:r w:rsidRPr="00273040">
        <w:rPr>
          <w:rFonts w:ascii="Arial Narrow" w:hAnsi="Arial Narrow" w:cs="Arial Narrow"/>
          <w:b/>
        </w:rPr>
        <w:t>advertising services, sales promotion, market research etc. availed by them and utilize such</w:t>
      </w:r>
      <w:r w:rsidR="009F15F3" w:rsidRPr="00273040">
        <w:rPr>
          <w:rFonts w:ascii="Arial Narrow" w:hAnsi="Arial Narrow" w:cs="Arial Narrow"/>
          <w:b/>
        </w:rPr>
        <w:t xml:space="preserve"> </w:t>
      </w:r>
      <w:r w:rsidRPr="00273040">
        <w:rPr>
          <w:rFonts w:ascii="Arial Narrow" w:hAnsi="Arial Narrow" w:cs="Arial Narrow"/>
          <w:b/>
        </w:rPr>
        <w:t>credit towards payment of excise duty on the concentrate?</w:t>
      </w:r>
      <w:r w:rsidR="009F15F3" w:rsidRPr="00273040">
        <w:rPr>
          <w:rFonts w:ascii="Arial Narrow" w:hAnsi="Arial Narrow" w:cs="Arial Narrow"/>
          <w:b/>
        </w:rPr>
        <w:t xml:space="preserve"> (Rule 2(l) of the CENVAT Credit Rules, 2004)</w:t>
      </w:r>
    </w:p>
    <w:p w:rsidR="00132125" w:rsidRDefault="00132125" w:rsidP="00132125">
      <w:pPr>
        <w:autoSpaceDE w:val="0"/>
        <w:autoSpaceDN w:val="0"/>
        <w:adjustRightInd w:val="0"/>
        <w:spacing w:after="0" w:line="240" w:lineRule="auto"/>
        <w:jc w:val="both"/>
        <w:rPr>
          <w:rFonts w:ascii="Arial Narrow" w:hAnsi="Arial Narrow" w:cs="Arial Narrow"/>
        </w:rPr>
      </w:pPr>
    </w:p>
    <w:p w:rsidR="00132125" w:rsidRPr="009F15F3" w:rsidRDefault="00132125" w:rsidP="00132125">
      <w:pPr>
        <w:autoSpaceDE w:val="0"/>
        <w:autoSpaceDN w:val="0"/>
        <w:adjustRightInd w:val="0"/>
        <w:spacing w:after="0" w:line="240" w:lineRule="auto"/>
        <w:jc w:val="both"/>
        <w:rPr>
          <w:rFonts w:ascii="Arial Narrow" w:hAnsi="Arial Narrow" w:cs="Arial Narrow"/>
          <w:b/>
        </w:rPr>
      </w:pPr>
      <w:r w:rsidRPr="009F15F3">
        <w:rPr>
          <w:rFonts w:ascii="Arial Narrow" w:hAnsi="Arial Narrow" w:cs="Arial Narrow"/>
          <w:b/>
        </w:rPr>
        <w:t>Coca Cola India Pvt Ltd. v. CCE (2009) 15 STR 657 (Bom)</w:t>
      </w:r>
    </w:p>
    <w:p w:rsidR="009F15F3" w:rsidRDefault="009F15F3"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appellants manufactured non-alcoholic beverage bases also known as concentrates. This</w:t>
      </w:r>
      <w:r w:rsidR="009F15F3">
        <w:rPr>
          <w:rFonts w:ascii="Arial Narrow" w:hAnsi="Arial Narrow" w:cs="Arial Narrow"/>
        </w:rPr>
        <w:t xml:space="preserve"> </w:t>
      </w:r>
      <w:r>
        <w:rPr>
          <w:rFonts w:ascii="Arial Narrow" w:hAnsi="Arial Narrow" w:cs="Arial Narrow"/>
        </w:rPr>
        <w:t>concentrate was sold by the appellants to bottling companies, who in turn sell the aerated beverages</w:t>
      </w:r>
      <w:r w:rsidR="009F15F3">
        <w:rPr>
          <w:rFonts w:ascii="Arial Narrow" w:hAnsi="Arial Narrow" w:cs="Arial Narrow"/>
        </w:rPr>
        <w:t xml:space="preserve"> </w:t>
      </w:r>
      <w:r>
        <w:rPr>
          <w:rFonts w:ascii="Arial Narrow" w:hAnsi="Arial Narrow" w:cs="Arial Narrow"/>
        </w:rPr>
        <w:t>manufactured from the concentrates to distributors and who in turn sell it to retailers for the ultimate</w:t>
      </w:r>
      <w:r w:rsidR="009F15F3">
        <w:rPr>
          <w:rFonts w:ascii="Arial Narrow" w:hAnsi="Arial Narrow" w:cs="Arial Narrow"/>
        </w:rPr>
        <w:t xml:space="preserve"> </w:t>
      </w:r>
      <w:r>
        <w:rPr>
          <w:rFonts w:ascii="Arial Narrow" w:hAnsi="Arial Narrow" w:cs="Arial Narrow"/>
        </w:rPr>
        <w:t>sale to the consumer. The advertisement and sales promotion activities including market research</w:t>
      </w:r>
      <w:r w:rsidR="009F15F3">
        <w:rPr>
          <w:rFonts w:ascii="Arial Narrow" w:hAnsi="Arial Narrow" w:cs="Arial Narrow"/>
        </w:rPr>
        <w:t xml:space="preserve"> </w:t>
      </w:r>
      <w:r>
        <w:rPr>
          <w:rFonts w:ascii="Arial Narrow" w:hAnsi="Arial Narrow" w:cs="Arial Narrow"/>
        </w:rPr>
        <w:t>were undertaken by the appellant.</w:t>
      </w:r>
      <w:r w:rsidR="009F15F3">
        <w:rPr>
          <w:rFonts w:ascii="Arial Narrow" w:hAnsi="Arial Narrow" w:cs="Arial Narrow"/>
        </w:rPr>
        <w:t xml:space="preserve"> </w:t>
      </w:r>
      <w:r>
        <w:rPr>
          <w:rFonts w:ascii="Arial Narrow" w:hAnsi="Arial Narrow" w:cs="Arial Narrow"/>
        </w:rPr>
        <w:t>The concentrate manufacturer claimed the credit of service tax on the advertising service used for</w:t>
      </w:r>
      <w:r w:rsidR="009F15F3">
        <w:rPr>
          <w:rFonts w:ascii="Arial Narrow" w:hAnsi="Arial Narrow" w:cs="Arial Narrow"/>
        </w:rPr>
        <w:t xml:space="preserve"> </w:t>
      </w:r>
      <w:r>
        <w:rPr>
          <w:rFonts w:ascii="Arial Narrow" w:hAnsi="Arial Narrow" w:cs="Arial Narrow"/>
        </w:rPr>
        <w:t>marketing of soft drink removed by bottlers. However, the credit was denied on the ground that the</w:t>
      </w:r>
      <w:r w:rsidR="009F15F3">
        <w:rPr>
          <w:rFonts w:ascii="Arial Narrow" w:hAnsi="Arial Narrow" w:cs="Arial Narrow"/>
        </w:rPr>
        <w:t xml:space="preserve"> </w:t>
      </w:r>
      <w:r>
        <w:rPr>
          <w:rFonts w:ascii="Arial Narrow" w:hAnsi="Arial Narrow" w:cs="Arial Narrow"/>
        </w:rPr>
        <w:t>advertisements did not relate to concentrates manufactured by the appellants.</w:t>
      </w:r>
      <w:r w:rsidR="009F15F3">
        <w:rPr>
          <w:rFonts w:ascii="Arial Narrow" w:hAnsi="Arial Narrow" w:cs="Arial Narrow"/>
        </w:rPr>
        <w:t xml:space="preserve"> </w:t>
      </w:r>
      <w:r>
        <w:rPr>
          <w:rFonts w:ascii="Arial Narrow" w:hAnsi="Arial Narrow" w:cs="Arial Narrow"/>
        </w:rPr>
        <w:t>Bombay High Court held that though the contents of advertisements made by the appellants (the</w:t>
      </w:r>
      <w:r w:rsidR="009F15F3">
        <w:rPr>
          <w:rFonts w:ascii="Arial Narrow" w:hAnsi="Arial Narrow" w:cs="Arial Narrow"/>
        </w:rPr>
        <w:t xml:space="preserve"> </w:t>
      </w:r>
      <w:r>
        <w:rPr>
          <w:rFonts w:ascii="Arial Narrow" w:hAnsi="Arial Narrow" w:cs="Arial Narrow"/>
        </w:rPr>
        <w:t>manufacturer of ‘concentrates’) essentially featured the ‘bottle of aerated waters’ (the bottles being the</w:t>
      </w:r>
      <w:r w:rsidR="009F15F3">
        <w:rPr>
          <w:rFonts w:ascii="Arial Narrow" w:hAnsi="Arial Narrow" w:cs="Arial Narrow"/>
        </w:rPr>
        <w:t xml:space="preserve"> </w:t>
      </w:r>
      <w:r>
        <w:rPr>
          <w:rFonts w:ascii="Arial Narrow" w:hAnsi="Arial Narrow" w:cs="Arial Narrow"/>
        </w:rPr>
        <w:t>final products manufactured by bottlers and not by the appellants), the credit on advertising services</w:t>
      </w:r>
      <w:r w:rsidR="009F15F3">
        <w:rPr>
          <w:rFonts w:ascii="Arial Narrow" w:hAnsi="Arial Narrow" w:cs="Arial Narrow"/>
        </w:rPr>
        <w:t xml:space="preserve"> </w:t>
      </w:r>
      <w:r>
        <w:rPr>
          <w:rFonts w:ascii="Arial Narrow" w:hAnsi="Arial Narrow" w:cs="Arial Narrow"/>
        </w:rPr>
        <w:t>received by the appellant could not be denied on the ground that the advertisement was not of the final</w:t>
      </w:r>
      <w:r w:rsidR="009F15F3">
        <w:rPr>
          <w:rFonts w:ascii="Arial Narrow" w:hAnsi="Arial Narrow" w:cs="Arial Narrow"/>
        </w:rPr>
        <w:t xml:space="preserve"> </w:t>
      </w:r>
      <w:r>
        <w:rPr>
          <w:rFonts w:ascii="Arial Narrow" w:hAnsi="Arial Narrow" w:cs="Arial Narrow"/>
        </w:rPr>
        <w:t>product of the appellants (viz., ‘concentrates’), but of the final product of the bottlers (viz. ‘aerated</w:t>
      </w:r>
      <w:r w:rsidR="009F15F3">
        <w:rPr>
          <w:rFonts w:ascii="Arial Narrow" w:hAnsi="Arial Narrow" w:cs="Arial Narrow"/>
        </w:rPr>
        <w:t xml:space="preserve"> </w:t>
      </w:r>
      <w:r>
        <w:rPr>
          <w:rFonts w:ascii="Arial Narrow" w:hAnsi="Arial Narrow" w:cs="Arial Narrow"/>
        </w:rPr>
        <w:t>waters’).</w:t>
      </w:r>
    </w:p>
    <w:p w:rsidR="009F15F3" w:rsidRDefault="009F15F3"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High Court laid down the following propositions –</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 Five limbs of definition of ‘input service’ under rule 2(l)</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definition of ‘input service’ under rule 2(l) can be conveniently divided into the following five</w:t>
      </w:r>
      <w:r w:rsidR="009F15F3">
        <w:rPr>
          <w:rFonts w:ascii="Arial Narrow" w:hAnsi="Arial Narrow" w:cs="Arial Narrow"/>
        </w:rPr>
        <w:t xml:space="preserve"> </w:t>
      </w:r>
      <w:r>
        <w:rPr>
          <w:rFonts w:ascii="Arial Narrow" w:hAnsi="Arial Narrow" w:cs="Arial Narrow"/>
        </w:rPr>
        <w:t>independent limbs: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Symbol" w:hAnsi="Symbol" w:cs="Symbol"/>
        </w:rPr>
        <w:t></w:t>
      </w:r>
      <w:r>
        <w:rPr>
          <w:rFonts w:ascii="Symbol" w:hAnsi="Symbol" w:cs="Symbol"/>
        </w:rPr>
        <w:t></w:t>
      </w:r>
      <w:r>
        <w:rPr>
          <w:rFonts w:ascii="Arial Narrow" w:hAnsi="Arial Narrow" w:cs="Arial Narrow"/>
        </w:rPr>
        <w:t>Any service used by the manufacturer, whether directly or indirectly, in or in relation to the</w:t>
      </w:r>
      <w:r w:rsidR="009F15F3">
        <w:rPr>
          <w:rFonts w:ascii="Arial Narrow" w:hAnsi="Arial Narrow" w:cs="Arial Narrow"/>
        </w:rPr>
        <w:t xml:space="preserve"> </w:t>
      </w:r>
      <w:r>
        <w:rPr>
          <w:rFonts w:ascii="Arial Narrow" w:hAnsi="Arial Narrow" w:cs="Arial Narrow"/>
        </w:rPr>
        <w:t>manufacture of final products.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Symbol" w:hAnsi="Symbol" w:cs="Symbol"/>
        </w:rPr>
        <w:t></w:t>
      </w:r>
      <w:r>
        <w:rPr>
          <w:rFonts w:ascii="Symbol" w:hAnsi="Symbol" w:cs="Symbol"/>
        </w:rPr>
        <w:t></w:t>
      </w:r>
      <w:r>
        <w:rPr>
          <w:rFonts w:ascii="Arial Narrow" w:hAnsi="Arial Narrow" w:cs="Arial Narrow"/>
        </w:rPr>
        <w:t>Any service used by the manufacturer whether directly or indirectly, in or in relation to</w:t>
      </w:r>
      <w:r w:rsidR="009F15F3">
        <w:rPr>
          <w:rFonts w:ascii="Arial Narrow" w:hAnsi="Arial Narrow" w:cs="Arial Narrow"/>
        </w:rPr>
        <w:t xml:space="preserve"> </w:t>
      </w:r>
      <w:r>
        <w:rPr>
          <w:rFonts w:ascii="Arial Narrow" w:hAnsi="Arial Narrow" w:cs="Arial Narrow"/>
        </w:rPr>
        <w:t>clearance of final products from the place of removal.</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Symbol" w:hAnsi="Symbol" w:cs="Symbol"/>
        </w:rPr>
        <w:t></w:t>
      </w:r>
      <w:r>
        <w:rPr>
          <w:rFonts w:ascii="Symbol" w:hAnsi="Symbol" w:cs="Symbol"/>
        </w:rPr>
        <w:t></w:t>
      </w:r>
      <w:r>
        <w:rPr>
          <w:rFonts w:ascii="Arial Narrow" w:hAnsi="Arial Narrow" w:cs="Arial Narrow"/>
        </w:rPr>
        <w:t>Services used in relation to setting up, modernization, renovation or repairs of a factory, or an</w:t>
      </w:r>
      <w:r w:rsidR="009F15F3">
        <w:rPr>
          <w:rFonts w:ascii="Arial Narrow" w:hAnsi="Arial Narrow" w:cs="Arial Narrow"/>
        </w:rPr>
        <w:t xml:space="preserve"> </w:t>
      </w:r>
      <w:r>
        <w:rPr>
          <w:rFonts w:ascii="Arial Narrow" w:hAnsi="Arial Narrow" w:cs="Arial Narrow"/>
        </w:rPr>
        <w:t>office relating to such factory.</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Symbol" w:hAnsi="Symbol" w:cs="Symbol"/>
        </w:rPr>
        <w:t></w:t>
      </w:r>
      <w:r>
        <w:rPr>
          <w:rFonts w:ascii="Symbol" w:hAnsi="Symbol" w:cs="Symbol"/>
        </w:rPr>
        <w:t></w:t>
      </w:r>
      <w:r>
        <w:rPr>
          <w:rFonts w:ascii="Arial Narrow" w:hAnsi="Arial Narrow" w:cs="Arial Narrow"/>
        </w:rPr>
        <w:t>Services used in relation to advertisement or sales promotion, market research, storage upto</w:t>
      </w:r>
      <w:r w:rsidR="009F15F3">
        <w:rPr>
          <w:rFonts w:ascii="Arial Narrow" w:hAnsi="Arial Narrow" w:cs="Arial Narrow"/>
        </w:rPr>
        <w:t xml:space="preserve"> </w:t>
      </w:r>
      <w:r>
        <w:rPr>
          <w:rFonts w:ascii="Arial Narrow" w:hAnsi="Arial Narrow" w:cs="Arial Narrow"/>
        </w:rPr>
        <w:t>the place of removal, procurement of inputs.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Symbol" w:hAnsi="Symbol" w:cs="Symbol"/>
        </w:rPr>
        <w:t></w:t>
      </w:r>
      <w:r>
        <w:rPr>
          <w:rFonts w:ascii="Symbol" w:hAnsi="Symbol" w:cs="Symbol"/>
        </w:rPr>
        <w:t></w:t>
      </w:r>
      <w:r>
        <w:rPr>
          <w:rFonts w:ascii="Arial Narrow" w:hAnsi="Arial Narrow" w:cs="Arial Narrow"/>
        </w:rPr>
        <w:t>Services used in relation to activities relating to business and outward transportation upto the</w:t>
      </w:r>
      <w:r w:rsidR="009F15F3">
        <w:rPr>
          <w:rFonts w:ascii="Arial Narrow" w:hAnsi="Arial Narrow" w:cs="Arial Narrow"/>
        </w:rPr>
        <w:t xml:space="preserve"> </w:t>
      </w:r>
      <w:r>
        <w:rPr>
          <w:rFonts w:ascii="Arial Narrow" w:hAnsi="Arial Narrow" w:cs="Arial Narrow"/>
        </w:rPr>
        <w:t>place of removal.</w:t>
      </w:r>
      <w:r w:rsidR="009F15F3">
        <w:rPr>
          <w:rFonts w:ascii="Arial Narrow" w:hAnsi="Arial Narrow" w:cs="Arial Narrow"/>
        </w:rPr>
        <w:t xml:space="preserve"> </w:t>
      </w:r>
      <w:r>
        <w:rPr>
          <w:rFonts w:ascii="Arial Narrow" w:hAnsi="Arial Narrow" w:cs="Arial Narrow"/>
        </w:rPr>
        <w:t>Each of the aforementioned limbs of the said definition is an independent benefit/concession. If</w:t>
      </w:r>
      <w:r w:rsidR="009F15F3">
        <w:rPr>
          <w:rFonts w:ascii="Arial Narrow" w:hAnsi="Arial Narrow" w:cs="Arial Narrow"/>
        </w:rPr>
        <w:t xml:space="preserve"> </w:t>
      </w:r>
      <w:r>
        <w:rPr>
          <w:rFonts w:ascii="Arial Narrow" w:hAnsi="Arial Narrow" w:cs="Arial Narrow"/>
        </w:rPr>
        <w:t>an assessee satisfies any one of the above limbs, then credit on input service would be</w:t>
      </w:r>
      <w:r w:rsidR="009F15F3">
        <w:rPr>
          <w:rFonts w:ascii="Arial Narrow" w:hAnsi="Arial Narrow" w:cs="Arial Narrow"/>
        </w:rPr>
        <w:t xml:space="preserve"> </w:t>
      </w:r>
      <w:r>
        <w:rPr>
          <w:rFonts w:ascii="Arial Narrow" w:hAnsi="Arial Narrow" w:cs="Arial Narrow"/>
        </w:rPr>
        <w:t>admissible even if the assessee does not satisfy the other limbs.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(ii) Interpretation of certain expressions used in the definition of “input service”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 Expression “means” and “includes”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Above two expressions are exhaustive. By the word “includes”, services which may</w:t>
      </w:r>
      <w:r w:rsidR="009F15F3">
        <w:rPr>
          <w:rFonts w:ascii="Arial Narrow" w:hAnsi="Arial Narrow" w:cs="Arial Narrow"/>
        </w:rPr>
        <w:t xml:space="preserve"> </w:t>
      </w:r>
      <w:r>
        <w:rPr>
          <w:rFonts w:ascii="Arial Narrow" w:hAnsi="Arial Narrow" w:cs="Arial Narrow"/>
        </w:rPr>
        <w:t>otherwise have not come within the ambit of the definition clause are covered and by the</w:t>
      </w:r>
      <w:r w:rsidR="009F15F3">
        <w:rPr>
          <w:rFonts w:ascii="Arial Narrow" w:hAnsi="Arial Narrow" w:cs="Arial Narrow"/>
        </w:rPr>
        <w:t xml:space="preserve"> </w:t>
      </w:r>
      <w:r>
        <w:rPr>
          <w:rFonts w:ascii="Arial Narrow" w:hAnsi="Arial Narrow" w:cs="Arial Narrow"/>
        </w:rPr>
        <w:t>word “means”, these are made exhaustive.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(b) Expression “such as”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words “such as” are illustrative and not exhaustive. In the context of business, it refers</w:t>
      </w:r>
      <w:r w:rsidR="009F15F3">
        <w:rPr>
          <w:rFonts w:ascii="Arial Narrow" w:hAnsi="Arial Narrow" w:cs="Arial Narrow"/>
        </w:rPr>
        <w:t xml:space="preserve"> </w:t>
      </w:r>
      <w:r>
        <w:rPr>
          <w:rFonts w:ascii="Arial Narrow" w:hAnsi="Arial Narrow" w:cs="Arial Narrow"/>
        </w:rPr>
        <w:t>to those services which are related to the business.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(iii) Interpretation of the phrase “activities relating to business”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phrase “activities relating to business” are words of wide import.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 The word ‘business’ is of wide import and cannot be given a restricted definition to say that</w:t>
      </w:r>
      <w:r w:rsidR="009F15F3">
        <w:rPr>
          <w:rFonts w:ascii="Arial Narrow" w:hAnsi="Arial Narrow" w:cs="Arial Narrow"/>
        </w:rPr>
        <w:t xml:space="preserve"> </w:t>
      </w:r>
      <w:r>
        <w:rPr>
          <w:rFonts w:ascii="Arial Narrow" w:hAnsi="Arial Narrow" w:cs="Arial Narrow"/>
        </w:rPr>
        <w:t>business of a manufacturer is to manufacture final products only. In the present case, the</w:t>
      </w:r>
      <w:r w:rsidR="009F15F3">
        <w:rPr>
          <w:rFonts w:ascii="Arial Narrow" w:hAnsi="Arial Narrow" w:cs="Arial Narrow"/>
        </w:rPr>
        <w:t xml:space="preserve"> </w:t>
      </w:r>
      <w:r>
        <w:rPr>
          <w:rFonts w:ascii="Arial Narrow" w:hAnsi="Arial Narrow" w:cs="Arial Narrow"/>
        </w:rPr>
        <w:t xml:space="preserve">business of the appellant would include, </w:t>
      </w:r>
      <w:r>
        <w:rPr>
          <w:rFonts w:ascii="Arial Narrow" w:hAnsi="Arial Narrow" w:cs="Arial Narrow"/>
        </w:rPr>
        <w:lastRenderedPageBreak/>
        <w:t>apart from manufacture of concentrates, entering</w:t>
      </w:r>
      <w:r w:rsidR="009F15F3">
        <w:rPr>
          <w:rFonts w:ascii="Arial Narrow" w:hAnsi="Arial Narrow" w:cs="Arial Narrow"/>
        </w:rPr>
        <w:t xml:space="preserve"> </w:t>
      </w:r>
      <w:r>
        <w:rPr>
          <w:rFonts w:ascii="Arial Narrow" w:hAnsi="Arial Narrow" w:cs="Arial Narrow"/>
        </w:rPr>
        <w:t>into franchise agreements with bottlers, permitting use of brand name, promotion of brand</w:t>
      </w:r>
      <w:r w:rsidR="009F15F3">
        <w:rPr>
          <w:rFonts w:ascii="Arial Narrow" w:hAnsi="Arial Narrow" w:cs="Arial Narrow"/>
        </w:rPr>
        <w:t xml:space="preserve"> </w:t>
      </w:r>
      <w:r>
        <w:rPr>
          <w:rFonts w:ascii="Arial Narrow" w:hAnsi="Arial Narrow" w:cs="Arial Narrow"/>
        </w:rPr>
        <w:t>name, etc.</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(b) The expression ‘relating to’ further widens the scope of the expression ‘activities relating to</w:t>
      </w:r>
      <w:r w:rsidR="00273040">
        <w:rPr>
          <w:rFonts w:ascii="Arial Narrow" w:hAnsi="Arial Narrow" w:cs="Arial Narrow"/>
        </w:rPr>
        <w:t xml:space="preserve"> </w:t>
      </w:r>
      <w:r>
        <w:rPr>
          <w:rFonts w:ascii="Arial Narrow" w:hAnsi="Arial Narrow" w:cs="Arial Narrow"/>
        </w:rPr>
        <w:t>business’.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(c) The expression ‘activities’ further widens the scope of the aforesaid expression. Rule</w:t>
      </w:r>
      <w:r w:rsidR="00273040">
        <w:rPr>
          <w:rFonts w:ascii="Arial Narrow" w:hAnsi="Arial Narrow" w:cs="Arial Narrow"/>
        </w:rPr>
        <w:t xml:space="preserve"> </w:t>
      </w:r>
      <w:r>
        <w:rPr>
          <w:rFonts w:ascii="Arial Narrow" w:hAnsi="Arial Narrow" w:cs="Arial Narrow"/>
        </w:rPr>
        <w:t>making authority has not employed any qualifying words before the word ‘activities’, like</w:t>
      </w:r>
      <w:r w:rsidR="00273040">
        <w:rPr>
          <w:rFonts w:ascii="Arial Narrow" w:hAnsi="Arial Narrow" w:cs="Arial Narrow"/>
        </w:rPr>
        <w:t xml:space="preserve"> </w:t>
      </w:r>
      <w:r>
        <w:rPr>
          <w:rFonts w:ascii="Arial Narrow" w:hAnsi="Arial Narrow" w:cs="Arial Narrow"/>
        </w:rPr>
        <w:t>main activities or essential activities etc. It implies that all activities (essential or not) in</w:t>
      </w:r>
      <w:r w:rsidR="00273040">
        <w:rPr>
          <w:rFonts w:ascii="Arial Narrow" w:hAnsi="Arial Narrow" w:cs="Arial Narrow"/>
        </w:rPr>
        <w:t xml:space="preserve"> </w:t>
      </w:r>
      <w:r>
        <w:rPr>
          <w:rFonts w:ascii="Arial Narrow" w:hAnsi="Arial Narrow" w:cs="Arial Narrow"/>
        </w:rPr>
        <w:t>relation to a business would fall within the ambit of input service. Hence, in the present</w:t>
      </w:r>
      <w:r w:rsidR="00273040">
        <w:rPr>
          <w:rFonts w:ascii="Arial Narrow" w:hAnsi="Arial Narrow" w:cs="Arial Narrow"/>
        </w:rPr>
        <w:t xml:space="preserve">  </w:t>
      </w:r>
      <w:r>
        <w:rPr>
          <w:rFonts w:ascii="Arial Narrow" w:hAnsi="Arial Narrow" w:cs="Arial Narrow"/>
        </w:rPr>
        <w:t>case all activities having a relation with the manufacturer of the concentrate would fall within</w:t>
      </w:r>
      <w:r w:rsidR="00273040">
        <w:rPr>
          <w:rFonts w:ascii="Arial Narrow" w:hAnsi="Arial Narrow" w:cs="Arial Narrow"/>
        </w:rPr>
        <w:t xml:space="preserve"> </w:t>
      </w:r>
      <w:r>
        <w:rPr>
          <w:rFonts w:ascii="Arial Narrow" w:hAnsi="Arial Narrow" w:cs="Arial Narrow"/>
        </w:rPr>
        <w:t>the definition of input service.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(iv) Input services forming part of value of final product eligible for CENVAT credit</w:t>
      </w:r>
      <w:r w:rsidR="00273040">
        <w:rPr>
          <w:rFonts w:ascii="Arial Narrow" w:hAnsi="Arial Narrow" w:cs="Arial Narrow"/>
        </w:rPr>
        <w:t xml:space="preserve"> </w:t>
      </w:r>
      <w:r>
        <w:rPr>
          <w:rFonts w:ascii="Arial Narrow" w:hAnsi="Arial Narrow" w:cs="Arial Narrow"/>
        </w:rPr>
        <w:t>Service tax is a value added tax and a consumption tax and the burden of service tax must be</w:t>
      </w:r>
      <w:r w:rsidR="00273040">
        <w:rPr>
          <w:rFonts w:ascii="Arial Narrow" w:hAnsi="Arial Narrow" w:cs="Arial Narrow"/>
        </w:rPr>
        <w:t xml:space="preserve"> </w:t>
      </w:r>
      <w:r>
        <w:rPr>
          <w:rFonts w:ascii="Arial Narrow" w:hAnsi="Arial Narrow" w:cs="Arial Narrow"/>
        </w:rPr>
        <w:t>borne by the ultimate consumer and not by any intermediary i.e. the manufacturer or service</w:t>
      </w:r>
      <w:r w:rsidR="00273040">
        <w:rPr>
          <w:rFonts w:ascii="Arial Narrow" w:hAnsi="Arial Narrow" w:cs="Arial Narrow"/>
        </w:rPr>
        <w:t xml:space="preserve"> </w:t>
      </w:r>
      <w:r>
        <w:rPr>
          <w:rFonts w:ascii="Arial Narrow" w:hAnsi="Arial Narrow" w:cs="Arial Narrow"/>
        </w:rPr>
        <w:t>provider. In order to avoid the cascading effect, CENVAT credit on input stage goods and</w:t>
      </w:r>
      <w:r w:rsidR="00273040">
        <w:rPr>
          <w:rFonts w:ascii="Arial Narrow" w:hAnsi="Arial Narrow" w:cs="Arial Narrow"/>
        </w:rPr>
        <w:t xml:space="preserve"> </w:t>
      </w:r>
      <w:r>
        <w:rPr>
          <w:rFonts w:ascii="Arial Narrow" w:hAnsi="Arial Narrow" w:cs="Arial Narrow"/>
        </w:rPr>
        <w:t>services must be allowed as long as a connection between the input stage goods and services is</w:t>
      </w:r>
      <w:r w:rsidR="00273040">
        <w:rPr>
          <w:rFonts w:ascii="Arial Narrow" w:hAnsi="Arial Narrow" w:cs="Arial Narrow"/>
        </w:rPr>
        <w:t xml:space="preserve"> </w:t>
      </w:r>
      <w:r>
        <w:rPr>
          <w:rFonts w:ascii="Arial Narrow" w:hAnsi="Arial Narrow" w:cs="Arial Narrow"/>
        </w:rPr>
        <w:t>established. Conceptually as well as a matter of policy, any input service that forms a part of</w:t>
      </w:r>
      <w:r w:rsidR="00273040">
        <w:rPr>
          <w:rFonts w:ascii="Arial Narrow" w:hAnsi="Arial Narrow" w:cs="Arial Narrow"/>
        </w:rPr>
        <w:t xml:space="preserve"> </w:t>
      </w:r>
      <w:r>
        <w:rPr>
          <w:rFonts w:ascii="Arial Narrow" w:hAnsi="Arial Narrow" w:cs="Arial Narrow"/>
        </w:rPr>
        <w:t>value of final product should be eligible for the benefit of CENVAT credit. In the present case,</w:t>
      </w:r>
      <w:r w:rsidR="00273040">
        <w:rPr>
          <w:rFonts w:ascii="Arial Narrow" w:hAnsi="Arial Narrow" w:cs="Arial Narrow"/>
        </w:rPr>
        <w:t xml:space="preserve"> </w:t>
      </w:r>
      <w:r>
        <w:rPr>
          <w:rFonts w:ascii="Arial Narrow" w:hAnsi="Arial Narrow" w:cs="Arial Narrow"/>
        </w:rPr>
        <w:t>since the advertising cost forms part of the assessable value, the assessee is eligible to take</w:t>
      </w:r>
      <w:r w:rsidR="00273040">
        <w:rPr>
          <w:rFonts w:ascii="Arial Narrow" w:hAnsi="Arial Narrow" w:cs="Arial Narrow"/>
        </w:rPr>
        <w:t xml:space="preserve"> </w:t>
      </w:r>
      <w:r>
        <w:rPr>
          <w:rFonts w:ascii="Arial Narrow" w:hAnsi="Arial Narrow" w:cs="Arial Narrow"/>
        </w:rPr>
        <w:t>credit of tax paid on advertising services.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(v) Credit allowed in case of existence of relationship between input service and final product</w:t>
      </w:r>
      <w:r w:rsidR="00273040">
        <w:rPr>
          <w:rFonts w:ascii="Arial Narrow" w:hAnsi="Arial Narrow" w:cs="Arial Narrow"/>
        </w:rPr>
        <w:t xml:space="preserve"> </w:t>
      </w:r>
      <w:r>
        <w:rPr>
          <w:rFonts w:ascii="Arial Narrow" w:hAnsi="Arial Narrow" w:cs="Arial Narrow"/>
        </w:rPr>
        <w:t>So long as the manufacturer can demonstrate that the advertisement services availed have an</w:t>
      </w:r>
      <w:r w:rsidR="00273040">
        <w:rPr>
          <w:rFonts w:ascii="Arial Narrow" w:hAnsi="Arial Narrow" w:cs="Arial Narrow"/>
        </w:rPr>
        <w:t xml:space="preserve"> </w:t>
      </w:r>
      <w:r>
        <w:rPr>
          <w:rFonts w:ascii="Arial Narrow" w:hAnsi="Arial Narrow" w:cs="Arial Narrow"/>
        </w:rPr>
        <w:t>effect or impact on the manufacture of the final product and establish the relationship between</w:t>
      </w:r>
      <w:r w:rsidR="00273040">
        <w:rPr>
          <w:rFonts w:ascii="Arial Narrow" w:hAnsi="Arial Narrow" w:cs="Arial Narrow"/>
        </w:rPr>
        <w:t xml:space="preserve"> </w:t>
      </w:r>
      <w:r>
        <w:rPr>
          <w:rFonts w:ascii="Arial Narrow" w:hAnsi="Arial Narrow" w:cs="Arial Narrow"/>
        </w:rPr>
        <w:t>the input service and the manufacture of final product, credit must be allowed. In the present</w:t>
      </w:r>
      <w:r w:rsidR="00273040">
        <w:rPr>
          <w:rFonts w:ascii="Arial Narrow" w:hAnsi="Arial Narrow" w:cs="Arial Narrow"/>
        </w:rPr>
        <w:t xml:space="preserve"> </w:t>
      </w:r>
      <w:r>
        <w:rPr>
          <w:rFonts w:ascii="Arial Narrow" w:hAnsi="Arial Narrow" w:cs="Arial Narrow"/>
        </w:rPr>
        <w:t>case, the Court held that the advertisement of soft-drink enhanced the marketability of the</w:t>
      </w:r>
      <w:r w:rsidR="00273040">
        <w:rPr>
          <w:rFonts w:ascii="Arial Narrow" w:hAnsi="Arial Narrow" w:cs="Arial Narrow"/>
        </w:rPr>
        <w:t xml:space="preserve"> </w:t>
      </w:r>
      <w:r>
        <w:rPr>
          <w:rFonts w:ascii="Arial Narrow" w:hAnsi="Arial Narrow" w:cs="Arial Narrow"/>
        </w:rPr>
        <w:t>concentrate.</w:t>
      </w:r>
    </w:p>
    <w:p w:rsidR="00273040" w:rsidRDefault="00273040" w:rsidP="00132125">
      <w:pPr>
        <w:autoSpaceDE w:val="0"/>
        <w:autoSpaceDN w:val="0"/>
        <w:adjustRightInd w:val="0"/>
        <w:spacing w:after="0" w:line="240" w:lineRule="auto"/>
        <w:jc w:val="both"/>
        <w:rPr>
          <w:rFonts w:ascii="Arial Narrow" w:hAnsi="Arial Narrow" w:cs="Arial Narrow"/>
        </w:rPr>
      </w:pPr>
    </w:p>
    <w:p w:rsidR="00273040" w:rsidRDefault="00273040" w:rsidP="00132125">
      <w:pPr>
        <w:autoSpaceDE w:val="0"/>
        <w:autoSpaceDN w:val="0"/>
        <w:adjustRightInd w:val="0"/>
        <w:spacing w:after="0" w:line="240" w:lineRule="auto"/>
        <w:jc w:val="both"/>
        <w:rPr>
          <w:rFonts w:ascii="Arial Narrow" w:hAnsi="Arial Narrow" w:cs="Arial Narrow"/>
        </w:rPr>
      </w:pPr>
    </w:p>
    <w:p w:rsidR="00132125" w:rsidRPr="00273040" w:rsidRDefault="00132125" w:rsidP="00132125">
      <w:pPr>
        <w:autoSpaceDE w:val="0"/>
        <w:autoSpaceDN w:val="0"/>
        <w:adjustRightInd w:val="0"/>
        <w:spacing w:after="0" w:line="240" w:lineRule="auto"/>
        <w:jc w:val="both"/>
        <w:rPr>
          <w:rFonts w:ascii="Arial Narrow" w:hAnsi="Arial Narrow" w:cs="Arial Narrow"/>
          <w:b/>
        </w:rPr>
      </w:pPr>
      <w:r w:rsidRPr="00273040">
        <w:rPr>
          <w:rFonts w:ascii="Arial Narrow" w:hAnsi="Arial Narrow" w:cs="Arial Narrow"/>
          <w:b/>
        </w:rPr>
        <w:t>2. Whether an assessee would be entitled to claim CENVAT credit in cases where it sells</w:t>
      </w:r>
      <w:r w:rsidR="00273040" w:rsidRPr="00273040">
        <w:rPr>
          <w:rFonts w:ascii="Arial Narrow" w:hAnsi="Arial Narrow" w:cs="Arial Narrow"/>
          <w:b/>
        </w:rPr>
        <w:t xml:space="preserve"> </w:t>
      </w:r>
      <w:r w:rsidRPr="00273040">
        <w:rPr>
          <w:rFonts w:ascii="Arial Narrow" w:hAnsi="Arial Narrow" w:cs="Arial Narrow"/>
          <w:b/>
        </w:rPr>
        <w:t>electricity outside the factory to the joint ventures, vendors or gives it to the grid for</w:t>
      </w:r>
      <w:r w:rsidR="00273040" w:rsidRPr="00273040">
        <w:rPr>
          <w:rFonts w:ascii="Arial Narrow" w:hAnsi="Arial Narrow" w:cs="Arial Narrow"/>
          <w:b/>
        </w:rPr>
        <w:t xml:space="preserve"> </w:t>
      </w:r>
      <w:r w:rsidRPr="00273040">
        <w:rPr>
          <w:rFonts w:ascii="Arial Narrow" w:hAnsi="Arial Narrow" w:cs="Arial Narrow"/>
          <w:b/>
        </w:rPr>
        <w:t>distribution?</w:t>
      </w:r>
      <w:r w:rsidR="00273040" w:rsidRPr="00273040">
        <w:rPr>
          <w:rFonts w:ascii="Arial Narrow" w:hAnsi="Arial Narrow" w:cs="Arial Narrow"/>
          <w:b/>
        </w:rPr>
        <w:t xml:space="preserve"> (Rule 2(k) of the CENVAT Credit Rules, 2004)</w:t>
      </w:r>
    </w:p>
    <w:p w:rsidR="00273040" w:rsidRDefault="00273040"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b/>
        </w:rPr>
      </w:pPr>
      <w:r w:rsidRPr="00273040">
        <w:rPr>
          <w:rFonts w:ascii="Arial Narrow" w:hAnsi="Arial Narrow" w:cs="Arial Narrow"/>
          <w:b/>
        </w:rPr>
        <w:t>Maruti Suzuki Ltd. v CCE (2009) 240 ELT 641 (SC)</w:t>
      </w:r>
    </w:p>
    <w:p w:rsidR="00273040" w:rsidRPr="00273040" w:rsidRDefault="00273040" w:rsidP="00132125">
      <w:pPr>
        <w:autoSpaceDE w:val="0"/>
        <w:autoSpaceDN w:val="0"/>
        <w:adjustRightInd w:val="0"/>
        <w:spacing w:after="0" w:line="240" w:lineRule="auto"/>
        <w:jc w:val="both"/>
        <w:rPr>
          <w:rFonts w:ascii="Arial Narrow" w:hAnsi="Arial Narrow" w:cs="Arial Narrow"/>
          <w:b/>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assessee was engaged in the manufacture of electricity using naptha as fuel for generation of</w:t>
      </w:r>
      <w:r w:rsidR="00273040">
        <w:rPr>
          <w:rFonts w:ascii="Arial Narrow" w:hAnsi="Arial Narrow" w:cs="Arial Narrow"/>
        </w:rPr>
        <w:t xml:space="preserve"> </w:t>
      </w:r>
      <w:r>
        <w:rPr>
          <w:rFonts w:ascii="Arial Narrow" w:hAnsi="Arial Narrow" w:cs="Arial Narrow"/>
        </w:rPr>
        <w:t>electricity. The electricity was partly used captively and partly sold outside to its joint ventures,</w:t>
      </w:r>
      <w:r w:rsidR="00273040">
        <w:rPr>
          <w:rFonts w:ascii="Arial Narrow" w:hAnsi="Arial Narrow" w:cs="Arial Narrow"/>
        </w:rPr>
        <w:t xml:space="preserve"> </w:t>
      </w:r>
      <w:r>
        <w:rPr>
          <w:rFonts w:ascii="Arial Narrow" w:hAnsi="Arial Narrow" w:cs="Arial Narrow"/>
        </w:rPr>
        <w:t>vendors or given to the grid for distribution. The assessee claimed the CENVAT credit on the naptha</w:t>
      </w:r>
      <w:r w:rsidR="00273040">
        <w:rPr>
          <w:rFonts w:ascii="Arial Narrow" w:hAnsi="Arial Narrow" w:cs="Arial Narrow"/>
        </w:rPr>
        <w:t xml:space="preserve"> </w:t>
      </w:r>
      <w:r>
        <w:rPr>
          <w:rFonts w:ascii="Arial Narrow" w:hAnsi="Arial Narrow" w:cs="Arial Narrow"/>
        </w:rPr>
        <w:t>used in the manufacture of the electricity. However, Department denied the credit on the ground that</w:t>
      </w:r>
      <w:r w:rsidR="00273040">
        <w:rPr>
          <w:rFonts w:ascii="Arial Narrow" w:hAnsi="Arial Narrow" w:cs="Arial Narrow"/>
        </w:rPr>
        <w:t xml:space="preserve"> </w:t>
      </w:r>
      <w:r>
        <w:rPr>
          <w:rFonts w:ascii="Arial Narrow" w:hAnsi="Arial Narrow" w:cs="Arial Narrow"/>
        </w:rPr>
        <w:t>CENVAT credit on naptha could not be admitted because part of the electricity was cleared outside the</w:t>
      </w:r>
      <w:r w:rsidR="00273040">
        <w:rPr>
          <w:rFonts w:ascii="Arial Narrow" w:hAnsi="Arial Narrow" w:cs="Arial Narrow"/>
        </w:rPr>
        <w:t xml:space="preserve"> </w:t>
      </w:r>
      <w:r>
        <w:rPr>
          <w:rFonts w:ascii="Arial Narrow" w:hAnsi="Arial Narrow" w:cs="Arial Narrow"/>
        </w:rPr>
        <w:t>factory to the joint ventures, vendors etc</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Court observed that the statutory definition of the word “input” in rule 2(g) in the erstwhile</w:t>
      </w:r>
      <w:r w:rsidR="00273040">
        <w:rPr>
          <w:rFonts w:ascii="Arial Narrow" w:hAnsi="Arial Narrow" w:cs="Arial Narrow"/>
        </w:rPr>
        <w:t xml:space="preserve"> </w:t>
      </w:r>
      <w:r>
        <w:rPr>
          <w:rFonts w:ascii="Arial Narrow" w:hAnsi="Arial Narrow" w:cs="Arial Narrow"/>
        </w:rPr>
        <w:t>CENVAT Credit Rules, 2002 [now rule 2(k) in the CENVAT Credit Rules, 2004], can be divided into</w:t>
      </w:r>
      <w:r w:rsidR="00273040">
        <w:rPr>
          <w:rFonts w:ascii="Arial Narrow" w:hAnsi="Arial Narrow" w:cs="Arial Narrow"/>
        </w:rPr>
        <w:t xml:space="preserve"> </w:t>
      </w:r>
      <w:r>
        <w:rPr>
          <w:rFonts w:ascii="Arial Narrow" w:hAnsi="Arial Narrow" w:cs="Arial Narrow"/>
        </w:rPr>
        <w:t>three parts, namely :</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 Specific part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(ii) Inclusive part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(iii) Place of use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All the three parts of the definition, namely, specific part, inclusive part and place of use, are required</w:t>
      </w:r>
      <w:r w:rsidR="00273040">
        <w:rPr>
          <w:rFonts w:ascii="Arial Narrow" w:hAnsi="Arial Narrow" w:cs="Arial Narrow"/>
        </w:rPr>
        <w:t xml:space="preserve"> </w:t>
      </w:r>
      <w:r>
        <w:rPr>
          <w:rFonts w:ascii="Arial Narrow" w:hAnsi="Arial Narrow" w:cs="Arial Narrow"/>
        </w:rPr>
        <w:t>to be satisfied before an input becomes an eligible input.</w:t>
      </w:r>
    </w:p>
    <w:p w:rsidR="00132125" w:rsidRPr="00273040" w:rsidRDefault="00132125" w:rsidP="00132125">
      <w:pPr>
        <w:autoSpaceDE w:val="0"/>
        <w:autoSpaceDN w:val="0"/>
        <w:adjustRightInd w:val="0"/>
        <w:spacing w:after="0" w:line="240" w:lineRule="auto"/>
        <w:jc w:val="both"/>
        <w:rPr>
          <w:rFonts w:ascii="Arial Narrow" w:hAnsi="Arial Narrow" w:cs="Arial Narrow"/>
          <w:b/>
        </w:rPr>
      </w:pPr>
      <w:r w:rsidRPr="00273040">
        <w:rPr>
          <w:rFonts w:ascii="Arial Narrow" w:hAnsi="Arial Narrow" w:cs="Arial Narrow"/>
          <w:b/>
        </w:rPr>
        <w:t>(I) SPECIFIC PART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“Input” is defined to mean all goods, except light diesel oil, high speed diesel oil and petrol, used</w:t>
      </w:r>
      <w:r w:rsidR="00273040">
        <w:rPr>
          <w:rFonts w:ascii="Arial Narrow" w:hAnsi="Arial Narrow" w:cs="Arial Narrow"/>
        </w:rPr>
        <w:t xml:space="preserve"> </w:t>
      </w:r>
      <w:r>
        <w:rPr>
          <w:rFonts w:ascii="Arial Narrow" w:hAnsi="Arial Narrow" w:cs="Arial Narrow"/>
        </w:rPr>
        <w:t>in or in relation to the manufacture of final products whether directly or indirectly and whether</w:t>
      </w:r>
      <w:r w:rsidR="00273040">
        <w:rPr>
          <w:rFonts w:ascii="Arial Narrow" w:hAnsi="Arial Narrow" w:cs="Arial Narrow"/>
        </w:rPr>
        <w:t xml:space="preserve"> </w:t>
      </w:r>
      <w:r>
        <w:rPr>
          <w:rFonts w:ascii="Arial Narrow" w:hAnsi="Arial Narrow" w:cs="Arial Narrow"/>
        </w:rPr>
        <w:t>contained in the final product or not.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Therefore, the crucial requirements, as per this part, are as follows:-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 All goods “used in or in relation to the manufacture” of final products qualify as “input”.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(b) Presupposition that the element of “manufacture” must be present.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On account of the use of the expression “used in or in relation to the manufacture of final</w:t>
      </w:r>
      <w:r w:rsidR="00273040">
        <w:rPr>
          <w:rFonts w:ascii="Arial Narrow" w:hAnsi="Arial Narrow" w:cs="Arial Narrow"/>
        </w:rPr>
        <w:t xml:space="preserve"> </w:t>
      </w:r>
      <w:r>
        <w:rPr>
          <w:rFonts w:ascii="Arial Narrow" w:hAnsi="Arial Narrow" w:cs="Arial Narrow"/>
        </w:rPr>
        <w:t>product”, use of input in the manufacturing process, be it direct or indirect and the absence of the</w:t>
      </w:r>
      <w:r w:rsidR="00273040">
        <w:rPr>
          <w:rFonts w:ascii="Arial Narrow" w:hAnsi="Arial Narrow" w:cs="Arial Narrow"/>
        </w:rPr>
        <w:t xml:space="preserve"> </w:t>
      </w:r>
      <w:r>
        <w:rPr>
          <w:rFonts w:ascii="Arial Narrow" w:hAnsi="Arial Narrow" w:cs="Arial Narrow"/>
        </w:rPr>
        <w:t>input in the final product become irrelevant.</w:t>
      </w:r>
      <w:r w:rsidR="00273040">
        <w:rPr>
          <w:rFonts w:ascii="Arial Narrow" w:hAnsi="Arial Narrow" w:cs="Arial Narrow"/>
        </w:rPr>
        <w:t xml:space="preserve"> </w:t>
      </w:r>
      <w:r>
        <w:rPr>
          <w:rFonts w:ascii="Arial Narrow" w:hAnsi="Arial Narrow" w:cs="Arial Narrow"/>
        </w:rPr>
        <w:t>Electricity may not have any concern with the manufacture of the finished product, but it is an</w:t>
      </w:r>
      <w:r w:rsidR="00273040">
        <w:rPr>
          <w:rFonts w:ascii="Arial Narrow" w:hAnsi="Arial Narrow" w:cs="Arial Narrow"/>
        </w:rPr>
        <w:t xml:space="preserve"> </w:t>
      </w:r>
      <w:r>
        <w:rPr>
          <w:rFonts w:ascii="Arial Narrow" w:hAnsi="Arial Narrow" w:cs="Arial Narrow"/>
        </w:rPr>
        <w:t>ancillary activity which is anterior to the process of manufacture of the final product. It is on</w:t>
      </w:r>
      <w:r w:rsidR="00273040">
        <w:rPr>
          <w:rFonts w:ascii="Arial Narrow" w:hAnsi="Arial Narrow" w:cs="Arial Narrow"/>
        </w:rPr>
        <w:t xml:space="preserve"> </w:t>
      </w:r>
      <w:r>
        <w:rPr>
          <w:rFonts w:ascii="Arial Narrow" w:hAnsi="Arial Narrow" w:cs="Arial Narrow"/>
        </w:rPr>
        <w:t xml:space="preserve">account of the use of the above </w:t>
      </w:r>
      <w:r>
        <w:rPr>
          <w:rFonts w:ascii="Arial Narrow" w:hAnsi="Arial Narrow" w:cs="Arial Narrow"/>
        </w:rPr>
        <w:lastRenderedPageBreak/>
        <w:t>expression “used in relation to manufacture” that such an activity</w:t>
      </w:r>
      <w:r w:rsidR="00273040">
        <w:rPr>
          <w:rFonts w:ascii="Arial Narrow" w:hAnsi="Arial Narrow" w:cs="Arial Narrow"/>
        </w:rPr>
        <w:t xml:space="preserve"> </w:t>
      </w:r>
      <w:r>
        <w:rPr>
          <w:rFonts w:ascii="Arial Narrow" w:hAnsi="Arial Narrow" w:cs="Arial Narrow"/>
        </w:rPr>
        <w:t>of electricity generation comes within the ambit of the definition.</w:t>
      </w:r>
    </w:p>
    <w:p w:rsidR="00132125" w:rsidRPr="00273040" w:rsidRDefault="00132125" w:rsidP="00132125">
      <w:pPr>
        <w:autoSpaceDE w:val="0"/>
        <w:autoSpaceDN w:val="0"/>
        <w:adjustRightInd w:val="0"/>
        <w:spacing w:after="0" w:line="240" w:lineRule="auto"/>
        <w:jc w:val="both"/>
        <w:rPr>
          <w:rFonts w:ascii="Arial Narrow" w:hAnsi="Arial Narrow" w:cs="Arial Narrow"/>
          <w:b/>
        </w:rPr>
      </w:pPr>
      <w:r w:rsidRPr="00273040">
        <w:rPr>
          <w:rFonts w:ascii="Arial Narrow" w:hAnsi="Arial Narrow" w:cs="Arial Narrow"/>
          <w:b/>
        </w:rPr>
        <w:t>(II) INCLUSIVE PART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Input includes: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 Lubricating oils, greases, cutting oils and coolants;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(b) Accessories;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(c) Paints;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(d) Packing materials;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(e) Input used as fuel;</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(f) Input used for generation of steam or electricity.</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Court elucidated that, in each case, it has to be established that inputs mentioned in the</w:t>
      </w:r>
      <w:r w:rsidR="00273040">
        <w:rPr>
          <w:rFonts w:ascii="Arial Narrow" w:hAnsi="Arial Narrow" w:cs="Arial Narrow"/>
        </w:rPr>
        <w:t xml:space="preserve"> </w:t>
      </w:r>
      <w:r>
        <w:rPr>
          <w:rFonts w:ascii="Arial Narrow" w:hAnsi="Arial Narrow" w:cs="Arial Narrow"/>
        </w:rPr>
        <w:t>inclusive part is “used in or in relation to the manufacture of final product”. Unless and until the</w:t>
      </w:r>
      <w:r w:rsidR="00273040">
        <w:rPr>
          <w:rFonts w:ascii="Arial Narrow" w:hAnsi="Arial Narrow" w:cs="Arial Narrow"/>
        </w:rPr>
        <w:t xml:space="preserve"> </w:t>
      </w:r>
      <w:r>
        <w:rPr>
          <w:rFonts w:ascii="Arial Narrow" w:hAnsi="Arial Narrow" w:cs="Arial Narrow"/>
        </w:rPr>
        <w:t>said input is used in or in relation to the manufacture of final product within the factory of</w:t>
      </w:r>
      <w:r w:rsidR="00273040">
        <w:rPr>
          <w:rFonts w:ascii="Arial Narrow" w:hAnsi="Arial Narrow" w:cs="Arial Narrow"/>
        </w:rPr>
        <w:t xml:space="preserve"> </w:t>
      </w:r>
      <w:r>
        <w:rPr>
          <w:rFonts w:ascii="Arial Narrow" w:hAnsi="Arial Narrow" w:cs="Arial Narrow"/>
        </w:rPr>
        <w:t>production, the said item would not become an eligible input.</w:t>
      </w:r>
      <w:r w:rsidR="00273040">
        <w:rPr>
          <w:rFonts w:ascii="Arial Narrow" w:hAnsi="Arial Narrow" w:cs="Arial Narrow"/>
        </w:rPr>
        <w:t xml:space="preserve"> </w:t>
      </w:r>
      <w:r>
        <w:rPr>
          <w:rFonts w:ascii="Arial Narrow" w:hAnsi="Arial Narrow" w:cs="Arial Narrow"/>
        </w:rPr>
        <w:t>Hence, Supreme Court held that the definition of “input” brings within its fold, inputs used for</w:t>
      </w:r>
      <w:r w:rsidR="00273040">
        <w:rPr>
          <w:rFonts w:ascii="Arial Narrow" w:hAnsi="Arial Narrow" w:cs="Arial Narrow"/>
        </w:rPr>
        <w:t xml:space="preserve"> </w:t>
      </w:r>
      <w:r>
        <w:rPr>
          <w:rFonts w:ascii="Arial Narrow" w:hAnsi="Arial Narrow" w:cs="Arial Narrow"/>
        </w:rPr>
        <w:t>generation of electricity or steam, provided such electricity or steam is used within the factory of</w:t>
      </w:r>
      <w:r w:rsidR="00273040">
        <w:rPr>
          <w:rFonts w:ascii="Arial Narrow" w:hAnsi="Arial Narrow" w:cs="Arial Narrow"/>
        </w:rPr>
        <w:t xml:space="preserve"> </w:t>
      </w:r>
      <w:r>
        <w:rPr>
          <w:rFonts w:ascii="Arial Narrow" w:hAnsi="Arial Narrow" w:cs="Arial Narrow"/>
        </w:rPr>
        <w:t>production for manufacture of final products or for any other purpose.</w:t>
      </w:r>
      <w:r w:rsidR="00273040">
        <w:rPr>
          <w:rFonts w:ascii="Arial Narrow" w:hAnsi="Arial Narrow" w:cs="Arial Narrow"/>
        </w:rPr>
        <w:t xml:space="preserve"> </w:t>
      </w:r>
      <w:r>
        <w:rPr>
          <w:rFonts w:ascii="Arial Narrow" w:hAnsi="Arial Narrow" w:cs="Arial Narrow"/>
        </w:rPr>
        <w:t>The excess electricity cleared to the grid for distribution or to the joint ventures, vendors, and that too</w:t>
      </w:r>
      <w:r w:rsidR="00273040">
        <w:rPr>
          <w:rFonts w:ascii="Arial Narrow" w:hAnsi="Arial Narrow" w:cs="Arial Narrow"/>
        </w:rPr>
        <w:t xml:space="preserve"> </w:t>
      </w:r>
      <w:r>
        <w:rPr>
          <w:rFonts w:ascii="Arial Narrow" w:hAnsi="Arial Narrow" w:cs="Arial Narrow"/>
        </w:rPr>
        <w:t>for a price (sale), electricity generated cannot be said to be “used in or in relation to the manufacture of</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final product, within the factory”.</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Hence, it could be inferred that the assessee was entitled to credit on the eligible inputs utilized in the</w:t>
      </w:r>
      <w:r w:rsidR="00273040">
        <w:rPr>
          <w:rFonts w:ascii="Arial Narrow" w:hAnsi="Arial Narrow" w:cs="Arial Narrow"/>
        </w:rPr>
        <w:t xml:space="preserve"> </w:t>
      </w:r>
      <w:r>
        <w:rPr>
          <w:rFonts w:ascii="Arial Narrow" w:hAnsi="Arial Narrow" w:cs="Arial Narrow"/>
        </w:rPr>
        <w:t>generation of electricity to the extent to which they were using the produced electricity within their</w:t>
      </w:r>
      <w:r w:rsidR="00273040">
        <w:rPr>
          <w:rFonts w:ascii="Arial Narrow" w:hAnsi="Arial Narrow" w:cs="Arial Narrow"/>
        </w:rPr>
        <w:t xml:space="preserve"> </w:t>
      </w:r>
      <w:r>
        <w:rPr>
          <w:rFonts w:ascii="Arial Narrow" w:hAnsi="Arial Narrow" w:cs="Arial Narrow"/>
        </w:rPr>
        <w:t>factory (for captive consumption). They were not entitled to CENVAT credit to the extent of the excess</w:t>
      </w:r>
      <w:r w:rsidR="00273040">
        <w:rPr>
          <w:rFonts w:ascii="Arial Narrow" w:hAnsi="Arial Narrow" w:cs="Arial Narrow"/>
        </w:rPr>
        <w:t xml:space="preserve"> </w:t>
      </w:r>
      <w:r>
        <w:rPr>
          <w:rFonts w:ascii="Arial Narrow" w:hAnsi="Arial Narrow" w:cs="Arial Narrow"/>
        </w:rPr>
        <w:t>electricity cleared at the contractual rates in favour of joint ventures, vendors etc., which was sold at a</w:t>
      </w:r>
      <w:r w:rsidR="00273040">
        <w:rPr>
          <w:rFonts w:ascii="Arial Narrow" w:hAnsi="Arial Narrow" w:cs="Arial Narrow"/>
        </w:rPr>
        <w:t xml:space="preserve"> </w:t>
      </w:r>
      <w:r>
        <w:rPr>
          <w:rFonts w:ascii="Arial Narrow" w:hAnsi="Arial Narrow" w:cs="Arial Narrow"/>
        </w:rPr>
        <w:t>price.</w:t>
      </w:r>
    </w:p>
    <w:p w:rsidR="00273040" w:rsidRDefault="00273040" w:rsidP="00132125">
      <w:pPr>
        <w:autoSpaceDE w:val="0"/>
        <w:autoSpaceDN w:val="0"/>
        <w:adjustRightInd w:val="0"/>
        <w:spacing w:after="0" w:line="240" w:lineRule="auto"/>
        <w:jc w:val="both"/>
        <w:rPr>
          <w:rFonts w:ascii="Arial Narrow" w:hAnsi="Arial Narrow" w:cs="Arial Narrow"/>
        </w:rPr>
      </w:pPr>
    </w:p>
    <w:p w:rsidR="00495CA1" w:rsidRPr="00237048" w:rsidRDefault="00132125" w:rsidP="00495CA1">
      <w:pPr>
        <w:autoSpaceDE w:val="0"/>
        <w:autoSpaceDN w:val="0"/>
        <w:adjustRightInd w:val="0"/>
        <w:spacing w:after="0" w:line="240" w:lineRule="auto"/>
        <w:jc w:val="both"/>
        <w:rPr>
          <w:rFonts w:ascii="Arial Narrow" w:hAnsi="Arial Narrow" w:cs="Arial Narrow"/>
          <w:b/>
        </w:rPr>
      </w:pPr>
      <w:r w:rsidRPr="00237048">
        <w:rPr>
          <w:rFonts w:ascii="Arial Narrow" w:hAnsi="Arial Narrow" w:cs="Arial Narrow"/>
          <w:b/>
        </w:rPr>
        <w:t>3. Whether aluminium dross and skimmings have become excisable in view of the insertion</w:t>
      </w:r>
      <w:r w:rsidR="00495CA1" w:rsidRPr="00237048">
        <w:rPr>
          <w:rFonts w:ascii="Arial Narrow" w:hAnsi="Arial Narrow" w:cs="Arial Narrow"/>
          <w:b/>
        </w:rPr>
        <w:t xml:space="preserve"> </w:t>
      </w:r>
      <w:r w:rsidRPr="00237048">
        <w:rPr>
          <w:rFonts w:ascii="Arial Narrow" w:hAnsi="Arial Narrow" w:cs="Arial Narrow"/>
          <w:b/>
        </w:rPr>
        <w:t>of Explanation to section 2(d) of the Central Excise Act, 1944 by the Finance act, 2008?</w:t>
      </w:r>
      <w:r w:rsidR="00495CA1" w:rsidRPr="00237048">
        <w:rPr>
          <w:rFonts w:ascii="Arial Narrow" w:hAnsi="Arial Narrow" w:cs="Arial Narrow"/>
          <w:b/>
        </w:rPr>
        <w:t xml:space="preserve"> (Explanation to section 2(d) of the Central Excise Act, 1944)</w:t>
      </w:r>
    </w:p>
    <w:p w:rsidR="00132125" w:rsidRDefault="00132125" w:rsidP="00132125">
      <w:pPr>
        <w:autoSpaceDE w:val="0"/>
        <w:autoSpaceDN w:val="0"/>
        <w:adjustRightInd w:val="0"/>
        <w:spacing w:after="0" w:line="240" w:lineRule="auto"/>
        <w:jc w:val="both"/>
        <w:rPr>
          <w:rFonts w:ascii="Arial Narrow" w:hAnsi="Arial Narrow" w:cs="Arial Narrow"/>
        </w:rPr>
      </w:pPr>
    </w:p>
    <w:p w:rsidR="00132125" w:rsidRPr="00237048" w:rsidRDefault="00132125" w:rsidP="00132125">
      <w:pPr>
        <w:autoSpaceDE w:val="0"/>
        <w:autoSpaceDN w:val="0"/>
        <w:adjustRightInd w:val="0"/>
        <w:spacing w:after="0" w:line="240" w:lineRule="auto"/>
        <w:jc w:val="both"/>
        <w:rPr>
          <w:rFonts w:ascii="Arial Narrow" w:hAnsi="Arial Narrow" w:cs="Arial Narrow"/>
          <w:b/>
        </w:rPr>
      </w:pPr>
      <w:r w:rsidRPr="00237048">
        <w:rPr>
          <w:rFonts w:ascii="Arial Narrow" w:hAnsi="Arial Narrow" w:cs="Arial Narrow"/>
          <w:b/>
        </w:rPr>
        <w:t>Hindalco Industries Ltd. UOI 2009 (243) E.L.T. 481 (All.)</w:t>
      </w:r>
    </w:p>
    <w:p w:rsidR="00237048" w:rsidRDefault="00237048"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assessee submitted that insertion of the explanation to section 2(d) would not change the</w:t>
      </w:r>
      <w:r w:rsidR="00CA3B97">
        <w:rPr>
          <w:rFonts w:ascii="Arial Narrow" w:hAnsi="Arial Narrow" w:cs="Arial Narrow"/>
        </w:rPr>
        <w:t xml:space="preserve"> </w:t>
      </w:r>
      <w:r>
        <w:rPr>
          <w:rFonts w:ascii="Arial Narrow" w:hAnsi="Arial Narrow" w:cs="Arial Narrow"/>
        </w:rPr>
        <w:t>position established in law that ‘aluminium dross and skimming,’ were neither processed or</w:t>
      </w:r>
      <w:r w:rsidR="00CA3B97">
        <w:rPr>
          <w:rFonts w:ascii="Arial Narrow" w:hAnsi="Arial Narrow" w:cs="Arial Narrow"/>
        </w:rPr>
        <w:t xml:space="preserve"> </w:t>
      </w:r>
      <w:r>
        <w:rPr>
          <w:rFonts w:ascii="Arial Narrow" w:hAnsi="Arial Narrow" w:cs="Arial Narrow"/>
        </w:rPr>
        <w:t>manufactured, or were marketable commodities. The High Court observed that effect of the</w:t>
      </w:r>
      <w:r w:rsidR="00CA3B97">
        <w:rPr>
          <w:rFonts w:ascii="Arial Narrow" w:hAnsi="Arial Narrow" w:cs="Arial Narrow"/>
        </w:rPr>
        <w:t xml:space="preserve"> </w:t>
      </w:r>
      <w:r>
        <w:rPr>
          <w:rFonts w:ascii="Arial Narrow" w:hAnsi="Arial Narrow" w:cs="Arial Narrow"/>
        </w:rPr>
        <w:t>explanation is to get over the judgment of the Apex Court in case of Commissioner, Central</w:t>
      </w:r>
      <w:r w:rsidR="00CA3B97">
        <w:rPr>
          <w:rFonts w:ascii="Arial Narrow" w:hAnsi="Arial Narrow" w:cs="Arial Narrow"/>
        </w:rPr>
        <w:t xml:space="preserve"> </w:t>
      </w:r>
      <w:r>
        <w:rPr>
          <w:rFonts w:ascii="Arial Narrow" w:hAnsi="Arial Narrow" w:cs="Arial Narrow"/>
        </w:rPr>
        <w:t>Excise v. Indian Aluminium Co. Ltd. 2006 (203) E.L.T. 3 (S.C.) wherein the Supreme Court held</w:t>
      </w:r>
      <w:r w:rsidR="00CA3B97">
        <w:rPr>
          <w:rFonts w:ascii="Arial Narrow" w:hAnsi="Arial Narrow" w:cs="Arial Narrow"/>
        </w:rPr>
        <w:t xml:space="preserve"> </w:t>
      </w:r>
      <w:r>
        <w:rPr>
          <w:rFonts w:ascii="Arial Narrow" w:hAnsi="Arial Narrow" w:cs="Arial Narrow"/>
        </w:rPr>
        <w:t>that everything that can be sold is not necessarily marketable.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High Court elucidated that, prima facie, the insertion of the explanation under section 2(d)</w:t>
      </w:r>
      <w:r w:rsidR="00CA3B97">
        <w:rPr>
          <w:rFonts w:ascii="Arial Narrow" w:hAnsi="Arial Narrow" w:cs="Arial Narrow"/>
        </w:rPr>
        <w:t xml:space="preserve"> </w:t>
      </w:r>
      <w:r>
        <w:rPr>
          <w:rFonts w:ascii="Arial Narrow" w:hAnsi="Arial Narrow" w:cs="Arial Narrow"/>
        </w:rPr>
        <w:t>providing for a fiction in law by a deeming clause in definition of “goods” to include any article,</w:t>
      </w:r>
      <w:r w:rsidR="00CA3B97">
        <w:rPr>
          <w:rFonts w:ascii="Arial Narrow" w:hAnsi="Arial Narrow" w:cs="Arial Narrow"/>
        </w:rPr>
        <w:t xml:space="preserve"> </w:t>
      </w:r>
      <w:r>
        <w:rPr>
          <w:rFonts w:ascii="Arial Narrow" w:hAnsi="Arial Narrow" w:cs="Arial Narrow"/>
        </w:rPr>
        <w:t>material or substance which is capable of being bought and sold for a consideration, and to treat</w:t>
      </w:r>
      <w:r w:rsidR="00CA3B97">
        <w:rPr>
          <w:rFonts w:ascii="Arial Narrow" w:hAnsi="Arial Narrow" w:cs="Arial Narrow"/>
        </w:rPr>
        <w:t xml:space="preserve"> </w:t>
      </w:r>
      <w:r>
        <w:rPr>
          <w:rFonts w:ascii="Arial Narrow" w:hAnsi="Arial Narrow" w:cs="Arial Narrow"/>
        </w:rPr>
        <w:t>such goods as marketable, would make the ‘aluminium dross and skimming’ liable to excise duty.</w:t>
      </w:r>
    </w:p>
    <w:p w:rsidR="004816C7"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Where the goods are specified in the Tariff, they can be subjected to duty, if they are produced, or</w:t>
      </w:r>
      <w:r w:rsidR="00CA3B97">
        <w:rPr>
          <w:rFonts w:ascii="Arial Narrow" w:hAnsi="Arial Narrow" w:cs="Arial Narrow"/>
        </w:rPr>
        <w:t xml:space="preserve"> </w:t>
      </w:r>
      <w:r>
        <w:rPr>
          <w:rFonts w:ascii="Arial Narrow" w:hAnsi="Arial Narrow" w:cs="Arial Narrow"/>
        </w:rPr>
        <w:t>manufactured by the person on whom duty is ‘proposed’. The High Court noted that the</w:t>
      </w:r>
      <w:r w:rsidR="00CA3B97">
        <w:rPr>
          <w:rFonts w:ascii="Arial Narrow" w:hAnsi="Arial Narrow" w:cs="Arial Narrow"/>
        </w:rPr>
        <w:t xml:space="preserve"> </w:t>
      </w:r>
      <w:r>
        <w:rPr>
          <w:rFonts w:ascii="Arial Narrow" w:hAnsi="Arial Narrow" w:cs="Arial Narrow"/>
        </w:rPr>
        <w:t>expression has been explained by the Supreme Court to mean that the goods so produced must</w:t>
      </w:r>
      <w:r w:rsidR="00CA3B97">
        <w:rPr>
          <w:rFonts w:ascii="Arial Narrow" w:hAnsi="Arial Narrow" w:cs="Arial Narrow"/>
        </w:rPr>
        <w:t xml:space="preserve"> </w:t>
      </w:r>
      <w:r>
        <w:rPr>
          <w:rFonts w:ascii="Arial Narrow" w:hAnsi="Arial Narrow" w:cs="Arial Narrow"/>
        </w:rPr>
        <w:t>satisfy the test of marketability. The excise duty is levied on production and manufacture which</w:t>
      </w:r>
      <w:r w:rsidR="00CA3B97">
        <w:rPr>
          <w:rFonts w:ascii="Arial Narrow" w:hAnsi="Arial Narrow" w:cs="Arial Narrow"/>
        </w:rPr>
        <w:t xml:space="preserve"> </w:t>
      </w:r>
      <w:r>
        <w:rPr>
          <w:rFonts w:ascii="Arial Narrow" w:hAnsi="Arial Narrow" w:cs="Arial Narrow"/>
        </w:rPr>
        <w:t>means bringing out a new commodity, substance, and it is implicit that such goods must be</w:t>
      </w:r>
      <w:r w:rsidR="00CA3B97">
        <w:rPr>
          <w:rFonts w:ascii="Arial Narrow" w:hAnsi="Arial Narrow" w:cs="Arial Narrow"/>
        </w:rPr>
        <w:t xml:space="preserve"> </w:t>
      </w:r>
      <w:r>
        <w:rPr>
          <w:rFonts w:ascii="Arial Narrow" w:hAnsi="Arial Narrow" w:cs="Arial Narrow"/>
        </w:rPr>
        <w:t>usable, saleable and marketable. If the goods are marketable or are deemed to be marketable,</w:t>
      </w:r>
      <w:r w:rsidR="00CA3B97">
        <w:rPr>
          <w:rFonts w:ascii="Arial Narrow" w:hAnsi="Arial Narrow" w:cs="Arial Narrow"/>
        </w:rPr>
        <w:t xml:space="preserve"> </w:t>
      </w:r>
      <w:r>
        <w:rPr>
          <w:rFonts w:ascii="Arial Narrow" w:hAnsi="Arial Narrow" w:cs="Arial Narrow"/>
        </w:rPr>
        <w:t>as on now by the explanation added to section 2(d), such goods included in the Tariff would</w:t>
      </w:r>
      <w:r w:rsidR="00CA3B97">
        <w:rPr>
          <w:rFonts w:ascii="Arial Narrow" w:hAnsi="Arial Narrow" w:cs="Arial Narrow"/>
        </w:rPr>
        <w:t xml:space="preserve"> </w:t>
      </w:r>
      <w:r>
        <w:rPr>
          <w:rFonts w:ascii="Arial Narrow" w:hAnsi="Arial Narrow" w:cs="Arial Narrow"/>
        </w:rPr>
        <w:t>attract excise duty.</w:t>
      </w:r>
      <w:r w:rsidR="00CA3B97">
        <w:rPr>
          <w:rFonts w:ascii="Arial Narrow" w:hAnsi="Arial Narrow" w:cs="Arial Narrow"/>
        </w:rPr>
        <w:t xml:space="preserve"> </w:t>
      </w:r>
    </w:p>
    <w:p w:rsidR="004816C7" w:rsidRDefault="004816C7" w:rsidP="00132125">
      <w:pPr>
        <w:autoSpaceDE w:val="0"/>
        <w:autoSpaceDN w:val="0"/>
        <w:adjustRightInd w:val="0"/>
        <w:spacing w:after="0" w:line="240" w:lineRule="auto"/>
        <w:jc w:val="both"/>
        <w:rPr>
          <w:rFonts w:ascii="Arial Narrow" w:hAnsi="Arial Narrow" w:cs="Arial Narrow"/>
        </w:rPr>
      </w:pPr>
    </w:p>
    <w:p w:rsidR="004816C7" w:rsidRPr="0003601E" w:rsidRDefault="00132125" w:rsidP="004816C7">
      <w:pPr>
        <w:autoSpaceDE w:val="0"/>
        <w:autoSpaceDN w:val="0"/>
        <w:adjustRightInd w:val="0"/>
        <w:spacing w:after="0" w:line="240" w:lineRule="auto"/>
        <w:jc w:val="both"/>
        <w:rPr>
          <w:rFonts w:ascii="Arial Narrow" w:hAnsi="Arial Narrow" w:cs="Arial Narrow"/>
          <w:b/>
        </w:rPr>
      </w:pPr>
      <w:r w:rsidRPr="0003601E">
        <w:rPr>
          <w:rFonts w:ascii="Arial Narrow" w:hAnsi="Arial Narrow" w:cs="Arial Narrow"/>
          <w:b/>
        </w:rPr>
        <w:t>4. Is the assessee liable to pay interest under section 11AB on the differential duty paid on the</w:t>
      </w:r>
      <w:r w:rsidR="004816C7" w:rsidRPr="0003601E">
        <w:rPr>
          <w:rFonts w:ascii="Arial Narrow" w:hAnsi="Arial Narrow" w:cs="Arial Narrow"/>
          <w:b/>
        </w:rPr>
        <w:t xml:space="preserve"> </w:t>
      </w:r>
      <w:r w:rsidRPr="0003601E">
        <w:rPr>
          <w:rFonts w:ascii="Arial Narrow" w:hAnsi="Arial Narrow" w:cs="Arial Narrow"/>
          <w:b/>
        </w:rPr>
        <w:t>difference between price at date of removal and enhanced price at which goods are ultimately</w:t>
      </w:r>
      <w:r w:rsidR="004816C7" w:rsidRPr="0003601E">
        <w:rPr>
          <w:rFonts w:ascii="Arial Narrow" w:hAnsi="Arial Narrow" w:cs="Arial Narrow"/>
          <w:b/>
        </w:rPr>
        <w:t xml:space="preserve"> </w:t>
      </w:r>
      <w:r w:rsidRPr="0003601E">
        <w:rPr>
          <w:rFonts w:ascii="Arial Narrow" w:hAnsi="Arial Narrow" w:cs="Arial Narrow"/>
          <w:b/>
        </w:rPr>
        <w:t>sold?</w:t>
      </w:r>
      <w:r w:rsidR="004816C7" w:rsidRPr="0003601E">
        <w:rPr>
          <w:rFonts w:ascii="Arial Narrow" w:hAnsi="Arial Narrow" w:cs="Arial Narrow"/>
          <w:b/>
        </w:rPr>
        <w:t xml:space="preserve"> (Section 11A(2B) and section 11AB of the Central Excise Act, 1944)</w:t>
      </w:r>
    </w:p>
    <w:p w:rsidR="00132125" w:rsidRPr="0003601E" w:rsidRDefault="00132125" w:rsidP="00132125">
      <w:pPr>
        <w:autoSpaceDE w:val="0"/>
        <w:autoSpaceDN w:val="0"/>
        <w:adjustRightInd w:val="0"/>
        <w:spacing w:after="0" w:line="240" w:lineRule="auto"/>
        <w:jc w:val="both"/>
        <w:rPr>
          <w:rFonts w:ascii="Arial Narrow" w:hAnsi="Arial Narrow" w:cs="Arial Narrow"/>
          <w:b/>
        </w:rPr>
      </w:pPr>
    </w:p>
    <w:p w:rsidR="00132125" w:rsidRPr="0003601E" w:rsidRDefault="00132125" w:rsidP="00132125">
      <w:pPr>
        <w:autoSpaceDE w:val="0"/>
        <w:autoSpaceDN w:val="0"/>
        <w:adjustRightInd w:val="0"/>
        <w:spacing w:after="0" w:line="240" w:lineRule="auto"/>
        <w:jc w:val="both"/>
        <w:rPr>
          <w:rFonts w:ascii="Arial Narrow" w:hAnsi="Arial Narrow" w:cs="Arial Narrow"/>
          <w:b/>
        </w:rPr>
      </w:pPr>
      <w:r w:rsidRPr="0003601E">
        <w:rPr>
          <w:rFonts w:ascii="Arial Narrow" w:hAnsi="Arial Narrow" w:cs="Arial Narrow"/>
          <w:b/>
        </w:rPr>
        <w:t>CCE v. International Auto Ltd. 2010 (250) E.L.T. 3 (S.C.)</w:t>
      </w:r>
    </w:p>
    <w:p w:rsidR="0003601E" w:rsidRDefault="0003601E"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lastRenderedPageBreak/>
        <w:t>The Apex Court, following the decision made in the case of CCE v. S.K.F. India Limited 2009 (239)</w:t>
      </w:r>
      <w:r w:rsidR="00220625">
        <w:rPr>
          <w:rFonts w:ascii="Arial Narrow" w:hAnsi="Arial Narrow" w:cs="Arial Narrow"/>
        </w:rPr>
        <w:t xml:space="preserve"> </w:t>
      </w:r>
      <w:r>
        <w:rPr>
          <w:rFonts w:ascii="Arial Narrow" w:hAnsi="Arial Narrow" w:cs="Arial Narrow"/>
        </w:rPr>
        <w:t>E.L.T. 385 (S.C.), observed that sub-section (2B) of section 11A provides that the assessee in default</w:t>
      </w:r>
      <w:r w:rsidR="00220625">
        <w:rPr>
          <w:rFonts w:ascii="Arial Narrow" w:hAnsi="Arial Narrow" w:cs="Arial Narrow"/>
        </w:rPr>
        <w:t xml:space="preserve"> </w:t>
      </w:r>
      <w:r>
        <w:rPr>
          <w:rFonts w:ascii="Arial Narrow" w:hAnsi="Arial Narrow" w:cs="Arial Narrow"/>
        </w:rPr>
        <w:t>may make payment of the unpaid duty on the basis of his own ascertainment or as ascertained by a</w:t>
      </w:r>
      <w:r w:rsidR="00220625">
        <w:rPr>
          <w:rFonts w:ascii="Arial Narrow" w:hAnsi="Arial Narrow" w:cs="Arial Narrow"/>
        </w:rPr>
        <w:t xml:space="preserve"> </w:t>
      </w:r>
      <w:r>
        <w:rPr>
          <w:rFonts w:ascii="Arial Narrow" w:hAnsi="Arial Narrow" w:cs="Arial Narrow"/>
        </w:rPr>
        <w:t>Central Excise Officer and, in that event, such assessee in default would not be served with the</w:t>
      </w:r>
      <w:r w:rsidR="00220625">
        <w:rPr>
          <w:rFonts w:ascii="Arial Narrow" w:hAnsi="Arial Narrow" w:cs="Arial Narrow"/>
        </w:rPr>
        <w:t xml:space="preserve"> </w:t>
      </w:r>
      <w:r>
        <w:rPr>
          <w:rFonts w:ascii="Arial Narrow" w:hAnsi="Arial Narrow" w:cs="Arial Narrow"/>
        </w:rPr>
        <w:t>demand notice under section 11A(1) of the Act.</w:t>
      </w:r>
      <w:r w:rsidR="00220625">
        <w:rPr>
          <w:rFonts w:ascii="Arial Narrow" w:hAnsi="Arial Narrow" w:cs="Arial Narrow"/>
        </w:rPr>
        <w:t xml:space="preserve"> </w:t>
      </w:r>
      <w:r>
        <w:rPr>
          <w:rFonts w:ascii="Arial Narrow" w:hAnsi="Arial Narrow" w:cs="Arial Narrow"/>
        </w:rPr>
        <w:t>However, Explanation 2 to the sub-section (2B) of section 11A makes it clear that such payment would</w:t>
      </w:r>
      <w:r w:rsidR="00220625">
        <w:rPr>
          <w:rFonts w:ascii="Arial Narrow" w:hAnsi="Arial Narrow" w:cs="Arial Narrow"/>
        </w:rPr>
        <w:t xml:space="preserve"> </w:t>
      </w:r>
      <w:r>
        <w:rPr>
          <w:rFonts w:ascii="Arial Narrow" w:hAnsi="Arial Narrow" w:cs="Arial Narrow"/>
        </w:rPr>
        <w:t>not be exempt from interest chargeable under section 11AB of the Act. What is stated in Explanation 2</w:t>
      </w:r>
      <w:r w:rsidR="00220625">
        <w:rPr>
          <w:rFonts w:ascii="Arial Narrow" w:hAnsi="Arial Narrow" w:cs="Arial Narrow"/>
        </w:rPr>
        <w:t xml:space="preserve"> </w:t>
      </w:r>
      <w:r>
        <w:rPr>
          <w:rFonts w:ascii="Arial Narrow" w:hAnsi="Arial Narrow" w:cs="Arial Narrow"/>
        </w:rPr>
        <w:t>to section 11A(2B) is reiterated in section 11AB of the Act, which deals with interest on delayed</w:t>
      </w:r>
      <w:r w:rsidR="00220625">
        <w:rPr>
          <w:rFonts w:ascii="Arial Narrow" w:hAnsi="Arial Narrow" w:cs="Arial Narrow"/>
        </w:rPr>
        <w:t xml:space="preserve"> </w:t>
      </w:r>
      <w:r>
        <w:rPr>
          <w:rFonts w:ascii="Arial Narrow" w:hAnsi="Arial Narrow" w:cs="Arial Narrow"/>
        </w:rPr>
        <w:t>payment of duty.</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From the scheme of section 11A(2B) and section 11AB of the Act, it becomes clear that interest is</w:t>
      </w:r>
      <w:r w:rsidR="00220625">
        <w:rPr>
          <w:rFonts w:ascii="Arial Narrow" w:hAnsi="Arial Narrow" w:cs="Arial Narrow"/>
        </w:rPr>
        <w:t xml:space="preserve"> </w:t>
      </w:r>
      <w:r>
        <w:rPr>
          <w:rFonts w:ascii="Arial Narrow" w:hAnsi="Arial Narrow" w:cs="Arial Narrow"/>
        </w:rPr>
        <w:t>levied for loss of revenue caused on any count. In the present case, the price, on the date of</w:t>
      </w:r>
      <w:r w:rsidR="00220625">
        <w:rPr>
          <w:rFonts w:ascii="Arial Narrow" w:hAnsi="Arial Narrow" w:cs="Arial Narrow"/>
        </w:rPr>
        <w:t xml:space="preserve"> </w:t>
      </w:r>
      <w:r>
        <w:rPr>
          <w:rFonts w:ascii="Arial Narrow" w:hAnsi="Arial Narrow" w:cs="Arial Narrow"/>
        </w:rPr>
        <w:t>removal/clearance of the goods, was not correct i.e. it was understated. The enhanced duty was</w:t>
      </w:r>
      <w:r w:rsidR="00220625">
        <w:rPr>
          <w:rFonts w:ascii="Arial Narrow" w:hAnsi="Arial Narrow" w:cs="Arial Narrow"/>
        </w:rPr>
        <w:t xml:space="preserve"> </w:t>
      </w:r>
      <w:r>
        <w:rPr>
          <w:rFonts w:ascii="Arial Narrow" w:hAnsi="Arial Narrow" w:cs="Arial Narrow"/>
        </w:rPr>
        <w:t>leviable on the corrected value of the goods on the date of removal. When the differential duty was</w:t>
      </w:r>
      <w:r w:rsidR="00220625">
        <w:rPr>
          <w:rFonts w:ascii="Arial Narrow" w:hAnsi="Arial Narrow" w:cs="Arial Narrow"/>
        </w:rPr>
        <w:t xml:space="preserve"> </w:t>
      </w:r>
      <w:r>
        <w:rPr>
          <w:rFonts w:ascii="Arial Narrow" w:hAnsi="Arial Narrow" w:cs="Arial Narrow"/>
        </w:rPr>
        <w:t>paid after the date of clearance, it indicated short-payment/short-levy on the date of removal, hence,</w:t>
      </w:r>
      <w:r w:rsidR="00220625">
        <w:rPr>
          <w:rFonts w:ascii="Arial Narrow" w:hAnsi="Arial Narrow" w:cs="Arial Narrow"/>
        </w:rPr>
        <w:t xml:space="preserve"> </w:t>
      </w:r>
      <w:r>
        <w:rPr>
          <w:rFonts w:ascii="Arial Narrow" w:hAnsi="Arial Narrow" w:cs="Arial Narrow"/>
        </w:rPr>
        <w:t>interest which was for loss of revenue, became leviable under section 11AB of the Act.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Note: Relevant portions of section 11A(2B), explanation 2 to section 11A(2B) and section 11AB read</w:t>
      </w:r>
      <w:r w:rsidR="00220625">
        <w:rPr>
          <w:rFonts w:ascii="Arial Narrow" w:hAnsi="Arial Narrow" w:cs="Arial Narrow"/>
        </w:rPr>
        <w:t xml:space="preserve"> </w:t>
      </w:r>
      <w:r>
        <w:rPr>
          <w:rFonts w:ascii="Arial Narrow" w:hAnsi="Arial Narrow" w:cs="Arial Narrow"/>
        </w:rPr>
        <w:t>as follows:</w:t>
      </w:r>
      <w:r w:rsidR="00220625">
        <w:rPr>
          <w:rFonts w:ascii="Arial Narrow" w:hAnsi="Arial Narrow" w:cs="Arial Narrow"/>
        </w:rPr>
        <w:t xml:space="preserve"> </w:t>
      </w:r>
      <w:r>
        <w:rPr>
          <w:rFonts w:ascii="Arial Narrow" w:hAnsi="Arial Narrow" w:cs="Arial Narrow"/>
        </w:rPr>
        <w:t>Section 11A(2B)</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Where any duty of excise has not been levied or paid or has been short-levied or short-paid or</w:t>
      </w:r>
      <w:r w:rsidR="00220625">
        <w:rPr>
          <w:rFonts w:ascii="Arial Narrow" w:hAnsi="Arial Narrow" w:cs="Arial Narrow"/>
        </w:rPr>
        <w:t xml:space="preserve"> </w:t>
      </w:r>
      <w:r>
        <w:rPr>
          <w:rFonts w:ascii="Arial Narrow" w:hAnsi="Arial Narrow" w:cs="Arial Narrow"/>
        </w:rPr>
        <w:t>erroneously refunded, the person, chargeable with the duty, may pay the amount of duty [on the basis</w:t>
      </w:r>
      <w:r w:rsidR="00220625">
        <w:rPr>
          <w:rFonts w:ascii="Arial Narrow" w:hAnsi="Arial Narrow" w:cs="Arial Narrow"/>
        </w:rPr>
        <w:t xml:space="preserve"> </w:t>
      </w:r>
      <w:r>
        <w:rPr>
          <w:rFonts w:ascii="Arial Narrow" w:hAnsi="Arial Narrow" w:cs="Arial Narrow"/>
        </w:rPr>
        <w:t>of his own ascertainment of such duty or on the basis of duty ascertained by a Central Excise Officer]</w:t>
      </w:r>
      <w:r w:rsidR="00220625">
        <w:rPr>
          <w:rFonts w:ascii="Arial Narrow" w:hAnsi="Arial Narrow" w:cs="Arial Narrow"/>
        </w:rPr>
        <w:t xml:space="preserve"> </w:t>
      </w:r>
      <w:r>
        <w:rPr>
          <w:rFonts w:ascii="Arial Narrow" w:hAnsi="Arial Narrow" w:cs="Arial Narrow"/>
        </w:rPr>
        <w:t>before service of notice on him under sub-section (1) in respect of the duty, and inform the Central</w:t>
      </w:r>
      <w:r w:rsidR="00220625">
        <w:rPr>
          <w:rFonts w:ascii="Arial Narrow" w:hAnsi="Arial Narrow" w:cs="Arial Narrow"/>
        </w:rPr>
        <w:t xml:space="preserve"> </w:t>
      </w:r>
      <w:r>
        <w:rPr>
          <w:rFonts w:ascii="Arial Narrow" w:hAnsi="Arial Narrow" w:cs="Arial Narrow"/>
        </w:rPr>
        <w:t>Excise Officer of such payment in writing, who, on receipt of such information shall not serve any</w:t>
      </w:r>
      <w:r w:rsidR="00220625">
        <w:rPr>
          <w:rFonts w:ascii="Arial Narrow" w:hAnsi="Arial Narrow" w:cs="Arial Narrow"/>
        </w:rPr>
        <w:t xml:space="preserve"> </w:t>
      </w:r>
      <w:r>
        <w:rPr>
          <w:rFonts w:ascii="Arial Narrow" w:hAnsi="Arial Narrow" w:cs="Arial Narrow"/>
        </w:rPr>
        <w:t>notice under sub-section (1) in respect of the duty so paid.</w:t>
      </w:r>
      <w:r w:rsidR="00220625">
        <w:rPr>
          <w:rFonts w:ascii="Arial Narrow" w:hAnsi="Arial Narrow" w:cs="Arial Narrow"/>
        </w:rPr>
        <w:t xml:space="preserve"> </w:t>
      </w:r>
      <w:r>
        <w:rPr>
          <w:rFonts w:ascii="Arial Narrow" w:hAnsi="Arial Narrow" w:cs="Arial Narrow"/>
        </w:rPr>
        <w:t>Explanation 2 to section 11A(2B)</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For the removal of doubts, it is hereby declared that the interest under section 11AB shall be payable</w:t>
      </w:r>
      <w:r w:rsidR="00220625">
        <w:rPr>
          <w:rFonts w:ascii="Arial Narrow" w:hAnsi="Arial Narrow" w:cs="Arial Narrow"/>
        </w:rPr>
        <w:t xml:space="preserve"> </w:t>
      </w:r>
      <w:r>
        <w:rPr>
          <w:rFonts w:ascii="Arial Narrow" w:hAnsi="Arial Narrow" w:cs="Arial Narrow"/>
        </w:rPr>
        <w:t>on the amount paid by the person under this sub-section and also on the amount of short-payment of</w:t>
      </w:r>
      <w:r w:rsidR="00220625">
        <w:rPr>
          <w:rFonts w:ascii="Arial Narrow" w:hAnsi="Arial Narrow" w:cs="Arial Narrow"/>
        </w:rPr>
        <w:t xml:space="preserve"> </w:t>
      </w:r>
      <w:r>
        <w:rPr>
          <w:rFonts w:ascii="Arial Narrow" w:hAnsi="Arial Narrow" w:cs="Arial Narrow"/>
        </w:rPr>
        <w:t>duty, if any, as may be determined by the Central Excise Officer, but for this sub-section.</w:t>
      </w:r>
      <w:r w:rsidR="00220625">
        <w:rPr>
          <w:rFonts w:ascii="Arial Narrow" w:hAnsi="Arial Narrow" w:cs="Arial Narrow"/>
        </w:rPr>
        <w:t xml:space="preserve"> </w:t>
      </w:r>
      <w:r>
        <w:rPr>
          <w:rFonts w:ascii="Arial Narrow" w:hAnsi="Arial Narrow" w:cs="Arial Narrow"/>
        </w:rPr>
        <w:t>Section 11AB</w:t>
      </w:r>
      <w:r w:rsidR="00220625">
        <w:rPr>
          <w:rFonts w:ascii="Arial Narrow" w:hAnsi="Arial Narrow" w:cs="Arial Narrow"/>
        </w:rPr>
        <w:t xml:space="preserve"> </w:t>
      </w:r>
      <w:r>
        <w:rPr>
          <w:rFonts w:ascii="Arial Narrow" w:hAnsi="Arial Narrow" w:cs="Arial Narrow"/>
        </w:rPr>
        <w:t>Where any duty of excise has not been levied or paid or has been short-levied or short-paid or</w:t>
      </w:r>
      <w:r w:rsidR="00220625">
        <w:rPr>
          <w:rFonts w:ascii="Arial Narrow" w:hAnsi="Arial Narrow" w:cs="Arial Narrow"/>
        </w:rPr>
        <w:t xml:space="preserve"> </w:t>
      </w:r>
      <w:r>
        <w:rPr>
          <w:rFonts w:ascii="Arial Narrow" w:hAnsi="Arial Narrow" w:cs="Arial Narrow"/>
        </w:rPr>
        <w:t>erroneously refunded, the person who is liable to pay the duty as determined under sub-section (2), or</w:t>
      </w:r>
      <w:r w:rsidR="00220625">
        <w:rPr>
          <w:rFonts w:ascii="Arial Narrow" w:hAnsi="Arial Narrow" w:cs="Arial Narrow"/>
        </w:rPr>
        <w:t xml:space="preserve"> </w:t>
      </w:r>
      <w:r>
        <w:rPr>
          <w:rFonts w:ascii="Arial Narrow" w:hAnsi="Arial Narrow" w:cs="Arial Narrow"/>
        </w:rPr>
        <w:t>has paid the duty under sub-section (2B), of section 11A, shall, in addition to the duty, be liable to payinterest at such rate not below ten per cent and not exceeding thirty-six per cent. per annum, as is for</w:t>
      </w:r>
      <w:r w:rsidR="00220625">
        <w:rPr>
          <w:rFonts w:ascii="Arial Narrow" w:hAnsi="Arial Narrow" w:cs="Arial Narrow"/>
        </w:rPr>
        <w:t xml:space="preserve"> </w:t>
      </w:r>
      <w:r>
        <w:rPr>
          <w:rFonts w:ascii="Arial Narrow" w:hAnsi="Arial Narrow" w:cs="Arial Narrow"/>
        </w:rPr>
        <w:t>the time being fixed by the Central Government, by notification in the Official Gazette, from the first</w:t>
      </w:r>
      <w:r w:rsidR="00220625">
        <w:rPr>
          <w:rFonts w:ascii="Arial Narrow" w:hAnsi="Arial Narrow" w:cs="Arial Narrow"/>
        </w:rPr>
        <w:t xml:space="preserve"> </w:t>
      </w:r>
      <w:r>
        <w:rPr>
          <w:rFonts w:ascii="Arial Narrow" w:hAnsi="Arial Narrow" w:cs="Arial Narrow"/>
        </w:rPr>
        <w:t>date of the month succeeding the month in which the duty ought to have been paid under this Act, or</w:t>
      </w:r>
      <w:r w:rsidR="00220625">
        <w:rPr>
          <w:rFonts w:ascii="Arial Narrow" w:hAnsi="Arial Narrow" w:cs="Arial Narrow"/>
        </w:rPr>
        <w:t xml:space="preserve"> </w:t>
      </w:r>
      <w:r>
        <w:rPr>
          <w:rFonts w:ascii="Arial Narrow" w:hAnsi="Arial Narrow" w:cs="Arial Narrow"/>
        </w:rPr>
        <w:t>from the date of such erroneous refund, as the case may be, but for the provisions contained in subsection</w:t>
      </w:r>
      <w:r w:rsidR="00220625">
        <w:rPr>
          <w:rFonts w:ascii="Arial Narrow" w:hAnsi="Arial Narrow" w:cs="Arial Narrow"/>
        </w:rPr>
        <w:t xml:space="preserve"> </w:t>
      </w:r>
      <w:r>
        <w:rPr>
          <w:rFonts w:ascii="Arial Narrow" w:hAnsi="Arial Narrow" w:cs="Arial Narrow"/>
        </w:rPr>
        <w:t>(2), or sub-section (2B), of section 11A till the date of payment of such duty.</w:t>
      </w:r>
      <w:r w:rsidR="00220625">
        <w:rPr>
          <w:rFonts w:ascii="Arial Narrow" w:hAnsi="Arial Narrow" w:cs="Arial Narrow"/>
        </w:rPr>
        <w:t xml:space="preserve"> </w:t>
      </w:r>
      <w:r>
        <w:rPr>
          <w:rFonts w:ascii="Arial Narrow" w:hAnsi="Arial Narrow" w:cs="Arial Narrow"/>
        </w:rPr>
        <w:t>Section 2(f) of the Central Excise Act, 1944</w:t>
      </w:r>
    </w:p>
    <w:p w:rsidR="00220625" w:rsidRDefault="00220625" w:rsidP="00132125">
      <w:pPr>
        <w:autoSpaceDE w:val="0"/>
        <w:autoSpaceDN w:val="0"/>
        <w:adjustRightInd w:val="0"/>
        <w:spacing w:after="0" w:line="240" w:lineRule="auto"/>
        <w:jc w:val="both"/>
        <w:rPr>
          <w:rFonts w:ascii="Arial Narrow" w:hAnsi="Arial Narrow" w:cs="Arial Narrow"/>
        </w:rPr>
      </w:pP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5. Whether the fabrication, assembly and erection of waste water treatment plant amounts to</w:t>
      </w:r>
      <w:r w:rsidR="00220625" w:rsidRPr="00220625">
        <w:rPr>
          <w:rFonts w:ascii="Arial Narrow" w:hAnsi="Arial Narrow" w:cs="Arial Narrow"/>
          <w:b/>
        </w:rPr>
        <w:t xml:space="preserve"> </w:t>
      </w:r>
      <w:r w:rsidRPr="00220625">
        <w:rPr>
          <w:rFonts w:ascii="Arial Narrow" w:hAnsi="Arial Narrow" w:cs="Arial Narrow"/>
          <w:b/>
        </w:rPr>
        <w:t>manufacture?</w:t>
      </w: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Larsen &amp; Toubro Limited v. UOI 2009 (243) E.L.T. 662 (Bom.)</w:t>
      </w: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assessee was engaged in fabrication, assembly and erection of waste water treatment plant. As</w:t>
      </w:r>
      <w:r w:rsidR="00220625">
        <w:rPr>
          <w:rFonts w:ascii="Arial Narrow" w:hAnsi="Arial Narrow" w:cs="Arial Narrow"/>
        </w:rPr>
        <w:t xml:space="preserve"> </w:t>
      </w:r>
      <w:r>
        <w:rPr>
          <w:rFonts w:ascii="Arial Narrow" w:hAnsi="Arial Narrow" w:cs="Arial Narrow"/>
        </w:rPr>
        <w:t>per the assessee, the plant could not function as such until it was wholly built including the civil</w:t>
      </w:r>
      <w:r w:rsidR="00220625">
        <w:rPr>
          <w:rFonts w:ascii="Arial Narrow" w:hAnsi="Arial Narrow" w:cs="Arial Narrow"/>
        </w:rPr>
        <w:t xml:space="preserve"> </w:t>
      </w:r>
      <w:r>
        <w:rPr>
          <w:rFonts w:ascii="Arial Narrow" w:hAnsi="Arial Narrow" w:cs="Arial Narrow"/>
        </w:rPr>
        <w:t>construction. Since, after being completely built, waste water treatment plant became immovable, duty</w:t>
      </w:r>
      <w:r w:rsidR="00220625">
        <w:rPr>
          <w:rFonts w:ascii="Arial Narrow" w:hAnsi="Arial Narrow" w:cs="Arial Narrow"/>
        </w:rPr>
        <w:t xml:space="preserve"> </w:t>
      </w:r>
      <w:r>
        <w:rPr>
          <w:rFonts w:ascii="Arial Narrow" w:hAnsi="Arial Narrow" w:cs="Arial Narrow"/>
        </w:rPr>
        <w:t>could not be levied on it.</w:t>
      </w:r>
      <w:r w:rsidR="00220625">
        <w:rPr>
          <w:rFonts w:ascii="Arial Narrow" w:hAnsi="Arial Narrow" w:cs="Arial Narrow"/>
        </w:rPr>
        <w:t xml:space="preserve"> </w:t>
      </w:r>
      <w:r>
        <w:rPr>
          <w:rFonts w:ascii="Arial Narrow" w:hAnsi="Arial Narrow" w:cs="Arial Narrow"/>
        </w:rPr>
        <w:t>However, the Department alleged that the assessee had fabricated/manufactured the waste water</w:t>
      </w:r>
      <w:r w:rsidR="00220625">
        <w:rPr>
          <w:rFonts w:ascii="Arial Narrow" w:hAnsi="Arial Narrow" w:cs="Arial Narrow"/>
        </w:rPr>
        <w:t xml:space="preserve"> </w:t>
      </w:r>
      <w:r>
        <w:rPr>
          <w:rFonts w:ascii="Arial Narrow" w:hAnsi="Arial Narrow" w:cs="Arial Narrow"/>
        </w:rPr>
        <w:t>treatment plant. It further alleged that waste water treatment plant came into existence in an</w:t>
      </w:r>
      <w:r w:rsidR="00220625">
        <w:rPr>
          <w:rFonts w:ascii="Arial Narrow" w:hAnsi="Arial Narrow" w:cs="Arial Narrow"/>
        </w:rPr>
        <w:t xml:space="preserve"> </w:t>
      </w:r>
      <w:r>
        <w:rPr>
          <w:rFonts w:ascii="Arial Narrow" w:hAnsi="Arial Narrow" w:cs="Arial Narrow"/>
        </w:rPr>
        <w:t>unassembled form before the same was installed and assembled to the ground with civil work. It</w:t>
      </w:r>
      <w:r w:rsidR="00220625">
        <w:rPr>
          <w:rFonts w:ascii="Arial Narrow" w:hAnsi="Arial Narrow" w:cs="Arial Narrow"/>
        </w:rPr>
        <w:t xml:space="preserve"> </w:t>
      </w:r>
      <w:r>
        <w:rPr>
          <w:rFonts w:ascii="Arial Narrow" w:hAnsi="Arial Narrow" w:cs="Arial Narrow"/>
        </w:rPr>
        <w:t>became operational after it was embedded in the civil work and, therefore, the excise duty was</w:t>
      </w:r>
      <w:r w:rsidR="00220625">
        <w:rPr>
          <w:rFonts w:ascii="Arial Narrow" w:hAnsi="Arial Narrow" w:cs="Arial Narrow"/>
        </w:rPr>
        <w:t xml:space="preserve"> </w:t>
      </w:r>
      <w:r>
        <w:rPr>
          <w:rFonts w:ascii="Arial Narrow" w:hAnsi="Arial Narrow" w:cs="Arial Narrow"/>
        </w:rPr>
        <w:t>payable on it.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High Court opined that mere bringing of the duty paid parts in an unassembled form at one place,</w:t>
      </w:r>
      <w:r w:rsidR="00220625">
        <w:rPr>
          <w:rFonts w:ascii="Arial Narrow" w:hAnsi="Arial Narrow" w:cs="Arial Narrow"/>
        </w:rPr>
        <w:t xml:space="preserve"> </w:t>
      </w:r>
      <w:r>
        <w:rPr>
          <w:rFonts w:ascii="Arial Narrow" w:hAnsi="Arial Narrow" w:cs="Arial Narrow"/>
        </w:rPr>
        <w:t>i.e. at the site does not amount to manufacture of a plant. Simply collecting together at site the various</w:t>
      </w:r>
      <w:r w:rsidR="00220625">
        <w:rPr>
          <w:rFonts w:ascii="Arial Narrow" w:hAnsi="Arial Narrow" w:cs="Arial Narrow"/>
        </w:rPr>
        <w:t xml:space="preserve"> </w:t>
      </w:r>
      <w:r>
        <w:rPr>
          <w:rFonts w:ascii="Arial Narrow" w:hAnsi="Arial Narrow" w:cs="Arial Narrow"/>
        </w:rPr>
        <w:t>parts would not amount to manufacture unless an excisable movable product (say a plant) comes into</w:t>
      </w:r>
      <w:r w:rsidR="00220625">
        <w:rPr>
          <w:rFonts w:ascii="Arial Narrow" w:hAnsi="Arial Narrow" w:cs="Arial Narrow"/>
        </w:rPr>
        <w:t xml:space="preserve"> </w:t>
      </w:r>
      <w:r>
        <w:rPr>
          <w:rFonts w:ascii="Arial Narrow" w:hAnsi="Arial Narrow" w:cs="Arial Narrow"/>
        </w:rPr>
        <w:t>existence by assembly of such parts. In the present case, as the petitioner had stated that the waste</w:t>
      </w:r>
      <w:r w:rsidR="00220625">
        <w:rPr>
          <w:rFonts w:ascii="Arial Narrow" w:hAnsi="Arial Narrow" w:cs="Arial Narrow"/>
        </w:rPr>
        <w:t xml:space="preserve"> </w:t>
      </w:r>
      <w:r>
        <w:rPr>
          <w:rFonts w:ascii="Arial Narrow" w:hAnsi="Arial Narrow" w:cs="Arial Narrow"/>
        </w:rPr>
        <w:t>water treatment plant did not come into existence unless all the parts were put together and embedded</w:t>
      </w:r>
      <w:r w:rsidR="00220625">
        <w:rPr>
          <w:rFonts w:ascii="Arial Narrow" w:hAnsi="Arial Narrow" w:cs="Arial Narrow"/>
        </w:rPr>
        <w:t xml:space="preserve"> </w:t>
      </w:r>
      <w:r>
        <w:rPr>
          <w:rFonts w:ascii="Arial Narrow" w:hAnsi="Arial Narrow" w:cs="Arial Narrow"/>
        </w:rPr>
        <w:t>in the civil work. Waste water treatment plant did not become a plant until the process which included</w:t>
      </w:r>
      <w:r w:rsidR="00220625">
        <w:rPr>
          <w:rFonts w:ascii="Arial Narrow" w:hAnsi="Arial Narrow" w:cs="Arial Narrow"/>
        </w:rPr>
        <w:t xml:space="preserve"> </w:t>
      </w:r>
      <w:r>
        <w:rPr>
          <w:rFonts w:ascii="Arial Narrow" w:hAnsi="Arial Narrow" w:cs="Arial Narrow"/>
        </w:rPr>
        <w:t>the civil work, was completed. Thus, the Court held that no commercial movable property came into</w:t>
      </w:r>
      <w:r w:rsidR="00220625">
        <w:rPr>
          <w:rFonts w:ascii="Arial Narrow" w:hAnsi="Arial Narrow" w:cs="Arial Narrow"/>
        </w:rPr>
        <w:t xml:space="preserve"> </w:t>
      </w:r>
      <w:r>
        <w:rPr>
          <w:rFonts w:ascii="Arial Narrow" w:hAnsi="Arial Narrow" w:cs="Arial Narrow"/>
        </w:rPr>
        <w:t>existence until the assembling was completed by embedding different parts in the civil works.</w:t>
      </w:r>
    </w:p>
    <w:p w:rsidR="00220625" w:rsidRDefault="00220625" w:rsidP="00132125">
      <w:pPr>
        <w:autoSpaceDE w:val="0"/>
        <w:autoSpaceDN w:val="0"/>
        <w:adjustRightInd w:val="0"/>
        <w:spacing w:after="0" w:line="240" w:lineRule="auto"/>
        <w:jc w:val="both"/>
        <w:rPr>
          <w:rFonts w:ascii="Arial Narrow" w:hAnsi="Arial Narrow" w:cs="Arial Narrow"/>
        </w:rPr>
      </w:pP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6. Whether the theoretical possibility of product being sold is sufficient to establish the</w:t>
      </w:r>
      <w:r w:rsidR="00220625" w:rsidRPr="00220625">
        <w:rPr>
          <w:rFonts w:ascii="Arial Narrow" w:hAnsi="Arial Narrow" w:cs="Arial Narrow"/>
          <w:b/>
        </w:rPr>
        <w:t xml:space="preserve"> </w:t>
      </w:r>
      <w:r w:rsidRPr="00220625">
        <w:rPr>
          <w:rFonts w:ascii="Arial Narrow" w:hAnsi="Arial Narrow" w:cs="Arial Narrow"/>
          <w:b/>
        </w:rPr>
        <w:t>marketability of a product?</w:t>
      </w: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Bata India Ltd. v. CCE 2010 (252) ELT 492 (SC)</w:t>
      </w:r>
    </w:p>
    <w:p w:rsidR="00220625" w:rsidRDefault="00220625" w:rsidP="00132125">
      <w:pPr>
        <w:autoSpaceDE w:val="0"/>
        <w:autoSpaceDN w:val="0"/>
        <w:adjustRightInd w:val="0"/>
        <w:spacing w:after="0" w:line="240" w:lineRule="auto"/>
        <w:jc w:val="both"/>
        <w:rPr>
          <w:rFonts w:ascii="Arial Narrow" w:hAnsi="Arial Narrow" w:cs="Arial Narrow"/>
        </w:rPr>
      </w:pPr>
    </w:p>
    <w:p w:rsidR="002206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Apex Court observed that marketability is essentially a question of fact to be decided on the facts</w:t>
      </w:r>
      <w:r w:rsidR="00220625">
        <w:rPr>
          <w:rFonts w:ascii="Arial Narrow" w:hAnsi="Arial Narrow" w:cs="Arial Narrow"/>
        </w:rPr>
        <w:t xml:space="preserve"> </w:t>
      </w:r>
      <w:r>
        <w:rPr>
          <w:rFonts w:ascii="Arial Narrow" w:hAnsi="Arial Narrow" w:cs="Arial Narrow"/>
        </w:rPr>
        <w:t>of each case and there can be no generalization. The test of marketability is that the product which is</w:t>
      </w:r>
      <w:r w:rsidR="00220625">
        <w:rPr>
          <w:rFonts w:ascii="Arial Narrow" w:hAnsi="Arial Narrow" w:cs="Arial Narrow"/>
        </w:rPr>
        <w:t xml:space="preserve"> </w:t>
      </w:r>
      <w:r>
        <w:rPr>
          <w:rFonts w:ascii="Arial Narrow" w:hAnsi="Arial Narrow" w:cs="Arial Narrow"/>
        </w:rPr>
        <w:t>made liable to duty must be marketable in the condition in which it emerges. The question is not</w:t>
      </w:r>
      <w:r w:rsidR="00220625">
        <w:rPr>
          <w:rFonts w:ascii="Arial Narrow" w:hAnsi="Arial Narrow" w:cs="Arial Narrow"/>
        </w:rPr>
        <w:t xml:space="preserve"> </w:t>
      </w:r>
      <w:r>
        <w:rPr>
          <w:rFonts w:ascii="Arial Narrow" w:hAnsi="Arial Narrow" w:cs="Arial Narrow"/>
        </w:rPr>
        <w:t>whether there is a hypothetical possibility of a purchase and sale of the commodity, but whether there</w:t>
      </w:r>
      <w:r w:rsidR="00220625">
        <w:rPr>
          <w:rFonts w:ascii="Arial Narrow" w:hAnsi="Arial Narrow" w:cs="Arial Narrow"/>
        </w:rPr>
        <w:t xml:space="preserve"> </w:t>
      </w:r>
      <w:r>
        <w:rPr>
          <w:rFonts w:ascii="Arial Narrow" w:hAnsi="Arial Narrow" w:cs="Arial Narrow"/>
        </w:rPr>
        <w:t>is sufficient proof that the product is commercially known. The mere theoretical possibility of the</w:t>
      </w:r>
      <w:r w:rsidR="00220625">
        <w:rPr>
          <w:rFonts w:ascii="Arial Narrow" w:hAnsi="Arial Narrow" w:cs="Arial Narrow"/>
        </w:rPr>
        <w:t xml:space="preserve"> </w:t>
      </w:r>
      <w:r>
        <w:rPr>
          <w:rFonts w:ascii="Arial Narrow" w:hAnsi="Arial Narrow" w:cs="Arial Narrow"/>
        </w:rPr>
        <w:t>product being sold is not sufficient but there should be commercial capability of being sold. Theory</w:t>
      </w:r>
      <w:r w:rsidR="00220625">
        <w:rPr>
          <w:rFonts w:ascii="Arial Narrow" w:hAnsi="Arial Narrow" w:cs="Arial Narrow"/>
        </w:rPr>
        <w:t xml:space="preserve"> </w:t>
      </w:r>
      <w:r>
        <w:rPr>
          <w:rFonts w:ascii="Arial Narrow" w:hAnsi="Arial Narrow" w:cs="Arial Narrow"/>
        </w:rPr>
        <w:t>and practice will not go together when one examine the marketability of a product.</w:t>
      </w:r>
      <w:r w:rsidR="00220625">
        <w:rPr>
          <w:rFonts w:ascii="Arial Narrow" w:hAnsi="Arial Narrow" w:cs="Arial Narrow"/>
        </w:rPr>
        <w:t xml:space="preserve"> </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Supreme Court further ruled that the burden to show that the product is marketed or capable of</w:t>
      </w:r>
      <w:r w:rsidR="00220625">
        <w:rPr>
          <w:rFonts w:ascii="Arial Narrow" w:hAnsi="Arial Narrow" w:cs="Arial Narrow"/>
        </w:rPr>
        <w:t xml:space="preserve"> </w:t>
      </w:r>
      <w:r>
        <w:rPr>
          <w:rFonts w:ascii="Arial Narrow" w:hAnsi="Arial Narrow" w:cs="Arial Narrow"/>
        </w:rPr>
        <w:t>being bought or sold is entirely on the Revenue. Revenue, in the given case, had not produced any</w:t>
      </w:r>
      <w:r w:rsidR="00220625">
        <w:rPr>
          <w:rFonts w:ascii="Arial Narrow" w:hAnsi="Arial Narrow" w:cs="Arial Narrow"/>
        </w:rPr>
        <w:t xml:space="preserve"> </w:t>
      </w:r>
      <w:r>
        <w:rPr>
          <w:rFonts w:ascii="Arial Narrow" w:hAnsi="Arial Narrow" w:cs="Arial Narrow"/>
        </w:rPr>
        <w:t>material before the Tribunal to show that the product was either been marketed or capable of being</w:t>
      </w:r>
      <w:r w:rsidR="00220625">
        <w:rPr>
          <w:rFonts w:ascii="Arial Narrow" w:hAnsi="Arial Narrow" w:cs="Arial Narrow"/>
        </w:rPr>
        <w:t xml:space="preserve"> </w:t>
      </w:r>
      <w:r>
        <w:rPr>
          <w:rFonts w:ascii="Arial Narrow" w:hAnsi="Arial Narrow" w:cs="Arial Narrow"/>
        </w:rPr>
        <w:t>marketed, but expressed its opinion unsupported by any relevant materials.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Note: The above judgment is in conformity with the explanation to section 2(d) of the Central Excise</w:t>
      </w:r>
      <w:r w:rsidR="00220625">
        <w:rPr>
          <w:rFonts w:ascii="Arial Narrow" w:hAnsi="Arial Narrow" w:cs="Arial Narrow"/>
        </w:rPr>
        <w:t xml:space="preserve"> </w:t>
      </w:r>
      <w:r>
        <w:rPr>
          <w:rFonts w:ascii="Arial Narrow" w:hAnsi="Arial Narrow" w:cs="Arial Narrow"/>
        </w:rPr>
        <w:t>Act, 1944 inserted by the Finance Act, 2008.</w:t>
      </w:r>
    </w:p>
    <w:p w:rsidR="00220625" w:rsidRDefault="00220625" w:rsidP="00132125">
      <w:pPr>
        <w:autoSpaceDE w:val="0"/>
        <w:autoSpaceDN w:val="0"/>
        <w:adjustRightInd w:val="0"/>
        <w:spacing w:after="0" w:line="240" w:lineRule="auto"/>
        <w:jc w:val="both"/>
        <w:rPr>
          <w:rFonts w:ascii="Arial Narrow" w:hAnsi="Arial Narrow" w:cs="Arial Narrow"/>
        </w:rPr>
      </w:pP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7. Whether the machine which is not assimilated in permanent structure would be considered to</w:t>
      </w:r>
      <w:r w:rsidR="00220625">
        <w:rPr>
          <w:rFonts w:ascii="Arial Narrow" w:hAnsi="Arial Narrow" w:cs="Arial Narrow"/>
          <w:b/>
        </w:rPr>
        <w:t xml:space="preserve"> </w:t>
      </w:r>
      <w:r w:rsidRPr="00220625">
        <w:rPr>
          <w:rFonts w:ascii="Arial Narrow" w:hAnsi="Arial Narrow" w:cs="Arial Narrow"/>
          <w:b/>
        </w:rPr>
        <w:t>be moveable so as to be dutiable under the Central Excise Act?</w:t>
      </w: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CCE v. Solid &amp; Correct Engineering Works and Ors 2010 (252) ELT 481 (SC)</w:t>
      </w: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asseseee was engaged in the manufacture of asphalt batch mix and drum mix/hot mix plant by</w:t>
      </w:r>
      <w:r w:rsidR="00220625">
        <w:rPr>
          <w:rFonts w:ascii="Arial Narrow" w:hAnsi="Arial Narrow" w:cs="Arial Narrow"/>
        </w:rPr>
        <w:t xml:space="preserve"> </w:t>
      </w:r>
      <w:r>
        <w:rPr>
          <w:rFonts w:ascii="Arial Narrow" w:hAnsi="Arial Narrow" w:cs="Arial Narrow"/>
        </w:rPr>
        <w:t>assembling and installing its parts and components. The Court observed that as per the assessee, the</w:t>
      </w:r>
      <w:r w:rsidR="00220625">
        <w:rPr>
          <w:rFonts w:ascii="Arial Narrow" w:hAnsi="Arial Narrow" w:cs="Arial Narrow"/>
        </w:rPr>
        <w:t xml:space="preserve"> </w:t>
      </w:r>
      <w:r>
        <w:rPr>
          <w:rFonts w:ascii="Arial Narrow" w:hAnsi="Arial Narrow" w:cs="Arial Narrow"/>
        </w:rPr>
        <w:t>machine was fixed by nuts and bolts to a foundation not because the intention was to permanently</w:t>
      </w:r>
      <w:r w:rsidR="00220625">
        <w:rPr>
          <w:rFonts w:ascii="Arial Narrow" w:hAnsi="Arial Narrow" w:cs="Arial Narrow"/>
        </w:rPr>
        <w:t xml:space="preserve"> </w:t>
      </w:r>
      <w:r>
        <w:rPr>
          <w:rFonts w:ascii="Arial Narrow" w:hAnsi="Arial Narrow" w:cs="Arial Narrow"/>
        </w:rPr>
        <w:t>attach it to the earth, but because a foundation was necessary to provide a wobble free operation to</w:t>
      </w:r>
      <w:r w:rsidR="00220625">
        <w:rPr>
          <w:rFonts w:ascii="Arial Narrow" w:hAnsi="Arial Narrow" w:cs="Arial Narrow"/>
        </w:rPr>
        <w:t xml:space="preserve"> </w:t>
      </w:r>
      <w:r>
        <w:rPr>
          <w:rFonts w:ascii="Arial Narrow" w:hAnsi="Arial Narrow" w:cs="Arial Narrow"/>
        </w:rPr>
        <w:t>the machine.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Court opined that an attachment where the necessary intent of making the same permanent is</w:t>
      </w:r>
      <w:r w:rsidR="00220625">
        <w:rPr>
          <w:rFonts w:ascii="Arial Narrow" w:hAnsi="Arial Narrow" w:cs="Arial Narrow"/>
        </w:rPr>
        <w:t xml:space="preserve"> </w:t>
      </w:r>
      <w:r>
        <w:rPr>
          <w:rFonts w:ascii="Arial Narrow" w:hAnsi="Arial Narrow" w:cs="Arial Narrow"/>
        </w:rPr>
        <w:t>absent cannot constitute permanent fixing, embedding or attachment in the sense that would make the</w:t>
      </w:r>
      <w:r w:rsidR="00220625">
        <w:rPr>
          <w:rFonts w:ascii="Arial Narrow" w:hAnsi="Arial Narrow" w:cs="Arial Narrow"/>
        </w:rPr>
        <w:t xml:space="preserve"> </w:t>
      </w:r>
      <w:r>
        <w:rPr>
          <w:rFonts w:ascii="Arial Narrow" w:hAnsi="Arial Narrow" w:cs="Arial Narrow"/>
        </w:rPr>
        <w:t>machine a part and parcel of the earth permanently.</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Hence, the Supreme Court held that the plants in question were not immovable property so as to be</w:t>
      </w:r>
      <w:r w:rsidR="00220625">
        <w:rPr>
          <w:rFonts w:ascii="Arial Narrow" w:hAnsi="Arial Narrow" w:cs="Arial Narrow"/>
        </w:rPr>
        <w:t xml:space="preserve"> </w:t>
      </w:r>
      <w:r>
        <w:rPr>
          <w:rFonts w:ascii="Arial Narrow" w:hAnsi="Arial Narrow" w:cs="Arial Narrow"/>
        </w:rPr>
        <w:t>immune from the levy of excise duty. Consequently, duty would be levied on them.</w:t>
      </w:r>
      <w:r w:rsidR="00220625">
        <w:rPr>
          <w:rFonts w:ascii="Arial Narrow" w:hAnsi="Arial Narrow" w:cs="Arial Narrow"/>
        </w:rPr>
        <w:t xml:space="preserve"> </w:t>
      </w:r>
    </w:p>
    <w:p w:rsidR="00220625" w:rsidRDefault="00220625" w:rsidP="00132125">
      <w:pPr>
        <w:autoSpaceDE w:val="0"/>
        <w:autoSpaceDN w:val="0"/>
        <w:adjustRightInd w:val="0"/>
        <w:spacing w:after="0" w:line="240" w:lineRule="auto"/>
        <w:jc w:val="both"/>
        <w:rPr>
          <w:rFonts w:ascii="Arial Narrow" w:hAnsi="Arial Narrow" w:cs="Arial Narrow"/>
        </w:rPr>
      </w:pP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8. Whether CENVAT credit can be denied on the ground that the weight of the inputs recorded on</w:t>
      </w:r>
      <w:r w:rsidR="00220625">
        <w:rPr>
          <w:rFonts w:ascii="Arial Narrow" w:hAnsi="Arial Narrow" w:cs="Arial Narrow"/>
          <w:b/>
        </w:rPr>
        <w:t xml:space="preserve"> </w:t>
      </w:r>
      <w:r w:rsidRPr="00220625">
        <w:rPr>
          <w:rFonts w:ascii="Arial Narrow" w:hAnsi="Arial Narrow" w:cs="Arial Narrow"/>
          <w:b/>
        </w:rPr>
        <w:t>receipt in the premises of the manufacturer of the final products shows a shortage as</w:t>
      </w:r>
      <w:r w:rsidR="00220625">
        <w:rPr>
          <w:rFonts w:ascii="Arial Narrow" w:hAnsi="Arial Narrow" w:cs="Arial Narrow"/>
          <w:b/>
        </w:rPr>
        <w:t xml:space="preserve"> </w:t>
      </w:r>
      <w:r w:rsidRPr="00220625">
        <w:rPr>
          <w:rFonts w:ascii="Arial Narrow" w:hAnsi="Arial Narrow" w:cs="Arial Narrow"/>
          <w:b/>
        </w:rPr>
        <w:t>compared to the weight recorded in the relevant invoice?</w:t>
      </w:r>
      <w:r w:rsidR="00220625" w:rsidRPr="00220625">
        <w:rPr>
          <w:rFonts w:ascii="Arial Narrow" w:hAnsi="Arial Narrow" w:cs="Arial Narrow"/>
          <w:b/>
        </w:rPr>
        <w:t xml:space="preserve"> (Rule 3(1) of the CENVAT Credit Rules, 2004)</w:t>
      </w:r>
    </w:p>
    <w:p w:rsidR="00132125" w:rsidRPr="00220625" w:rsidRDefault="00132125" w:rsidP="00132125">
      <w:pPr>
        <w:autoSpaceDE w:val="0"/>
        <w:autoSpaceDN w:val="0"/>
        <w:adjustRightInd w:val="0"/>
        <w:spacing w:after="0" w:line="240" w:lineRule="auto"/>
        <w:jc w:val="both"/>
        <w:rPr>
          <w:rFonts w:ascii="Arial Narrow" w:hAnsi="Arial Narrow" w:cs="Arial Narrow"/>
          <w:b/>
        </w:rPr>
      </w:pPr>
      <w:r w:rsidRPr="00220625">
        <w:rPr>
          <w:rFonts w:ascii="Arial Narrow" w:hAnsi="Arial Narrow" w:cs="Arial Narrow"/>
          <w:b/>
        </w:rPr>
        <w:t>CCE v. Bhuwalka Steel Industries Ltd. 2010 (249) ELT 218 (Tri-LB)</w:t>
      </w:r>
    </w:p>
    <w:p w:rsidR="00220625" w:rsidRDefault="00220625"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large bench of the Tribunal held that each case had to be decided according to merit and no hard</w:t>
      </w:r>
      <w:r w:rsidR="00B63AED">
        <w:rPr>
          <w:rFonts w:ascii="Arial Narrow" w:hAnsi="Arial Narrow" w:cs="Arial Narrow"/>
        </w:rPr>
        <w:t xml:space="preserve"> </w:t>
      </w:r>
      <w:r>
        <w:rPr>
          <w:rFonts w:ascii="Arial Narrow" w:hAnsi="Arial Narrow" w:cs="Arial Narrow"/>
        </w:rPr>
        <w:t>and fast rule can be laid down for dealing with different kinds of shortages. Decision to allow or not to</w:t>
      </w:r>
      <w:r w:rsidR="00B63AED">
        <w:rPr>
          <w:rFonts w:ascii="Arial Narrow" w:hAnsi="Arial Narrow" w:cs="Arial Narrow"/>
        </w:rPr>
        <w:t xml:space="preserve"> </w:t>
      </w:r>
      <w:r>
        <w:rPr>
          <w:rFonts w:ascii="Arial Narrow" w:hAnsi="Arial Narrow" w:cs="Arial Narrow"/>
        </w:rPr>
        <w:t>allow credit under rule 3(1), in any particular case, will depend on various factors such as the</w:t>
      </w:r>
      <w:r w:rsidR="00B63AED">
        <w:rPr>
          <w:rFonts w:ascii="Arial Narrow" w:hAnsi="Arial Narrow" w:cs="Arial Narrow"/>
        </w:rPr>
        <w:t xml:space="preserve"> </w:t>
      </w:r>
      <w:r>
        <w:rPr>
          <w:rFonts w:ascii="Arial Narrow" w:hAnsi="Arial Narrow" w:cs="Arial Narrow"/>
        </w:rPr>
        <w:t>following:-</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 Whether the inputs/capital goods have been diverted en-route or the entire quantity with the</w:t>
      </w:r>
      <w:r w:rsidR="00B63AED">
        <w:rPr>
          <w:rFonts w:ascii="Arial Narrow" w:hAnsi="Arial Narrow" w:cs="Arial Narrow"/>
        </w:rPr>
        <w:t xml:space="preserve"> </w:t>
      </w:r>
      <w:r>
        <w:rPr>
          <w:rFonts w:ascii="Arial Narrow" w:hAnsi="Arial Narrow" w:cs="Arial Narrow"/>
        </w:rPr>
        <w:t>packing intact has been received and put to the intended use at the recipient factory.</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(ii) Whether the impugned goods are hygroscopic in nature or are amenable to transit loss by way of</w:t>
      </w:r>
      <w:r w:rsidR="00B63AED">
        <w:rPr>
          <w:rFonts w:ascii="Arial Narrow" w:hAnsi="Arial Narrow" w:cs="Arial Narrow"/>
        </w:rPr>
        <w:t xml:space="preserve"> </w:t>
      </w:r>
      <w:r>
        <w:rPr>
          <w:rFonts w:ascii="Arial Narrow" w:hAnsi="Arial Narrow" w:cs="Arial Narrow"/>
        </w:rPr>
        <w:t>evaporation etc.</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(iii) Whether the impugned goods comprise countable number of pieces or packages and whether all</w:t>
      </w:r>
      <w:r w:rsidR="00B63AED">
        <w:rPr>
          <w:rFonts w:ascii="Arial Narrow" w:hAnsi="Arial Narrow" w:cs="Arial Narrow"/>
        </w:rPr>
        <w:t xml:space="preserve"> </w:t>
      </w:r>
      <w:r>
        <w:rPr>
          <w:rFonts w:ascii="Arial Narrow" w:hAnsi="Arial Narrow" w:cs="Arial Narrow"/>
        </w:rPr>
        <w:t>such packages and pieces have been received and accounted for at the receiving end.</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(iv) Whether the difference in weight in any particular case is on account of weighment on different</w:t>
      </w:r>
      <w:r w:rsidR="00B63AED">
        <w:rPr>
          <w:rFonts w:ascii="Arial Narrow" w:hAnsi="Arial Narrow" w:cs="Arial Narrow"/>
        </w:rPr>
        <w:t xml:space="preserve"> </w:t>
      </w:r>
      <w:r>
        <w:rPr>
          <w:rFonts w:ascii="Arial Narrow" w:hAnsi="Arial Narrow" w:cs="Arial Narrow"/>
        </w:rPr>
        <w:t>scales at the despatch and receiving ends and whether the same is within the tolerance limits</w:t>
      </w:r>
      <w:r w:rsidR="00B63AED">
        <w:rPr>
          <w:rFonts w:ascii="Arial Narrow" w:hAnsi="Arial Narrow" w:cs="Arial Narrow"/>
        </w:rPr>
        <w:t xml:space="preserve"> </w:t>
      </w:r>
      <w:r>
        <w:rPr>
          <w:rFonts w:ascii="Arial Narrow" w:hAnsi="Arial Narrow" w:cs="Arial Narrow"/>
        </w:rPr>
        <w:t>with reference to the Standards of Weights and Measures Act, 1976.</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lastRenderedPageBreak/>
        <w:t>(v) Whether the recipient assessee has claimed compensation for the shortage of goods either from</w:t>
      </w:r>
      <w:r w:rsidR="00B63AED">
        <w:rPr>
          <w:rFonts w:ascii="Arial Narrow" w:hAnsi="Arial Narrow" w:cs="Arial Narrow"/>
        </w:rPr>
        <w:t xml:space="preserve"> </w:t>
      </w:r>
      <w:r>
        <w:rPr>
          <w:rFonts w:ascii="Arial Narrow" w:hAnsi="Arial Narrow" w:cs="Arial Narrow"/>
        </w:rPr>
        <w:t>the supplier or from the transporter or the insurer of the cargo.</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Tolerances in respect of hygroscopic, volatile and such other cargo has to be allowed as per industry</w:t>
      </w:r>
      <w:r w:rsidR="00B63AED">
        <w:rPr>
          <w:rFonts w:ascii="Arial Narrow" w:hAnsi="Arial Narrow" w:cs="Arial Narrow"/>
        </w:rPr>
        <w:t xml:space="preserve"> </w:t>
      </w:r>
      <w:r>
        <w:rPr>
          <w:rFonts w:ascii="Arial Narrow" w:hAnsi="Arial Narrow" w:cs="Arial Narrow"/>
        </w:rPr>
        <w:t>norms excluding, however, unreasonable and exorbitant claims. Similarly, minor variations arising due</w:t>
      </w:r>
      <w:r w:rsidR="00B63AED">
        <w:rPr>
          <w:rFonts w:ascii="Arial Narrow" w:hAnsi="Arial Narrow" w:cs="Arial Narrow"/>
        </w:rPr>
        <w:t xml:space="preserve"> </w:t>
      </w:r>
      <w:r>
        <w:rPr>
          <w:rFonts w:ascii="Arial Narrow" w:hAnsi="Arial Narrow" w:cs="Arial Narrow"/>
        </w:rPr>
        <w:t>to weighment by different machines will also have to be ignored if such variations are within tolerance</w:t>
      </w:r>
      <w:r w:rsidR="00B63AED">
        <w:rPr>
          <w:rFonts w:ascii="Arial Narrow" w:hAnsi="Arial Narrow" w:cs="Arial Narrow"/>
        </w:rPr>
        <w:t xml:space="preserve"> </w:t>
      </w:r>
      <w:r>
        <w:rPr>
          <w:rFonts w:ascii="Arial Narrow" w:hAnsi="Arial Narrow" w:cs="Arial Narrow"/>
        </w:rPr>
        <w:t>limits.</w:t>
      </w:r>
    </w:p>
    <w:p w:rsidR="00B63AED" w:rsidRDefault="00B63AED" w:rsidP="00132125">
      <w:pPr>
        <w:autoSpaceDE w:val="0"/>
        <w:autoSpaceDN w:val="0"/>
        <w:adjustRightInd w:val="0"/>
        <w:spacing w:after="0" w:line="240" w:lineRule="auto"/>
        <w:jc w:val="both"/>
        <w:rPr>
          <w:rFonts w:ascii="Arial Narrow" w:hAnsi="Arial Narrow" w:cs="Arial Narrow"/>
        </w:rPr>
      </w:pPr>
    </w:p>
    <w:p w:rsidR="00B63AED" w:rsidRDefault="00B63AED" w:rsidP="00132125">
      <w:pPr>
        <w:autoSpaceDE w:val="0"/>
        <w:autoSpaceDN w:val="0"/>
        <w:adjustRightInd w:val="0"/>
        <w:spacing w:after="0" w:line="240" w:lineRule="auto"/>
        <w:jc w:val="both"/>
        <w:rPr>
          <w:rFonts w:ascii="Arial Narrow" w:hAnsi="Arial Narrow" w:cs="Arial Narrow"/>
        </w:rPr>
      </w:pPr>
    </w:p>
    <w:p w:rsidR="00B63AED" w:rsidRPr="00B63AED" w:rsidRDefault="00132125" w:rsidP="00B63AED">
      <w:pPr>
        <w:autoSpaceDE w:val="0"/>
        <w:autoSpaceDN w:val="0"/>
        <w:adjustRightInd w:val="0"/>
        <w:spacing w:after="0" w:line="240" w:lineRule="auto"/>
        <w:jc w:val="both"/>
        <w:rPr>
          <w:rFonts w:ascii="Arial Narrow" w:hAnsi="Arial Narrow" w:cs="Arial Narrow"/>
          <w:b/>
        </w:rPr>
      </w:pPr>
      <w:r w:rsidRPr="00B63AED">
        <w:rPr>
          <w:rFonts w:ascii="Arial Narrow" w:hAnsi="Arial Narrow" w:cs="Arial Narrow"/>
          <w:b/>
        </w:rPr>
        <w:t>9. Does the activity of packing imported compact discs in a jewel box along with inlay card</w:t>
      </w:r>
      <w:r w:rsidR="00B63AED">
        <w:rPr>
          <w:rFonts w:ascii="Arial Narrow" w:hAnsi="Arial Narrow" w:cs="Arial Narrow"/>
          <w:b/>
        </w:rPr>
        <w:t xml:space="preserve"> </w:t>
      </w:r>
      <w:r w:rsidRPr="00B63AED">
        <w:rPr>
          <w:rFonts w:ascii="Arial Narrow" w:hAnsi="Arial Narrow" w:cs="Arial Narrow"/>
          <w:b/>
        </w:rPr>
        <w:t>amount to manufacture under section 2(f) of the Central Excise Act, 1944 ?</w:t>
      </w:r>
      <w:r w:rsidR="00B63AED" w:rsidRPr="00B63AED">
        <w:rPr>
          <w:rFonts w:ascii="Arial Narrow" w:hAnsi="Arial Narrow" w:cs="Arial Narrow"/>
          <w:b/>
        </w:rPr>
        <w:t xml:space="preserve"> (Section 2(f) of the Central Excise Act, 1944)</w:t>
      </w:r>
    </w:p>
    <w:p w:rsidR="00132125" w:rsidRDefault="00132125" w:rsidP="00132125">
      <w:pPr>
        <w:autoSpaceDE w:val="0"/>
        <w:autoSpaceDN w:val="0"/>
        <w:adjustRightInd w:val="0"/>
        <w:spacing w:after="0" w:line="240" w:lineRule="auto"/>
        <w:jc w:val="both"/>
        <w:rPr>
          <w:rFonts w:ascii="Arial Narrow" w:hAnsi="Arial Narrow" w:cs="Arial Narrow"/>
        </w:rPr>
      </w:pPr>
    </w:p>
    <w:p w:rsidR="00132125" w:rsidRPr="00B63AED" w:rsidRDefault="00132125" w:rsidP="00132125">
      <w:pPr>
        <w:autoSpaceDE w:val="0"/>
        <w:autoSpaceDN w:val="0"/>
        <w:adjustRightInd w:val="0"/>
        <w:spacing w:after="0" w:line="240" w:lineRule="auto"/>
        <w:jc w:val="both"/>
        <w:rPr>
          <w:rFonts w:ascii="Arial Narrow" w:hAnsi="Arial Narrow" w:cs="Arial Narrow"/>
          <w:b/>
        </w:rPr>
      </w:pPr>
      <w:r w:rsidRPr="00B63AED">
        <w:rPr>
          <w:rFonts w:ascii="Arial Narrow" w:hAnsi="Arial Narrow" w:cs="Arial Narrow"/>
          <w:b/>
        </w:rPr>
        <w:t>CCE v. Sony Music Entertainment (I) Pvt. Ltd. 2010 (249) E.L.T. 341 (Bom.)</w:t>
      </w:r>
    </w:p>
    <w:p w:rsidR="00B63AED" w:rsidRDefault="00B63AED"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appellant imported recorded audio and video discs in boxes of 50 and packed each</w:t>
      </w:r>
      <w:r w:rsidR="00767C74">
        <w:rPr>
          <w:rFonts w:ascii="Arial Narrow" w:hAnsi="Arial Narrow" w:cs="Arial Narrow"/>
        </w:rPr>
        <w:t xml:space="preserve"> </w:t>
      </w:r>
      <w:r>
        <w:rPr>
          <w:rFonts w:ascii="Arial Narrow" w:hAnsi="Arial Narrow" w:cs="Arial Narrow"/>
        </w:rPr>
        <w:t>individual disc in transparent plastic cases known as jewel boxes. An inlay card containing the</w:t>
      </w:r>
      <w:r w:rsidR="00767C74">
        <w:rPr>
          <w:rFonts w:ascii="Arial Narrow" w:hAnsi="Arial Narrow" w:cs="Arial Narrow"/>
        </w:rPr>
        <w:t xml:space="preserve"> </w:t>
      </w:r>
      <w:r>
        <w:rPr>
          <w:rFonts w:ascii="Arial Narrow" w:hAnsi="Arial Narrow" w:cs="Arial Narrow"/>
        </w:rPr>
        <w:t>details of the content of the compact disc was also placed in the jewel box. The whole thing was</w:t>
      </w:r>
      <w:r w:rsidR="00767C74">
        <w:rPr>
          <w:rFonts w:ascii="Arial Narrow" w:hAnsi="Arial Narrow" w:cs="Arial Narrow"/>
        </w:rPr>
        <w:t xml:space="preserve"> </w:t>
      </w:r>
      <w:r>
        <w:rPr>
          <w:rFonts w:ascii="Arial Narrow" w:hAnsi="Arial Narrow" w:cs="Arial Narrow"/>
        </w:rPr>
        <w:t>then shrink wrapped and sold in wholesale. The Department contended that the said process</w:t>
      </w:r>
      <w:r w:rsidR="00767C74">
        <w:rPr>
          <w:rFonts w:ascii="Arial Narrow" w:hAnsi="Arial Narrow" w:cs="Arial Narrow"/>
        </w:rPr>
        <w:t xml:space="preserve"> </w:t>
      </w:r>
      <w:r>
        <w:rPr>
          <w:rFonts w:ascii="Arial Narrow" w:hAnsi="Arial Narrow" w:cs="Arial Narrow"/>
        </w:rPr>
        <w:t>amounted to manufacture.</w:t>
      </w:r>
    </w:p>
    <w:p w:rsidR="00767C74"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High Court observed that none of the activity that the assessee undertook involved any</w:t>
      </w:r>
      <w:r w:rsidR="00767C74">
        <w:rPr>
          <w:rFonts w:ascii="Arial Narrow" w:hAnsi="Arial Narrow" w:cs="Arial Narrow"/>
        </w:rPr>
        <w:t xml:space="preserve"> </w:t>
      </w:r>
      <w:r>
        <w:rPr>
          <w:rFonts w:ascii="Arial Narrow" w:hAnsi="Arial Narrow" w:cs="Arial Narrow"/>
        </w:rPr>
        <w:t>process on the compact discs that were imported. It held that the Tribunal rightly concluded that</w:t>
      </w:r>
      <w:r w:rsidR="00767C74">
        <w:rPr>
          <w:rFonts w:ascii="Arial Narrow" w:hAnsi="Arial Narrow" w:cs="Arial Narrow"/>
        </w:rPr>
        <w:t xml:space="preserve"> </w:t>
      </w:r>
      <w:r>
        <w:rPr>
          <w:rFonts w:ascii="Arial Narrow" w:hAnsi="Arial Narrow" w:cs="Arial Narrow"/>
        </w:rPr>
        <w:t>the activities carried out by the respondent did not amount to manufacture since the compact</w:t>
      </w:r>
      <w:r w:rsidR="00767C74">
        <w:rPr>
          <w:rFonts w:ascii="Arial Narrow" w:hAnsi="Arial Narrow" w:cs="Arial Narrow"/>
        </w:rPr>
        <w:t xml:space="preserve"> </w:t>
      </w:r>
      <w:r>
        <w:rPr>
          <w:rFonts w:ascii="Arial Narrow" w:hAnsi="Arial Narrow" w:cs="Arial Narrow"/>
        </w:rPr>
        <w:t>disc had been complete and finished when imported by the assessee. They had been imported</w:t>
      </w:r>
      <w:r w:rsidR="00767C74">
        <w:rPr>
          <w:rFonts w:ascii="Arial Narrow" w:hAnsi="Arial Narrow" w:cs="Arial Narrow"/>
        </w:rPr>
        <w:t xml:space="preserve"> </w:t>
      </w:r>
      <w:r>
        <w:rPr>
          <w:rFonts w:ascii="Arial Narrow" w:hAnsi="Arial Narrow" w:cs="Arial Narrow"/>
        </w:rPr>
        <w:t>in finished and completed form.</w:t>
      </w:r>
      <w:r w:rsidR="00767C74">
        <w:rPr>
          <w:rFonts w:ascii="Arial Narrow" w:hAnsi="Arial Narrow" w:cs="Arial Narrow"/>
        </w:rPr>
        <w:t xml:space="preserve"> </w:t>
      </w:r>
    </w:p>
    <w:p w:rsidR="00767C74" w:rsidRDefault="00767C74" w:rsidP="00132125">
      <w:pPr>
        <w:autoSpaceDE w:val="0"/>
        <w:autoSpaceDN w:val="0"/>
        <w:adjustRightInd w:val="0"/>
        <w:spacing w:after="0" w:line="240" w:lineRule="auto"/>
        <w:jc w:val="both"/>
        <w:rPr>
          <w:rFonts w:ascii="Arial Narrow" w:hAnsi="Arial Narrow" w:cs="Arial Narrow"/>
        </w:rPr>
      </w:pPr>
    </w:p>
    <w:p w:rsidR="00767C74" w:rsidRDefault="00767C74" w:rsidP="00132125">
      <w:pPr>
        <w:autoSpaceDE w:val="0"/>
        <w:autoSpaceDN w:val="0"/>
        <w:adjustRightInd w:val="0"/>
        <w:spacing w:after="0" w:line="240" w:lineRule="auto"/>
        <w:jc w:val="both"/>
        <w:rPr>
          <w:rFonts w:ascii="Arial Narrow" w:hAnsi="Arial Narrow" w:cs="Arial Narrow"/>
        </w:rPr>
      </w:pPr>
    </w:p>
    <w:p w:rsidR="00132125" w:rsidRPr="00767C74" w:rsidRDefault="00132125" w:rsidP="00132125">
      <w:pPr>
        <w:autoSpaceDE w:val="0"/>
        <w:autoSpaceDN w:val="0"/>
        <w:adjustRightInd w:val="0"/>
        <w:spacing w:after="0" w:line="240" w:lineRule="auto"/>
        <w:jc w:val="both"/>
        <w:rPr>
          <w:rFonts w:ascii="Arial Narrow" w:hAnsi="Arial Narrow" w:cs="Arial Narrow"/>
          <w:b/>
        </w:rPr>
      </w:pPr>
      <w:r w:rsidRPr="00767C74">
        <w:rPr>
          <w:rFonts w:ascii="Arial Narrow" w:hAnsi="Arial Narrow" w:cs="Arial Narrow"/>
          <w:b/>
        </w:rPr>
        <w:t>10. Whether the product “Scrabble” is classifiable under sub-heading 9503.00 or sub-heading</w:t>
      </w:r>
      <w:r w:rsidR="00767C74" w:rsidRPr="00767C74">
        <w:rPr>
          <w:rFonts w:ascii="Arial Narrow" w:hAnsi="Arial Narrow" w:cs="Arial Narrow"/>
          <w:b/>
        </w:rPr>
        <w:t xml:space="preserve"> </w:t>
      </w:r>
      <w:r w:rsidRPr="00767C74">
        <w:rPr>
          <w:rFonts w:ascii="Arial Narrow" w:hAnsi="Arial Narrow" w:cs="Arial Narrow"/>
          <w:b/>
        </w:rPr>
        <w:t>9504.90 of the First Schedule to the Central Excise and Tariff Act, 1985?</w:t>
      </w:r>
      <w:r w:rsidR="00767C74" w:rsidRPr="00767C74">
        <w:rPr>
          <w:rFonts w:ascii="Arial Narrow" w:hAnsi="Arial Narrow" w:cs="Arial Narrow"/>
          <w:b/>
        </w:rPr>
        <w:t xml:space="preserve"> (Classification of goods under excise)</w:t>
      </w:r>
    </w:p>
    <w:p w:rsidR="00767C74" w:rsidRDefault="00767C74" w:rsidP="00132125">
      <w:pPr>
        <w:autoSpaceDE w:val="0"/>
        <w:autoSpaceDN w:val="0"/>
        <w:adjustRightInd w:val="0"/>
        <w:spacing w:after="0" w:line="240" w:lineRule="auto"/>
        <w:jc w:val="both"/>
        <w:rPr>
          <w:rFonts w:ascii="Arial Narrow" w:hAnsi="Arial Narrow" w:cs="Arial Narrow"/>
          <w:b/>
        </w:rPr>
      </w:pPr>
    </w:p>
    <w:p w:rsidR="00132125" w:rsidRPr="00767C74" w:rsidRDefault="00132125" w:rsidP="00132125">
      <w:pPr>
        <w:autoSpaceDE w:val="0"/>
        <w:autoSpaceDN w:val="0"/>
        <w:adjustRightInd w:val="0"/>
        <w:spacing w:after="0" w:line="240" w:lineRule="auto"/>
        <w:jc w:val="both"/>
        <w:rPr>
          <w:rFonts w:ascii="Arial Narrow" w:hAnsi="Arial Narrow" w:cs="Arial Narrow"/>
          <w:b/>
        </w:rPr>
      </w:pPr>
      <w:r w:rsidRPr="00767C74">
        <w:rPr>
          <w:rFonts w:ascii="Arial Narrow" w:hAnsi="Arial Narrow" w:cs="Arial Narrow"/>
          <w:b/>
        </w:rPr>
        <w:t>Pleasantime Products v. CCE 2009 (243) E.L.T. 641 (S.C.)</w:t>
      </w:r>
    </w:p>
    <w:p w:rsidR="00767C74" w:rsidRDefault="00767C74"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According to the assessee, “Scrabble” was a puzzle or in the alternative it was an educational toy</w:t>
      </w:r>
      <w:r w:rsidR="00767C74">
        <w:rPr>
          <w:rFonts w:ascii="Arial Narrow" w:hAnsi="Arial Narrow" w:cs="Arial Narrow"/>
        </w:rPr>
        <w:t xml:space="preserve"> </w:t>
      </w:r>
      <w:r>
        <w:rPr>
          <w:rFonts w:ascii="Arial Narrow" w:hAnsi="Arial Narrow" w:cs="Arial Narrow"/>
        </w:rPr>
        <w:t>falling under sub-heading 9503.00. However, Revenue alleged that “Scrabble” was not a puzzle,</w:t>
      </w:r>
      <w:r w:rsidR="00767C74">
        <w:rPr>
          <w:rFonts w:ascii="Arial Narrow" w:hAnsi="Arial Narrow" w:cs="Arial Narrow"/>
        </w:rPr>
        <w:t xml:space="preserve"> </w:t>
      </w:r>
      <w:r>
        <w:rPr>
          <w:rFonts w:ascii="Arial Narrow" w:hAnsi="Arial Narrow" w:cs="Arial Narrow"/>
        </w:rPr>
        <w:t>it was not a toy but a game. Moreover, since “Scrabble” has board(s) and pieces it was</w:t>
      </w:r>
      <w:r w:rsidR="00767C74">
        <w:rPr>
          <w:rFonts w:ascii="Arial Narrow" w:hAnsi="Arial Narrow" w:cs="Arial Narrow"/>
        </w:rPr>
        <w:t xml:space="preserve"> </w:t>
      </w:r>
      <w:r>
        <w:rPr>
          <w:rFonts w:ascii="Arial Narrow" w:hAnsi="Arial Narrow" w:cs="Arial Narrow"/>
        </w:rPr>
        <w:t>classifiable under sub-heading 9504.90.</w:t>
      </w:r>
      <w:r w:rsidR="00767C74">
        <w:rPr>
          <w:rFonts w:ascii="Arial Narrow" w:hAnsi="Arial Narrow" w:cs="Arial Narrow"/>
        </w:rPr>
        <w:t xml:space="preserve"> </w:t>
      </w:r>
      <w:r>
        <w:rPr>
          <w:rFonts w:ascii="Arial Narrow" w:hAnsi="Arial Narrow" w:cs="Arial Narrow"/>
        </w:rPr>
        <w:t>The Court opined that “Scrabble” was not a puzzle/crossword. The difference between a “game”</w:t>
      </w:r>
      <w:r w:rsidR="00767C74">
        <w:rPr>
          <w:rFonts w:ascii="Arial Narrow" w:hAnsi="Arial Narrow" w:cs="Arial Narrow"/>
        </w:rPr>
        <w:t xml:space="preserve"> </w:t>
      </w:r>
      <w:r>
        <w:rPr>
          <w:rFonts w:ascii="Arial Narrow" w:hAnsi="Arial Narrow" w:cs="Arial Narrow"/>
        </w:rPr>
        <w:t>and a “puzzle” is brought out by three distinct features, viz., outcome, clue-chance and skill. In a</w:t>
      </w:r>
      <w:r w:rsidR="00767C74">
        <w:rPr>
          <w:rFonts w:ascii="Arial Narrow" w:hAnsi="Arial Narrow" w:cs="Arial Narrow"/>
        </w:rPr>
        <w:t xml:space="preserve"> </w:t>
      </w:r>
      <w:r>
        <w:rPr>
          <w:rFonts w:ascii="Arial Narrow" w:hAnsi="Arial Narrow" w:cs="Arial Narrow"/>
        </w:rPr>
        <w:t>puzzle, the outcome is fixed or pre-determined which is not there in “Scrabble”. In a “Scrabble”</w:t>
      </w:r>
      <w:r w:rsidR="00767C74">
        <w:rPr>
          <w:rFonts w:ascii="Arial Narrow" w:hAnsi="Arial Narrow" w:cs="Arial Narrow"/>
        </w:rPr>
        <w:t xml:space="preserve"> </w:t>
      </w:r>
      <w:r>
        <w:rPr>
          <w:rFonts w:ascii="Arial Narrow" w:hAnsi="Arial Narrow" w:cs="Arial Narrow"/>
        </w:rPr>
        <w:t>there are no clues whereas in crossword puzzle, as stated above, words are written according to</w:t>
      </w:r>
      <w:r w:rsidR="00767C74">
        <w:rPr>
          <w:rFonts w:ascii="Arial Narrow" w:hAnsi="Arial Narrow" w:cs="Arial Narrow"/>
        </w:rPr>
        <w:t xml:space="preserve"> </w:t>
      </w:r>
      <w:r>
        <w:rPr>
          <w:rFonts w:ascii="Arial Narrow" w:hAnsi="Arial Narrow" w:cs="Arial Narrow"/>
        </w:rPr>
        <w:t>clues. Hence, the essential characteristic of crossword to lay down clues and having a solution is</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absent from “Scrabble”. Thus, “Scrabble” would not fall in the category or class mentioned in</w:t>
      </w:r>
      <w:r w:rsidR="00767C74">
        <w:rPr>
          <w:rFonts w:ascii="Arial Narrow" w:hAnsi="Arial Narrow" w:cs="Arial Narrow"/>
        </w:rPr>
        <w:t xml:space="preserve"> </w:t>
      </w:r>
      <w:r>
        <w:rPr>
          <w:rFonts w:ascii="Arial Narrow" w:hAnsi="Arial Narrow" w:cs="Arial Narrow"/>
        </w:rPr>
        <w:t>sub-heading 9503.00, namely, “puzzles of all kinds”.</w:t>
      </w:r>
      <w:r w:rsidR="00767C74">
        <w:rPr>
          <w:rFonts w:ascii="Arial Narrow" w:hAnsi="Arial Narrow" w:cs="Arial Narrow"/>
        </w:rPr>
        <w:t xml:space="preserve"> </w:t>
      </w:r>
      <w:r>
        <w:rPr>
          <w:rFonts w:ascii="Arial Narrow" w:hAnsi="Arial Narrow" w:cs="Arial Narrow"/>
        </w:rPr>
        <w:t>As per the dictionary meaning, “Scrabble” is a board game in which players use lettered tiles to</w:t>
      </w:r>
      <w:r w:rsidR="00767C74">
        <w:rPr>
          <w:rFonts w:ascii="Arial Narrow" w:hAnsi="Arial Narrow" w:cs="Arial Narrow"/>
        </w:rPr>
        <w:t xml:space="preserve"> </w:t>
      </w:r>
      <w:r>
        <w:rPr>
          <w:rFonts w:ascii="Arial Narrow" w:hAnsi="Arial Narrow" w:cs="Arial Narrow"/>
        </w:rPr>
        <w:t>create words in a crossword fashion. Applying the dictionary meaning, the Apex Court held that</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“Scrabble” was a board game. It was not a puzzle. In the circumstances, it would fall under</w:t>
      </w:r>
      <w:r w:rsidR="00767C74">
        <w:rPr>
          <w:rFonts w:ascii="Arial Narrow" w:hAnsi="Arial Narrow" w:cs="Arial Narrow"/>
        </w:rPr>
        <w:t xml:space="preserve"> </w:t>
      </w:r>
      <w:r>
        <w:rPr>
          <w:rFonts w:ascii="Arial Narrow" w:hAnsi="Arial Narrow" w:cs="Arial Narrow"/>
        </w:rPr>
        <w:t>heading 95.04 and not under sub-heading 9503.00 of the CETA.</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Note - The headings cited in the case law mentioned above may not co-relate with the headings of the</w:t>
      </w:r>
      <w:r w:rsidR="00767C74">
        <w:rPr>
          <w:rFonts w:ascii="Arial Narrow" w:hAnsi="Arial Narrow" w:cs="Arial Narrow"/>
        </w:rPr>
        <w:t xml:space="preserve"> </w:t>
      </w:r>
      <w:r>
        <w:rPr>
          <w:rFonts w:ascii="Arial Narrow" w:hAnsi="Arial Narrow" w:cs="Arial Narrow"/>
        </w:rPr>
        <w:t>present Excise Tariff as it relates to an earlier point of time.</w:t>
      </w:r>
    </w:p>
    <w:p w:rsidR="00767C74" w:rsidRDefault="00767C74"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p>
    <w:p w:rsidR="00132125" w:rsidRPr="00223450" w:rsidRDefault="00132125" w:rsidP="00132125">
      <w:pPr>
        <w:autoSpaceDE w:val="0"/>
        <w:autoSpaceDN w:val="0"/>
        <w:adjustRightInd w:val="0"/>
        <w:spacing w:after="0" w:line="240" w:lineRule="auto"/>
        <w:jc w:val="both"/>
        <w:rPr>
          <w:rFonts w:ascii="Arial Narrow" w:hAnsi="Arial Narrow" w:cs="Arial Narrow"/>
          <w:b/>
        </w:rPr>
      </w:pPr>
      <w:r w:rsidRPr="00223450">
        <w:rPr>
          <w:rFonts w:ascii="Arial Narrow" w:hAnsi="Arial Narrow" w:cs="Arial Narrow"/>
          <w:b/>
        </w:rPr>
        <w:t>11. Whether penalty can be imposed on the directors of the company for the wrong CENVAT credit</w:t>
      </w:r>
      <w:r w:rsidR="00223450" w:rsidRPr="00223450">
        <w:rPr>
          <w:rFonts w:ascii="Arial Narrow" w:hAnsi="Arial Narrow" w:cs="Arial Narrow"/>
          <w:b/>
        </w:rPr>
        <w:t xml:space="preserve"> </w:t>
      </w:r>
      <w:r w:rsidRPr="00223450">
        <w:rPr>
          <w:rFonts w:ascii="Arial Narrow" w:hAnsi="Arial Narrow" w:cs="Arial Narrow"/>
          <w:b/>
        </w:rPr>
        <w:t>availed by the company?</w:t>
      </w:r>
      <w:r w:rsidR="00767C74" w:rsidRPr="00223450">
        <w:rPr>
          <w:rFonts w:ascii="Arial Narrow" w:hAnsi="Arial Narrow" w:cs="Arial Narrow"/>
          <w:b/>
        </w:rPr>
        <w:t xml:space="preserve"> (Rule 15(1) of the CENVAT Credit Rules, 2004)</w:t>
      </w:r>
    </w:p>
    <w:p w:rsidR="00132125" w:rsidRPr="00223450" w:rsidRDefault="00132125" w:rsidP="00132125">
      <w:pPr>
        <w:autoSpaceDE w:val="0"/>
        <w:autoSpaceDN w:val="0"/>
        <w:adjustRightInd w:val="0"/>
        <w:spacing w:after="0" w:line="240" w:lineRule="auto"/>
        <w:jc w:val="both"/>
        <w:rPr>
          <w:rFonts w:ascii="Arial Narrow" w:hAnsi="Arial Narrow" w:cs="Arial Narrow"/>
          <w:b/>
        </w:rPr>
      </w:pPr>
      <w:r w:rsidRPr="00223450">
        <w:rPr>
          <w:rFonts w:ascii="Arial Narrow" w:hAnsi="Arial Narrow" w:cs="Arial Narrow"/>
          <w:b/>
        </w:rPr>
        <w:t>Ashok Kumar H. Fulwadhya v. UOI 2010 (251) E.L.T. 336 (Bom.)</w:t>
      </w:r>
    </w:p>
    <w:p w:rsidR="00223450" w:rsidRDefault="00223450"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It was held that words “any person” used in rule 13(1) of the erstwhile CENVAT Credit Rules, 2002</w:t>
      </w:r>
      <w:r w:rsidR="00223450">
        <w:rPr>
          <w:rFonts w:ascii="Arial Narrow" w:hAnsi="Arial Narrow" w:cs="Arial Narrow"/>
        </w:rPr>
        <w:t xml:space="preserve"> </w:t>
      </w:r>
      <w:r>
        <w:rPr>
          <w:rFonts w:ascii="Arial Narrow" w:hAnsi="Arial Narrow" w:cs="Arial Narrow"/>
        </w:rPr>
        <w:t>[now rule 15(1) of the CENVAT Credit Rules, 2004] clearly indicate that the person who has availed</w:t>
      </w:r>
      <w:r w:rsidR="00223450">
        <w:rPr>
          <w:rFonts w:ascii="Arial Narrow" w:hAnsi="Arial Narrow" w:cs="Arial Narrow"/>
        </w:rPr>
        <w:t xml:space="preserve"> </w:t>
      </w:r>
      <w:r>
        <w:rPr>
          <w:rFonts w:ascii="Arial Narrow" w:hAnsi="Arial Narrow" w:cs="Arial Narrow"/>
        </w:rPr>
        <w:t xml:space="preserve">CENVAT credit shall only be </w:t>
      </w:r>
      <w:r>
        <w:rPr>
          <w:rFonts w:ascii="Arial Narrow" w:hAnsi="Arial Narrow" w:cs="Arial Narrow"/>
        </w:rPr>
        <w:lastRenderedPageBreak/>
        <w:t>the person liable to the penalty. The Court observed that, in the instant</w:t>
      </w:r>
      <w:r w:rsidR="00223450">
        <w:rPr>
          <w:rFonts w:ascii="Arial Narrow" w:hAnsi="Arial Narrow" w:cs="Arial Narrow"/>
        </w:rPr>
        <w:t xml:space="preserve"> </w:t>
      </w:r>
      <w:r>
        <w:rPr>
          <w:rFonts w:ascii="Arial Narrow" w:hAnsi="Arial Narrow" w:cs="Arial Narrow"/>
        </w:rPr>
        <w:t>case, CENVAT credit had been availed by the company and the penalty under rule 13(1) [now rule</w:t>
      </w:r>
      <w:r w:rsidR="00223450">
        <w:rPr>
          <w:rFonts w:ascii="Arial Narrow" w:hAnsi="Arial Narrow" w:cs="Arial Narrow"/>
        </w:rPr>
        <w:t xml:space="preserve"> </w:t>
      </w:r>
      <w:r>
        <w:rPr>
          <w:rFonts w:ascii="Arial Narrow" w:hAnsi="Arial Narrow" w:cs="Arial Narrow"/>
        </w:rPr>
        <w:t>15(1)] was imposable only on the person who had availed CENVAT credit [company in the given</w:t>
      </w:r>
      <w:r w:rsidR="00223450">
        <w:rPr>
          <w:rFonts w:ascii="Arial Narrow" w:hAnsi="Arial Narrow" w:cs="Arial Narrow"/>
        </w:rPr>
        <w:t xml:space="preserve"> </w:t>
      </w:r>
      <w:r>
        <w:rPr>
          <w:rFonts w:ascii="Arial Narrow" w:hAnsi="Arial Narrow" w:cs="Arial Narrow"/>
        </w:rPr>
        <w:t>case], who was a manufacturer. The petitioners-directors of the company could not be said to be</w:t>
      </w:r>
      <w:r w:rsidR="00223450">
        <w:rPr>
          <w:rFonts w:ascii="Arial Narrow" w:hAnsi="Arial Narrow" w:cs="Arial Narrow"/>
        </w:rPr>
        <w:t xml:space="preserve"> </w:t>
      </w:r>
      <w:r>
        <w:rPr>
          <w:rFonts w:ascii="Arial Narrow" w:hAnsi="Arial Narrow" w:cs="Arial Narrow"/>
        </w:rPr>
        <w:t>manufacturer availing CENVAT credit.</w:t>
      </w:r>
    </w:p>
    <w:p w:rsidR="00223450" w:rsidRDefault="00223450" w:rsidP="00132125">
      <w:pPr>
        <w:autoSpaceDE w:val="0"/>
        <w:autoSpaceDN w:val="0"/>
        <w:adjustRightInd w:val="0"/>
        <w:spacing w:after="0" w:line="240" w:lineRule="auto"/>
        <w:jc w:val="both"/>
        <w:rPr>
          <w:rFonts w:ascii="Arial Narrow" w:hAnsi="Arial Narrow" w:cs="Arial Narrow"/>
        </w:rPr>
      </w:pPr>
    </w:p>
    <w:p w:rsidR="00132125" w:rsidRPr="00223450" w:rsidRDefault="00132125" w:rsidP="00132125">
      <w:pPr>
        <w:autoSpaceDE w:val="0"/>
        <w:autoSpaceDN w:val="0"/>
        <w:adjustRightInd w:val="0"/>
        <w:spacing w:after="0" w:line="240" w:lineRule="auto"/>
        <w:jc w:val="both"/>
        <w:rPr>
          <w:rFonts w:ascii="Arial Narrow" w:hAnsi="Arial Narrow" w:cs="Arial Narrow"/>
          <w:b/>
        </w:rPr>
      </w:pPr>
      <w:r w:rsidRPr="00223450">
        <w:rPr>
          <w:rFonts w:ascii="Arial Narrow" w:hAnsi="Arial Narrow" w:cs="Arial Narrow"/>
          <w:b/>
        </w:rPr>
        <w:t>12. Is the Settlement Commission empowered to grant the benefit under the proviso to section</w:t>
      </w:r>
      <w:r w:rsidR="00223450" w:rsidRPr="00223450">
        <w:rPr>
          <w:rFonts w:ascii="Arial Narrow" w:hAnsi="Arial Narrow" w:cs="Arial Narrow"/>
          <w:b/>
        </w:rPr>
        <w:t xml:space="preserve"> </w:t>
      </w:r>
      <w:r w:rsidRPr="00223450">
        <w:rPr>
          <w:rFonts w:ascii="Arial Narrow" w:hAnsi="Arial Narrow" w:cs="Arial Narrow"/>
          <w:b/>
        </w:rPr>
        <w:t>11AC in cases of settlement?</w:t>
      </w:r>
    </w:p>
    <w:p w:rsidR="00223450" w:rsidRDefault="00223450" w:rsidP="00132125">
      <w:pPr>
        <w:autoSpaceDE w:val="0"/>
        <w:autoSpaceDN w:val="0"/>
        <w:adjustRightInd w:val="0"/>
        <w:spacing w:after="0" w:line="240" w:lineRule="auto"/>
        <w:jc w:val="both"/>
        <w:rPr>
          <w:rFonts w:ascii="Arial Narrow" w:hAnsi="Arial Narrow" w:cs="Arial Narrow"/>
          <w:b/>
        </w:rPr>
      </w:pPr>
    </w:p>
    <w:p w:rsidR="00132125" w:rsidRPr="00223450" w:rsidRDefault="00132125" w:rsidP="00132125">
      <w:pPr>
        <w:autoSpaceDE w:val="0"/>
        <w:autoSpaceDN w:val="0"/>
        <w:adjustRightInd w:val="0"/>
        <w:spacing w:after="0" w:line="240" w:lineRule="auto"/>
        <w:jc w:val="both"/>
        <w:rPr>
          <w:rFonts w:ascii="Arial Narrow" w:hAnsi="Arial Narrow" w:cs="Arial Narrow"/>
          <w:b/>
        </w:rPr>
      </w:pPr>
      <w:r w:rsidRPr="00223450">
        <w:rPr>
          <w:rFonts w:ascii="Arial Narrow" w:hAnsi="Arial Narrow" w:cs="Arial Narrow"/>
          <w:b/>
        </w:rPr>
        <w:t>Ashwani Tobacco Co. Pvt. Ltd. v. UOI 2010 (251) E.L.T. 162 (Del.)</w:t>
      </w:r>
    </w:p>
    <w:p w:rsidR="000146C8" w:rsidRDefault="000146C8" w:rsidP="00132125">
      <w:pPr>
        <w:autoSpaceDE w:val="0"/>
        <w:autoSpaceDN w:val="0"/>
        <w:adjustRightInd w:val="0"/>
        <w:spacing w:after="0" w:line="240" w:lineRule="auto"/>
        <w:jc w:val="both"/>
        <w:rPr>
          <w:rFonts w:ascii="Arial Narrow" w:hAnsi="Arial Narrow" w:cs="Arial Narrow"/>
        </w:rPr>
      </w:pP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The Court ruled that benefit under the proviso to section 11AC could not be granted by the Settlement</w:t>
      </w:r>
      <w:r w:rsidR="000146C8">
        <w:rPr>
          <w:rFonts w:ascii="Arial Narrow" w:hAnsi="Arial Narrow" w:cs="Arial Narrow"/>
        </w:rPr>
        <w:t xml:space="preserve"> </w:t>
      </w:r>
      <w:r>
        <w:rPr>
          <w:rFonts w:ascii="Arial Narrow" w:hAnsi="Arial Narrow" w:cs="Arial Narrow"/>
        </w:rPr>
        <w:t>Commission in cases of settlement.</w:t>
      </w:r>
      <w:r w:rsidR="000146C8">
        <w:rPr>
          <w:rFonts w:ascii="Arial Narrow" w:hAnsi="Arial Narrow" w:cs="Arial Narrow"/>
        </w:rPr>
        <w:t xml:space="preserve"> </w:t>
      </w:r>
      <w:r>
        <w:rPr>
          <w:rFonts w:ascii="Arial Narrow" w:hAnsi="Arial Narrow" w:cs="Arial Narrow"/>
        </w:rPr>
        <w:t>It elucidated that the order of settlement made by the Settlement Commission is distinct from the</w:t>
      </w:r>
    </w:p>
    <w:p w:rsidR="00132125"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adjudication order made by the Central Excise Officer. The scheme of settlement is contained in</w:t>
      </w:r>
      <w:r w:rsidR="000146C8">
        <w:rPr>
          <w:rFonts w:ascii="Arial Narrow" w:hAnsi="Arial Narrow" w:cs="Arial Narrow"/>
        </w:rPr>
        <w:t xml:space="preserve"> </w:t>
      </w:r>
      <w:r>
        <w:rPr>
          <w:rFonts w:ascii="Arial Narrow" w:hAnsi="Arial Narrow" w:cs="Arial Narrow"/>
        </w:rPr>
        <w:t>Chapter-V of the Central Excise Act, 1944 while adjudication undertaken by a Central Excise Officer is</w:t>
      </w:r>
      <w:r w:rsidR="000146C8">
        <w:rPr>
          <w:rFonts w:ascii="Arial Narrow" w:hAnsi="Arial Narrow" w:cs="Arial Narrow"/>
        </w:rPr>
        <w:t xml:space="preserve"> </w:t>
      </w:r>
      <w:r>
        <w:rPr>
          <w:rFonts w:ascii="Arial Narrow" w:hAnsi="Arial Narrow" w:cs="Arial Narrow"/>
        </w:rPr>
        <w:t>contained in the other Chapters of the said Act. Unlike Settlement Commission, Central Excise Officer</w:t>
      </w:r>
      <w:r w:rsidR="000146C8">
        <w:rPr>
          <w:rFonts w:ascii="Arial Narrow" w:hAnsi="Arial Narrow" w:cs="Arial Narrow"/>
        </w:rPr>
        <w:t xml:space="preserve"> </w:t>
      </w:r>
      <w:r>
        <w:rPr>
          <w:rFonts w:ascii="Arial Narrow" w:hAnsi="Arial Narrow" w:cs="Arial Narrow"/>
        </w:rPr>
        <w:t>has no power to accord immunity from prosecution while determining duty liability under the Excise</w:t>
      </w:r>
      <w:r w:rsidR="000146C8">
        <w:rPr>
          <w:rFonts w:ascii="Arial Narrow" w:hAnsi="Arial Narrow" w:cs="Arial Narrow"/>
        </w:rPr>
        <w:t xml:space="preserve"> </w:t>
      </w:r>
      <w:r>
        <w:rPr>
          <w:rFonts w:ascii="Arial Narrow" w:hAnsi="Arial Narrow" w:cs="Arial Narrow"/>
        </w:rPr>
        <w:t>Act.</w:t>
      </w:r>
    </w:p>
    <w:p w:rsidR="000146C8" w:rsidRDefault="00132125" w:rsidP="00132125">
      <w:pPr>
        <w:autoSpaceDE w:val="0"/>
        <w:autoSpaceDN w:val="0"/>
        <w:adjustRightInd w:val="0"/>
        <w:spacing w:after="0" w:line="240" w:lineRule="auto"/>
        <w:jc w:val="both"/>
        <w:rPr>
          <w:rFonts w:ascii="Arial Narrow" w:hAnsi="Arial Narrow" w:cs="Arial Narrow"/>
        </w:rPr>
      </w:pPr>
      <w:r>
        <w:rPr>
          <w:rFonts w:ascii="Arial Narrow" w:hAnsi="Arial Narrow" w:cs="Arial Narrow"/>
        </w:rPr>
        <w:t>Once the petitioner has adopted the course of settlement, he has to be governed by the provisions of</w:t>
      </w:r>
      <w:r w:rsidR="000146C8">
        <w:rPr>
          <w:rFonts w:ascii="Arial Narrow" w:hAnsi="Arial Narrow" w:cs="Arial Narrow"/>
        </w:rPr>
        <w:t xml:space="preserve"> </w:t>
      </w:r>
      <w:r>
        <w:rPr>
          <w:rFonts w:ascii="Arial Narrow" w:hAnsi="Arial Narrow" w:cs="Arial Narrow"/>
        </w:rPr>
        <w:t>Chapter V. Therefore, the benefit under the proviso to section 11AC, which could have been availed</w:t>
      </w:r>
      <w:r w:rsidR="000146C8">
        <w:rPr>
          <w:rFonts w:ascii="Arial Narrow" w:hAnsi="Arial Narrow" w:cs="Arial Narrow"/>
        </w:rPr>
        <w:t xml:space="preserve"> </w:t>
      </w:r>
      <w:r>
        <w:rPr>
          <w:rFonts w:ascii="Arial Narrow" w:hAnsi="Arial Narrow" w:cs="Arial Narrow"/>
        </w:rPr>
        <w:t>when the matter of determination of duty was before a Central Excise Officer was not attracted to the</w:t>
      </w:r>
      <w:r w:rsidR="000146C8">
        <w:rPr>
          <w:rFonts w:ascii="Arial Narrow" w:hAnsi="Arial Narrow" w:cs="Arial Narrow"/>
        </w:rPr>
        <w:t xml:space="preserve"> </w:t>
      </w:r>
      <w:r>
        <w:rPr>
          <w:rFonts w:ascii="Arial Narrow" w:hAnsi="Arial Narrow" w:cs="Arial Narrow"/>
        </w:rPr>
        <w:t>cases of a settlement, undertaken under the provisions of Chapter-V of the Act.</w:t>
      </w:r>
      <w:r w:rsidR="000146C8">
        <w:rPr>
          <w:rFonts w:ascii="Arial Narrow" w:hAnsi="Arial Narrow" w:cs="Arial Narrow"/>
        </w:rPr>
        <w:t xml:space="preserve"> </w:t>
      </w:r>
    </w:p>
    <w:p w:rsidR="000146C8" w:rsidRDefault="000146C8" w:rsidP="00132125">
      <w:pPr>
        <w:autoSpaceDE w:val="0"/>
        <w:autoSpaceDN w:val="0"/>
        <w:adjustRightInd w:val="0"/>
        <w:spacing w:after="0" w:line="240" w:lineRule="auto"/>
        <w:jc w:val="both"/>
        <w:rPr>
          <w:rFonts w:ascii="Arial Narrow" w:hAnsi="Arial Narrow" w:cs="Arial Narrow"/>
        </w:rPr>
      </w:pPr>
    </w:p>
    <w:p w:rsidR="00C059FD" w:rsidRDefault="00C059FD" w:rsidP="00C059FD">
      <w:pPr>
        <w:pStyle w:val="Default"/>
      </w:pPr>
    </w:p>
    <w:p w:rsidR="00C059FD" w:rsidRDefault="001D0760" w:rsidP="003F0642">
      <w:pPr>
        <w:pStyle w:val="Default"/>
        <w:tabs>
          <w:tab w:val="left" w:pos="0"/>
          <w:tab w:val="left" w:pos="810"/>
        </w:tabs>
        <w:spacing w:before="120" w:after="60"/>
        <w:jc w:val="both"/>
        <w:rPr>
          <w:sz w:val="22"/>
          <w:szCs w:val="22"/>
        </w:rPr>
      </w:pPr>
      <w:r>
        <w:rPr>
          <w:b/>
          <w:bCs/>
          <w:sz w:val="22"/>
          <w:szCs w:val="22"/>
        </w:rPr>
        <w:t>13</w:t>
      </w:r>
      <w:r w:rsidR="00C059FD">
        <w:rPr>
          <w:b/>
          <w:bCs/>
          <w:sz w:val="22"/>
          <w:szCs w:val="22"/>
        </w:rPr>
        <w:t xml:space="preserve">. Can a commission agent also acting as a consignment agent be covered under the definition of ‘clearing and forwarding agent’? </w:t>
      </w:r>
    </w:p>
    <w:p w:rsidR="00C059FD" w:rsidRDefault="00C059FD" w:rsidP="003F0642">
      <w:pPr>
        <w:pStyle w:val="Default"/>
        <w:tabs>
          <w:tab w:val="left" w:pos="0"/>
          <w:tab w:val="left" w:pos="810"/>
        </w:tabs>
        <w:spacing w:before="120" w:after="60"/>
        <w:jc w:val="both"/>
        <w:rPr>
          <w:sz w:val="22"/>
          <w:szCs w:val="22"/>
        </w:rPr>
      </w:pPr>
      <w:r>
        <w:rPr>
          <w:b/>
          <w:bCs/>
          <w:i/>
          <w:iCs/>
          <w:sz w:val="22"/>
          <w:szCs w:val="22"/>
        </w:rPr>
        <w:t xml:space="preserve">CCE v. Mahaveer Generics 2010 (17) S.T.R. 225 (Kar.) </w:t>
      </w:r>
    </w:p>
    <w:p w:rsidR="00C059FD" w:rsidRDefault="00C059FD" w:rsidP="003F0642">
      <w:pPr>
        <w:pStyle w:val="Default"/>
        <w:tabs>
          <w:tab w:val="left" w:pos="0"/>
          <w:tab w:val="left" w:pos="810"/>
        </w:tabs>
        <w:spacing w:before="120" w:after="60"/>
        <w:jc w:val="both"/>
        <w:rPr>
          <w:sz w:val="22"/>
          <w:szCs w:val="22"/>
        </w:rPr>
      </w:pPr>
      <w:r>
        <w:rPr>
          <w:sz w:val="22"/>
          <w:szCs w:val="22"/>
        </w:rPr>
        <w:t xml:space="preserve">The assessee contended that activity carried on by him came within purview of ‘commission agent’ and not under the ‘clearing and forwarding agent’. The Court elucidated that assessee in question had not restricted its activities to business of commission agency, but had also carried on business as consignment agent. Since the consignment agent had been brought under statutory definition of ‘clearing and forwarding agent’ by inclusive clause, the High Court held that the assessee falls under the definition of ‘clearing and forwarding agent’ after considering the following points:- </w:t>
      </w:r>
    </w:p>
    <w:p w:rsidR="00C059FD" w:rsidRDefault="00C059FD" w:rsidP="003F0642">
      <w:pPr>
        <w:pStyle w:val="Default"/>
        <w:tabs>
          <w:tab w:val="left" w:pos="0"/>
          <w:tab w:val="left" w:pos="810"/>
        </w:tabs>
        <w:spacing w:before="120" w:after="60"/>
        <w:jc w:val="both"/>
        <w:rPr>
          <w:sz w:val="22"/>
          <w:szCs w:val="22"/>
        </w:rPr>
      </w:pPr>
      <w:r>
        <w:rPr>
          <w:sz w:val="22"/>
          <w:szCs w:val="22"/>
        </w:rPr>
        <w:t xml:space="preserve">• Agreement itself termed the assessee as a consignment agent. </w:t>
      </w:r>
    </w:p>
    <w:p w:rsidR="00C059FD" w:rsidRDefault="00C059FD" w:rsidP="003F0642">
      <w:pPr>
        <w:pStyle w:val="Default"/>
        <w:tabs>
          <w:tab w:val="left" w:pos="0"/>
          <w:tab w:val="left" w:pos="810"/>
        </w:tabs>
        <w:spacing w:before="120" w:after="60"/>
        <w:jc w:val="both"/>
        <w:rPr>
          <w:sz w:val="22"/>
          <w:szCs w:val="22"/>
        </w:rPr>
      </w:pPr>
      <w:r>
        <w:rPr>
          <w:sz w:val="22"/>
          <w:szCs w:val="22"/>
        </w:rPr>
        <w:t xml:space="preserve">• Price was mutually decided by the principal and the agent (assessee). Had the assessee been merely a commission agent, price determination would not have been within his domain. </w:t>
      </w:r>
    </w:p>
    <w:p w:rsidR="00C059FD" w:rsidRDefault="00C059FD" w:rsidP="003F0642">
      <w:pPr>
        <w:pStyle w:val="Default"/>
        <w:tabs>
          <w:tab w:val="left" w:pos="0"/>
          <w:tab w:val="left" w:pos="810"/>
        </w:tabs>
        <w:spacing w:before="120" w:after="60"/>
        <w:jc w:val="both"/>
        <w:rPr>
          <w:sz w:val="22"/>
          <w:szCs w:val="22"/>
        </w:rPr>
      </w:pPr>
      <w:r>
        <w:rPr>
          <w:sz w:val="22"/>
          <w:szCs w:val="22"/>
        </w:rPr>
        <w:t xml:space="preserve">• Since assessee had been given the authority and power to appoint dealers, stockists and distributors, it implied that it was not merely a commission agent. </w:t>
      </w:r>
    </w:p>
    <w:p w:rsidR="00C059FD" w:rsidRDefault="00C059FD" w:rsidP="003F0642">
      <w:pPr>
        <w:pStyle w:val="Default"/>
        <w:tabs>
          <w:tab w:val="left" w:pos="0"/>
          <w:tab w:val="left" w:pos="810"/>
        </w:tabs>
        <w:spacing w:before="120" w:after="60"/>
        <w:jc w:val="both"/>
        <w:rPr>
          <w:sz w:val="22"/>
          <w:szCs w:val="22"/>
        </w:rPr>
      </w:pPr>
      <w:r>
        <w:rPr>
          <w:sz w:val="22"/>
          <w:szCs w:val="22"/>
        </w:rPr>
        <w:t xml:space="preserve">• Mere procurement of purchase orders was not involved, but stored goods were also cleared and forwarded to stockists and dealers by the assessee. </w:t>
      </w:r>
    </w:p>
    <w:p w:rsidR="00C059FD" w:rsidRDefault="00C059FD" w:rsidP="003F0642">
      <w:pPr>
        <w:pStyle w:val="Default"/>
        <w:tabs>
          <w:tab w:val="left" w:pos="0"/>
          <w:tab w:val="left" w:pos="810"/>
        </w:tabs>
        <w:rPr>
          <w:sz w:val="22"/>
          <w:szCs w:val="22"/>
        </w:rPr>
      </w:pPr>
    </w:p>
    <w:p w:rsidR="00C059FD" w:rsidRDefault="001D0760" w:rsidP="003F0642">
      <w:pPr>
        <w:pStyle w:val="Default"/>
        <w:tabs>
          <w:tab w:val="left" w:pos="0"/>
          <w:tab w:val="left" w:pos="720"/>
          <w:tab w:val="left" w:pos="810"/>
        </w:tabs>
        <w:spacing w:after="120"/>
        <w:rPr>
          <w:sz w:val="22"/>
          <w:szCs w:val="22"/>
        </w:rPr>
      </w:pPr>
      <w:r>
        <w:rPr>
          <w:b/>
          <w:bCs/>
          <w:sz w:val="22"/>
          <w:szCs w:val="22"/>
        </w:rPr>
        <w:t>14</w:t>
      </w:r>
      <w:r w:rsidR="00C059FD">
        <w:rPr>
          <w:b/>
          <w:bCs/>
          <w:sz w:val="22"/>
          <w:szCs w:val="22"/>
        </w:rPr>
        <w:t xml:space="preserve">. Is the want of evidence from foreign supplier enough to cancel the confiscation order of goods undervalued? </w:t>
      </w:r>
    </w:p>
    <w:p w:rsidR="00C059FD" w:rsidRDefault="00C059FD" w:rsidP="003F0642">
      <w:pPr>
        <w:pStyle w:val="Default"/>
        <w:tabs>
          <w:tab w:val="left" w:pos="0"/>
          <w:tab w:val="left" w:pos="720"/>
          <w:tab w:val="left" w:pos="810"/>
        </w:tabs>
        <w:spacing w:after="120"/>
        <w:rPr>
          <w:sz w:val="22"/>
          <w:szCs w:val="22"/>
        </w:rPr>
      </w:pPr>
      <w:r>
        <w:rPr>
          <w:b/>
          <w:bCs/>
          <w:i/>
          <w:iCs/>
          <w:sz w:val="22"/>
          <w:szCs w:val="22"/>
        </w:rPr>
        <w:t xml:space="preserve">CCus. v. Jaya Singh Vijaya Jhaveri 2010 (251) E.L.T. 38 (Ker.) </w:t>
      </w:r>
    </w:p>
    <w:p w:rsidR="00C059FD" w:rsidRDefault="00C059FD" w:rsidP="003F0642">
      <w:pPr>
        <w:tabs>
          <w:tab w:val="left" w:pos="0"/>
          <w:tab w:val="left" w:pos="720"/>
          <w:tab w:val="left" w:pos="810"/>
        </w:tabs>
        <w:autoSpaceDE w:val="0"/>
        <w:autoSpaceDN w:val="0"/>
        <w:adjustRightInd w:val="0"/>
        <w:spacing w:after="0" w:line="240" w:lineRule="auto"/>
        <w:jc w:val="both"/>
      </w:pPr>
      <w:r>
        <w:t xml:space="preserve">In the instant case, the High Court held that in a case of confiscation of goods because of their under valuation, Tribunal could not cancel the confiscation order for the want of evidence from the foreign </w:t>
      </w:r>
      <w:r>
        <w:lastRenderedPageBreak/>
        <w:t>supplier. The Court considered it be illogical that a person who was a party to undervaluation would give evidence to the Department to prove the case that the invoice raised by him on the respondent was a bogus one and that they had received underhand payment of the differential price. Resultantly, the Court upheld the confiscation order.</w:t>
      </w:r>
    </w:p>
    <w:p w:rsidR="00AB0F56" w:rsidRDefault="00AB0F56" w:rsidP="003F0642">
      <w:pPr>
        <w:tabs>
          <w:tab w:val="left" w:pos="0"/>
          <w:tab w:val="left" w:pos="720"/>
          <w:tab w:val="left" w:pos="810"/>
        </w:tabs>
        <w:autoSpaceDE w:val="0"/>
        <w:autoSpaceDN w:val="0"/>
        <w:adjustRightInd w:val="0"/>
        <w:spacing w:after="0" w:line="240" w:lineRule="auto"/>
        <w:jc w:val="both"/>
      </w:pPr>
    </w:p>
    <w:p w:rsidR="00BB74E1" w:rsidRPr="00BB74E1" w:rsidRDefault="00BB74E1" w:rsidP="003F0642">
      <w:pPr>
        <w:tabs>
          <w:tab w:val="left" w:pos="0"/>
          <w:tab w:val="left" w:pos="720"/>
          <w:tab w:val="left" w:pos="810"/>
        </w:tabs>
        <w:autoSpaceDE w:val="0"/>
        <w:autoSpaceDN w:val="0"/>
        <w:adjustRightInd w:val="0"/>
        <w:spacing w:after="0" w:line="240" w:lineRule="auto"/>
        <w:jc w:val="both"/>
        <w:rPr>
          <w:b/>
          <w:sz w:val="28"/>
          <w:szCs w:val="28"/>
        </w:rPr>
      </w:pPr>
      <w:r w:rsidRPr="00BB74E1">
        <w:rPr>
          <w:b/>
          <w:sz w:val="28"/>
          <w:szCs w:val="28"/>
        </w:rPr>
        <w:t>Other Cases</w:t>
      </w:r>
      <w:r w:rsidR="00AC0AD3">
        <w:rPr>
          <w:b/>
          <w:sz w:val="28"/>
          <w:szCs w:val="28"/>
        </w:rPr>
        <w:t xml:space="preserve"> (Detailed)</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1. 100% EOU is entitled to benefit of refund of Cenvat Credit under rule 5 of Cenvat Credit Rules, even if the final products are exempted</w:t>
      </w:r>
    </w:p>
    <w:p w:rsidR="005F7157" w:rsidRPr="005F7157" w:rsidRDefault="005F7157" w:rsidP="00BB74E1">
      <w:pPr>
        <w:spacing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Facts</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The respondent is a 100% Export Oriented Unit (‘EOU’ for short) engaged in the manufacture of parts of agricultural and farm equipment which are chargeable to ‘Nil’ rate of duty under Central Excise Tariff Act, 1985 (Tariff Act). The respondent filed three refund claims with the Assistant Commissioner of Customs, Bengaluru under Rule 5 of the Cenvat Credit Rules, 2004, being the unutilised credit availed by the respondent in respect of certain inputs used in the manufacture and export of their final product. The said refund claims were, however, rejected by the Assistant Commissioner, Customs, on the ground that the respondent was not eligible for the availment and utilisation of Cenvat Credit Rules, 2004, as their final product was not chargeable to any duty under the Tariff Act. It was, further, held that Rule 6(6) of the Cenvat Credit Rules, 2004 exempting a unit from proportionate reversal of Cenvat credit on clearance of exempted goods when exported under bond without payment of duty, could not be extended to the respondent, as the exports made by EOU were not covered under the Rule. Being aggrieved by the same, the respondent filed an appeal before the Commissioner of Customs (Appeals) who set aside the Order of the Assistant Commissioner, Customs. The appeal filed by the Revenue against the order of Commissioner (Appeals) before the Tribunal was also dismissed based on an earlier judgment on an identical issue. Hence, the revenue is in appeal before the CESTAT.</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Held</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 xml:space="preserve">High Court rejected the appeal of the revenue primarily on the ground that the Tribunal has dismissed the revenue’s appeal based on the reasoning of its earlier order on an identical issue, the appeal against which was dismissed by this very High Court. As there was nothing on record to show that the revenue has filed an appeal against this order of High Court before the Apex Court and/or the Apex Court has stayed the operation of earlier order in any manner, the earlier order has attained finality and the issue is no longer res integra between the parties. </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Authority</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i/>
          <w:iCs/>
          <w:sz w:val="20"/>
          <w:szCs w:val="20"/>
        </w:rPr>
        <w:t>Commissioner of Customs, Bengaluru vs. ANZ International – 2009 (243) E.L.T. 40 (Kar-HC)</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2. Cenvat credit on common inputs eligible only in terms of rule 6 when excisable &amp; exempted products are manufactured. Credit can be availed only in terms of rule 6(3) and reversal of pro rata credit not permissible. Judgment of Chandrapur Magnet distinguished by Hon’ble Bombay High Court</w:t>
      </w:r>
    </w:p>
    <w:p w:rsidR="005F7157" w:rsidRPr="005F7157" w:rsidRDefault="005F7157" w:rsidP="00BB74E1">
      <w:pPr>
        <w:spacing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lastRenderedPageBreak/>
        <w:t>Facts</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The respondents are engaged in the manufacture of Vitamin A falling under Chapter Heading 29.36 and animal food supplement falling under Chapter Heading 23.02 of the Schedule to the Central Excise Tariff Act, 1985. Vitamin A is liable to Central Excise Duty. Animal food supplement is not liable for payment of Central Excise Duty since Heading 23.02 attracts nil rate of duty. The Cenvat credit on common inputs utilized in manufacture of aforesaid final products was availed by the respondent during the period of dispute. At the time of clearance of exempted finished goods (i.e. Animal food supplement), the proportionate credit relating to inputs utilized in manufacture of the said exempted final products was reversed. However, Revenue issued a show cause notice demanding 8% of the value of the exempted final products in terms of Rule 57CC(1) of the Central Excise Rules, 1944/Rule 6(3)(b) of the Cenvat Credit Rules, 2004. The said notice was adjudicated and the same was confirmed by the Commissioner. In an appeal before the Tribunal, the matter was allowed on majority by the larger bench. Revenue is in appeal before the Hon’ble High Court against this order of the Tribunal.</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Held</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The Bombay High Court agreed with the position adopted by the revenue and held that in absence of any provision allowing proportionate reversal of credit availed in respect of common inputs in Rule 57CC of the Central Excise Rules, 1944 or Rule 6 of Cenvat Credit Rules 2004, It would be imperative on the respondent to pay an amount equal to 8% of the value of exempted final products in terms of Rule 57CC(1) of the Central Excise Rules, 1944/Rule 6(3)(b) of Cenvat Credit Rules, 2004, in the event the respondent did not opt to maintain separate accounts in respect of inputs utilized in manufacture of exempted final products. The Bombay High Court strictly interpreted Rule 57CC of the Central Excise Rules, 1944/Rule 6 of Cenvat Credit Rules, 2004 to hold that a mere reversal of proportionate credit would not comply with the requirements of aforesaid Rule.</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Authority</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i/>
          <w:iCs/>
          <w:sz w:val="20"/>
          <w:szCs w:val="20"/>
        </w:rPr>
        <w:t>Commissioner of Central Excise, Thane-I V. Nicholas Piramal (India) Ltd. – 2009 (244) ELT 321 (Bom HC)</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3. Reversal of Cenvat Credit in the event of reduction of price after the supply of goods</w:t>
      </w:r>
    </w:p>
    <w:p w:rsidR="005F7157" w:rsidRPr="005F7157" w:rsidRDefault="005F7157" w:rsidP="00BB74E1">
      <w:pPr>
        <w:spacing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Facts</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 xml:space="preserve">Appellant is engaged in the manufacture of motorcycle, auto rickshaw, etc. and are availing Cenvat credit on the inputs received in its factory. The inputs are supplied by various independent suppliers under contracts backed by the purchase orders for agreed prices. Appellant availed credit on these inputs based on proper duty paying documents. However, subsequent to the supplies, there was a retrospective reduction in the prices of such inputs. Revenue therefore sought to deny the credit proportionate to the subsequent extinction in prices of inputs. On adjudication, the adjudicating authority confirmed the aforesaid denial of credit along with applicable interest and penalty. Aggrieved with the said order, appellant filed an appeal before the Tribunal. </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Held</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lastRenderedPageBreak/>
        <w:t xml:space="preserve">The Tribunal held that a manufacturer is eligible for credit of the ‘duty paid’ on inputs and not “duty payable’. The Tribunal further held that there is no provision in excise laws for the re-assessment of the duty paid on inputs at the recipient’s end. It is obligatory on the revenue to re-assess the duty at supplier’s end in order to recover differential duty therefrom rather than denying credit to the input recipient. Therefore it was held that the credit has been correctly availed and the appellant is not required to reverse any part thereof (proportionate to the extinction in price). </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Authority</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i/>
          <w:iCs/>
          <w:sz w:val="20"/>
          <w:szCs w:val="20"/>
        </w:rPr>
        <w:t>Bajaj Auto Ltd. vs. Commissioner of Central Excise – 2009 TIOL 1735</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4. No obligation on the DTA unit to reverse the accumulated balance of Cenvat credit at the time of its conversion into EOU</w:t>
      </w:r>
    </w:p>
    <w:p w:rsidR="005F7157" w:rsidRPr="005F7157" w:rsidRDefault="005F7157" w:rsidP="00BB74E1">
      <w:pPr>
        <w:spacing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Facts</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 xml:space="preserve">Appellant is engaged in the manufacture of pharmaceutical products and bulk drugs falling under Chapter 29 of Central Excise Tariff Act. It avails credit on inputs, packing materials, etc. The unit was converted into 100% EOU and its entire stock of inputs was transferred to EOU without reversing the credit availed thereon. A show cause notice was issued demanding the reversal of the credit availed on inputs which were transferred to EOU on conversion of DTA unit. On adjudication, the demand was confirmed along with the applicable interest and penalty. Commissioner (Appeals) also upheld the adjudication order. Appellant therefore challenged the appellate order before the Tribunal. </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Held</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sz w:val="20"/>
          <w:szCs w:val="20"/>
        </w:rPr>
        <w:t>The Tribunal held that inputs on which credit availed was availed by the DTA unit were never removed from the premises of the DTA unit at the time of its conversion into an EOU. Thus, there was no contravention of any of the provisions of Cenvat Credit Rules, 2004. Further, no provision contained in the Cenvat Credit Rules, 2004 contemplates reversal of credit availed on inputs by a DTA unit at the time of its conversion into EOU.</w:t>
      </w:r>
    </w:p>
    <w:p w:rsidR="005F7157" w:rsidRPr="005F7157" w:rsidRDefault="005F7157" w:rsidP="00BB74E1">
      <w:pPr>
        <w:spacing w:before="100" w:beforeAutospacing="1" w:after="100" w:afterAutospacing="1" w:line="240" w:lineRule="auto"/>
        <w:jc w:val="both"/>
        <w:rPr>
          <w:rFonts w:ascii="Times New Roman" w:eastAsia="Times New Roman" w:hAnsi="Times New Roman" w:cs="Times New Roman"/>
          <w:sz w:val="24"/>
          <w:szCs w:val="24"/>
        </w:rPr>
      </w:pPr>
      <w:r w:rsidRPr="005F7157">
        <w:rPr>
          <w:rFonts w:ascii="Verdana" w:eastAsia="Times New Roman" w:hAnsi="Verdana" w:cs="Times New Roman"/>
          <w:b/>
          <w:bCs/>
          <w:sz w:val="20"/>
          <w:szCs w:val="20"/>
        </w:rPr>
        <w:t>Authority</w:t>
      </w:r>
    </w:p>
    <w:p w:rsidR="005F7157" w:rsidRDefault="005F7157" w:rsidP="00BB74E1">
      <w:pPr>
        <w:spacing w:before="100" w:beforeAutospacing="1" w:after="100" w:afterAutospacing="1" w:line="240" w:lineRule="auto"/>
        <w:jc w:val="both"/>
        <w:rPr>
          <w:rFonts w:ascii="Verdana" w:eastAsia="Times New Roman" w:hAnsi="Verdana" w:cs="Times New Roman"/>
          <w:sz w:val="20"/>
          <w:szCs w:val="20"/>
        </w:rPr>
      </w:pPr>
      <w:r w:rsidRPr="005F7157">
        <w:rPr>
          <w:rFonts w:ascii="Verdana" w:eastAsia="Times New Roman" w:hAnsi="Verdana" w:cs="Times New Roman"/>
          <w:sz w:val="20"/>
          <w:szCs w:val="20"/>
        </w:rPr>
        <w:t>Sun Pharmaceutical Industries Ltd. vs. Commissioner of Central Excise, Puducherry – 2009 TIOL 1613</w:t>
      </w:r>
    </w:p>
    <w:p w:rsidR="005F7157" w:rsidRDefault="005F7157" w:rsidP="00BB74E1">
      <w:pPr>
        <w:tabs>
          <w:tab w:val="left" w:pos="0"/>
          <w:tab w:val="left" w:pos="720"/>
          <w:tab w:val="left" w:pos="810"/>
        </w:tabs>
        <w:autoSpaceDE w:val="0"/>
        <w:autoSpaceDN w:val="0"/>
        <w:adjustRightInd w:val="0"/>
        <w:spacing w:after="0" w:line="240" w:lineRule="auto"/>
        <w:jc w:val="both"/>
      </w:pPr>
    </w:p>
    <w:p w:rsidR="00BB74E1" w:rsidRDefault="00BB74E1" w:rsidP="00BB74E1">
      <w:pPr>
        <w:pStyle w:val="NormalWeb"/>
        <w:jc w:val="both"/>
        <w:rPr>
          <w:b/>
          <w:bCs/>
        </w:rPr>
      </w:pPr>
      <w:r>
        <w:rPr>
          <w:rFonts w:ascii="Verdana" w:hAnsi="Verdana"/>
          <w:b/>
          <w:bCs/>
          <w:sz w:val="20"/>
          <w:szCs w:val="20"/>
        </w:rPr>
        <w:t>5. Cenvatnot deniable on moulds sent to job work erroneousely mentioning rule 4(5)a instead of rule 4(5)b</w:t>
      </w:r>
    </w:p>
    <w:p w:rsidR="00BB74E1" w:rsidRDefault="00BB74E1" w:rsidP="00BB74E1">
      <w:pPr>
        <w:pStyle w:val="NormalWeb"/>
        <w:jc w:val="both"/>
        <w:rPr>
          <w:b/>
          <w:bCs/>
        </w:rPr>
      </w:pPr>
      <w:r>
        <w:rPr>
          <w:rFonts w:ascii="Verdana" w:hAnsi="Verdana"/>
          <w:b/>
          <w:bCs/>
          <w:sz w:val="20"/>
          <w:szCs w:val="20"/>
        </w:rPr>
        <w:t xml:space="preserve">Facts </w:t>
      </w:r>
    </w:p>
    <w:p w:rsidR="00BB74E1" w:rsidRDefault="00BB74E1" w:rsidP="00BB74E1">
      <w:pPr>
        <w:pStyle w:val="NormalWeb"/>
        <w:jc w:val="both"/>
      </w:pPr>
      <w:r>
        <w:rPr>
          <w:rFonts w:ascii="Verdana" w:hAnsi="Verdana"/>
          <w:sz w:val="20"/>
          <w:szCs w:val="20"/>
        </w:rPr>
        <w:t xml:space="preserve">Appellants are engaged in the manufacture of mosquito repellants &amp; apparatus falling under Chapter 85 &amp; 38 respectively. Appellants availed credit on two injection moulds and the same was cleared for job work under rule 4(5)a. The said moulds were not returned within 180 days and a show cause notice was came to be issued proposing to recover the credit availed and to impose penalty. Original authority confirmed the demand and imposed </w:t>
      </w:r>
      <w:r>
        <w:rPr>
          <w:rFonts w:ascii="Verdana" w:hAnsi="Verdana"/>
          <w:sz w:val="20"/>
          <w:szCs w:val="20"/>
        </w:rPr>
        <w:lastRenderedPageBreak/>
        <w:t>equal amount of penalty. In an appeal to Commissioner (Appeals) the said order was upheld on the ground that the moulds are parts of capital goods. Hence an appeal before CESTAT.</w:t>
      </w:r>
    </w:p>
    <w:p w:rsidR="00BB74E1" w:rsidRDefault="00BB74E1" w:rsidP="00BB74E1">
      <w:pPr>
        <w:pStyle w:val="NormalWeb"/>
        <w:jc w:val="both"/>
      </w:pPr>
      <w:r>
        <w:rPr>
          <w:rFonts w:ascii="Verdana" w:hAnsi="Verdana"/>
          <w:b/>
          <w:bCs/>
          <w:sz w:val="20"/>
          <w:szCs w:val="20"/>
        </w:rPr>
        <w:t xml:space="preserve">Held </w:t>
      </w:r>
    </w:p>
    <w:p w:rsidR="00BB74E1" w:rsidRDefault="00BB74E1" w:rsidP="00BB74E1">
      <w:pPr>
        <w:pStyle w:val="NormalWeb"/>
        <w:jc w:val="both"/>
      </w:pPr>
      <w:r>
        <w:rPr>
          <w:rFonts w:ascii="Verdana" w:hAnsi="Verdana"/>
          <w:sz w:val="20"/>
          <w:szCs w:val="20"/>
        </w:rPr>
        <w:t xml:space="preserve">Hon’ble CESTAT held that the moulds can be sent to job-work under rule 4(5)b and the time limit of 180 days for returning the same is not applicable to the said rule. Merely mentioning the rule 4(5)a erroneousely, the benefit of cenvatcredit cannot be denied. </w:t>
      </w:r>
    </w:p>
    <w:p w:rsidR="00BB74E1" w:rsidRDefault="00BB74E1" w:rsidP="00BB74E1">
      <w:pPr>
        <w:pStyle w:val="NormalWeb"/>
        <w:jc w:val="both"/>
        <w:rPr>
          <w:rFonts w:ascii="Verdana" w:hAnsi="Verdana"/>
          <w:i/>
          <w:iCs/>
          <w:sz w:val="20"/>
          <w:szCs w:val="20"/>
        </w:rPr>
      </w:pPr>
      <w:r>
        <w:rPr>
          <w:rFonts w:ascii="Verdana" w:hAnsi="Verdana"/>
          <w:i/>
          <w:iCs/>
          <w:sz w:val="20"/>
          <w:szCs w:val="20"/>
        </w:rPr>
        <w:t>Authority: Karamchand Appliances Pvt. Ltd vs CCE.</w:t>
      </w:r>
    </w:p>
    <w:p w:rsidR="00BB74E1" w:rsidRDefault="00BB74E1" w:rsidP="00BB74E1">
      <w:pPr>
        <w:pStyle w:val="NormalWeb"/>
        <w:jc w:val="both"/>
      </w:pPr>
      <w:r>
        <w:rPr>
          <w:rFonts w:ascii="Verdana" w:hAnsi="Verdana"/>
          <w:b/>
          <w:bCs/>
          <w:sz w:val="20"/>
          <w:szCs w:val="20"/>
        </w:rPr>
        <w:t>2010(251) ELT 67 (T-Delhi).</w:t>
      </w:r>
    </w:p>
    <w:p w:rsidR="00BB74E1" w:rsidRDefault="00BB74E1" w:rsidP="00BB74E1">
      <w:pPr>
        <w:pStyle w:val="NormalWeb"/>
        <w:jc w:val="both"/>
        <w:rPr>
          <w:rFonts w:ascii="Verdana" w:hAnsi="Verdana"/>
          <w:b/>
          <w:bCs/>
          <w:sz w:val="20"/>
          <w:szCs w:val="20"/>
        </w:rPr>
      </w:pPr>
    </w:p>
    <w:p w:rsidR="00BB74E1" w:rsidRDefault="00BB74E1" w:rsidP="00BB74E1">
      <w:pPr>
        <w:pStyle w:val="NormalWeb"/>
        <w:jc w:val="both"/>
      </w:pPr>
      <w:r>
        <w:rPr>
          <w:rFonts w:ascii="Verdana" w:hAnsi="Verdana"/>
          <w:b/>
          <w:bCs/>
          <w:sz w:val="20"/>
          <w:szCs w:val="20"/>
        </w:rPr>
        <w:t>6. Supplies to SEZ Developers/ units are "Exports". Demand of 10% of amount, treating such goods as "Exempted goods", not sustainable. Prima facie case made out , pre-deposit waived.</w:t>
      </w:r>
    </w:p>
    <w:p w:rsidR="00BB74E1" w:rsidRDefault="00BB74E1" w:rsidP="00BB74E1">
      <w:pPr>
        <w:pStyle w:val="NormalWeb"/>
        <w:jc w:val="both"/>
      </w:pPr>
      <w:r>
        <w:rPr>
          <w:rFonts w:ascii="Verdana" w:hAnsi="Verdana"/>
          <w:b/>
          <w:bCs/>
          <w:sz w:val="20"/>
          <w:szCs w:val="20"/>
        </w:rPr>
        <w:t>Facts</w:t>
      </w:r>
    </w:p>
    <w:p w:rsidR="00BB74E1" w:rsidRDefault="00BB74E1" w:rsidP="00BB74E1">
      <w:pPr>
        <w:pStyle w:val="NormalWeb"/>
        <w:jc w:val="both"/>
      </w:pPr>
      <w:r>
        <w:rPr>
          <w:rFonts w:ascii="Verdana" w:hAnsi="Verdana"/>
          <w:sz w:val="20"/>
          <w:szCs w:val="20"/>
        </w:rPr>
        <w:t>Applicants are the DTA Unit supplied goods to SEZ Developers. Dept. has issued notices for demand of 10% of amount of value of such clearance under rule 6(3)b of CenvatCredit Rules, treating the said goods as exempted goods and having not maintained the separate account. Hence the appeal before CESTAT.</w:t>
      </w:r>
    </w:p>
    <w:p w:rsidR="00BB74E1" w:rsidRDefault="00BB74E1" w:rsidP="00BB74E1">
      <w:pPr>
        <w:pStyle w:val="NormalWeb"/>
        <w:jc w:val="both"/>
      </w:pPr>
      <w:r>
        <w:rPr>
          <w:rFonts w:ascii="Verdana" w:hAnsi="Verdana"/>
          <w:b/>
          <w:bCs/>
          <w:sz w:val="20"/>
          <w:szCs w:val="20"/>
        </w:rPr>
        <w:t>Held</w:t>
      </w:r>
    </w:p>
    <w:p w:rsidR="00BB74E1" w:rsidRDefault="00BB74E1" w:rsidP="00BB74E1">
      <w:pPr>
        <w:pStyle w:val="NormalWeb"/>
        <w:jc w:val="both"/>
      </w:pPr>
      <w:r>
        <w:rPr>
          <w:rFonts w:ascii="Verdana" w:hAnsi="Verdana"/>
          <w:sz w:val="20"/>
          <w:szCs w:val="20"/>
        </w:rPr>
        <w:t>Hon’ble Tribunal held that the goods supplied to SEZ cannot be treated as "exempted Goods". It is also held that the supply to SEZ is "Export" and hence the rule 6(3)b will not be applicable, relying on the Board Circular No. 29 of 2006 dated 31-12-2006.</w:t>
      </w:r>
    </w:p>
    <w:p w:rsidR="00BB74E1" w:rsidRDefault="00BB74E1" w:rsidP="00BB74E1">
      <w:pPr>
        <w:pStyle w:val="NormalWeb"/>
        <w:jc w:val="both"/>
        <w:rPr>
          <w:rFonts w:ascii="Verdana" w:hAnsi="Verdana"/>
          <w:i/>
          <w:iCs/>
          <w:sz w:val="20"/>
          <w:szCs w:val="20"/>
        </w:rPr>
      </w:pPr>
      <w:r>
        <w:rPr>
          <w:rFonts w:ascii="Verdana" w:hAnsi="Verdana"/>
          <w:i/>
          <w:iCs/>
          <w:sz w:val="20"/>
          <w:szCs w:val="20"/>
        </w:rPr>
        <w:t>Authority: Nu-Chem Ltd vs Commissioner of Central Excise 2010(251) ELT 63(T).</w:t>
      </w:r>
    </w:p>
    <w:p w:rsidR="00BB74E1" w:rsidRDefault="00BB74E1" w:rsidP="00BB74E1">
      <w:pPr>
        <w:pStyle w:val="NormalWeb"/>
        <w:jc w:val="both"/>
      </w:pPr>
      <w:r>
        <w:rPr>
          <w:rFonts w:ascii="Verdana" w:hAnsi="Verdana"/>
          <w:b/>
          <w:bCs/>
          <w:sz w:val="20"/>
          <w:szCs w:val="20"/>
        </w:rPr>
        <w:t>7. Settlement of case application maintainable only if duty liability disclosed is accepted. Appellant cannot be permitted to dissect the settlement Commission order to accept what is favourable to them and reject what is not.</w:t>
      </w:r>
    </w:p>
    <w:p w:rsidR="00BB74E1" w:rsidRDefault="00BB74E1" w:rsidP="00BB74E1">
      <w:pPr>
        <w:pStyle w:val="NormalWeb"/>
        <w:jc w:val="both"/>
      </w:pPr>
      <w:r>
        <w:rPr>
          <w:rFonts w:ascii="Verdana" w:hAnsi="Verdana"/>
          <w:b/>
          <w:bCs/>
          <w:sz w:val="20"/>
          <w:szCs w:val="20"/>
        </w:rPr>
        <w:t xml:space="preserve">Facts </w:t>
      </w:r>
    </w:p>
    <w:p w:rsidR="00BB74E1" w:rsidRDefault="00BB74E1" w:rsidP="00BB74E1">
      <w:pPr>
        <w:pStyle w:val="NormalWeb"/>
        <w:jc w:val="both"/>
      </w:pPr>
      <w:r>
        <w:rPr>
          <w:rFonts w:ascii="Verdana" w:hAnsi="Verdana"/>
          <w:sz w:val="20"/>
          <w:szCs w:val="20"/>
        </w:rPr>
        <w:t xml:space="preserve">Appellant is an importer and ship repair unit registered with the Director General of Shipping. The investigations revealed that the appellants have clandestinely availed benefit of exemption Notification No. 211/83-Cus dated 23-7-1983 on the import of multiple consignments of Engineering Cargo as ship stores. A show-cause notice was issued totalling Rs. 68.78 lakhs and upon adjudication, the said amount was confirmed with equal amount of penalty. Settlement Commissioner settled the case directing the appellant to pay the entire duty amount and penalty in excess of Rs. 18 lakhs. However the appellants took the matter to High Court and raised the additional grounds that the customs duty was not payable. However the Hon’ble High Court dismissed the petition as a fresh ground </w:t>
      </w:r>
      <w:r>
        <w:rPr>
          <w:rFonts w:ascii="Verdana" w:hAnsi="Verdana"/>
          <w:sz w:val="20"/>
          <w:szCs w:val="20"/>
        </w:rPr>
        <w:lastRenderedPageBreak/>
        <w:t>cannot be entertained. Appellants challenged the said decision of High Court before the Apex Court.</w:t>
      </w:r>
    </w:p>
    <w:p w:rsidR="00BB74E1" w:rsidRDefault="00BB74E1" w:rsidP="00BB74E1">
      <w:pPr>
        <w:pStyle w:val="NormalWeb"/>
        <w:jc w:val="both"/>
      </w:pPr>
      <w:r>
        <w:rPr>
          <w:rFonts w:ascii="Verdana" w:hAnsi="Verdana"/>
          <w:b/>
          <w:bCs/>
          <w:sz w:val="20"/>
          <w:szCs w:val="20"/>
        </w:rPr>
        <w:t>Held</w:t>
      </w:r>
    </w:p>
    <w:p w:rsidR="00BB74E1" w:rsidRDefault="00BB74E1" w:rsidP="00BB74E1">
      <w:pPr>
        <w:pStyle w:val="NormalWeb"/>
        <w:jc w:val="both"/>
      </w:pPr>
      <w:r>
        <w:rPr>
          <w:rFonts w:ascii="Verdana" w:hAnsi="Verdana"/>
          <w:sz w:val="20"/>
          <w:szCs w:val="20"/>
        </w:rPr>
        <w:t>The Apex Court held that the additional ground which was not before the Settlement Commission cannot be taken before the Apex Court. It was also held that appellant cannot be permitted to dissect the Settlement Commission’s order with a view to accept what is favourable to them and reject what is not.</w:t>
      </w:r>
    </w:p>
    <w:p w:rsidR="00BB74E1" w:rsidRDefault="00BB74E1" w:rsidP="00BB74E1">
      <w:pPr>
        <w:pStyle w:val="NormalWeb"/>
        <w:jc w:val="both"/>
      </w:pPr>
      <w:r>
        <w:rPr>
          <w:rFonts w:ascii="Verdana" w:hAnsi="Verdana"/>
          <w:sz w:val="20"/>
          <w:szCs w:val="20"/>
        </w:rPr>
        <w:t>Authority: Sanghvi Reconditioners Pvt. Ltd. vs Union of India</w:t>
      </w:r>
    </w:p>
    <w:p w:rsidR="00BB74E1" w:rsidRDefault="00BB74E1" w:rsidP="00BB74E1">
      <w:pPr>
        <w:pStyle w:val="NormalWeb"/>
        <w:jc w:val="both"/>
      </w:pPr>
      <w:r>
        <w:rPr>
          <w:rFonts w:ascii="Verdana" w:hAnsi="Verdana"/>
          <w:b/>
          <w:bCs/>
          <w:sz w:val="20"/>
          <w:szCs w:val="20"/>
        </w:rPr>
        <w:t>2010(125) ELT 3(SC)</w:t>
      </w:r>
    </w:p>
    <w:p w:rsidR="001857B1" w:rsidRDefault="001857B1" w:rsidP="00BB74E1">
      <w:pPr>
        <w:pStyle w:val="NormalWeb"/>
        <w:jc w:val="both"/>
        <w:rPr>
          <w:rFonts w:ascii="Verdana" w:hAnsi="Verdana"/>
          <w:b/>
          <w:bCs/>
          <w:sz w:val="20"/>
          <w:szCs w:val="20"/>
        </w:rPr>
      </w:pPr>
    </w:p>
    <w:p w:rsidR="00BB74E1" w:rsidRDefault="001857B1" w:rsidP="00BB74E1">
      <w:pPr>
        <w:pStyle w:val="NormalWeb"/>
        <w:jc w:val="both"/>
      </w:pPr>
      <w:r>
        <w:rPr>
          <w:rFonts w:ascii="Verdana" w:hAnsi="Verdana"/>
          <w:b/>
          <w:bCs/>
          <w:sz w:val="20"/>
          <w:szCs w:val="20"/>
        </w:rPr>
        <w:t>8</w:t>
      </w:r>
      <w:r w:rsidR="00BB74E1">
        <w:rPr>
          <w:rFonts w:ascii="Verdana" w:hAnsi="Verdana"/>
          <w:b/>
          <w:bCs/>
          <w:sz w:val="20"/>
          <w:szCs w:val="20"/>
        </w:rPr>
        <w:t>. Board circular cannot override exemption Notification issued Section 37B of Central Excise Act 1944.</w:t>
      </w:r>
    </w:p>
    <w:p w:rsidR="00BB74E1" w:rsidRDefault="00BB74E1" w:rsidP="001857B1">
      <w:pPr>
        <w:pStyle w:val="NormalWeb"/>
        <w:jc w:val="both"/>
      </w:pPr>
      <w:r>
        <w:rPr>
          <w:rFonts w:ascii="Verdana" w:hAnsi="Verdana"/>
          <w:b/>
          <w:bCs/>
          <w:sz w:val="20"/>
          <w:szCs w:val="20"/>
        </w:rPr>
        <w:t>Facts</w:t>
      </w:r>
    </w:p>
    <w:p w:rsidR="00BB74E1" w:rsidRDefault="00BB74E1" w:rsidP="00BB74E1">
      <w:pPr>
        <w:pStyle w:val="NormalWeb"/>
        <w:jc w:val="both"/>
      </w:pPr>
      <w:r>
        <w:rPr>
          <w:rFonts w:ascii="Verdana" w:hAnsi="Verdana"/>
          <w:sz w:val="20"/>
          <w:szCs w:val="20"/>
        </w:rPr>
        <w:t>Appellants, a 100% Export Oriented Unit. Appellants were procuring LDO under CT3 certificates without payment of duty under Notification No. 22/2003-CEdated 31-3-2003. This facility was withdrawn by Circular No.796/29/2004 dated 4.9.2004 and it was clarified that 100% EOU can avail cenvatcredit. Appellants thereafter bought LDO on payment of duty and filed a rebate claim for the duty paid. Same was rejected on the ground that the LDO is excluded from the definition of input.</w:t>
      </w:r>
    </w:p>
    <w:p w:rsidR="00BB74E1" w:rsidRDefault="00BB74E1" w:rsidP="001857B1">
      <w:pPr>
        <w:pStyle w:val="NormalWeb"/>
        <w:jc w:val="both"/>
      </w:pPr>
      <w:r>
        <w:rPr>
          <w:rFonts w:ascii="Verdana" w:hAnsi="Verdana"/>
          <w:b/>
          <w:bCs/>
          <w:sz w:val="20"/>
          <w:szCs w:val="20"/>
        </w:rPr>
        <w:t>Held</w:t>
      </w:r>
    </w:p>
    <w:p w:rsidR="00BB74E1" w:rsidRDefault="00BB74E1" w:rsidP="00BB74E1">
      <w:pPr>
        <w:pStyle w:val="NormalWeb"/>
        <w:jc w:val="both"/>
      </w:pPr>
      <w:r>
        <w:rPr>
          <w:rFonts w:ascii="Verdana" w:hAnsi="Verdana"/>
          <w:sz w:val="20"/>
          <w:szCs w:val="20"/>
        </w:rPr>
        <w:t>Hon’ble CESTAT held that the benefit which was extended by the notification cannot be denied by board circular when the notification was in force. Therefore rebate claim is eligible to appellants.</w:t>
      </w:r>
    </w:p>
    <w:p w:rsidR="00BB74E1" w:rsidRDefault="00BB74E1" w:rsidP="001857B1">
      <w:pPr>
        <w:pStyle w:val="NormalWeb"/>
        <w:jc w:val="both"/>
      </w:pPr>
      <w:r>
        <w:rPr>
          <w:rFonts w:ascii="Verdana" w:hAnsi="Verdana"/>
          <w:b/>
          <w:bCs/>
          <w:sz w:val="20"/>
          <w:szCs w:val="20"/>
        </w:rPr>
        <w:t>Authority</w:t>
      </w:r>
    </w:p>
    <w:p w:rsidR="00BB74E1" w:rsidRDefault="00BB74E1" w:rsidP="00BB74E1">
      <w:pPr>
        <w:pStyle w:val="NormalWeb"/>
        <w:jc w:val="both"/>
        <w:rPr>
          <w:rFonts w:ascii="Verdana" w:hAnsi="Verdana"/>
          <w:i/>
          <w:iCs/>
          <w:sz w:val="20"/>
          <w:szCs w:val="20"/>
        </w:rPr>
      </w:pPr>
      <w:r>
        <w:rPr>
          <w:rFonts w:ascii="Verdana" w:hAnsi="Verdana"/>
          <w:i/>
          <w:iCs/>
          <w:sz w:val="20"/>
          <w:szCs w:val="20"/>
        </w:rPr>
        <w:t>Hindustan Uniliver Ltd vs CCE-2010 (250) ELT 92 (T-Ahmd)</w:t>
      </w:r>
    </w:p>
    <w:p w:rsidR="00AB0F56" w:rsidRPr="00AC0AD3" w:rsidRDefault="00AC0AD3" w:rsidP="00BB74E1">
      <w:pPr>
        <w:pStyle w:val="Default"/>
        <w:jc w:val="both"/>
        <w:rPr>
          <w:b/>
        </w:rPr>
      </w:pPr>
      <w:r w:rsidRPr="00AC0AD3">
        <w:rPr>
          <w:b/>
        </w:rPr>
        <w:t>Other Decisions</w:t>
      </w:r>
      <w:r>
        <w:rPr>
          <w:b/>
        </w:rPr>
        <w:t xml:space="preserve"> (Quick Analysis)</w:t>
      </w:r>
    </w:p>
    <w:p w:rsidR="00AC0AD3" w:rsidRDefault="00AC0AD3" w:rsidP="00BB74E1">
      <w:pPr>
        <w:pStyle w:val="Default"/>
        <w:jc w:val="both"/>
      </w:pPr>
    </w:p>
    <w:p w:rsidR="00AC0AD3" w:rsidRDefault="00AC0AD3" w:rsidP="00AC0AD3">
      <w:pPr>
        <w:pStyle w:val="NormalWeb"/>
        <w:rPr>
          <w:b/>
          <w:bCs/>
        </w:rPr>
      </w:pPr>
      <w:r>
        <w:rPr>
          <w:rFonts w:ascii="Verdana" w:hAnsi="Verdana"/>
          <w:b/>
          <w:bCs/>
          <w:sz w:val="20"/>
          <w:szCs w:val="20"/>
        </w:rPr>
        <w:t>1. Proviso to section 3(1) of Central Excise Act – DTA clearance</w:t>
      </w:r>
    </w:p>
    <w:p w:rsidR="00AC0AD3" w:rsidRDefault="00AC0AD3" w:rsidP="00AC0AD3">
      <w:pPr>
        <w:pStyle w:val="NormalWeb"/>
      </w:pPr>
      <w:r>
        <w:rPr>
          <w:rFonts w:ascii="Verdana" w:hAnsi="Verdana"/>
          <w:sz w:val="20"/>
          <w:szCs w:val="20"/>
        </w:rPr>
        <w:t>Customs duty once determined and education cess on whole of customs duty is added, question of adding education cess again does not arise for the clearance to DTA by Export Oriented Unit.</w:t>
      </w:r>
    </w:p>
    <w:p w:rsidR="00AC0AD3" w:rsidRDefault="00AC0AD3" w:rsidP="00AC0AD3">
      <w:pPr>
        <w:pStyle w:val="NormalWeb"/>
      </w:pPr>
      <w:r>
        <w:rPr>
          <w:rFonts w:ascii="Verdana" w:hAnsi="Verdana"/>
          <w:i/>
          <w:iCs/>
          <w:sz w:val="20"/>
          <w:szCs w:val="20"/>
        </w:rPr>
        <w:t>Sarla Performance Fibres Ltd vs. Commissioner of Central Excise, Vapi- 2010 (253) ELT 203 (T-A’bad).</w:t>
      </w:r>
    </w:p>
    <w:p w:rsidR="00AC0AD3" w:rsidRDefault="00AC0AD3" w:rsidP="00AC0AD3">
      <w:pPr>
        <w:pStyle w:val="NormalWeb"/>
        <w:rPr>
          <w:b/>
          <w:bCs/>
        </w:rPr>
      </w:pPr>
      <w:r>
        <w:rPr>
          <w:rFonts w:ascii="Verdana" w:hAnsi="Verdana"/>
          <w:b/>
          <w:bCs/>
          <w:sz w:val="20"/>
          <w:szCs w:val="20"/>
        </w:rPr>
        <w:lastRenderedPageBreak/>
        <w:t>2. Rule 2(a) &amp; Rule 2(k) – Cenvat Credit Rules, 2004</w:t>
      </w:r>
    </w:p>
    <w:p w:rsidR="00AC0AD3" w:rsidRDefault="00AC0AD3" w:rsidP="00AC0AD3">
      <w:pPr>
        <w:pStyle w:val="NormalWeb"/>
      </w:pPr>
      <w:r>
        <w:rPr>
          <w:rFonts w:ascii="Verdana" w:hAnsi="Verdana"/>
          <w:sz w:val="20"/>
          <w:szCs w:val="20"/>
        </w:rPr>
        <w:t>Cement &amp; steel items used for laying of foundation and for building structure support not covered under inputs even for the period before amendment from 7-7-2009 — Credit not admissible.</w:t>
      </w:r>
    </w:p>
    <w:p w:rsidR="00AC0AD3" w:rsidRDefault="00AC0AD3" w:rsidP="00AC0AD3">
      <w:pPr>
        <w:pStyle w:val="NormalWeb"/>
      </w:pPr>
      <w:r>
        <w:rPr>
          <w:rFonts w:ascii="Verdana" w:hAnsi="Verdana"/>
          <w:i/>
          <w:iCs/>
          <w:sz w:val="20"/>
          <w:szCs w:val="20"/>
        </w:rPr>
        <w:t>Vandana Global Ltd. vs. Commissioner of Central Excise – 2010 (253) ELT 440 (T-LB).</w:t>
      </w:r>
    </w:p>
    <w:p w:rsidR="00AC0AD3" w:rsidRDefault="00AC0AD3" w:rsidP="00AC0AD3">
      <w:pPr>
        <w:pStyle w:val="NormalWeb"/>
        <w:rPr>
          <w:b/>
          <w:bCs/>
        </w:rPr>
      </w:pPr>
      <w:r>
        <w:rPr>
          <w:rFonts w:ascii="Verdana" w:hAnsi="Verdana"/>
          <w:b/>
          <w:bCs/>
          <w:sz w:val="20"/>
          <w:szCs w:val="20"/>
        </w:rPr>
        <w:t>3. Rule 5-Refund under Cenvat Credit Rules, 2004</w:t>
      </w:r>
    </w:p>
    <w:p w:rsidR="00AC0AD3" w:rsidRDefault="00AC0AD3" w:rsidP="00AC0AD3">
      <w:pPr>
        <w:pStyle w:val="NormalWeb"/>
      </w:pPr>
      <w:r>
        <w:rPr>
          <w:rFonts w:ascii="Verdana" w:hAnsi="Verdana"/>
          <w:sz w:val="20"/>
          <w:szCs w:val="20"/>
        </w:rPr>
        <w:t>Refund of Cenvat credit admissible on export of exempted goods.</w:t>
      </w:r>
    </w:p>
    <w:p w:rsidR="00AC0AD3" w:rsidRDefault="00AC0AD3" w:rsidP="00AC0AD3">
      <w:pPr>
        <w:pStyle w:val="NormalWeb"/>
      </w:pPr>
      <w:r>
        <w:rPr>
          <w:rFonts w:ascii="Verdana" w:hAnsi="Verdana"/>
          <w:i/>
          <w:iCs/>
          <w:sz w:val="20"/>
          <w:szCs w:val="20"/>
        </w:rPr>
        <w:t>Commissioner of Central Excise vs. Drish Shoes Ltd. – 2010(254) ELT 417 (HP-HC).</w:t>
      </w:r>
    </w:p>
    <w:p w:rsidR="00AC0AD3" w:rsidRDefault="00AC0AD3" w:rsidP="00AC0AD3">
      <w:pPr>
        <w:pStyle w:val="NormalWeb"/>
        <w:rPr>
          <w:b/>
          <w:bCs/>
        </w:rPr>
      </w:pPr>
      <w:r>
        <w:rPr>
          <w:rFonts w:ascii="Verdana" w:hAnsi="Verdana"/>
          <w:b/>
          <w:bCs/>
          <w:sz w:val="20"/>
          <w:szCs w:val="20"/>
        </w:rPr>
        <w:t>4. Rule 6(3) of Cenvat Credit Rules – Clearance under Served from India Scheme (SFIS), not an exempted clearance</w:t>
      </w:r>
    </w:p>
    <w:p w:rsidR="00AC0AD3" w:rsidRDefault="00AC0AD3" w:rsidP="00AC0AD3">
      <w:pPr>
        <w:pStyle w:val="NormalWeb"/>
      </w:pPr>
      <w:r>
        <w:rPr>
          <w:rFonts w:ascii="Verdana" w:hAnsi="Verdana"/>
          <w:sz w:val="20"/>
          <w:szCs w:val="20"/>
        </w:rPr>
        <w:t>Manufacture and clearance of goods under SFIS at NIL rate of duty would not amount to exempted clearance. Not liable to pay 10% under the cenvat Credit Rule.</w:t>
      </w:r>
    </w:p>
    <w:p w:rsidR="00AC0AD3" w:rsidRDefault="00AC0AD3" w:rsidP="00AC0AD3">
      <w:pPr>
        <w:pStyle w:val="NormalWeb"/>
      </w:pPr>
      <w:r>
        <w:rPr>
          <w:rFonts w:ascii="Verdana" w:hAnsi="Verdana"/>
          <w:i/>
          <w:iCs/>
          <w:sz w:val="20"/>
          <w:szCs w:val="20"/>
        </w:rPr>
        <w:t>Universal Power Transformers Pvt. Ltd. vs. CCE, Bengaluru – 2010-TIOL-985-CESTAT- Bengaluru.</w:t>
      </w:r>
    </w:p>
    <w:p w:rsidR="00AC0AD3" w:rsidRDefault="00AC0AD3" w:rsidP="00AC0AD3">
      <w:pPr>
        <w:pStyle w:val="NormalWeb"/>
        <w:rPr>
          <w:b/>
          <w:bCs/>
        </w:rPr>
      </w:pPr>
      <w:r>
        <w:rPr>
          <w:rFonts w:ascii="Verdana" w:hAnsi="Verdana"/>
          <w:b/>
          <w:bCs/>
          <w:sz w:val="20"/>
          <w:szCs w:val="20"/>
        </w:rPr>
        <w:t>5. Rule 14 of Cenvat Credit Rules – Interest not chargeable if cenvat not utilised</w:t>
      </w:r>
    </w:p>
    <w:p w:rsidR="00AC0AD3" w:rsidRDefault="00AC0AD3" w:rsidP="00AC0AD3">
      <w:pPr>
        <w:pStyle w:val="NormalWeb"/>
      </w:pPr>
      <w:r>
        <w:rPr>
          <w:rFonts w:ascii="Verdana" w:hAnsi="Verdana"/>
          <w:sz w:val="20"/>
          <w:szCs w:val="20"/>
        </w:rPr>
        <w:t>Interest not chargeable when the wrongly availed cenvat credit not utilised.</w:t>
      </w:r>
    </w:p>
    <w:p w:rsidR="00AC0AD3" w:rsidRDefault="00AC0AD3" w:rsidP="00AC0AD3">
      <w:pPr>
        <w:pStyle w:val="NormalWeb"/>
      </w:pPr>
      <w:r>
        <w:rPr>
          <w:rFonts w:ascii="Verdana" w:hAnsi="Verdana"/>
          <w:i/>
          <w:iCs/>
          <w:sz w:val="20"/>
          <w:szCs w:val="20"/>
        </w:rPr>
        <w:t>Indo Shell Mould Ltd. vs. CCE-2010 (253) ELT 799 (T- Chennai).</w:t>
      </w:r>
    </w:p>
    <w:p w:rsidR="00AC0AD3" w:rsidRDefault="00AC0AD3" w:rsidP="00AC0AD3">
      <w:pPr>
        <w:pStyle w:val="NormalWeb"/>
        <w:rPr>
          <w:b/>
          <w:bCs/>
        </w:rPr>
      </w:pPr>
      <w:r>
        <w:rPr>
          <w:rFonts w:ascii="Verdana" w:hAnsi="Verdana"/>
          <w:b/>
          <w:bCs/>
          <w:sz w:val="20"/>
          <w:szCs w:val="20"/>
        </w:rPr>
        <w:t>6. Rule 209A – Penalty under erstwhile Central Excise Act, 1944</w:t>
      </w:r>
    </w:p>
    <w:p w:rsidR="00AC0AD3" w:rsidRDefault="00AC0AD3" w:rsidP="00AC0AD3">
      <w:pPr>
        <w:pStyle w:val="NormalWeb"/>
      </w:pPr>
      <w:r>
        <w:rPr>
          <w:rFonts w:ascii="Verdana" w:hAnsi="Verdana"/>
          <w:sz w:val="20"/>
          <w:szCs w:val="20"/>
        </w:rPr>
        <w:t>Transporters abetting in passing on fake Modvat documents liable to penalty. Transporters had issued blank LR books and thus helped dealers to raise bogus/fake modvatable documents to enable buyers to avail modvat credit.</w:t>
      </w:r>
    </w:p>
    <w:p w:rsidR="00AC0AD3" w:rsidRDefault="00AC0AD3" w:rsidP="00AC0AD3">
      <w:pPr>
        <w:pStyle w:val="NormalWeb"/>
      </w:pPr>
      <w:r>
        <w:rPr>
          <w:rFonts w:ascii="Verdana" w:hAnsi="Verdana"/>
          <w:i/>
          <w:iCs/>
          <w:sz w:val="20"/>
          <w:szCs w:val="20"/>
        </w:rPr>
        <w:t>Commissioner of Central Excise vs. Deepak Roadways – 2010-TIOL-492-HC-P&amp; H.</w:t>
      </w:r>
    </w:p>
    <w:p w:rsidR="00AC0AD3" w:rsidRDefault="00AC0AD3" w:rsidP="00AC0AD3">
      <w:pPr>
        <w:pStyle w:val="NormalWeb"/>
        <w:rPr>
          <w:b/>
          <w:bCs/>
        </w:rPr>
      </w:pPr>
      <w:r>
        <w:rPr>
          <w:rFonts w:ascii="Verdana" w:hAnsi="Verdana"/>
          <w:b/>
          <w:bCs/>
          <w:sz w:val="20"/>
          <w:szCs w:val="20"/>
        </w:rPr>
        <w:t>7. Section 3 – Dutiability of DTA clearance</w:t>
      </w:r>
    </w:p>
    <w:p w:rsidR="00AC0AD3" w:rsidRDefault="00AC0AD3" w:rsidP="00AC0AD3">
      <w:pPr>
        <w:pStyle w:val="NormalWeb"/>
      </w:pPr>
      <w:r>
        <w:rPr>
          <w:rFonts w:ascii="Verdana" w:hAnsi="Verdana"/>
          <w:sz w:val="20"/>
          <w:szCs w:val="20"/>
        </w:rPr>
        <w:t>EOU not liable to pay duty under Excise section 3 on DTA clearance of non-excisable goods.</w:t>
      </w:r>
    </w:p>
    <w:p w:rsidR="00AC0AD3" w:rsidRDefault="00AC0AD3" w:rsidP="00AC0AD3">
      <w:pPr>
        <w:pStyle w:val="NormalWeb"/>
      </w:pPr>
      <w:r>
        <w:rPr>
          <w:rFonts w:ascii="Verdana" w:hAnsi="Verdana"/>
          <w:i/>
          <w:iCs/>
          <w:sz w:val="20"/>
          <w:szCs w:val="20"/>
        </w:rPr>
        <w:t>Commissioner of Central Excise vs. Sesame Foods – 2010(254) ELT 504 (T-Delhi).</w:t>
      </w:r>
    </w:p>
    <w:p w:rsidR="00AC0AD3" w:rsidRDefault="00AC0AD3" w:rsidP="00AC0AD3">
      <w:pPr>
        <w:pStyle w:val="NormalWeb"/>
        <w:rPr>
          <w:b/>
          <w:bCs/>
        </w:rPr>
      </w:pPr>
      <w:r>
        <w:rPr>
          <w:rFonts w:ascii="Verdana" w:hAnsi="Verdana"/>
          <w:b/>
          <w:bCs/>
          <w:sz w:val="20"/>
          <w:szCs w:val="20"/>
        </w:rPr>
        <w:t>8. Section 4A – Assessment under Central Excise Act, 1944</w:t>
      </w:r>
    </w:p>
    <w:p w:rsidR="00AC0AD3" w:rsidRDefault="00AC0AD3" w:rsidP="00AC0AD3">
      <w:pPr>
        <w:pStyle w:val="NormalWeb"/>
      </w:pPr>
      <w:r>
        <w:rPr>
          <w:rFonts w:ascii="Verdana" w:hAnsi="Verdana"/>
          <w:sz w:val="20"/>
          <w:szCs w:val="20"/>
        </w:rPr>
        <w:t>Provisional assessment not applicable to MRP based assessments under section 4A of Central Excise Act 1944.</w:t>
      </w:r>
    </w:p>
    <w:p w:rsidR="00AC0AD3" w:rsidRDefault="00AC0AD3" w:rsidP="00AC0AD3">
      <w:pPr>
        <w:pStyle w:val="NormalWeb"/>
      </w:pPr>
      <w:r>
        <w:rPr>
          <w:rFonts w:ascii="Verdana" w:hAnsi="Verdana"/>
          <w:i/>
          <w:iCs/>
          <w:sz w:val="20"/>
          <w:szCs w:val="20"/>
        </w:rPr>
        <w:t>Kinetic Engg Ltd vs. CCE, Pune-2010 (254)289 (T-Mumbai).</w:t>
      </w:r>
    </w:p>
    <w:p w:rsidR="00AC0AD3" w:rsidRDefault="00AC0AD3" w:rsidP="00AC0AD3">
      <w:pPr>
        <w:pStyle w:val="NormalWeb"/>
        <w:rPr>
          <w:b/>
          <w:bCs/>
        </w:rPr>
      </w:pPr>
      <w:r>
        <w:rPr>
          <w:rFonts w:ascii="Verdana" w:hAnsi="Verdana"/>
          <w:b/>
          <w:bCs/>
          <w:sz w:val="20"/>
          <w:szCs w:val="20"/>
        </w:rPr>
        <w:lastRenderedPageBreak/>
        <w:t>9. Sections 9 &amp; 32E – Prosecution under Central Excise</w:t>
      </w:r>
    </w:p>
    <w:p w:rsidR="00AC0AD3" w:rsidRDefault="00AC0AD3" w:rsidP="00AC0AD3">
      <w:pPr>
        <w:pStyle w:val="NormalWeb"/>
      </w:pPr>
      <w:r>
        <w:rPr>
          <w:rFonts w:ascii="Verdana" w:hAnsi="Verdana"/>
          <w:sz w:val="20"/>
          <w:szCs w:val="20"/>
        </w:rPr>
        <w:t>Prosecution cannot continue when application for settlement pending.</w:t>
      </w:r>
    </w:p>
    <w:p w:rsidR="00AC0AD3" w:rsidRDefault="00AC0AD3" w:rsidP="00AC0AD3">
      <w:pPr>
        <w:pStyle w:val="NormalWeb"/>
      </w:pPr>
      <w:r>
        <w:rPr>
          <w:rFonts w:ascii="Verdana" w:hAnsi="Verdana"/>
          <w:i/>
          <w:iCs/>
          <w:sz w:val="20"/>
          <w:szCs w:val="20"/>
        </w:rPr>
        <w:t>Sanghvi Electronics Pvt. Ltd. vs. State of Maharashtra – 2010 (254) ELT 206 (Bom-HC).</w:t>
      </w:r>
    </w:p>
    <w:p w:rsidR="00D42016" w:rsidRDefault="00D42016" w:rsidP="00D42016">
      <w:pPr>
        <w:pStyle w:val="NormalWeb"/>
        <w:rPr>
          <w:rFonts w:ascii="Verdana" w:hAnsi="Verdana"/>
          <w:b/>
          <w:bCs/>
          <w:sz w:val="27"/>
          <w:szCs w:val="27"/>
        </w:rPr>
      </w:pPr>
      <w:r>
        <w:rPr>
          <w:rFonts w:ascii="Verdana" w:hAnsi="Verdana"/>
          <w:b/>
          <w:bCs/>
          <w:sz w:val="20"/>
          <w:szCs w:val="20"/>
        </w:rPr>
        <w:t>10. Section 11A of Central Excise Act, 1944- Clandestine removal &amp; demand</w:t>
      </w:r>
    </w:p>
    <w:p w:rsidR="00D42016" w:rsidRDefault="00D42016" w:rsidP="00D42016">
      <w:pPr>
        <w:pStyle w:val="NormalWeb"/>
      </w:pPr>
      <w:r>
        <w:rPr>
          <w:rFonts w:ascii="Verdana" w:hAnsi="Verdana"/>
          <w:sz w:val="20"/>
          <w:szCs w:val="20"/>
        </w:rPr>
        <w:t>Show cause notice issued on the presumption that entries, as recorded in private note book maintained by labour contractor, should be taken as the clearance figures of finished products from the factory – Such presumption not permissible in the absence of any corroborating reliable and independent evidence.</w:t>
      </w:r>
    </w:p>
    <w:p w:rsidR="00D42016" w:rsidRDefault="00D42016" w:rsidP="00D42016">
      <w:pPr>
        <w:pStyle w:val="NormalWeb"/>
      </w:pPr>
      <w:r>
        <w:rPr>
          <w:rFonts w:ascii="Verdana" w:hAnsi="Verdana"/>
          <w:i/>
          <w:iCs/>
          <w:sz w:val="20"/>
          <w:szCs w:val="20"/>
        </w:rPr>
        <w:t>CCE vs. Lords Chemicals Ltd. 2010(258) ELT 48 (Cal-HC).</w:t>
      </w:r>
    </w:p>
    <w:p w:rsidR="00D42016" w:rsidRDefault="00D42016" w:rsidP="00D42016">
      <w:pPr>
        <w:pStyle w:val="NormalWeb"/>
        <w:rPr>
          <w:rFonts w:ascii="Verdana" w:hAnsi="Verdana"/>
          <w:b/>
          <w:bCs/>
          <w:sz w:val="27"/>
          <w:szCs w:val="27"/>
        </w:rPr>
      </w:pPr>
      <w:r>
        <w:rPr>
          <w:rFonts w:ascii="Verdana" w:hAnsi="Verdana"/>
          <w:b/>
          <w:bCs/>
          <w:sz w:val="20"/>
          <w:szCs w:val="20"/>
        </w:rPr>
        <w:t>11. Rule 14 of Cenvat credit rules.-No Interest if cenvat credit availed and not utilised.</w:t>
      </w:r>
    </w:p>
    <w:p w:rsidR="00D42016" w:rsidRDefault="00D42016" w:rsidP="00D42016">
      <w:pPr>
        <w:pStyle w:val="NormalWeb"/>
      </w:pPr>
      <w:r>
        <w:rPr>
          <w:rFonts w:ascii="Verdana" w:hAnsi="Verdana"/>
          <w:sz w:val="20"/>
          <w:szCs w:val="20"/>
        </w:rPr>
        <w:t>Cenvat credit wrongly availed &amp; Reversal of credit without utilization. In that view, assessee not required to pay interest on wrongly availed credit on its reversal.</w:t>
      </w:r>
    </w:p>
    <w:p w:rsidR="00D42016" w:rsidRDefault="00D42016" w:rsidP="00D42016">
      <w:pPr>
        <w:pStyle w:val="NormalWeb"/>
      </w:pPr>
      <w:r>
        <w:rPr>
          <w:rFonts w:ascii="Verdana" w:hAnsi="Verdana"/>
          <w:i/>
          <w:iCs/>
          <w:sz w:val="20"/>
          <w:szCs w:val="20"/>
        </w:rPr>
        <w:t>CCE vs. M.J.Pharmaceutical Industries Ltd.-2010 (258) E.L.T. 38 (Guj-HC.)</w:t>
      </w:r>
    </w:p>
    <w:p w:rsidR="00D42016" w:rsidRDefault="00D42016" w:rsidP="00D42016">
      <w:pPr>
        <w:pStyle w:val="NormalWeb"/>
        <w:rPr>
          <w:rFonts w:ascii="Verdana" w:hAnsi="Verdana"/>
          <w:b/>
          <w:bCs/>
          <w:sz w:val="27"/>
          <w:szCs w:val="27"/>
        </w:rPr>
      </w:pPr>
      <w:r>
        <w:rPr>
          <w:rFonts w:ascii="Verdana" w:hAnsi="Verdana"/>
          <w:b/>
          <w:bCs/>
          <w:sz w:val="20"/>
          <w:szCs w:val="20"/>
        </w:rPr>
        <w:t>12. Section 11A-Recovery of dues – GIDC cannot seek to recover Central Excise dues</w:t>
      </w:r>
    </w:p>
    <w:p w:rsidR="00D42016" w:rsidRDefault="00D42016" w:rsidP="00D42016">
      <w:pPr>
        <w:pStyle w:val="NormalWeb"/>
      </w:pPr>
      <w:r>
        <w:rPr>
          <w:rFonts w:ascii="Verdana" w:hAnsi="Verdana"/>
          <w:sz w:val="20"/>
          <w:szCs w:val="20"/>
        </w:rPr>
        <w:t xml:space="preserve">GIDC is entitled to seek satisfaction of its dues before effecting transfer of immovable property in favour of Petitioners - However GIDC cannot seek to recover dues of Central Excise Department by asking the Petitioners to obtain an NOC from Central Excise Department. </w:t>
      </w:r>
    </w:p>
    <w:p w:rsidR="00D42016" w:rsidRDefault="00D42016" w:rsidP="00D42016">
      <w:pPr>
        <w:pStyle w:val="NormalWeb"/>
      </w:pPr>
      <w:r>
        <w:rPr>
          <w:rFonts w:ascii="Verdana" w:hAnsi="Verdana"/>
          <w:i/>
          <w:iCs/>
          <w:sz w:val="20"/>
          <w:szCs w:val="20"/>
        </w:rPr>
        <w:t>Sureshkumar M. Bhingardia vs. Union of India- 2010 (258) E.L.T. 28 (Guj-HC.)</w:t>
      </w:r>
    </w:p>
    <w:p w:rsidR="00D42016" w:rsidRDefault="00D42016" w:rsidP="00D42016">
      <w:pPr>
        <w:pStyle w:val="NormalWeb"/>
        <w:rPr>
          <w:rFonts w:ascii="Verdana" w:hAnsi="Verdana"/>
          <w:b/>
          <w:bCs/>
          <w:sz w:val="27"/>
          <w:szCs w:val="27"/>
        </w:rPr>
      </w:pPr>
      <w:r>
        <w:rPr>
          <w:rFonts w:ascii="Verdana" w:hAnsi="Verdana"/>
          <w:b/>
          <w:bCs/>
          <w:sz w:val="20"/>
          <w:szCs w:val="20"/>
        </w:rPr>
        <w:t xml:space="preserve">13. Rule 4(5) of Cenvat Credit Rules, 2004-Principal manufacturer eligible for Cenvat Credit. </w:t>
      </w:r>
    </w:p>
    <w:p w:rsidR="00D42016" w:rsidRDefault="00D42016" w:rsidP="00D42016">
      <w:pPr>
        <w:pStyle w:val="NormalWeb"/>
      </w:pPr>
      <w:r>
        <w:rPr>
          <w:rFonts w:ascii="Verdana" w:hAnsi="Verdana"/>
          <w:sz w:val="20"/>
          <w:szCs w:val="20"/>
        </w:rPr>
        <w:t xml:space="preserve">Principal manufacturer sending inputs to job worker without reversal of credit thereon – Job worker returning them on payment of duty and principal manufacturer taking its credit again – HELD : Principal manufacturer was entitled to take the credit and there was no dual benefit to them. </w:t>
      </w:r>
    </w:p>
    <w:p w:rsidR="00D42016" w:rsidRDefault="00D42016" w:rsidP="00D42016">
      <w:pPr>
        <w:pStyle w:val="NormalWeb"/>
        <w:rPr>
          <w:rFonts w:ascii="Verdana" w:hAnsi="Verdana"/>
          <w:i/>
          <w:iCs/>
          <w:sz w:val="20"/>
          <w:szCs w:val="20"/>
        </w:rPr>
      </w:pPr>
      <w:r>
        <w:rPr>
          <w:rFonts w:ascii="Verdana" w:hAnsi="Verdana"/>
          <w:i/>
          <w:iCs/>
          <w:sz w:val="20"/>
          <w:szCs w:val="20"/>
        </w:rPr>
        <w:t>Aries Dyechem Industries vs. Commissioner of Central Excise-2010 (257) E.L.T. 113 (T).</w:t>
      </w:r>
    </w:p>
    <w:p w:rsidR="00D42016" w:rsidRDefault="00D42016" w:rsidP="00D42016">
      <w:pPr>
        <w:pStyle w:val="NormalWeb"/>
        <w:rPr>
          <w:rFonts w:ascii="Verdana" w:hAnsi="Verdana"/>
          <w:b/>
          <w:bCs/>
          <w:sz w:val="27"/>
          <w:szCs w:val="27"/>
        </w:rPr>
      </w:pPr>
      <w:r>
        <w:rPr>
          <w:rFonts w:ascii="Verdana" w:hAnsi="Verdana"/>
          <w:b/>
          <w:bCs/>
          <w:sz w:val="20"/>
          <w:szCs w:val="20"/>
        </w:rPr>
        <w:t>14. Section 35 of Central Excise Act – Commissioner (Appeals) has no power to condone delay beyond period of 30 days.</w:t>
      </w:r>
    </w:p>
    <w:p w:rsidR="00D42016" w:rsidRDefault="00D42016" w:rsidP="00D42016">
      <w:pPr>
        <w:pStyle w:val="NormalWeb"/>
      </w:pPr>
      <w:r>
        <w:rPr>
          <w:rFonts w:ascii="Verdana" w:hAnsi="Verdana"/>
          <w:sz w:val="20"/>
          <w:szCs w:val="20"/>
        </w:rPr>
        <w:t>Appeal to Commissioner (Appeals) – Limitation – Power to condone delay beyond 30 days – Provisions of Section 5 of Limitation Act, 1963 in applicable to Section 35 of Central Excise Act, 1944</w:t>
      </w:r>
    </w:p>
    <w:p w:rsidR="00D42016" w:rsidRDefault="00D42016" w:rsidP="00D42016">
      <w:pPr>
        <w:pStyle w:val="NormalWeb"/>
      </w:pPr>
      <w:r>
        <w:rPr>
          <w:rFonts w:ascii="Verdana" w:hAnsi="Verdana"/>
          <w:i/>
          <w:iCs/>
          <w:sz w:val="20"/>
          <w:szCs w:val="20"/>
        </w:rPr>
        <w:lastRenderedPageBreak/>
        <w:t>Amchong Tea Estate vs. Union of India- 2010 (257) E.L.T. 3 (S.C.).</w:t>
      </w:r>
    </w:p>
    <w:p w:rsidR="00D42016" w:rsidRDefault="00D42016" w:rsidP="00D42016">
      <w:pPr>
        <w:pStyle w:val="NormalWeb"/>
        <w:rPr>
          <w:rFonts w:ascii="Verdana" w:hAnsi="Verdana"/>
          <w:b/>
          <w:bCs/>
          <w:sz w:val="27"/>
          <w:szCs w:val="27"/>
        </w:rPr>
      </w:pPr>
      <w:r>
        <w:rPr>
          <w:rFonts w:ascii="Verdana" w:hAnsi="Verdana"/>
          <w:b/>
          <w:bCs/>
          <w:sz w:val="20"/>
          <w:szCs w:val="20"/>
        </w:rPr>
        <w:t>15. Rule 26 of Central Excise Rules, 2002-Personal penalty on Managing Director, Director &amp; Project-in-charge.</w:t>
      </w:r>
    </w:p>
    <w:p w:rsidR="00D42016" w:rsidRDefault="00D42016" w:rsidP="00D42016">
      <w:pPr>
        <w:pStyle w:val="NormalWeb"/>
        <w:rPr>
          <w:rFonts w:ascii="Verdana" w:hAnsi="Verdana"/>
          <w:sz w:val="20"/>
          <w:szCs w:val="20"/>
        </w:rPr>
      </w:pPr>
      <w:r>
        <w:rPr>
          <w:rFonts w:ascii="Verdana" w:hAnsi="Verdana"/>
          <w:sz w:val="20"/>
          <w:szCs w:val="20"/>
        </w:rPr>
        <w:t xml:space="preserve">Personal penalty on Managing Director, Director and Project in-charge cannot be imposed for use of brand name of others by SSI. No evidence of knowledge or intention on part of said persons in relation to evasion by company. </w:t>
      </w:r>
    </w:p>
    <w:p w:rsidR="00D42016" w:rsidRDefault="00D42016" w:rsidP="00D42016">
      <w:pPr>
        <w:pStyle w:val="NormalWeb"/>
        <w:rPr>
          <w:rFonts w:ascii="Verdana" w:hAnsi="Verdana"/>
          <w:sz w:val="20"/>
          <w:szCs w:val="20"/>
        </w:rPr>
      </w:pPr>
      <w:r>
        <w:rPr>
          <w:rFonts w:ascii="Verdana" w:hAnsi="Verdana"/>
          <w:i/>
          <w:iCs/>
          <w:sz w:val="20"/>
          <w:szCs w:val="20"/>
        </w:rPr>
        <w:t>Commissioner of Central Excise vs. Shyam Detergents- 2010 (256) E.L.T. 783 (Tri. Del.)</w:t>
      </w:r>
    </w:p>
    <w:p w:rsidR="00D42016" w:rsidRDefault="00D42016" w:rsidP="00BB74E1">
      <w:pPr>
        <w:pStyle w:val="Default"/>
        <w:jc w:val="both"/>
      </w:pPr>
    </w:p>
    <w:sectPr w:rsidR="00D42016" w:rsidSect="00C059FD">
      <w:pgSz w:w="12240" w:h="15840"/>
      <w:pgMar w:top="1440" w:right="1440" w:bottom="1440" w:left="15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E11A9A"/>
    <w:rsid w:val="000146C8"/>
    <w:rsid w:val="0003601E"/>
    <w:rsid w:val="00132125"/>
    <w:rsid w:val="001857B1"/>
    <w:rsid w:val="001D0760"/>
    <w:rsid w:val="00220625"/>
    <w:rsid w:val="00223450"/>
    <w:rsid w:val="00237048"/>
    <w:rsid w:val="00243EA9"/>
    <w:rsid w:val="00273040"/>
    <w:rsid w:val="003F0642"/>
    <w:rsid w:val="004816C7"/>
    <w:rsid w:val="00495CA1"/>
    <w:rsid w:val="005F7157"/>
    <w:rsid w:val="006E005F"/>
    <w:rsid w:val="00767C74"/>
    <w:rsid w:val="00971570"/>
    <w:rsid w:val="009F15F3"/>
    <w:rsid w:val="00AB0F56"/>
    <w:rsid w:val="00AC0AD3"/>
    <w:rsid w:val="00B63AED"/>
    <w:rsid w:val="00BB74E1"/>
    <w:rsid w:val="00C059FD"/>
    <w:rsid w:val="00C65206"/>
    <w:rsid w:val="00CA3B97"/>
    <w:rsid w:val="00D42016"/>
    <w:rsid w:val="00E11A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59F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5F71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78088842">
      <w:bodyDiv w:val="1"/>
      <w:marLeft w:val="0"/>
      <w:marRight w:val="0"/>
      <w:marTop w:val="0"/>
      <w:marBottom w:val="0"/>
      <w:divBdr>
        <w:top w:val="none" w:sz="0" w:space="0" w:color="auto"/>
        <w:left w:val="none" w:sz="0" w:space="0" w:color="auto"/>
        <w:bottom w:val="none" w:sz="0" w:space="0" w:color="auto"/>
        <w:right w:val="none" w:sz="0" w:space="0" w:color="auto"/>
      </w:divBdr>
      <w:divsChild>
        <w:div w:id="369963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518690">
          <w:blockQuote w:val="1"/>
          <w:marLeft w:val="720"/>
          <w:marRight w:val="720"/>
          <w:marTop w:val="100"/>
          <w:marBottom w:val="100"/>
          <w:divBdr>
            <w:top w:val="none" w:sz="0" w:space="0" w:color="auto"/>
            <w:left w:val="none" w:sz="0" w:space="0" w:color="auto"/>
            <w:bottom w:val="none" w:sz="0" w:space="0" w:color="auto"/>
            <w:right w:val="none" w:sz="0" w:space="0" w:color="auto"/>
          </w:divBdr>
        </w:div>
        <w:div w:id="612251683">
          <w:blockQuote w:val="1"/>
          <w:marLeft w:val="720"/>
          <w:marRight w:val="720"/>
          <w:marTop w:val="100"/>
          <w:marBottom w:val="100"/>
          <w:divBdr>
            <w:top w:val="none" w:sz="0" w:space="0" w:color="auto"/>
            <w:left w:val="none" w:sz="0" w:space="0" w:color="auto"/>
            <w:bottom w:val="none" w:sz="0" w:space="0" w:color="auto"/>
            <w:right w:val="none" w:sz="0" w:space="0" w:color="auto"/>
          </w:divBdr>
        </w:div>
        <w:div w:id="9725584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565342">
          <w:blockQuote w:val="1"/>
          <w:marLeft w:val="720"/>
          <w:marRight w:val="720"/>
          <w:marTop w:val="100"/>
          <w:marBottom w:val="100"/>
          <w:divBdr>
            <w:top w:val="none" w:sz="0" w:space="0" w:color="auto"/>
            <w:left w:val="none" w:sz="0" w:space="0" w:color="auto"/>
            <w:bottom w:val="none" w:sz="0" w:space="0" w:color="auto"/>
            <w:right w:val="none" w:sz="0" w:space="0" w:color="auto"/>
          </w:divBdr>
        </w:div>
        <w:div w:id="990673927">
          <w:blockQuote w:val="1"/>
          <w:marLeft w:val="720"/>
          <w:marRight w:val="720"/>
          <w:marTop w:val="100"/>
          <w:marBottom w:val="100"/>
          <w:divBdr>
            <w:top w:val="none" w:sz="0" w:space="0" w:color="auto"/>
            <w:left w:val="none" w:sz="0" w:space="0" w:color="auto"/>
            <w:bottom w:val="none" w:sz="0" w:space="0" w:color="auto"/>
            <w:right w:val="none" w:sz="0" w:space="0" w:color="auto"/>
          </w:divBdr>
        </w:div>
        <w:div w:id="88860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179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46431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1257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384343">
      <w:bodyDiv w:val="1"/>
      <w:marLeft w:val="0"/>
      <w:marRight w:val="0"/>
      <w:marTop w:val="0"/>
      <w:marBottom w:val="0"/>
      <w:divBdr>
        <w:top w:val="none" w:sz="0" w:space="0" w:color="auto"/>
        <w:left w:val="none" w:sz="0" w:space="0" w:color="auto"/>
        <w:bottom w:val="none" w:sz="0" w:space="0" w:color="auto"/>
        <w:right w:val="none" w:sz="0" w:space="0" w:color="auto"/>
      </w:divBdr>
      <w:divsChild>
        <w:div w:id="157666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071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739258">
          <w:blockQuote w:val="1"/>
          <w:marLeft w:val="720"/>
          <w:marRight w:val="720"/>
          <w:marTop w:val="100"/>
          <w:marBottom w:val="100"/>
          <w:divBdr>
            <w:top w:val="none" w:sz="0" w:space="0" w:color="auto"/>
            <w:left w:val="none" w:sz="0" w:space="0" w:color="auto"/>
            <w:bottom w:val="none" w:sz="0" w:space="0" w:color="auto"/>
            <w:right w:val="none" w:sz="0" w:space="0" w:color="auto"/>
          </w:divBdr>
        </w:div>
        <w:div w:id="245967862">
          <w:blockQuote w:val="1"/>
          <w:marLeft w:val="720"/>
          <w:marRight w:val="720"/>
          <w:marTop w:val="100"/>
          <w:marBottom w:val="100"/>
          <w:divBdr>
            <w:top w:val="none" w:sz="0" w:space="0" w:color="auto"/>
            <w:left w:val="none" w:sz="0" w:space="0" w:color="auto"/>
            <w:bottom w:val="none" w:sz="0" w:space="0" w:color="auto"/>
            <w:right w:val="none" w:sz="0" w:space="0" w:color="auto"/>
          </w:divBdr>
        </w:div>
        <w:div w:id="34532544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26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357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023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16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84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048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262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5898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930282">
      <w:bodyDiv w:val="1"/>
      <w:marLeft w:val="0"/>
      <w:marRight w:val="0"/>
      <w:marTop w:val="0"/>
      <w:marBottom w:val="0"/>
      <w:divBdr>
        <w:top w:val="none" w:sz="0" w:space="0" w:color="auto"/>
        <w:left w:val="none" w:sz="0" w:space="0" w:color="auto"/>
        <w:bottom w:val="none" w:sz="0" w:space="0" w:color="auto"/>
        <w:right w:val="none" w:sz="0" w:space="0" w:color="auto"/>
      </w:divBdr>
      <w:divsChild>
        <w:div w:id="915015171">
          <w:blockQuote w:val="1"/>
          <w:marLeft w:val="720"/>
          <w:marRight w:val="720"/>
          <w:marTop w:val="100"/>
          <w:marBottom w:val="100"/>
          <w:divBdr>
            <w:top w:val="none" w:sz="0" w:space="0" w:color="auto"/>
            <w:left w:val="none" w:sz="0" w:space="0" w:color="auto"/>
            <w:bottom w:val="none" w:sz="0" w:space="0" w:color="auto"/>
            <w:right w:val="none" w:sz="0" w:space="0" w:color="auto"/>
          </w:divBdr>
        </w:div>
        <w:div w:id="827288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965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6851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435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896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802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2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15</Pages>
  <Words>6708</Words>
  <Characters>38236</Characters>
  <Application>Microsoft Office Word</Application>
  <DocSecurity>0</DocSecurity>
  <Lines>318</Lines>
  <Paragraphs>89</Paragraphs>
  <ScaleCrop>false</ScaleCrop>
  <Company>richlook</Company>
  <LinksUpToDate>false</LinksUpToDate>
  <CharactersWithSpaces>44855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29</cp:revision>
  <dcterms:created xsi:type="dcterms:W3CDTF">2011-01-02T05:39:00Z</dcterms:created>
  <dcterms:modified xsi:type="dcterms:W3CDTF">2011-01-02T08:03:00Z</dcterms:modified>
</cp:coreProperties>
</file>