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059" w:rsidRPr="00210559" w:rsidRDefault="00AA2AC8" w:rsidP="00FD2F5C">
      <w:pPr>
        <w:pStyle w:val="ListParagraph"/>
        <w:jc w:val="center"/>
        <w:rPr>
          <w:rFonts w:ascii="Century Gothic" w:hAnsi="Century Gothic"/>
          <w:b/>
          <w:bCs/>
          <w:color w:val="000000" w:themeColor="text1"/>
          <w:sz w:val="24"/>
          <w:szCs w:val="24"/>
        </w:rPr>
      </w:pPr>
      <w:r w:rsidRPr="00210559">
        <w:rPr>
          <w:rFonts w:ascii="Century Gothic" w:hAnsi="Century Gothic"/>
          <w:b/>
          <w:bCs/>
          <w:color w:val="000000" w:themeColor="text1"/>
          <w:sz w:val="24"/>
          <w:szCs w:val="24"/>
        </w:rPr>
        <w:t>P</w:t>
      </w:r>
      <w:r w:rsidR="00EC4059" w:rsidRPr="00210559">
        <w:rPr>
          <w:rFonts w:ascii="Century Gothic" w:hAnsi="Century Gothic"/>
          <w:b/>
          <w:bCs/>
          <w:color w:val="000000" w:themeColor="text1"/>
          <w:sz w:val="24"/>
          <w:szCs w:val="24"/>
        </w:rPr>
        <w:t>owers of National Company Law Tribunal (NCLT)</w:t>
      </w:r>
    </w:p>
    <w:p w:rsidR="00EC4059" w:rsidRPr="00210559" w:rsidRDefault="00EC4059" w:rsidP="00EC4059">
      <w:pPr>
        <w:jc w:val="center"/>
        <w:rPr>
          <w:rFonts w:ascii="Century Gothic" w:hAnsi="Century Gothic"/>
          <w:b/>
          <w:bCs/>
          <w:color w:val="000000" w:themeColor="text1"/>
          <w:sz w:val="24"/>
          <w:szCs w:val="24"/>
        </w:rPr>
      </w:pPr>
    </w:p>
    <w:p w:rsidR="00EC4059" w:rsidRPr="00210559" w:rsidRDefault="00EC4059" w:rsidP="00EC4059">
      <w:pPr>
        <w:rPr>
          <w:rFonts w:ascii="Century Gothic" w:hAnsi="Century Gothic"/>
          <w:color w:val="000000" w:themeColor="text1"/>
          <w:sz w:val="24"/>
          <w:szCs w:val="24"/>
        </w:rPr>
      </w:pPr>
      <w:r w:rsidRPr="00210559">
        <w:rPr>
          <w:rFonts w:ascii="Century Gothic" w:hAnsi="Century Gothic"/>
          <w:color w:val="000000" w:themeColor="text1"/>
          <w:sz w:val="24"/>
          <w:szCs w:val="24"/>
        </w:rPr>
        <w:t>The Tribunal and the Appellate Tribunal is bound by the rules laid down in the Code of Civil Procedure and is guided by the principles of natural justice, subject to the other provisions of this Act and of any rules that are made by the Central Government. The Tribunal and the Appellate Tribunal has the power to control its own procedure.</w:t>
      </w:r>
    </w:p>
    <w:p w:rsidR="00EC4059" w:rsidRPr="00210559" w:rsidRDefault="00EC4059" w:rsidP="00EC4059">
      <w:pPr>
        <w:rPr>
          <w:rFonts w:ascii="Century Gothic" w:hAnsi="Century Gothic"/>
          <w:color w:val="000000" w:themeColor="text1"/>
          <w:sz w:val="24"/>
          <w:szCs w:val="24"/>
          <w:u w:val="single"/>
        </w:rPr>
      </w:pPr>
      <w:r w:rsidRPr="00210559">
        <w:rPr>
          <w:rFonts w:ascii="Century Gothic" w:hAnsi="Century Gothic"/>
          <w:color w:val="000000" w:themeColor="text1"/>
          <w:sz w:val="24"/>
          <w:szCs w:val="24"/>
          <w:u w:val="single"/>
        </w:rPr>
        <w:t>Further, no civil court has the jurisdiction to consider any suit or proceeding with reference to any matter which the Tribunal or the Appellate Tribunal is empowered to decide.</w:t>
      </w:r>
    </w:p>
    <w:p w:rsidR="00AA2AC8" w:rsidRPr="00210559" w:rsidRDefault="00AA2AC8" w:rsidP="00EC4059">
      <w:pPr>
        <w:rPr>
          <w:rFonts w:ascii="Century Gothic" w:hAnsi="Century Gothic"/>
          <w:color w:val="000000" w:themeColor="text1"/>
          <w:sz w:val="24"/>
          <w:szCs w:val="24"/>
          <w:u w:val="single"/>
        </w:rPr>
      </w:pPr>
    </w:p>
    <w:p w:rsidR="00AA2AC8" w:rsidRPr="00210559" w:rsidRDefault="00AA2AC8" w:rsidP="00AA2AC8">
      <w:pPr>
        <w:rPr>
          <w:rFonts w:ascii="Century Gothic" w:hAnsi="Century Gothic"/>
          <w:color w:val="000000" w:themeColor="text1"/>
          <w:sz w:val="24"/>
          <w:szCs w:val="24"/>
        </w:rPr>
      </w:pPr>
      <w:r w:rsidRPr="00210559">
        <w:rPr>
          <w:rFonts w:ascii="Century Gothic" w:hAnsi="Century Gothic"/>
          <w:color w:val="000000" w:themeColor="text1"/>
          <w:sz w:val="24"/>
          <w:szCs w:val="24"/>
        </w:rPr>
        <w:t>Appeal from order of Tribunal can be raised to the National Company Law Appellate Tribunal (NCLAT). Appeals can be made by any person aggrieved by an order or decision of the NCLT, within a period of 45 days from the date on which a copy of the order or decision of the Tribunal.</w:t>
      </w:r>
    </w:p>
    <w:p w:rsidR="00AA2AC8" w:rsidRPr="00210559" w:rsidRDefault="00AA2AC8" w:rsidP="00AA2AC8">
      <w:pPr>
        <w:rPr>
          <w:rFonts w:ascii="Century Gothic" w:hAnsi="Century Gothic"/>
          <w:color w:val="000000" w:themeColor="text1"/>
          <w:sz w:val="24"/>
          <w:szCs w:val="24"/>
        </w:rPr>
      </w:pPr>
    </w:p>
    <w:p w:rsidR="00AA2AC8" w:rsidRPr="00210559" w:rsidRDefault="00AA2AC8" w:rsidP="00AA2AC8">
      <w:pPr>
        <w:rPr>
          <w:rFonts w:ascii="Century Gothic" w:hAnsi="Century Gothic"/>
          <w:color w:val="000000" w:themeColor="text1"/>
          <w:sz w:val="24"/>
          <w:szCs w:val="24"/>
        </w:rPr>
      </w:pPr>
      <w:r w:rsidRPr="00210559">
        <w:rPr>
          <w:rFonts w:ascii="Century Gothic" w:hAnsi="Century Gothic"/>
          <w:color w:val="000000" w:themeColor="text1"/>
          <w:sz w:val="24"/>
          <w:szCs w:val="24"/>
        </w:rPr>
        <w:t>On the receipt of an appeal from an aggrieved person, the Appellate Tribunal would pass such orders, after giving an opportunity of being heard, as it considers fit, confirming, changing or setting aside the order that is appealed against. The Appellate Tribunal is required to dispose the appeal within a period of six months from the date of the receipt of the appeal.</w:t>
      </w:r>
    </w:p>
    <w:p w:rsidR="00AA2AC8" w:rsidRPr="00210559" w:rsidRDefault="00AA2AC8" w:rsidP="00AA2AC8">
      <w:pPr>
        <w:rPr>
          <w:rFonts w:ascii="Century Gothic" w:hAnsi="Century Gothic"/>
          <w:color w:val="000000" w:themeColor="text1"/>
          <w:sz w:val="24"/>
          <w:szCs w:val="24"/>
        </w:rPr>
      </w:pPr>
    </w:p>
    <w:p w:rsidR="00AF70AF" w:rsidRPr="00210559" w:rsidRDefault="00AF70AF" w:rsidP="00D53DFC">
      <w:pPr>
        <w:pStyle w:val="ListParagraph"/>
        <w:numPr>
          <w:ilvl w:val="0"/>
          <w:numId w:val="11"/>
        </w:numPr>
        <w:jc w:val="left"/>
        <w:rPr>
          <w:rFonts w:ascii="Century Gothic" w:hAnsi="Century Gothic"/>
          <w:b/>
          <w:bCs/>
          <w:color w:val="000000" w:themeColor="text1"/>
          <w:sz w:val="24"/>
          <w:szCs w:val="24"/>
        </w:rPr>
      </w:pPr>
      <w:r w:rsidRPr="00210559">
        <w:rPr>
          <w:rFonts w:ascii="Century Gothic" w:hAnsi="Century Gothic"/>
          <w:b/>
          <w:bCs/>
          <w:color w:val="000000" w:themeColor="text1"/>
          <w:sz w:val="24"/>
          <w:szCs w:val="24"/>
        </w:rPr>
        <w:t>Powers delegated to NCLT under Companies Act, 2013</w:t>
      </w:r>
    </w:p>
    <w:p w:rsidR="00AF70AF" w:rsidRPr="00210559" w:rsidRDefault="00AF70AF" w:rsidP="00AF70AF">
      <w:pPr>
        <w:pStyle w:val="NormalWeb"/>
        <w:spacing w:before="240" w:beforeAutospacing="0" w:after="240" w:afterAutospacing="0"/>
        <w:jc w:val="both"/>
        <w:rPr>
          <w:rFonts w:ascii="Century Gothic" w:hAnsi="Century Gothic"/>
          <w:color w:val="000000" w:themeColor="text1"/>
        </w:rPr>
      </w:pPr>
      <w:r w:rsidRPr="00210559">
        <w:rPr>
          <w:rFonts w:ascii="Century Gothic" w:hAnsi="Century Gothic"/>
          <w:color w:val="000000" w:themeColor="text1"/>
        </w:rPr>
        <w:t xml:space="preserve">Some of the important powers that are presently vested with NCLT are </w:t>
      </w:r>
      <w:r w:rsidR="00BB2F48" w:rsidRPr="00210559">
        <w:rPr>
          <w:rFonts w:ascii="Century Gothic" w:hAnsi="Century Gothic"/>
          <w:color w:val="000000" w:themeColor="text1"/>
        </w:rPr>
        <w:t xml:space="preserve">summarized </w:t>
      </w:r>
      <w:r w:rsidRPr="00210559">
        <w:rPr>
          <w:rFonts w:ascii="Century Gothic" w:hAnsi="Century Gothic"/>
          <w:color w:val="000000" w:themeColor="text1"/>
        </w:rPr>
        <w:t>as follows:</w:t>
      </w:r>
    </w:p>
    <w:p w:rsidR="00AF70AF" w:rsidRPr="00210559" w:rsidRDefault="00AF70AF" w:rsidP="00AF70AF">
      <w:pPr>
        <w:pStyle w:val="NormalWeb"/>
        <w:numPr>
          <w:ilvl w:val="0"/>
          <w:numId w:val="2"/>
        </w:numPr>
        <w:spacing w:before="240" w:beforeAutospacing="0" w:after="240" w:afterAutospacing="0"/>
        <w:jc w:val="both"/>
        <w:rPr>
          <w:rStyle w:val="Strong"/>
          <w:rFonts w:ascii="Century Gothic" w:hAnsi="Century Gothic"/>
          <w:color w:val="000000" w:themeColor="text1"/>
        </w:rPr>
      </w:pPr>
      <w:r w:rsidRPr="00210559">
        <w:rPr>
          <w:rStyle w:val="Strong"/>
          <w:rFonts w:ascii="Century Gothic" w:hAnsi="Century Gothic"/>
          <w:color w:val="000000" w:themeColor="text1"/>
        </w:rPr>
        <w:t xml:space="preserve">Deregistration of Companies:  Section 7 </w:t>
      </w:r>
    </w:p>
    <w:p w:rsidR="00AF70AF" w:rsidRPr="00210559" w:rsidRDefault="00AF70AF" w:rsidP="00AF70AF">
      <w:pPr>
        <w:pStyle w:val="NormalWeb"/>
        <w:spacing w:before="240" w:beforeAutospacing="0" w:after="240" w:afterAutospacing="0"/>
        <w:jc w:val="both"/>
        <w:rPr>
          <w:rFonts w:ascii="Century Gothic" w:hAnsi="Century Gothic"/>
          <w:color w:val="000000" w:themeColor="text1"/>
        </w:rPr>
      </w:pPr>
      <w:r w:rsidRPr="00210559">
        <w:rPr>
          <w:rFonts w:ascii="Century Gothic" w:hAnsi="Century Gothic"/>
          <w:color w:val="000000" w:themeColor="text1"/>
        </w:rPr>
        <w:t>The procedural errors at the time of registration can now be questioned at any time. The Tribunal is empowered to take several steps, including cancellation of registration and dissolving the company. The Tribunal can even declare the liability of members unlimited. Sec 7(7) provides this new way for de- registration of companies in certain circumstances when there is registration of companies is obtained in an illegal or wrongful manner. Deregistration is a remedy that is distinct from winding up and striking off.</w:t>
      </w:r>
    </w:p>
    <w:p w:rsidR="00DE21E9" w:rsidRPr="00210559" w:rsidRDefault="00DE21E9" w:rsidP="00DE21E9">
      <w:pPr>
        <w:pStyle w:val="NormalWeb"/>
        <w:numPr>
          <w:ilvl w:val="0"/>
          <w:numId w:val="2"/>
        </w:numPr>
        <w:spacing w:before="240" w:beforeAutospacing="0" w:after="240" w:afterAutospacing="0"/>
        <w:jc w:val="both"/>
        <w:rPr>
          <w:rStyle w:val="Strong"/>
          <w:rFonts w:ascii="Century Gothic" w:hAnsi="Century Gothic"/>
          <w:color w:val="000000" w:themeColor="text1"/>
        </w:rPr>
      </w:pPr>
      <w:r w:rsidRPr="00210559">
        <w:rPr>
          <w:rStyle w:val="Strong"/>
          <w:rFonts w:ascii="Century Gothic" w:hAnsi="Century Gothic"/>
          <w:color w:val="000000" w:themeColor="text1"/>
        </w:rPr>
        <w:t>Refusal to Transfer shares:</w:t>
      </w:r>
      <w:r w:rsidRPr="00210559">
        <w:rPr>
          <w:rFonts w:ascii="Century Gothic" w:hAnsi="Century Gothic"/>
          <w:color w:val="000000" w:themeColor="text1"/>
        </w:rPr>
        <w:t xml:space="preserve"> </w:t>
      </w:r>
      <w:r w:rsidRPr="00210559">
        <w:rPr>
          <w:rFonts w:ascii="Century Gothic" w:hAnsi="Century Gothic"/>
          <w:b/>
          <w:bCs/>
          <w:color w:val="000000" w:themeColor="text1"/>
        </w:rPr>
        <w:t>Section 58, 59</w:t>
      </w:r>
    </w:p>
    <w:p w:rsidR="00DE21E9" w:rsidRPr="00210559" w:rsidRDefault="00DE21E9" w:rsidP="00DE21E9">
      <w:pPr>
        <w:pStyle w:val="NormalWeb"/>
        <w:spacing w:before="240" w:beforeAutospacing="0" w:after="240" w:afterAutospacing="0"/>
        <w:jc w:val="both"/>
        <w:rPr>
          <w:rFonts w:ascii="Century Gothic" w:hAnsi="Century Gothic"/>
          <w:color w:val="000000" w:themeColor="text1"/>
        </w:rPr>
      </w:pPr>
      <w:r w:rsidRPr="00210559">
        <w:rPr>
          <w:rFonts w:ascii="Century Gothic" w:hAnsi="Century Gothic"/>
          <w:color w:val="000000" w:themeColor="text1"/>
        </w:rPr>
        <w:t>The power to hear grievance of refusal of companies to transfer securities and rectification of register of members under Section 58 and 59 of the new Act were already notified and were being taken up by CLB. Now. The same are transferred to NCLT. The remedy for refusal to transfer or transmission were restricted only to shares and debentures under 1956 Act. The provisions for refusal to transfer and transmit under </w:t>
      </w:r>
      <w:r w:rsidRPr="00210559">
        <w:rPr>
          <w:rStyle w:val="Emphasis"/>
          <w:rFonts w:ascii="Century Gothic" w:hAnsi="Century Gothic"/>
          <w:color w:val="000000" w:themeColor="text1"/>
        </w:rPr>
        <w:t>Companies Act, 2013</w:t>
      </w:r>
      <w:r w:rsidRPr="00210559">
        <w:rPr>
          <w:rFonts w:ascii="Century Gothic" w:hAnsi="Century Gothic"/>
          <w:color w:val="000000" w:themeColor="text1"/>
        </w:rPr>
        <w:t xml:space="preserve"> Act extends to all securities. These sections gives express recognition to contracts or arrangements for transfer of securities entered into between two or more </w:t>
      </w:r>
      <w:r w:rsidRPr="00210559">
        <w:rPr>
          <w:rFonts w:ascii="Century Gothic" w:hAnsi="Century Gothic"/>
          <w:color w:val="000000" w:themeColor="text1"/>
        </w:rPr>
        <w:lastRenderedPageBreak/>
        <w:t>persons with respect to shares of a public company and thus clears any doubts about the enforceability of these contracts.</w:t>
      </w:r>
    </w:p>
    <w:p w:rsidR="00DE21E9" w:rsidRPr="00210559" w:rsidRDefault="00DE21E9" w:rsidP="00DE21E9">
      <w:pPr>
        <w:pStyle w:val="NormalWeb"/>
        <w:numPr>
          <w:ilvl w:val="0"/>
          <w:numId w:val="2"/>
        </w:numPr>
        <w:spacing w:before="240" w:beforeAutospacing="0" w:after="240" w:afterAutospacing="0"/>
        <w:jc w:val="both"/>
        <w:rPr>
          <w:rStyle w:val="Strong"/>
          <w:rFonts w:ascii="Century Gothic" w:hAnsi="Century Gothic"/>
        </w:rPr>
      </w:pPr>
      <w:r w:rsidRPr="00210559">
        <w:rPr>
          <w:rStyle w:val="Strong"/>
          <w:rFonts w:ascii="Century Gothic" w:hAnsi="Century Gothic"/>
          <w:color w:val="000000" w:themeColor="text1"/>
        </w:rPr>
        <w:t xml:space="preserve">Tribunal Convened AGM: </w:t>
      </w:r>
      <w:r w:rsidRPr="00210559">
        <w:rPr>
          <w:rFonts w:ascii="Century Gothic" w:hAnsi="Century Gothic"/>
          <w:b/>
          <w:bCs/>
          <w:color w:val="000000" w:themeColor="text1"/>
        </w:rPr>
        <w:t>Section 97, 98</w:t>
      </w:r>
    </w:p>
    <w:p w:rsidR="00DE21E9" w:rsidRPr="00210559" w:rsidRDefault="00DE21E9" w:rsidP="00DE21E9">
      <w:pPr>
        <w:pStyle w:val="NormalWeb"/>
        <w:spacing w:before="240" w:beforeAutospacing="0" w:after="240" w:afterAutospacing="0"/>
        <w:jc w:val="both"/>
        <w:rPr>
          <w:rFonts w:ascii="Century Gothic" w:hAnsi="Century Gothic"/>
          <w:color w:val="000000" w:themeColor="text1"/>
        </w:rPr>
      </w:pPr>
      <w:r w:rsidRPr="00210559">
        <w:rPr>
          <w:rFonts w:ascii="Century Gothic" w:hAnsi="Century Gothic"/>
          <w:color w:val="000000" w:themeColor="text1"/>
        </w:rPr>
        <w:t>General meetings are required to assess the opinion of shareholders from time to time. The Act mandatorily requires one meeting to be called, which is termed as the “annual general meeting” or ‘AGM’. Any other general meeting is termed as “extra ordinary general meeting” or ‘EOGM’. If the AGM or EOGM cannot be held, called or convened in the manner provided under the Act or the Rules by the Board or the Member due to certain extraordinary circumstances, then the Tribunal is empowered under Section 97 and 98 of 2013 Act to convene general meetings under the </w:t>
      </w:r>
      <w:r w:rsidRPr="00210559">
        <w:rPr>
          <w:rStyle w:val="Emphasis"/>
          <w:rFonts w:ascii="Century Gothic" w:hAnsi="Century Gothic"/>
          <w:color w:val="000000" w:themeColor="text1"/>
        </w:rPr>
        <w:t>Companies Act, 2013. </w:t>
      </w:r>
      <w:r w:rsidRPr="00210559">
        <w:rPr>
          <w:rFonts w:ascii="Century Gothic" w:hAnsi="Century Gothic"/>
          <w:color w:val="000000" w:themeColor="text1"/>
        </w:rPr>
        <w:t>The provisions for convening an annual general meeting and extra ordinary general meeting in the </w:t>
      </w:r>
      <w:r w:rsidRPr="00210559">
        <w:rPr>
          <w:rStyle w:val="Emphasis"/>
          <w:rFonts w:ascii="Century Gothic" w:hAnsi="Century Gothic"/>
          <w:color w:val="000000" w:themeColor="text1"/>
        </w:rPr>
        <w:t>Companies Act, 2013</w:t>
      </w:r>
      <w:r w:rsidRPr="00210559">
        <w:rPr>
          <w:rFonts w:ascii="Century Gothic" w:hAnsi="Century Gothic"/>
          <w:color w:val="000000" w:themeColor="text1"/>
        </w:rPr>
        <w:t> </w:t>
      </w:r>
    </w:p>
    <w:p w:rsidR="00960A04" w:rsidRPr="00210559" w:rsidRDefault="00960A04" w:rsidP="00960A04">
      <w:pPr>
        <w:pStyle w:val="NormalWeb"/>
        <w:numPr>
          <w:ilvl w:val="0"/>
          <w:numId w:val="2"/>
        </w:numPr>
        <w:spacing w:before="240" w:beforeAutospacing="0" w:after="240" w:afterAutospacing="0"/>
        <w:jc w:val="both"/>
        <w:rPr>
          <w:rStyle w:val="Strong"/>
          <w:rFonts w:ascii="Century Gothic" w:hAnsi="Century Gothic"/>
          <w:b w:val="0"/>
          <w:bCs w:val="0"/>
        </w:rPr>
      </w:pPr>
      <w:r w:rsidRPr="00210559">
        <w:rPr>
          <w:rStyle w:val="Strong"/>
          <w:rFonts w:ascii="Century Gothic" w:hAnsi="Century Gothic"/>
          <w:color w:val="000000" w:themeColor="text1"/>
        </w:rPr>
        <w:t xml:space="preserve">Reopening of Accounts &amp; Revision of Financial Statements: Section </w:t>
      </w:r>
      <w:r w:rsidRPr="00210559">
        <w:rPr>
          <w:rFonts w:ascii="Century Gothic" w:hAnsi="Century Gothic"/>
          <w:b/>
          <w:bCs/>
          <w:color w:val="000000" w:themeColor="text1"/>
        </w:rPr>
        <w:t>130 and 131 read with sec 447, 448</w:t>
      </w:r>
    </w:p>
    <w:p w:rsidR="00960A04" w:rsidRPr="00210559" w:rsidRDefault="00960A04" w:rsidP="00960A04">
      <w:pPr>
        <w:pStyle w:val="NormalWeb"/>
        <w:spacing w:before="240" w:beforeAutospacing="0" w:after="240" w:afterAutospacing="0"/>
        <w:jc w:val="both"/>
        <w:rPr>
          <w:rFonts w:ascii="Century Gothic" w:hAnsi="Century Gothic"/>
          <w:color w:val="000000" w:themeColor="text1"/>
        </w:rPr>
      </w:pPr>
      <w:r w:rsidRPr="00210559">
        <w:rPr>
          <w:rFonts w:ascii="Century Gothic" w:hAnsi="Century Gothic"/>
          <w:color w:val="000000" w:themeColor="text1"/>
        </w:rPr>
        <w:t>Several instances of falsification of books of accounts were noticed under the </w:t>
      </w:r>
      <w:r w:rsidRPr="00210559">
        <w:rPr>
          <w:rStyle w:val="Emphasis"/>
          <w:rFonts w:ascii="Century Gothic" w:hAnsi="Century Gothic"/>
          <w:color w:val="000000" w:themeColor="text1"/>
        </w:rPr>
        <w:t>Companies Act, 1956</w:t>
      </w:r>
      <w:r w:rsidRPr="00210559">
        <w:rPr>
          <w:rFonts w:ascii="Century Gothic" w:hAnsi="Century Gothic"/>
          <w:color w:val="000000" w:themeColor="text1"/>
        </w:rPr>
        <w:t>. To counter this menace, several measures have been provided in the </w:t>
      </w:r>
      <w:r w:rsidRPr="00210559">
        <w:rPr>
          <w:rStyle w:val="Emphasis"/>
          <w:rFonts w:ascii="Century Gothic" w:hAnsi="Century Gothic"/>
          <w:color w:val="000000" w:themeColor="text1"/>
        </w:rPr>
        <w:t>Companies Act, 2013</w:t>
      </w:r>
      <w:r w:rsidRPr="00210559">
        <w:rPr>
          <w:rFonts w:ascii="Century Gothic" w:hAnsi="Century Gothic"/>
          <w:color w:val="000000" w:themeColor="text1"/>
        </w:rPr>
        <w:t>. One such measure is the insertion of Section 130 and 131 read with sec 447, 448 in the new Act. Section 130 read with sec 131 are newly inserted provisions that prohibit the company from </w:t>
      </w:r>
      <w:r w:rsidRPr="00210559">
        <w:rPr>
          <w:rStyle w:val="Emphasis"/>
          <w:rFonts w:ascii="Century Gothic" w:hAnsi="Century Gothic"/>
          <w:color w:val="000000" w:themeColor="text1"/>
        </w:rPr>
        <w:t>suo motu</w:t>
      </w:r>
      <w:r w:rsidRPr="00210559">
        <w:rPr>
          <w:rFonts w:ascii="Century Gothic" w:hAnsi="Century Gothic"/>
          <w:color w:val="000000" w:themeColor="text1"/>
        </w:rPr>
        <w:t> opening its accounts or revising its financial statements. This can be done only in the manner provided in the Act. Section 130 and 131 provides the instances where financial statements can be revised/reopened. Section 130 is mandatory, where the Tribunal or Court may direct the company to reopen its accounts when certain circumstances are shown. Section 131 allows company to revise its financial statement but do not permit reopening of accounts. The company can itself approach the Tribunal under sec 131, through its director for revision of its financial statement.</w:t>
      </w:r>
    </w:p>
    <w:p w:rsidR="00AF70AF" w:rsidRPr="00210559" w:rsidRDefault="00AF70AF" w:rsidP="00960A04">
      <w:pPr>
        <w:pStyle w:val="NormalWeb"/>
        <w:numPr>
          <w:ilvl w:val="0"/>
          <w:numId w:val="2"/>
        </w:numPr>
        <w:spacing w:before="240" w:beforeAutospacing="0" w:after="240" w:afterAutospacing="0"/>
        <w:jc w:val="both"/>
        <w:rPr>
          <w:rStyle w:val="Strong"/>
          <w:rFonts w:ascii="Century Gothic" w:hAnsi="Century Gothic"/>
          <w:color w:val="000000" w:themeColor="text1"/>
        </w:rPr>
      </w:pPr>
      <w:r w:rsidRPr="00210559">
        <w:rPr>
          <w:rStyle w:val="Strong"/>
          <w:rFonts w:ascii="Century Gothic" w:hAnsi="Century Gothic"/>
          <w:color w:val="000000" w:themeColor="text1"/>
        </w:rPr>
        <w:t xml:space="preserve">Oppression and Mismanagement: Section 241, 242 </w:t>
      </w:r>
    </w:p>
    <w:p w:rsidR="00AF70AF" w:rsidRPr="00210559" w:rsidRDefault="00AF70AF" w:rsidP="00AF70AF">
      <w:pPr>
        <w:pStyle w:val="NormalWeb"/>
        <w:spacing w:before="240" w:beforeAutospacing="0" w:after="240" w:afterAutospacing="0"/>
        <w:jc w:val="both"/>
        <w:rPr>
          <w:rFonts w:ascii="Century Gothic" w:hAnsi="Century Gothic"/>
          <w:color w:val="000000" w:themeColor="text1"/>
        </w:rPr>
      </w:pPr>
      <w:r w:rsidRPr="00210559">
        <w:rPr>
          <w:rFonts w:ascii="Century Gothic" w:hAnsi="Century Gothic"/>
          <w:color w:val="000000" w:themeColor="text1"/>
        </w:rPr>
        <w:t>The remedy of oppression and mismanagement is retained in 2013 Act. The nature of this remedy has however changed to certain extent and it needs to be seen in light of the changes made to the Companies Act, 2013. The 2013 Act has reset the bar for oppression to a little lower level but has set the bar of mismanagement a little higher by applying the test “winding up on just and equitable grounds” even to mismanagement matters. The Act permits dilution of the eligibility criteria with the permission of Tribunal, where a member below the eligibility criteria can apply in deserving cases.</w:t>
      </w:r>
    </w:p>
    <w:p w:rsidR="00DE21E9" w:rsidRPr="00210559" w:rsidRDefault="00DE21E9" w:rsidP="00960A04">
      <w:pPr>
        <w:pStyle w:val="NormalWeb"/>
        <w:numPr>
          <w:ilvl w:val="0"/>
          <w:numId w:val="2"/>
        </w:numPr>
        <w:spacing w:before="240" w:beforeAutospacing="0" w:after="240" w:afterAutospacing="0"/>
        <w:jc w:val="both"/>
        <w:rPr>
          <w:rFonts w:ascii="Century Gothic" w:hAnsi="Century Gothic"/>
          <w:color w:val="000000" w:themeColor="text1"/>
        </w:rPr>
      </w:pPr>
      <w:r w:rsidRPr="00210559">
        <w:rPr>
          <w:rStyle w:val="Strong"/>
          <w:rFonts w:ascii="Century Gothic" w:hAnsi="Century Gothic"/>
          <w:color w:val="000000" w:themeColor="text1"/>
        </w:rPr>
        <w:t xml:space="preserve">Class Action: Section 245 </w:t>
      </w:r>
    </w:p>
    <w:p w:rsidR="00DE21E9" w:rsidRPr="00210559" w:rsidRDefault="00DE21E9" w:rsidP="00DE21E9">
      <w:pPr>
        <w:pStyle w:val="NormalWeb"/>
        <w:spacing w:before="240" w:beforeAutospacing="0" w:after="240" w:afterAutospacing="0"/>
        <w:jc w:val="both"/>
        <w:rPr>
          <w:rFonts w:ascii="Century Gothic" w:hAnsi="Century Gothic"/>
          <w:color w:val="000000" w:themeColor="text1"/>
        </w:rPr>
      </w:pPr>
      <w:r w:rsidRPr="00210559">
        <w:rPr>
          <w:rFonts w:ascii="Century Gothic" w:hAnsi="Century Gothic"/>
          <w:color w:val="000000" w:themeColor="text1"/>
        </w:rPr>
        <w:t xml:space="preserve">Protection of the interest of various stakeholders, especially non-promoter shareholders and depositors, has always been the concern of company law. </w:t>
      </w:r>
      <w:r w:rsidRPr="00210559">
        <w:rPr>
          <w:rFonts w:ascii="Century Gothic" w:hAnsi="Century Gothic"/>
          <w:color w:val="000000" w:themeColor="text1"/>
        </w:rPr>
        <w:lastRenderedPageBreak/>
        <w:t>There were several frauds and improprieties that were noticed where the key losers were the shareholders and depositors. The shareholders who invested in listed companies saw their investments and savings drying up when the companies that they invested in cheated the investors.</w:t>
      </w:r>
    </w:p>
    <w:p w:rsidR="00DE21E9" w:rsidRPr="00210559" w:rsidRDefault="00DE21E9" w:rsidP="00DE21E9">
      <w:pPr>
        <w:pStyle w:val="NormalWeb"/>
        <w:spacing w:before="240" w:beforeAutospacing="0" w:after="240" w:afterAutospacing="0"/>
        <w:jc w:val="both"/>
        <w:rPr>
          <w:rFonts w:ascii="Century Gothic" w:hAnsi="Century Gothic"/>
          <w:color w:val="000000" w:themeColor="text1"/>
        </w:rPr>
      </w:pPr>
      <w:r w:rsidRPr="00210559">
        <w:rPr>
          <w:rFonts w:ascii="Century Gothic" w:hAnsi="Century Gothic"/>
          <w:color w:val="000000" w:themeColor="text1"/>
        </w:rPr>
        <w:t>The </w:t>
      </w:r>
      <w:r w:rsidRPr="00210559">
        <w:rPr>
          <w:rStyle w:val="Emphasis"/>
          <w:rFonts w:ascii="Century Gothic" w:hAnsi="Century Gothic"/>
          <w:color w:val="000000" w:themeColor="text1"/>
        </w:rPr>
        <w:t>Companies Act, 2013</w:t>
      </w:r>
      <w:r w:rsidRPr="00210559">
        <w:rPr>
          <w:rFonts w:ascii="Century Gothic" w:hAnsi="Century Gothic"/>
          <w:color w:val="000000" w:themeColor="text1"/>
        </w:rPr>
        <w:t> has provided a very good combination of remedies where the offender will be punished and the people who are involved (whether it is the company or directors or auditor or experts or consultants) will be liable even for a civil action (namely class action), wherein they have to compensate the shareholders and depositors for the losses caused to them on account of the fraudulent practices or improprieties.</w:t>
      </w:r>
    </w:p>
    <w:p w:rsidR="00DE21E9" w:rsidRPr="00210559" w:rsidRDefault="00DE21E9" w:rsidP="00DE21E9">
      <w:pPr>
        <w:pStyle w:val="NormalWeb"/>
        <w:spacing w:before="240" w:beforeAutospacing="0" w:after="240" w:afterAutospacing="0"/>
        <w:jc w:val="both"/>
        <w:rPr>
          <w:rFonts w:ascii="Century Gothic" w:hAnsi="Century Gothic"/>
          <w:color w:val="000000" w:themeColor="text1"/>
        </w:rPr>
      </w:pPr>
      <w:r w:rsidRPr="00210559">
        <w:rPr>
          <w:rFonts w:ascii="Century Gothic" w:hAnsi="Century Gothic"/>
          <w:color w:val="000000" w:themeColor="text1"/>
        </w:rPr>
        <w:t>A class action is a procedural device that permits one or more plaintiffs to file and prosecute a lawsuit on behalf of a larger group, or “class”. It is in the nature of a representative suit where the interest of a class is represented by a few of them. A huge number of geographically dispersed shareholders/depositors are affected by the wrongdoings. It is a useful tool where a few may sue for the benefit of the whole or where the parties form a part of a voluntary association for public or private purposes, and may be fairly supposed to represent the rights and interests of the whole.</w:t>
      </w:r>
    </w:p>
    <w:p w:rsidR="00DE21E9" w:rsidRPr="00210559" w:rsidRDefault="00DE21E9" w:rsidP="00DE21E9">
      <w:pPr>
        <w:pStyle w:val="NormalWeb"/>
        <w:spacing w:before="240" w:beforeAutospacing="0" w:after="240" w:afterAutospacing="0"/>
        <w:jc w:val="both"/>
        <w:rPr>
          <w:rFonts w:ascii="Century Gothic" w:hAnsi="Century Gothic"/>
          <w:color w:val="000000" w:themeColor="text1"/>
        </w:rPr>
      </w:pPr>
      <w:r w:rsidRPr="00210559">
        <w:rPr>
          <w:rFonts w:ascii="Century Gothic" w:hAnsi="Century Gothic"/>
          <w:color w:val="000000" w:themeColor="text1"/>
        </w:rPr>
        <w:t>Section 245 has been introduced in the new company law to provide relief to the investors against a large set of wrongful actions committed by the company management or other consultants and advisors who are associated with the company.</w:t>
      </w:r>
    </w:p>
    <w:p w:rsidR="00DE21E9" w:rsidRPr="00210559" w:rsidRDefault="00DE21E9" w:rsidP="00DE21E9">
      <w:pPr>
        <w:pStyle w:val="NormalWeb"/>
        <w:spacing w:before="240" w:beforeAutospacing="0" w:after="240" w:afterAutospacing="0"/>
        <w:jc w:val="both"/>
        <w:rPr>
          <w:rFonts w:ascii="Century Gothic" w:hAnsi="Century Gothic"/>
          <w:color w:val="000000" w:themeColor="text1"/>
        </w:rPr>
      </w:pPr>
      <w:r w:rsidRPr="00210559">
        <w:rPr>
          <w:rFonts w:ascii="Century Gothic" w:hAnsi="Century Gothic"/>
          <w:color w:val="000000" w:themeColor="text1"/>
        </w:rPr>
        <w:t>Class action can be filed against any type of companies, whether in the public sector or in the private. It can be filed against any company which is incorporated under the </w:t>
      </w:r>
      <w:r w:rsidRPr="00210559">
        <w:rPr>
          <w:rStyle w:val="Emphasis"/>
          <w:rFonts w:ascii="Century Gothic" w:hAnsi="Century Gothic"/>
          <w:color w:val="000000" w:themeColor="text1"/>
        </w:rPr>
        <w:t>Companies Act, 2013</w:t>
      </w:r>
      <w:r w:rsidRPr="00210559">
        <w:rPr>
          <w:rFonts w:ascii="Century Gothic" w:hAnsi="Century Gothic"/>
          <w:color w:val="000000" w:themeColor="text1"/>
        </w:rPr>
        <w:t> or any previous </w:t>
      </w:r>
      <w:r w:rsidRPr="00210559">
        <w:rPr>
          <w:rStyle w:val="Emphasis"/>
          <w:rFonts w:ascii="Century Gothic" w:hAnsi="Century Gothic"/>
          <w:color w:val="000000" w:themeColor="text1"/>
        </w:rPr>
        <w:t>Companies Act</w:t>
      </w:r>
      <w:r w:rsidRPr="00210559">
        <w:rPr>
          <w:rFonts w:ascii="Century Gothic" w:hAnsi="Century Gothic"/>
          <w:color w:val="000000" w:themeColor="text1"/>
        </w:rPr>
        <w:t>. The Act provides only one exemption i.e. banking companies.</w:t>
      </w:r>
    </w:p>
    <w:p w:rsidR="00AF70AF" w:rsidRPr="00210559" w:rsidRDefault="00AF70AF" w:rsidP="00960A04">
      <w:pPr>
        <w:pStyle w:val="NormalWeb"/>
        <w:numPr>
          <w:ilvl w:val="0"/>
          <w:numId w:val="2"/>
        </w:numPr>
        <w:spacing w:before="240" w:beforeAutospacing="0" w:after="240" w:afterAutospacing="0"/>
        <w:jc w:val="both"/>
        <w:rPr>
          <w:rStyle w:val="Strong"/>
          <w:rFonts w:ascii="Century Gothic" w:hAnsi="Century Gothic"/>
        </w:rPr>
      </w:pPr>
      <w:r w:rsidRPr="00210559">
        <w:rPr>
          <w:rStyle w:val="Strong"/>
          <w:rFonts w:ascii="Century Gothic" w:hAnsi="Century Gothic"/>
          <w:color w:val="000000" w:themeColor="text1"/>
        </w:rPr>
        <w:t xml:space="preserve">Deposits: </w:t>
      </w:r>
      <w:r w:rsidRPr="00210559">
        <w:rPr>
          <w:rFonts w:ascii="Century Gothic" w:hAnsi="Century Gothic"/>
          <w:b/>
          <w:bCs/>
          <w:color w:val="000000" w:themeColor="text1"/>
        </w:rPr>
        <w:t>Chapter V</w:t>
      </w:r>
    </w:p>
    <w:p w:rsidR="00AF70AF" w:rsidRPr="00210559" w:rsidRDefault="00AF70AF" w:rsidP="00AF70AF">
      <w:pPr>
        <w:pStyle w:val="NormalWeb"/>
        <w:spacing w:before="240" w:beforeAutospacing="0" w:after="240" w:afterAutospacing="0"/>
        <w:jc w:val="both"/>
        <w:rPr>
          <w:rFonts w:ascii="Century Gothic" w:hAnsi="Century Gothic"/>
          <w:color w:val="000000" w:themeColor="text1"/>
        </w:rPr>
      </w:pPr>
      <w:r w:rsidRPr="00210559">
        <w:rPr>
          <w:rFonts w:ascii="Century Gothic" w:hAnsi="Century Gothic"/>
          <w:color w:val="000000" w:themeColor="text1"/>
        </w:rPr>
        <w:t xml:space="preserve">Chapter V dealing with deposits was notified in phases in 2014 and powers to deal with the cases under it were assigned in CLB. Now the said powers </w:t>
      </w:r>
      <w:r w:rsidR="006A4FBA" w:rsidRPr="00210559">
        <w:rPr>
          <w:rFonts w:ascii="Century Gothic" w:hAnsi="Century Gothic"/>
          <w:color w:val="000000" w:themeColor="text1"/>
        </w:rPr>
        <w:t>now veste</w:t>
      </w:r>
      <w:r w:rsidRPr="00210559">
        <w:rPr>
          <w:rFonts w:ascii="Century Gothic" w:hAnsi="Century Gothic"/>
          <w:color w:val="000000" w:themeColor="text1"/>
        </w:rPr>
        <w:t xml:space="preserve"> in NCLT. The law on deposits is quite distinct under the </w:t>
      </w:r>
      <w:r w:rsidRPr="00210559">
        <w:rPr>
          <w:rStyle w:val="Emphasis"/>
          <w:rFonts w:ascii="Century Gothic" w:hAnsi="Century Gothic"/>
          <w:color w:val="000000" w:themeColor="text1"/>
        </w:rPr>
        <w:t>Companies Act, 2013</w:t>
      </w:r>
      <w:r w:rsidRPr="00210559">
        <w:rPr>
          <w:rFonts w:ascii="Century Gothic" w:hAnsi="Century Gothic"/>
          <w:color w:val="000000" w:themeColor="text1"/>
        </w:rPr>
        <w:t> as compared to the </w:t>
      </w:r>
      <w:r w:rsidRPr="00210559">
        <w:rPr>
          <w:rStyle w:val="Emphasis"/>
          <w:rFonts w:ascii="Century Gothic" w:hAnsi="Century Gothic"/>
          <w:color w:val="000000" w:themeColor="text1"/>
        </w:rPr>
        <w:t>Companies Act, 1956</w:t>
      </w:r>
      <w:r w:rsidRPr="00210559">
        <w:rPr>
          <w:rFonts w:ascii="Century Gothic" w:hAnsi="Century Gothic"/>
          <w:color w:val="000000" w:themeColor="text1"/>
        </w:rPr>
        <w:t>. The provision for deposits under 2013 Act were already notified. Aggrieved depositors also have the remedy of class actions for seeking redressal for the acts/omissions of the company which hurt their rights as depositors.</w:t>
      </w:r>
    </w:p>
    <w:p w:rsidR="00AF70AF" w:rsidRPr="00210559" w:rsidRDefault="00AF70AF" w:rsidP="00960A04">
      <w:pPr>
        <w:pStyle w:val="NormalWeb"/>
        <w:numPr>
          <w:ilvl w:val="0"/>
          <w:numId w:val="2"/>
        </w:numPr>
        <w:spacing w:before="240" w:beforeAutospacing="0" w:after="240" w:afterAutospacing="0"/>
        <w:jc w:val="both"/>
        <w:rPr>
          <w:rStyle w:val="Strong"/>
          <w:rFonts w:ascii="Century Gothic" w:hAnsi="Century Gothic"/>
        </w:rPr>
      </w:pPr>
      <w:r w:rsidRPr="00210559">
        <w:rPr>
          <w:rStyle w:val="Strong"/>
          <w:rFonts w:ascii="Century Gothic" w:hAnsi="Century Gothic"/>
          <w:color w:val="000000" w:themeColor="text1"/>
        </w:rPr>
        <w:t xml:space="preserve">Tribunal Ordered Investigations: </w:t>
      </w:r>
      <w:r w:rsidRPr="00210559">
        <w:rPr>
          <w:rFonts w:ascii="Century Gothic" w:hAnsi="Century Gothic"/>
          <w:b/>
          <w:bCs/>
          <w:color w:val="000000" w:themeColor="text1"/>
        </w:rPr>
        <w:t>Chapter XIV</w:t>
      </w:r>
    </w:p>
    <w:p w:rsidR="00AF70AF" w:rsidRPr="00210559" w:rsidRDefault="00AF70AF" w:rsidP="00AF70AF">
      <w:pPr>
        <w:pStyle w:val="NormalWeb"/>
        <w:spacing w:before="240" w:beforeAutospacing="0" w:after="240" w:afterAutospacing="0"/>
        <w:jc w:val="both"/>
        <w:rPr>
          <w:rFonts w:ascii="Century Gothic" w:hAnsi="Century Gothic"/>
          <w:color w:val="000000" w:themeColor="text1"/>
        </w:rPr>
      </w:pPr>
      <w:r w:rsidRPr="00210559">
        <w:rPr>
          <w:rFonts w:ascii="Century Gothic" w:hAnsi="Century Gothic"/>
          <w:color w:val="000000" w:themeColor="text1"/>
        </w:rPr>
        <w:t>Chapter XIV of Companies Act, 2013 provides several powers to the Tribunal in connection with investigations. The most important powers that are conferred to the Tribunal are:</w:t>
      </w:r>
    </w:p>
    <w:p w:rsidR="00AF70AF" w:rsidRPr="00210559" w:rsidRDefault="00AF70AF" w:rsidP="00AF70AF">
      <w:pPr>
        <w:pStyle w:val="NormalWeb"/>
        <w:spacing w:before="240" w:beforeAutospacing="0" w:after="240" w:afterAutospacing="0"/>
        <w:jc w:val="both"/>
        <w:rPr>
          <w:rFonts w:ascii="Century Gothic" w:hAnsi="Century Gothic"/>
          <w:color w:val="000000" w:themeColor="text1"/>
        </w:rPr>
      </w:pPr>
      <w:r w:rsidRPr="00210559">
        <w:rPr>
          <w:rStyle w:val="Emphasis"/>
          <w:rFonts w:ascii="Century Gothic" w:hAnsi="Century Gothic"/>
          <w:b/>
          <w:bCs/>
          <w:color w:val="000000" w:themeColor="text1"/>
        </w:rPr>
        <w:lastRenderedPageBreak/>
        <w:t>a) power to order investigation: </w:t>
      </w:r>
      <w:r w:rsidRPr="00210559">
        <w:rPr>
          <w:rFonts w:ascii="Century Gothic" w:hAnsi="Century Gothic"/>
          <w:color w:val="000000" w:themeColor="text1"/>
        </w:rPr>
        <w:t>Under the </w:t>
      </w:r>
      <w:r w:rsidRPr="00210559">
        <w:rPr>
          <w:rStyle w:val="Emphasis"/>
          <w:rFonts w:ascii="Century Gothic" w:hAnsi="Century Gothic"/>
          <w:color w:val="000000" w:themeColor="text1"/>
        </w:rPr>
        <w:t>Companies Act, 2013</w:t>
      </w:r>
      <w:r w:rsidRPr="00210559">
        <w:rPr>
          <w:rFonts w:ascii="Century Gothic" w:hAnsi="Century Gothic"/>
          <w:color w:val="000000" w:themeColor="text1"/>
        </w:rPr>
        <w:t>, only 100 members (as against 200 members required under the </w:t>
      </w:r>
      <w:r w:rsidRPr="00210559">
        <w:rPr>
          <w:rStyle w:val="Emphasis"/>
          <w:rFonts w:ascii="Century Gothic" w:hAnsi="Century Gothic"/>
          <w:color w:val="000000" w:themeColor="text1"/>
        </w:rPr>
        <w:t>Companies Act, 1956</w:t>
      </w:r>
      <w:r w:rsidRPr="00210559">
        <w:rPr>
          <w:rFonts w:ascii="Century Gothic" w:hAnsi="Century Gothic"/>
          <w:color w:val="000000" w:themeColor="text1"/>
        </w:rPr>
        <w:t>) are required to apply for an investigation into the affairs of a company. Further, the power to apply for an investigation is given to any person who is able to convince the Tribunal that circumstances exist for initiating investigation proceedings. An investigation can be conducted even abroad. Provisions are made to take as well as provide assistance to investigation agencies and courts of other countries with respect to investigation proceedings.</w:t>
      </w:r>
    </w:p>
    <w:p w:rsidR="00AF70AF" w:rsidRPr="00210559" w:rsidRDefault="00AF70AF" w:rsidP="00AF70AF">
      <w:pPr>
        <w:pStyle w:val="NormalWeb"/>
        <w:spacing w:before="240" w:beforeAutospacing="0" w:after="240" w:afterAutospacing="0"/>
        <w:jc w:val="both"/>
        <w:rPr>
          <w:rFonts w:ascii="Century Gothic" w:hAnsi="Century Gothic"/>
          <w:color w:val="000000" w:themeColor="text1"/>
        </w:rPr>
      </w:pPr>
      <w:r w:rsidRPr="00210559">
        <w:rPr>
          <w:rStyle w:val="Emphasis"/>
          <w:rFonts w:ascii="Century Gothic" w:hAnsi="Century Gothic"/>
          <w:b/>
          <w:bCs/>
          <w:color w:val="000000" w:themeColor="text1"/>
        </w:rPr>
        <w:t>b) power to investigate into the ownership of the company</w:t>
      </w:r>
    </w:p>
    <w:p w:rsidR="00AF70AF" w:rsidRPr="00210559" w:rsidRDefault="00AF70AF" w:rsidP="00AF70AF">
      <w:pPr>
        <w:pStyle w:val="NormalWeb"/>
        <w:spacing w:before="240" w:beforeAutospacing="0" w:after="240" w:afterAutospacing="0"/>
        <w:jc w:val="both"/>
        <w:rPr>
          <w:rFonts w:ascii="Century Gothic" w:hAnsi="Century Gothic"/>
          <w:color w:val="000000" w:themeColor="text1"/>
        </w:rPr>
      </w:pPr>
      <w:r w:rsidRPr="00210559">
        <w:rPr>
          <w:rStyle w:val="Emphasis"/>
          <w:rFonts w:ascii="Century Gothic" w:hAnsi="Century Gothic"/>
          <w:b/>
          <w:bCs/>
          <w:color w:val="000000" w:themeColor="text1"/>
        </w:rPr>
        <w:t>c) power to impose restriction on securities:</w:t>
      </w:r>
      <w:r w:rsidRPr="00210559">
        <w:rPr>
          <w:rFonts w:ascii="Century Gothic" w:hAnsi="Century Gothic"/>
          <w:color w:val="000000" w:themeColor="text1"/>
        </w:rPr>
        <w:t> The restriction earlier could be imposed only on shares. Now, the Tribunal can impose restrictions on any security of the company.</w:t>
      </w:r>
    </w:p>
    <w:p w:rsidR="00AF70AF" w:rsidRPr="00210559" w:rsidRDefault="00AF70AF" w:rsidP="00AF70AF">
      <w:pPr>
        <w:pStyle w:val="NormalWeb"/>
        <w:spacing w:before="240" w:beforeAutospacing="0" w:after="240" w:afterAutospacing="0"/>
        <w:jc w:val="both"/>
        <w:rPr>
          <w:rFonts w:ascii="Century Gothic" w:hAnsi="Century Gothic"/>
          <w:color w:val="000000" w:themeColor="text1"/>
        </w:rPr>
      </w:pPr>
      <w:r w:rsidRPr="00210559">
        <w:rPr>
          <w:rStyle w:val="Emphasis"/>
          <w:rFonts w:ascii="Century Gothic" w:hAnsi="Century Gothic"/>
          <w:b/>
          <w:bCs/>
          <w:color w:val="000000" w:themeColor="text1"/>
        </w:rPr>
        <w:t>d) power to freeze assets of the company:</w:t>
      </w:r>
      <w:r w:rsidRPr="00210559">
        <w:rPr>
          <w:rFonts w:ascii="Century Gothic" w:hAnsi="Century Gothic"/>
          <w:color w:val="000000" w:themeColor="text1"/>
        </w:rPr>
        <w:t> The Tribunal is given the power to freeze assets of the company which can not only be used when the company is under investigation, but can also be initiated at the insistence of a wide variety of persons in certain situations.</w:t>
      </w:r>
    </w:p>
    <w:p w:rsidR="00AF70AF" w:rsidRPr="00210559" w:rsidRDefault="00AF70AF" w:rsidP="00960A04">
      <w:pPr>
        <w:pStyle w:val="NormalWeb"/>
        <w:numPr>
          <w:ilvl w:val="0"/>
          <w:numId w:val="2"/>
        </w:numPr>
        <w:spacing w:before="240" w:beforeAutospacing="0" w:after="240" w:afterAutospacing="0"/>
        <w:jc w:val="both"/>
        <w:rPr>
          <w:rStyle w:val="Strong"/>
          <w:rFonts w:ascii="Century Gothic" w:hAnsi="Century Gothic"/>
        </w:rPr>
      </w:pPr>
      <w:r w:rsidRPr="00210559">
        <w:rPr>
          <w:rStyle w:val="Strong"/>
          <w:rFonts w:ascii="Century Gothic" w:hAnsi="Century Gothic"/>
          <w:color w:val="000000" w:themeColor="text1"/>
        </w:rPr>
        <w:t>Compounding of Offence: Section 441</w:t>
      </w:r>
    </w:p>
    <w:p w:rsidR="00AF70AF" w:rsidRPr="00210559" w:rsidRDefault="00AF70AF" w:rsidP="00AF70AF">
      <w:pPr>
        <w:pStyle w:val="NormalWeb"/>
        <w:spacing w:before="240" w:beforeAutospacing="0" w:after="240" w:afterAutospacing="0"/>
        <w:jc w:val="both"/>
        <w:rPr>
          <w:rFonts w:ascii="Century Gothic" w:hAnsi="Century Gothic"/>
          <w:color w:val="000000" w:themeColor="text1"/>
        </w:rPr>
      </w:pPr>
      <w:r w:rsidRPr="00210559">
        <w:rPr>
          <w:rFonts w:ascii="Century Gothic" w:hAnsi="Century Gothic"/>
          <w:color w:val="000000" w:themeColor="text1"/>
        </w:rPr>
        <w:t>Provisions of compounding under the 2013 Act were notified before the constitution of NCLT and were assigned to CLB. This power will now be vested with NCLT, and all compounding matters which are above the prescribed monetary limit will be approved by NCLT. Companies Amendment Ordinance (November, 2018) decriminalized various offences under the Act. Still remaining off</w:t>
      </w:r>
      <w:r w:rsidR="004140DE" w:rsidRPr="00210559">
        <w:rPr>
          <w:rFonts w:ascii="Century Gothic" w:hAnsi="Century Gothic"/>
          <w:color w:val="000000" w:themeColor="text1"/>
        </w:rPr>
        <w:t>ences are compounded by NCLT.</w:t>
      </w:r>
    </w:p>
    <w:p w:rsidR="00C74AB2" w:rsidRPr="00210559" w:rsidRDefault="00AF70AF" w:rsidP="00C74AB2">
      <w:pPr>
        <w:pStyle w:val="NormalWeb"/>
        <w:numPr>
          <w:ilvl w:val="0"/>
          <w:numId w:val="2"/>
        </w:numPr>
        <w:spacing w:before="240" w:beforeAutospacing="0" w:after="240" w:afterAutospacing="0"/>
        <w:jc w:val="both"/>
        <w:rPr>
          <w:rStyle w:val="Strong"/>
          <w:rFonts w:ascii="Century Gothic" w:hAnsi="Century Gothic"/>
          <w:b w:val="0"/>
          <w:bCs w:val="0"/>
          <w:color w:val="000000" w:themeColor="text1"/>
        </w:rPr>
      </w:pPr>
      <w:r w:rsidRPr="00210559">
        <w:rPr>
          <w:rStyle w:val="Strong"/>
          <w:rFonts w:ascii="Century Gothic" w:hAnsi="Century Gothic"/>
          <w:b w:val="0"/>
          <w:bCs w:val="0"/>
          <w:color w:val="000000" w:themeColor="text1"/>
        </w:rPr>
        <w:t>Removal, Resignation of Auditor and Giving of Special Notice</w:t>
      </w:r>
      <w:r w:rsidR="00C74AB2" w:rsidRPr="00210559">
        <w:rPr>
          <w:rStyle w:val="Strong"/>
          <w:rFonts w:ascii="Century Gothic" w:hAnsi="Century Gothic"/>
          <w:b w:val="0"/>
          <w:bCs w:val="0"/>
          <w:color w:val="000000" w:themeColor="text1"/>
        </w:rPr>
        <w:t xml:space="preserve"> under</w:t>
      </w:r>
      <w:r w:rsidRPr="00210559">
        <w:rPr>
          <w:rStyle w:val="Strong"/>
          <w:rFonts w:ascii="Century Gothic" w:hAnsi="Century Gothic"/>
          <w:b w:val="0"/>
          <w:bCs w:val="0"/>
          <w:color w:val="000000" w:themeColor="text1"/>
        </w:rPr>
        <w:t xml:space="preserve"> Section 140</w:t>
      </w:r>
      <w:r w:rsidR="0068023A" w:rsidRPr="00210559">
        <w:rPr>
          <w:rStyle w:val="Strong"/>
          <w:rFonts w:ascii="Century Gothic" w:hAnsi="Century Gothic"/>
          <w:b w:val="0"/>
          <w:bCs w:val="0"/>
          <w:color w:val="000000" w:themeColor="text1"/>
        </w:rPr>
        <w:t xml:space="preserve"> and </w:t>
      </w:r>
    </w:p>
    <w:p w:rsidR="0068023A" w:rsidRPr="00210559" w:rsidRDefault="0068023A" w:rsidP="00C74AB2">
      <w:pPr>
        <w:pStyle w:val="NormalWeb"/>
        <w:numPr>
          <w:ilvl w:val="0"/>
          <w:numId w:val="2"/>
        </w:numPr>
        <w:spacing w:before="240" w:beforeAutospacing="0" w:after="240" w:afterAutospacing="0"/>
        <w:jc w:val="both"/>
        <w:rPr>
          <w:rStyle w:val="Strong"/>
          <w:rFonts w:ascii="Century Gothic" w:hAnsi="Century Gothic"/>
          <w:b w:val="0"/>
          <w:bCs w:val="0"/>
          <w:color w:val="000000" w:themeColor="text1"/>
        </w:rPr>
      </w:pPr>
      <w:r w:rsidRPr="00210559">
        <w:rPr>
          <w:rStyle w:val="Strong"/>
          <w:rFonts w:ascii="Century Gothic" w:hAnsi="Century Gothic"/>
          <w:b w:val="0"/>
          <w:bCs w:val="0"/>
          <w:color w:val="000000" w:themeColor="text1"/>
        </w:rPr>
        <w:t xml:space="preserve">Removal of Directors </w:t>
      </w:r>
      <w:r w:rsidR="00C74AB2" w:rsidRPr="00210559">
        <w:rPr>
          <w:rStyle w:val="Strong"/>
          <w:rFonts w:ascii="Century Gothic" w:hAnsi="Century Gothic"/>
          <w:b w:val="0"/>
          <w:bCs w:val="0"/>
          <w:color w:val="000000" w:themeColor="text1"/>
        </w:rPr>
        <w:t>under Sec 169 (4):</w:t>
      </w:r>
    </w:p>
    <w:p w:rsidR="00B268C8" w:rsidRDefault="006A3BFE" w:rsidP="004311A2">
      <w:pPr>
        <w:rPr>
          <w:rFonts w:ascii="Century Gothic" w:hAnsi="Century Gothic"/>
          <w:b/>
          <w:bCs/>
          <w:color w:val="000000" w:themeColor="text1"/>
          <w:sz w:val="24"/>
          <w:szCs w:val="24"/>
        </w:rPr>
      </w:pPr>
      <w:r>
        <w:rPr>
          <w:rFonts w:ascii="Century Gothic" w:hAnsi="Century Gothic"/>
          <w:b/>
          <w:bCs/>
          <w:color w:val="000000" w:themeColor="text1"/>
          <w:sz w:val="24"/>
          <w:szCs w:val="24"/>
        </w:rPr>
        <w:t xml:space="preserve">Reference </w:t>
      </w:r>
      <w:r w:rsidR="00B268C8">
        <w:rPr>
          <w:rFonts w:ascii="Century Gothic" w:hAnsi="Century Gothic"/>
          <w:b/>
          <w:bCs/>
          <w:color w:val="000000" w:themeColor="text1"/>
          <w:sz w:val="24"/>
          <w:szCs w:val="24"/>
        </w:rPr>
        <w:t xml:space="preserve">Note: </w:t>
      </w:r>
    </w:p>
    <w:p w:rsidR="00B268C8" w:rsidRDefault="00B268C8" w:rsidP="004311A2">
      <w:pPr>
        <w:rPr>
          <w:rFonts w:ascii="Century Gothic" w:hAnsi="Century Gothic"/>
          <w:b/>
          <w:bCs/>
          <w:color w:val="000000" w:themeColor="text1"/>
          <w:sz w:val="24"/>
          <w:szCs w:val="24"/>
        </w:rPr>
      </w:pPr>
    </w:p>
    <w:p w:rsidR="00D53DFC" w:rsidRDefault="00BB2F48" w:rsidP="00B268C8">
      <w:pPr>
        <w:pStyle w:val="ListParagraph"/>
        <w:numPr>
          <w:ilvl w:val="0"/>
          <w:numId w:val="12"/>
        </w:numPr>
        <w:rPr>
          <w:rFonts w:ascii="Century Gothic" w:hAnsi="Century Gothic"/>
          <w:b/>
          <w:bCs/>
          <w:color w:val="000000" w:themeColor="text1"/>
          <w:sz w:val="24"/>
          <w:szCs w:val="24"/>
        </w:rPr>
      </w:pPr>
      <w:r w:rsidRPr="00B268C8">
        <w:rPr>
          <w:rFonts w:ascii="Century Gothic" w:hAnsi="Century Gothic"/>
          <w:b/>
          <w:bCs/>
          <w:color w:val="000000" w:themeColor="text1"/>
          <w:sz w:val="24"/>
          <w:szCs w:val="24"/>
        </w:rPr>
        <w:t>For detailed study on r</w:t>
      </w:r>
      <w:r w:rsidR="00D53DFC" w:rsidRPr="00B268C8">
        <w:rPr>
          <w:rFonts w:ascii="Century Gothic" w:hAnsi="Century Gothic"/>
          <w:b/>
          <w:bCs/>
          <w:color w:val="000000" w:themeColor="text1"/>
          <w:sz w:val="24"/>
          <w:szCs w:val="24"/>
        </w:rPr>
        <w:t xml:space="preserve">elevant Sections of Companies Act, 2013 under which powers has been </w:t>
      </w:r>
      <w:r w:rsidRPr="00B268C8">
        <w:rPr>
          <w:rFonts w:ascii="Century Gothic" w:hAnsi="Century Gothic"/>
          <w:b/>
          <w:bCs/>
          <w:color w:val="000000" w:themeColor="text1"/>
          <w:sz w:val="24"/>
          <w:szCs w:val="24"/>
        </w:rPr>
        <w:t>vested in NCLT, refer Annexure-A</w:t>
      </w:r>
    </w:p>
    <w:p w:rsidR="00AD2057" w:rsidRDefault="00B268C8" w:rsidP="00AD2057">
      <w:pPr>
        <w:pStyle w:val="ListParagraph"/>
        <w:numPr>
          <w:ilvl w:val="0"/>
          <w:numId w:val="12"/>
        </w:numPr>
        <w:rPr>
          <w:rFonts w:ascii="Century Gothic" w:hAnsi="Century Gothic"/>
          <w:b/>
          <w:bCs/>
          <w:color w:val="000000" w:themeColor="text1"/>
          <w:sz w:val="24"/>
          <w:szCs w:val="24"/>
        </w:rPr>
      </w:pPr>
      <w:r>
        <w:rPr>
          <w:rFonts w:ascii="Century Gothic" w:hAnsi="Century Gothic"/>
          <w:b/>
          <w:bCs/>
          <w:color w:val="000000" w:themeColor="text1"/>
          <w:sz w:val="24"/>
          <w:szCs w:val="24"/>
        </w:rPr>
        <w:t xml:space="preserve">Updated Companies Act, 2013 and Rules made thereunder are available </w:t>
      </w:r>
      <w:r w:rsidR="006A3BFE">
        <w:rPr>
          <w:rFonts w:ascii="Century Gothic" w:hAnsi="Century Gothic"/>
          <w:b/>
          <w:bCs/>
          <w:color w:val="000000" w:themeColor="text1"/>
          <w:sz w:val="24"/>
          <w:szCs w:val="24"/>
        </w:rPr>
        <w:t>at the</w:t>
      </w:r>
      <w:r w:rsidR="00AD2057">
        <w:rPr>
          <w:rFonts w:ascii="Century Gothic" w:hAnsi="Century Gothic"/>
          <w:b/>
          <w:bCs/>
          <w:color w:val="000000" w:themeColor="text1"/>
          <w:sz w:val="24"/>
          <w:szCs w:val="24"/>
        </w:rPr>
        <w:t xml:space="preserve"> website</w:t>
      </w:r>
      <w:r w:rsidR="006A3BFE">
        <w:rPr>
          <w:rFonts w:ascii="Century Gothic" w:hAnsi="Century Gothic"/>
          <w:b/>
          <w:bCs/>
          <w:color w:val="000000" w:themeColor="text1"/>
          <w:sz w:val="24"/>
          <w:szCs w:val="24"/>
        </w:rPr>
        <w:t>:</w:t>
      </w:r>
    </w:p>
    <w:p w:rsidR="00B268C8" w:rsidRDefault="006A3BFE" w:rsidP="00AD2057">
      <w:pPr>
        <w:pStyle w:val="ListParagraph"/>
        <w:rPr>
          <w:rFonts w:ascii="Century Gothic" w:hAnsi="Century Gothic"/>
          <w:b/>
          <w:bCs/>
          <w:color w:val="000000" w:themeColor="text1"/>
          <w:sz w:val="24"/>
          <w:szCs w:val="24"/>
        </w:rPr>
      </w:pPr>
      <w:hyperlink r:id="rId7" w:history="1">
        <w:r w:rsidRPr="0001401D">
          <w:rPr>
            <w:rStyle w:val="Hyperlink"/>
            <w:rFonts w:ascii="Century Gothic" w:hAnsi="Century Gothic"/>
            <w:b/>
            <w:bCs/>
            <w:sz w:val="24"/>
            <w:szCs w:val="24"/>
          </w:rPr>
          <w:t>http://ebook.mca.gov.in/Default.aspx?page=main</w:t>
        </w:r>
      </w:hyperlink>
      <w:r>
        <w:rPr>
          <w:rFonts w:ascii="Century Gothic" w:hAnsi="Century Gothic"/>
          <w:b/>
          <w:bCs/>
          <w:color w:val="000000" w:themeColor="text1"/>
          <w:sz w:val="24"/>
          <w:szCs w:val="24"/>
        </w:rPr>
        <w:t xml:space="preserve">. </w:t>
      </w:r>
    </w:p>
    <w:p w:rsidR="007A2CA3" w:rsidRDefault="007A2CA3" w:rsidP="00AD2057">
      <w:pPr>
        <w:pStyle w:val="ListParagraph"/>
        <w:numPr>
          <w:ilvl w:val="0"/>
          <w:numId w:val="12"/>
        </w:numPr>
        <w:rPr>
          <w:rFonts w:ascii="Century Gothic" w:hAnsi="Century Gothic"/>
          <w:b/>
          <w:bCs/>
          <w:color w:val="000000" w:themeColor="text1"/>
          <w:sz w:val="24"/>
          <w:szCs w:val="24"/>
        </w:rPr>
      </w:pPr>
      <w:r w:rsidRPr="00AD2057">
        <w:rPr>
          <w:rFonts w:ascii="Century Gothic" w:hAnsi="Century Gothic"/>
          <w:b/>
          <w:bCs/>
          <w:color w:val="000000" w:themeColor="text1"/>
          <w:sz w:val="24"/>
          <w:szCs w:val="24"/>
        </w:rPr>
        <w:t xml:space="preserve">Updated Insolvency and Bankruptcy Code is </w:t>
      </w:r>
      <w:r w:rsidR="00AD2057" w:rsidRPr="00AD2057">
        <w:rPr>
          <w:rFonts w:ascii="Century Gothic" w:hAnsi="Century Gothic"/>
          <w:b/>
          <w:bCs/>
          <w:color w:val="000000" w:themeColor="text1"/>
          <w:sz w:val="24"/>
          <w:szCs w:val="24"/>
        </w:rPr>
        <w:t>available</w:t>
      </w:r>
      <w:r w:rsidRPr="00AD2057">
        <w:rPr>
          <w:rFonts w:ascii="Century Gothic" w:hAnsi="Century Gothic"/>
          <w:b/>
          <w:bCs/>
          <w:color w:val="000000" w:themeColor="text1"/>
          <w:sz w:val="24"/>
          <w:szCs w:val="24"/>
        </w:rPr>
        <w:t xml:space="preserve"> on </w:t>
      </w:r>
      <w:hyperlink r:id="rId8" w:history="1">
        <w:r w:rsidR="00AD2057" w:rsidRPr="0001401D">
          <w:rPr>
            <w:rStyle w:val="Hyperlink"/>
            <w:rFonts w:ascii="Century Gothic" w:hAnsi="Century Gothic"/>
            <w:b/>
            <w:bCs/>
            <w:sz w:val="24"/>
            <w:szCs w:val="24"/>
          </w:rPr>
          <w:t>https://ibbi.gov.in/webfront/legal_framework.php</w:t>
        </w:r>
      </w:hyperlink>
    </w:p>
    <w:p w:rsidR="00FD2F5C" w:rsidRDefault="00FD2F5C">
      <w:pPr>
        <w:rPr>
          <w:rFonts w:ascii="Century Gothic" w:hAnsi="Century Gothic"/>
          <w:color w:val="000000" w:themeColor="text1"/>
          <w:sz w:val="24"/>
          <w:szCs w:val="24"/>
        </w:rPr>
      </w:pPr>
      <w:r>
        <w:rPr>
          <w:rFonts w:ascii="Century Gothic" w:hAnsi="Century Gothic"/>
          <w:color w:val="000000" w:themeColor="text1"/>
          <w:sz w:val="24"/>
          <w:szCs w:val="24"/>
        </w:rPr>
        <w:br w:type="page"/>
      </w:r>
    </w:p>
    <w:p w:rsidR="00BB2F48" w:rsidRPr="00210559" w:rsidRDefault="00BB2F48">
      <w:pPr>
        <w:rPr>
          <w:rFonts w:ascii="Century Gothic" w:hAnsi="Century Gothic"/>
          <w:color w:val="000000" w:themeColor="text1"/>
          <w:sz w:val="24"/>
          <w:szCs w:val="24"/>
        </w:rPr>
      </w:pPr>
      <w:bookmarkStart w:id="0" w:name="_GoBack"/>
      <w:bookmarkEnd w:id="0"/>
    </w:p>
    <w:p w:rsidR="004311A2" w:rsidRPr="00210559" w:rsidRDefault="00BB2F48" w:rsidP="00BB2F48">
      <w:pPr>
        <w:jc w:val="right"/>
        <w:rPr>
          <w:rFonts w:ascii="Century Gothic" w:hAnsi="Century Gothic"/>
          <w:b/>
          <w:bCs/>
          <w:color w:val="000000" w:themeColor="text1"/>
          <w:sz w:val="24"/>
          <w:szCs w:val="24"/>
        </w:rPr>
      </w:pPr>
      <w:r w:rsidRPr="00210559">
        <w:rPr>
          <w:rFonts w:ascii="Century Gothic" w:hAnsi="Century Gothic"/>
          <w:b/>
          <w:bCs/>
          <w:color w:val="000000" w:themeColor="text1"/>
          <w:sz w:val="24"/>
          <w:szCs w:val="24"/>
        </w:rPr>
        <w:t>Annexure-A</w:t>
      </w:r>
    </w:p>
    <w:p w:rsidR="00BB2F48" w:rsidRPr="00210559" w:rsidRDefault="00BB2F48" w:rsidP="00BB2F48">
      <w:pPr>
        <w:ind w:left="-360"/>
        <w:jc w:val="center"/>
        <w:rPr>
          <w:rFonts w:ascii="Century Gothic" w:eastAsia="Times New Roman" w:hAnsi="Century Gothic" w:cs="Calibri"/>
          <w:b/>
          <w:bCs/>
          <w:color w:val="333333"/>
          <w:sz w:val="24"/>
          <w:szCs w:val="24"/>
        </w:rPr>
      </w:pPr>
      <w:r w:rsidRPr="00210559">
        <w:rPr>
          <w:rFonts w:ascii="Century Gothic" w:eastAsia="Times New Roman" w:hAnsi="Century Gothic" w:cs="Calibri"/>
          <w:b/>
          <w:bCs/>
          <w:color w:val="333333"/>
          <w:sz w:val="24"/>
          <w:szCs w:val="24"/>
        </w:rPr>
        <w:t>Powers of NCLT under Companies Act, 2013</w:t>
      </w:r>
    </w:p>
    <w:tbl>
      <w:tblPr>
        <w:tblW w:w="9090" w:type="dxa"/>
        <w:tblInd w:w="-5" w:type="dxa"/>
        <w:tblLook w:val="04A0" w:firstRow="1" w:lastRow="0" w:firstColumn="1" w:lastColumn="0" w:noHBand="0" w:noVBand="1"/>
      </w:tblPr>
      <w:tblGrid>
        <w:gridCol w:w="7406"/>
        <w:gridCol w:w="1684"/>
      </w:tblGrid>
      <w:tr w:rsidR="00BB2F48" w:rsidRPr="00210559" w:rsidTr="00BF1644">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b/>
                <w:bCs/>
                <w:color w:val="333333"/>
                <w:sz w:val="24"/>
                <w:szCs w:val="24"/>
              </w:rPr>
            </w:pPr>
            <w:r w:rsidRPr="00210559">
              <w:rPr>
                <w:rFonts w:ascii="Century Gothic" w:eastAsia="Times New Roman" w:hAnsi="Century Gothic" w:cs="Calibri"/>
                <w:b/>
                <w:bCs/>
                <w:color w:val="333333"/>
                <w:sz w:val="24"/>
                <w:szCs w:val="24"/>
              </w:rPr>
              <w:t>Section No &amp; Section Title of Companies Act, 2013</w:t>
            </w:r>
          </w:p>
        </w:tc>
        <w:tc>
          <w:tcPr>
            <w:tcW w:w="1684" w:type="dxa"/>
            <w:tcBorders>
              <w:top w:val="single" w:sz="4" w:space="0" w:color="auto"/>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b/>
                <w:bCs/>
                <w:color w:val="333333"/>
                <w:sz w:val="24"/>
                <w:szCs w:val="24"/>
              </w:rPr>
            </w:pPr>
            <w:r w:rsidRPr="00210559">
              <w:rPr>
                <w:rFonts w:ascii="Century Gothic" w:eastAsia="Times New Roman" w:hAnsi="Century Gothic" w:cs="Calibri"/>
                <w:b/>
                <w:bCs/>
                <w:color w:val="333333"/>
                <w:sz w:val="24"/>
                <w:szCs w:val="24"/>
              </w:rPr>
              <w:t xml:space="preserve">Power Effected from </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 Definitions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12-09-13</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7 Incorporation of Company</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8 Formation of Companies with Charitable Objects, etc.</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14 Alteration of Articles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24 Power of Securities and Exchange Board to Regulate Issue and Transfer of Securities, etc.</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12-09-13</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48 Variation of Shareholders' Rights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55 Issue and Redemption of Preference Shares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56 Transfer and Transmission of Securities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58 Refusal of Registration and Appeal against Refusal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12-09-13</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59 Rectification of Register of Members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12-09-13</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61 Power of Limited Company to Alter its Share Capital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62 Further Issue of Share Capital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66 Reduction of Share Capital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71 Debentures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73 Prohibition on Acceptance of Deposits from Public</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74 Repayment of Deposits, etc., Accepted before Commencement of this Act</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75 Damages for Fraud</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90 Register of significant beneficial owners in a company</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97 Power of Tribunal to Call Annual General Meeting</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98 Power of Tribunal to Call Meetings of Members, etc.</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99 Punishment for Default in Complying with Provisions of Sections 96 to 98</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119 Inspection of Minute-Books of General Meeting</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125 Investor Education and Protection Fund</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13-01-16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130 Re-opening of Accounts on Court’s or Tribunal’s Orders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131 Voluntary Revision of Financial Statements or Board’s Report</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132 Constitution of National Financial Reporting Authority</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01-10-18</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140 Removal, Resignation of Auditor and Giving of Special Notice</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164 Disqualifications for Appointment of Director</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167 Vacation of Office of Director</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169 Removal of Directors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202 Compensation for Loss of Office of Managing or Whole-time Director or Manager</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12-09-13</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210 Investigation into Affairs of Company</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213 Investigation into Company’s Affairs in Other Cases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lastRenderedPageBreak/>
              <w:t>214 Security for Payment of Costs and Expenses of Investigation</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216 Investigation of Ownership of Company</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218 Protection of Employees During Investigation</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221 Freezing of Assets of Company on Inquiry and Investigation</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222 Imposition of Restrictions Upon Securities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224 Actions to be Taken in Pursuance of Inspector’s Report</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226 Voluntary Winding Up of Company, etc., Not to Stop Investigation Proceedings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227 Legal Advisers and Bankers Not to Disclose Certain Information</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09-09-16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230 Power to Compromise or Make Arrangements with Creditors and Members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231 Power of Tribunal to Enforce Compromise or Arrangement</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232 Merger and Amalgamation of Companies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233 Merger or Amalgamation of Certain Companies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235 Power to Acquire Shares of Shareholders Dissenting from Scheme or Contract Approved by Majority</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237 Power of Central Government to Provide for Amalgamation of Companies in Public Interest</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238 Registration of Offer of Schemes Involving Transfer of Shares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241 Application to Tribunal for Relief in Cases of Oppression, etc.</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242 Powers of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243 Consequence of Termination or Modification of Certain Agreements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244 Right to Apply Under Section 241</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245 Class Action</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246 Application of Certain Provisions to Proceedings Under Section 241 or Section 245</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09-09-16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248 Power of Registrar to Remove Name of Company From Register of Companies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26-12-16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249 Restrictions on Making Application Under Section 248 in Certain Situations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26-12-16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252 Appeal to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26-12-16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255 Exclusion of Certain Time in Computing Period of Limitation</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Notification Awaited</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258 Order of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Notification Awaited</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266 Power of Tribunal to Assess Damages Against Delinquent Directors, etc.</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Notification Awaited</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270 Modes of Winding Up</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 xml:space="preserve">271 Circumstances in Which Company may be Wound Up </w:t>
            </w:r>
            <w:r w:rsidRPr="00210559">
              <w:rPr>
                <w:rFonts w:ascii="Century Gothic" w:eastAsia="Times New Roman" w:hAnsi="Century Gothic" w:cs="Calibri"/>
                <w:color w:val="333333"/>
                <w:sz w:val="24"/>
                <w:szCs w:val="24"/>
              </w:rPr>
              <w:lastRenderedPageBreak/>
              <w:t>by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lastRenderedPageBreak/>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lastRenderedPageBreak/>
              <w:t>272 Petition for Winding Up</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273 Powers of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274 Directions for Filing Statement of Affairs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275 Company Liquidators and Their Appointments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276 Removal and Replacement of Liquidator</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277 Intimation to Company Liquidator, Provisional Liquidator and Registrar</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279 Stay of Suits, etc., on Winding Up Order</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280 Jurisdiction of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281 Submission of Report by Company Liquidator</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282 Directions of Tribunal on Report of Company Liquidator</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283 Custody of Company's Properties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285 Settlement of List of Contributories and Application of Assets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286 Obligations of Directors and Managers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287 Advisory Committee</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288 Submission of Periodical Reports to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289 Power of Tribunal on Application for Stay of Winding Up</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Notification Awaited</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290 Powers and Duties of Company Liquidator</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291 Provision for Professional Assistance to Company Liquidator</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292 Exercise and Control of Company Liquidator's Powers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293 Books to be Kept by Company Liquidator</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294 Audit of Company Liquidator's Accounts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295 Payment of Debts by Contributory and Extent of Set-off</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296 Power of Tribunal to Make Calls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297 Adjustment of Rights of Contributories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298 Power to Order Costs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299 Power to Summon Persons Suspected of Having Property of Company, etc.</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300 Power to Order Examination of Promoters, Directors, etc.</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301 Arrest of Person Trying to Leave India or Abscond</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302 Dissolution of Company by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317 Report of Company Liquidator to Tribunal for Examination of Persons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Notification Awaited</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322 Power to Apply to Tribunal to Have Questions Determined, etc.</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Notification Awaited</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327 Preferential Payments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328 Fraudulent Preference</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329 Transfers Not in Good Faith to be Void</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331 Liabilities and Rights of Certain Persons Fraudulently Preferred</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333 Disclaimer of Onerous Property</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lastRenderedPageBreak/>
              <w:t>334 Transfers, etc., After Commencement of Winding Up to be Void</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335 Certain Attachments, Executions, etc., in Winding Up by Tribunal to be Void</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336 Offences by Officers of Companies in Liquidation</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337 Penalty for Frauds by Officers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339 Liability for Fraudulent Conduct of Business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340 Power of Tribunal to Assess Damages Against Delinquent Directors, etc.</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341 Liability Under Sections 339 and 340 to Extend to Partners or Directors in Firms or Companies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342 Prosecution of Delinquent Officers and Members of Company</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343 Company Liquidator to Exercise Certain Powers Subject to Sanction</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344 Statement that Company is in Liquidation</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346 Inspection of Books and Papers by Creditors and Contributories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347 Disposal of Books and Papers of Company</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348 Information as to Pending liquidations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350 Company Liquidator to Deposit Monies into Scheduled Bank</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352 Company Liquidation Dividend and Undistributed Assets Account</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353 Liquidator to Make Returns, etc.</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354 Meetings to Ascertain Wishes of Creditors or Contributories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355 Court, Tribunal or Person, etc., Before Whom Affidavit May be Sworn</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356 Powers of Tribunal to Declare Dissolution of Company Void</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357 Commencement of Winding Up by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358 Exclusion of Certain Time in Computing Period of Limitation</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359 Appointment of Official Liquidator</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360 Powers and Functions of Official Liquidator</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364 Appeal by Creditor</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365 Order of Dissolution of Company</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373 Suits Stayed on Winding Up Order</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375 Winding up of Unregistered Companies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377 Provisions of Chapter Cumulative</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07-12-16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399 Inspection, Production and Evidence of Documents Kept by Registrar</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407 Definitions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12-09-13</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408 Constitution of National Company Law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12-09-13</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lastRenderedPageBreak/>
              <w:t>409 Qualification of President and Members of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12-09-13</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410 Constitution of Appellate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12-09-13</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411 Qualifications of Chairperson and Members of Appellate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12-09-13</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412 Selection of Members of Tribunal and Appellate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12-09-13</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413 Term of Office of President, Chairperson and Other Members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12-09-13</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414 Salary, Allowances and Other Terms and Conditions of Service of Members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12-09-13</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415 Acting President and Chairperson of Tribunal or Appellate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417A:Qualifications, terms and conditions of service of Chairperson and Member.</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Notification Awaited</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418 Staff of Tribunal and Appellate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419 Benches of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420 Orders of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421 Appeal from Orders of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422 Expeditious Disposal by Tribunal and Appellate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423 Appeal to Supreme Court</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424 Procedure Before Tribunal and Appellate Tribunal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425 Power to Punish for Contempt</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426 Delegation of Powers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427 President, Members, Officers, etc., to be Public Servants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428 Protection of Action Taken in Good Faith</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429 Power to Seek Assistance of Chief Metropolitan Magistrate, etc.</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430 Civil Court Not to Have Jurisdiction</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431 Vacancy in Tribunal or Appellate Tribunal Not to Invalidate Acts or Proceedings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432 Right to Legal Representation</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433 Limitation</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434 Transfer of Certain Pending Proceedings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441 Compounding of Certain Offences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442 Mediation and Conciliation Panel</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457 Nondisclosure of Information in Certain Cases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12-09-13</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459 Powers of Central Government or Tribunal to Accord Approval, etc., Subject to Conditions and to Prescribe Fees on Applications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12-09-13</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465 Repeal of Certain Enactments and Savings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Notification Awaited</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466 Dissolution of Company Law Board and Consequential Provisions</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01-06-16</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468 Powers of Central Government to Make Rules Relating to Winding Up</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12-09-13</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 xml:space="preserve">Schedule I Memorandum of Association &amp; Article of </w:t>
            </w:r>
            <w:r w:rsidRPr="00210559">
              <w:rPr>
                <w:rFonts w:ascii="Century Gothic" w:eastAsia="Times New Roman" w:hAnsi="Century Gothic" w:cs="Calibri"/>
                <w:color w:val="333333"/>
                <w:sz w:val="24"/>
                <w:szCs w:val="24"/>
              </w:rPr>
              <w:lastRenderedPageBreak/>
              <w:t>Association</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lastRenderedPageBreak/>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lastRenderedPageBreak/>
              <w:t>SCHEDULE I TABLE -F</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r w:rsidR="00BB2F48" w:rsidRPr="00210559" w:rsidTr="00BF1644">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B2F48" w:rsidRPr="00210559" w:rsidRDefault="00BB2F48" w:rsidP="00BF1644">
            <w:pPr>
              <w:ind w:left="71"/>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Schedule V Conditions to be Fulfilled for the Appointment of a Managing or WTD or a Manager Without the Approval of Central govt.</w:t>
            </w:r>
          </w:p>
        </w:tc>
        <w:tc>
          <w:tcPr>
            <w:tcW w:w="1684" w:type="dxa"/>
            <w:tcBorders>
              <w:top w:val="nil"/>
              <w:left w:val="nil"/>
              <w:bottom w:val="single" w:sz="4" w:space="0" w:color="auto"/>
              <w:right w:val="single" w:sz="4" w:space="0" w:color="auto"/>
            </w:tcBorders>
            <w:shd w:val="clear" w:color="000000" w:fill="FFFFFF"/>
            <w:vAlign w:val="center"/>
            <w:hideMark/>
          </w:tcPr>
          <w:p w:rsidR="00BB2F48" w:rsidRPr="00210559" w:rsidRDefault="00BB2F48" w:rsidP="00BF1644">
            <w:pPr>
              <w:ind w:left="46"/>
              <w:jc w:val="center"/>
              <w:rPr>
                <w:rFonts w:ascii="Century Gothic" w:eastAsia="Times New Roman" w:hAnsi="Century Gothic" w:cs="Calibri"/>
                <w:color w:val="333333"/>
                <w:sz w:val="24"/>
                <w:szCs w:val="24"/>
              </w:rPr>
            </w:pPr>
            <w:r w:rsidRPr="00210559">
              <w:rPr>
                <w:rFonts w:ascii="Century Gothic" w:eastAsia="Times New Roman" w:hAnsi="Century Gothic" w:cs="Calibri"/>
                <w:color w:val="333333"/>
                <w:sz w:val="24"/>
                <w:szCs w:val="24"/>
              </w:rPr>
              <w:t>01-04-14</w:t>
            </w:r>
          </w:p>
        </w:tc>
      </w:tr>
    </w:tbl>
    <w:p w:rsidR="00BB2F48" w:rsidRPr="00210559" w:rsidRDefault="00BB2F48" w:rsidP="00BB2F48">
      <w:pPr>
        <w:ind w:left="-360"/>
        <w:rPr>
          <w:rFonts w:ascii="Century Gothic" w:hAnsi="Century Gothic"/>
          <w:sz w:val="24"/>
          <w:szCs w:val="24"/>
        </w:rPr>
      </w:pPr>
    </w:p>
    <w:sectPr w:rsidR="00BB2F48" w:rsidRPr="00210559" w:rsidSect="00834D1D">
      <w:footerReference w:type="default" r:id="rId9"/>
      <w:pgSz w:w="11906" w:h="16838"/>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5E3" w:rsidRDefault="00BA45E3" w:rsidP="00AA2AC8">
      <w:r>
        <w:separator/>
      </w:r>
    </w:p>
  </w:endnote>
  <w:endnote w:type="continuationSeparator" w:id="0">
    <w:p w:rsidR="00BA45E3" w:rsidRDefault="00BA45E3" w:rsidP="00AA2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188837"/>
      <w:docPartObj>
        <w:docPartGallery w:val="Page Numbers (Bottom of Page)"/>
        <w:docPartUnique/>
      </w:docPartObj>
    </w:sdtPr>
    <w:sdtEndPr>
      <w:rPr>
        <w:sz w:val="24"/>
        <w:szCs w:val="24"/>
      </w:rPr>
    </w:sdtEndPr>
    <w:sdtContent>
      <w:sdt>
        <w:sdtPr>
          <w:rPr>
            <w:rFonts w:ascii="Century Gothic" w:hAnsi="Century Gothic"/>
          </w:rPr>
          <w:id w:val="1728636285"/>
          <w:docPartObj>
            <w:docPartGallery w:val="Page Numbers (Top of Page)"/>
            <w:docPartUnique/>
          </w:docPartObj>
        </w:sdtPr>
        <w:sdtEndPr>
          <w:rPr>
            <w:rFonts w:asciiTheme="minorHAnsi" w:hAnsiTheme="minorHAnsi"/>
            <w:sz w:val="24"/>
            <w:szCs w:val="24"/>
          </w:rPr>
        </w:sdtEndPr>
        <w:sdtContent>
          <w:p w:rsidR="00BF1644" w:rsidRPr="00210559" w:rsidRDefault="00BF1644">
            <w:pPr>
              <w:pStyle w:val="Footer"/>
              <w:jc w:val="center"/>
              <w:rPr>
                <w:sz w:val="24"/>
                <w:szCs w:val="24"/>
              </w:rPr>
            </w:pPr>
            <w:r w:rsidRPr="00210559">
              <w:rPr>
                <w:rFonts w:ascii="Century Gothic" w:hAnsi="Century Gothic"/>
                <w:sz w:val="24"/>
                <w:szCs w:val="24"/>
              </w:rPr>
              <w:t xml:space="preserve">Page </w:t>
            </w:r>
            <w:r w:rsidRPr="00210559">
              <w:rPr>
                <w:rFonts w:ascii="Century Gothic" w:hAnsi="Century Gothic"/>
                <w:b/>
                <w:bCs/>
                <w:sz w:val="24"/>
                <w:szCs w:val="24"/>
              </w:rPr>
              <w:fldChar w:fldCharType="begin"/>
            </w:r>
            <w:r w:rsidRPr="00210559">
              <w:rPr>
                <w:rFonts w:ascii="Century Gothic" w:hAnsi="Century Gothic"/>
                <w:b/>
                <w:bCs/>
                <w:sz w:val="24"/>
                <w:szCs w:val="24"/>
              </w:rPr>
              <w:instrText xml:space="preserve"> PAGE </w:instrText>
            </w:r>
            <w:r w:rsidRPr="00210559">
              <w:rPr>
                <w:rFonts w:ascii="Century Gothic" w:hAnsi="Century Gothic"/>
                <w:b/>
                <w:bCs/>
                <w:sz w:val="24"/>
                <w:szCs w:val="24"/>
              </w:rPr>
              <w:fldChar w:fldCharType="separate"/>
            </w:r>
            <w:r w:rsidR="00FD2F5C">
              <w:rPr>
                <w:rFonts w:ascii="Century Gothic" w:hAnsi="Century Gothic"/>
                <w:b/>
                <w:bCs/>
                <w:noProof/>
                <w:sz w:val="24"/>
                <w:szCs w:val="24"/>
              </w:rPr>
              <w:t>1</w:t>
            </w:r>
            <w:r w:rsidRPr="00210559">
              <w:rPr>
                <w:rFonts w:ascii="Century Gothic" w:hAnsi="Century Gothic"/>
                <w:b/>
                <w:bCs/>
                <w:sz w:val="24"/>
                <w:szCs w:val="24"/>
              </w:rPr>
              <w:fldChar w:fldCharType="end"/>
            </w:r>
            <w:r w:rsidRPr="00210559">
              <w:rPr>
                <w:rFonts w:ascii="Century Gothic" w:hAnsi="Century Gothic"/>
                <w:sz w:val="24"/>
                <w:szCs w:val="24"/>
              </w:rPr>
              <w:t xml:space="preserve"> of </w:t>
            </w:r>
            <w:r w:rsidRPr="00210559">
              <w:rPr>
                <w:rFonts w:ascii="Century Gothic" w:hAnsi="Century Gothic"/>
                <w:b/>
                <w:bCs/>
                <w:sz w:val="24"/>
                <w:szCs w:val="24"/>
              </w:rPr>
              <w:fldChar w:fldCharType="begin"/>
            </w:r>
            <w:r w:rsidRPr="00210559">
              <w:rPr>
                <w:rFonts w:ascii="Century Gothic" w:hAnsi="Century Gothic"/>
                <w:b/>
                <w:bCs/>
                <w:sz w:val="24"/>
                <w:szCs w:val="24"/>
              </w:rPr>
              <w:instrText xml:space="preserve"> NUMPAGES  </w:instrText>
            </w:r>
            <w:r w:rsidRPr="00210559">
              <w:rPr>
                <w:rFonts w:ascii="Century Gothic" w:hAnsi="Century Gothic"/>
                <w:b/>
                <w:bCs/>
                <w:sz w:val="24"/>
                <w:szCs w:val="24"/>
              </w:rPr>
              <w:fldChar w:fldCharType="separate"/>
            </w:r>
            <w:r w:rsidR="00FD2F5C">
              <w:rPr>
                <w:rFonts w:ascii="Century Gothic" w:hAnsi="Century Gothic"/>
                <w:b/>
                <w:bCs/>
                <w:noProof/>
                <w:sz w:val="24"/>
                <w:szCs w:val="24"/>
              </w:rPr>
              <w:t>10</w:t>
            </w:r>
            <w:r w:rsidRPr="00210559">
              <w:rPr>
                <w:rFonts w:ascii="Century Gothic" w:hAnsi="Century Gothic"/>
                <w:b/>
                <w:bCs/>
                <w:sz w:val="24"/>
                <w:szCs w:val="24"/>
              </w:rPr>
              <w:fldChar w:fldCharType="end"/>
            </w:r>
          </w:p>
        </w:sdtContent>
      </w:sdt>
    </w:sdtContent>
  </w:sdt>
  <w:p w:rsidR="00BF1644" w:rsidRDefault="00BF164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5E3" w:rsidRDefault="00BA45E3" w:rsidP="00AA2AC8">
      <w:r>
        <w:separator/>
      </w:r>
    </w:p>
  </w:footnote>
  <w:footnote w:type="continuationSeparator" w:id="0">
    <w:p w:rsidR="00BA45E3" w:rsidRDefault="00BA45E3" w:rsidP="00AA2A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F20E5"/>
    <w:multiLevelType w:val="hybridMultilevel"/>
    <w:tmpl w:val="321CBA9E"/>
    <w:lvl w:ilvl="0" w:tplc="2ED28780">
      <w:start w:val="1"/>
      <w:numFmt w:val="decimal"/>
      <w:lvlText w:val="%1."/>
      <w:lvlJc w:val="left"/>
      <w:pPr>
        <w:ind w:left="720" w:hanging="360"/>
      </w:pPr>
      <w:rPr>
        <w:rFonts w:ascii="Century Gothic" w:hAnsi="Century Gothic"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C57231"/>
    <w:multiLevelType w:val="hybridMultilevel"/>
    <w:tmpl w:val="0D00FD58"/>
    <w:lvl w:ilvl="0" w:tplc="2ED28780">
      <w:start w:val="1"/>
      <w:numFmt w:val="decimal"/>
      <w:lvlText w:val="%1."/>
      <w:lvlJc w:val="left"/>
      <w:pPr>
        <w:ind w:left="720" w:hanging="360"/>
      </w:pPr>
      <w:rPr>
        <w:rFonts w:ascii="Century Gothic" w:hAnsi="Century Gothic"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CE4C32"/>
    <w:multiLevelType w:val="hybridMultilevel"/>
    <w:tmpl w:val="EABE177C"/>
    <w:lvl w:ilvl="0" w:tplc="2ED28780">
      <w:start w:val="1"/>
      <w:numFmt w:val="decimal"/>
      <w:lvlText w:val="%1."/>
      <w:lvlJc w:val="left"/>
      <w:pPr>
        <w:ind w:left="720" w:hanging="360"/>
      </w:pPr>
      <w:rPr>
        <w:rFonts w:ascii="Century Gothic" w:hAnsi="Century Gothic"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6E7F53"/>
    <w:multiLevelType w:val="hybridMultilevel"/>
    <w:tmpl w:val="321CBA9E"/>
    <w:lvl w:ilvl="0" w:tplc="2ED28780">
      <w:start w:val="1"/>
      <w:numFmt w:val="decimal"/>
      <w:lvlText w:val="%1."/>
      <w:lvlJc w:val="left"/>
      <w:pPr>
        <w:ind w:left="720" w:hanging="360"/>
      </w:pPr>
      <w:rPr>
        <w:rFonts w:ascii="Century Gothic" w:hAnsi="Century Gothic"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9E3A19"/>
    <w:multiLevelType w:val="hybridMultilevel"/>
    <w:tmpl w:val="4FCEE7C2"/>
    <w:lvl w:ilvl="0" w:tplc="B7D4CF04">
      <w:start w:val="1"/>
      <w:numFmt w:val="decimal"/>
      <w:lvlText w:val="%1."/>
      <w:lvlJc w:val="left"/>
      <w:pPr>
        <w:ind w:left="720" w:hanging="360"/>
      </w:pPr>
      <w:rPr>
        <w:rFonts w:ascii="Century Gothic" w:hAnsi="Century Gothic"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DD2F5B"/>
    <w:multiLevelType w:val="multilevel"/>
    <w:tmpl w:val="E196E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F540DA"/>
    <w:multiLevelType w:val="hybridMultilevel"/>
    <w:tmpl w:val="77B4D7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59274D"/>
    <w:multiLevelType w:val="hybridMultilevel"/>
    <w:tmpl w:val="4FCEE7C2"/>
    <w:lvl w:ilvl="0" w:tplc="B7D4CF04">
      <w:start w:val="1"/>
      <w:numFmt w:val="decimal"/>
      <w:lvlText w:val="%1."/>
      <w:lvlJc w:val="left"/>
      <w:pPr>
        <w:ind w:left="720" w:hanging="360"/>
      </w:pPr>
      <w:rPr>
        <w:rFonts w:ascii="Century Gothic" w:hAnsi="Century Gothic"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CE011E"/>
    <w:multiLevelType w:val="hybridMultilevel"/>
    <w:tmpl w:val="2BD4A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4B6D70"/>
    <w:multiLevelType w:val="hybridMultilevel"/>
    <w:tmpl w:val="C1381690"/>
    <w:lvl w:ilvl="0" w:tplc="B7D4CF04">
      <w:start w:val="1"/>
      <w:numFmt w:val="decimal"/>
      <w:lvlText w:val="%1."/>
      <w:lvlJc w:val="left"/>
      <w:pPr>
        <w:ind w:left="720" w:hanging="360"/>
      </w:pPr>
      <w:rPr>
        <w:rFonts w:ascii="Century Gothic" w:hAnsi="Century Gothic"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563F82"/>
    <w:multiLevelType w:val="hybridMultilevel"/>
    <w:tmpl w:val="0A1E9BF0"/>
    <w:lvl w:ilvl="0" w:tplc="2ED28780">
      <w:start w:val="1"/>
      <w:numFmt w:val="decimal"/>
      <w:lvlText w:val="%1."/>
      <w:lvlJc w:val="left"/>
      <w:pPr>
        <w:ind w:left="720" w:hanging="360"/>
      </w:pPr>
      <w:rPr>
        <w:rFonts w:ascii="Century Gothic" w:hAnsi="Century Gothic"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CC3874"/>
    <w:multiLevelType w:val="hybridMultilevel"/>
    <w:tmpl w:val="1766FF20"/>
    <w:lvl w:ilvl="0" w:tplc="2ED28780">
      <w:start w:val="1"/>
      <w:numFmt w:val="decimal"/>
      <w:lvlText w:val="%1."/>
      <w:lvlJc w:val="left"/>
      <w:pPr>
        <w:ind w:left="720" w:hanging="360"/>
      </w:pPr>
      <w:rPr>
        <w:rFonts w:ascii="Century Gothic" w:hAnsi="Century Gothic"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9"/>
  </w:num>
  <w:num w:numId="4">
    <w:abstractNumId w:val="4"/>
  </w:num>
  <w:num w:numId="5">
    <w:abstractNumId w:val="7"/>
  </w:num>
  <w:num w:numId="6">
    <w:abstractNumId w:val="2"/>
  </w:num>
  <w:num w:numId="7">
    <w:abstractNumId w:val="1"/>
  </w:num>
  <w:num w:numId="8">
    <w:abstractNumId w:val="11"/>
  </w:num>
  <w:num w:numId="9">
    <w:abstractNumId w:val="10"/>
  </w:num>
  <w:num w:numId="10">
    <w:abstractNumId w:val="3"/>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34D1D"/>
    <w:rsid w:val="000025A0"/>
    <w:rsid w:val="00051A3B"/>
    <w:rsid w:val="000D7398"/>
    <w:rsid w:val="00123A90"/>
    <w:rsid w:val="00210559"/>
    <w:rsid w:val="00253183"/>
    <w:rsid w:val="002725E1"/>
    <w:rsid w:val="002732B0"/>
    <w:rsid w:val="002E4984"/>
    <w:rsid w:val="002E526A"/>
    <w:rsid w:val="00304400"/>
    <w:rsid w:val="003A1837"/>
    <w:rsid w:val="003D5FC0"/>
    <w:rsid w:val="004140DE"/>
    <w:rsid w:val="00424D06"/>
    <w:rsid w:val="004264C0"/>
    <w:rsid w:val="004311A2"/>
    <w:rsid w:val="00463F28"/>
    <w:rsid w:val="004654C1"/>
    <w:rsid w:val="004856A0"/>
    <w:rsid w:val="004C495C"/>
    <w:rsid w:val="00676977"/>
    <w:rsid w:val="0068023A"/>
    <w:rsid w:val="006A3BFE"/>
    <w:rsid w:val="006A4FBA"/>
    <w:rsid w:val="006B2FCF"/>
    <w:rsid w:val="007110CF"/>
    <w:rsid w:val="00771373"/>
    <w:rsid w:val="007A2CA3"/>
    <w:rsid w:val="007B223E"/>
    <w:rsid w:val="007D5982"/>
    <w:rsid w:val="00830F68"/>
    <w:rsid w:val="00834D1D"/>
    <w:rsid w:val="00960A04"/>
    <w:rsid w:val="00A11A5F"/>
    <w:rsid w:val="00AA2AC8"/>
    <w:rsid w:val="00AD2057"/>
    <w:rsid w:val="00AF70AF"/>
    <w:rsid w:val="00B268C8"/>
    <w:rsid w:val="00BA45E3"/>
    <w:rsid w:val="00BB0563"/>
    <w:rsid w:val="00BB2F48"/>
    <w:rsid w:val="00BC023B"/>
    <w:rsid w:val="00BD7B2F"/>
    <w:rsid w:val="00BF1644"/>
    <w:rsid w:val="00C74AB2"/>
    <w:rsid w:val="00D53DFC"/>
    <w:rsid w:val="00DE21E9"/>
    <w:rsid w:val="00E977DF"/>
    <w:rsid w:val="00EC4059"/>
    <w:rsid w:val="00FD2F5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4CA3D"/>
  <w15:docId w15:val="{B1D41058-37A8-4727-9588-241C0F36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B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34D1D"/>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834D1D"/>
    <w:rPr>
      <w:b/>
      <w:bCs/>
    </w:rPr>
  </w:style>
  <w:style w:type="character" w:styleId="Emphasis">
    <w:name w:val="Emphasis"/>
    <w:basedOn w:val="DefaultParagraphFont"/>
    <w:uiPriority w:val="20"/>
    <w:qFormat/>
    <w:rsid w:val="00834D1D"/>
    <w:rPr>
      <w:i/>
      <w:iCs/>
    </w:rPr>
  </w:style>
  <w:style w:type="character" w:styleId="CommentReference">
    <w:name w:val="annotation reference"/>
    <w:basedOn w:val="DefaultParagraphFont"/>
    <w:uiPriority w:val="99"/>
    <w:semiHidden/>
    <w:unhideWhenUsed/>
    <w:rsid w:val="00834D1D"/>
    <w:rPr>
      <w:sz w:val="16"/>
      <w:szCs w:val="16"/>
    </w:rPr>
  </w:style>
  <w:style w:type="paragraph" w:styleId="CommentText">
    <w:name w:val="annotation text"/>
    <w:basedOn w:val="Normal"/>
    <w:link w:val="CommentTextChar"/>
    <w:uiPriority w:val="99"/>
    <w:semiHidden/>
    <w:unhideWhenUsed/>
    <w:rsid w:val="00834D1D"/>
    <w:rPr>
      <w:sz w:val="20"/>
      <w:szCs w:val="20"/>
    </w:rPr>
  </w:style>
  <w:style w:type="character" w:customStyle="1" w:styleId="CommentTextChar">
    <w:name w:val="Comment Text Char"/>
    <w:basedOn w:val="DefaultParagraphFont"/>
    <w:link w:val="CommentText"/>
    <w:uiPriority w:val="99"/>
    <w:semiHidden/>
    <w:rsid w:val="00834D1D"/>
    <w:rPr>
      <w:sz w:val="20"/>
      <w:szCs w:val="20"/>
    </w:rPr>
  </w:style>
  <w:style w:type="paragraph" w:styleId="CommentSubject">
    <w:name w:val="annotation subject"/>
    <w:basedOn w:val="CommentText"/>
    <w:next w:val="CommentText"/>
    <w:link w:val="CommentSubjectChar"/>
    <w:uiPriority w:val="99"/>
    <w:semiHidden/>
    <w:unhideWhenUsed/>
    <w:rsid w:val="00834D1D"/>
    <w:rPr>
      <w:b/>
      <w:bCs/>
    </w:rPr>
  </w:style>
  <w:style w:type="character" w:customStyle="1" w:styleId="CommentSubjectChar">
    <w:name w:val="Comment Subject Char"/>
    <w:basedOn w:val="CommentTextChar"/>
    <w:link w:val="CommentSubject"/>
    <w:uiPriority w:val="99"/>
    <w:semiHidden/>
    <w:rsid w:val="00834D1D"/>
    <w:rPr>
      <w:b/>
      <w:bCs/>
      <w:sz w:val="20"/>
      <w:szCs w:val="20"/>
    </w:rPr>
  </w:style>
  <w:style w:type="paragraph" w:styleId="BalloonText">
    <w:name w:val="Balloon Text"/>
    <w:basedOn w:val="Normal"/>
    <w:link w:val="BalloonTextChar"/>
    <w:uiPriority w:val="99"/>
    <w:semiHidden/>
    <w:unhideWhenUsed/>
    <w:rsid w:val="00834D1D"/>
    <w:rPr>
      <w:rFonts w:ascii="Tahoma" w:hAnsi="Tahoma" w:cs="Tahoma"/>
      <w:sz w:val="16"/>
      <w:szCs w:val="16"/>
    </w:rPr>
  </w:style>
  <w:style w:type="character" w:customStyle="1" w:styleId="BalloonTextChar">
    <w:name w:val="Balloon Text Char"/>
    <w:basedOn w:val="DefaultParagraphFont"/>
    <w:link w:val="BalloonText"/>
    <w:uiPriority w:val="99"/>
    <w:semiHidden/>
    <w:rsid w:val="00834D1D"/>
    <w:rPr>
      <w:rFonts w:ascii="Tahoma" w:hAnsi="Tahoma" w:cs="Tahoma"/>
      <w:sz w:val="16"/>
      <w:szCs w:val="16"/>
    </w:rPr>
  </w:style>
  <w:style w:type="character" w:styleId="Hyperlink">
    <w:name w:val="Hyperlink"/>
    <w:basedOn w:val="DefaultParagraphFont"/>
    <w:uiPriority w:val="99"/>
    <w:unhideWhenUsed/>
    <w:rsid w:val="007110CF"/>
    <w:rPr>
      <w:color w:val="0000FF" w:themeColor="hyperlink"/>
      <w:u w:val="single"/>
    </w:rPr>
  </w:style>
  <w:style w:type="paragraph" w:customStyle="1" w:styleId="Default">
    <w:name w:val="Default"/>
    <w:rsid w:val="0068023A"/>
    <w:pPr>
      <w:autoSpaceDE w:val="0"/>
      <w:autoSpaceDN w:val="0"/>
      <w:adjustRightInd w:val="0"/>
      <w:jc w:val="left"/>
    </w:pPr>
    <w:rPr>
      <w:rFonts w:ascii="Arial" w:hAnsi="Arial" w:cs="Arial"/>
      <w:color w:val="000000"/>
      <w:sz w:val="24"/>
      <w:szCs w:val="24"/>
      <w:lang w:bidi="hi-IN"/>
    </w:rPr>
  </w:style>
  <w:style w:type="paragraph" w:styleId="ListParagraph">
    <w:name w:val="List Paragraph"/>
    <w:basedOn w:val="Normal"/>
    <w:uiPriority w:val="34"/>
    <w:qFormat/>
    <w:rsid w:val="00D53DFC"/>
    <w:pPr>
      <w:ind w:left="720"/>
      <w:contextualSpacing/>
    </w:pPr>
  </w:style>
  <w:style w:type="paragraph" w:styleId="Header">
    <w:name w:val="header"/>
    <w:basedOn w:val="Normal"/>
    <w:link w:val="HeaderChar"/>
    <w:uiPriority w:val="99"/>
    <w:unhideWhenUsed/>
    <w:rsid w:val="00AA2AC8"/>
    <w:pPr>
      <w:tabs>
        <w:tab w:val="center" w:pos="4680"/>
        <w:tab w:val="right" w:pos="9360"/>
      </w:tabs>
    </w:pPr>
  </w:style>
  <w:style w:type="character" w:customStyle="1" w:styleId="HeaderChar">
    <w:name w:val="Header Char"/>
    <w:basedOn w:val="DefaultParagraphFont"/>
    <w:link w:val="Header"/>
    <w:uiPriority w:val="99"/>
    <w:rsid w:val="00AA2AC8"/>
  </w:style>
  <w:style w:type="paragraph" w:styleId="Footer">
    <w:name w:val="footer"/>
    <w:basedOn w:val="Normal"/>
    <w:link w:val="FooterChar"/>
    <w:uiPriority w:val="99"/>
    <w:unhideWhenUsed/>
    <w:rsid w:val="00AA2AC8"/>
    <w:pPr>
      <w:tabs>
        <w:tab w:val="center" w:pos="4680"/>
        <w:tab w:val="right" w:pos="9360"/>
      </w:tabs>
    </w:pPr>
  </w:style>
  <w:style w:type="character" w:customStyle="1" w:styleId="FooterChar">
    <w:name w:val="Footer Char"/>
    <w:basedOn w:val="DefaultParagraphFont"/>
    <w:link w:val="Footer"/>
    <w:uiPriority w:val="99"/>
    <w:rsid w:val="00AA2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74844">
      <w:bodyDiv w:val="1"/>
      <w:marLeft w:val="0"/>
      <w:marRight w:val="0"/>
      <w:marTop w:val="0"/>
      <w:marBottom w:val="0"/>
      <w:divBdr>
        <w:top w:val="none" w:sz="0" w:space="0" w:color="auto"/>
        <w:left w:val="none" w:sz="0" w:space="0" w:color="auto"/>
        <w:bottom w:val="none" w:sz="0" w:space="0" w:color="auto"/>
        <w:right w:val="none" w:sz="0" w:space="0" w:color="auto"/>
      </w:divBdr>
      <w:divsChild>
        <w:div w:id="1678576814">
          <w:marLeft w:val="0"/>
          <w:marRight w:val="0"/>
          <w:marTop w:val="0"/>
          <w:marBottom w:val="0"/>
          <w:divBdr>
            <w:top w:val="none" w:sz="0" w:space="0" w:color="auto"/>
            <w:left w:val="none" w:sz="0" w:space="0" w:color="auto"/>
            <w:bottom w:val="none" w:sz="0" w:space="0" w:color="auto"/>
            <w:right w:val="none" w:sz="0" w:space="0" w:color="auto"/>
          </w:divBdr>
        </w:div>
      </w:divsChild>
    </w:div>
    <w:div w:id="350768176">
      <w:bodyDiv w:val="1"/>
      <w:marLeft w:val="0"/>
      <w:marRight w:val="0"/>
      <w:marTop w:val="0"/>
      <w:marBottom w:val="0"/>
      <w:divBdr>
        <w:top w:val="none" w:sz="0" w:space="0" w:color="auto"/>
        <w:left w:val="none" w:sz="0" w:space="0" w:color="auto"/>
        <w:bottom w:val="none" w:sz="0" w:space="0" w:color="auto"/>
        <w:right w:val="none" w:sz="0" w:space="0" w:color="auto"/>
      </w:divBdr>
    </w:div>
    <w:div w:id="350841207">
      <w:bodyDiv w:val="1"/>
      <w:marLeft w:val="0"/>
      <w:marRight w:val="0"/>
      <w:marTop w:val="0"/>
      <w:marBottom w:val="0"/>
      <w:divBdr>
        <w:top w:val="none" w:sz="0" w:space="0" w:color="auto"/>
        <w:left w:val="none" w:sz="0" w:space="0" w:color="auto"/>
        <w:bottom w:val="none" w:sz="0" w:space="0" w:color="auto"/>
        <w:right w:val="none" w:sz="0" w:space="0" w:color="auto"/>
      </w:divBdr>
      <w:divsChild>
        <w:div w:id="597102570">
          <w:marLeft w:val="0"/>
          <w:marRight w:val="0"/>
          <w:marTop w:val="0"/>
          <w:marBottom w:val="0"/>
          <w:divBdr>
            <w:top w:val="none" w:sz="0" w:space="0" w:color="auto"/>
            <w:left w:val="none" w:sz="0" w:space="0" w:color="auto"/>
            <w:bottom w:val="none" w:sz="0" w:space="0" w:color="auto"/>
            <w:right w:val="none" w:sz="0" w:space="0" w:color="auto"/>
          </w:divBdr>
        </w:div>
      </w:divsChild>
    </w:div>
    <w:div w:id="622539111">
      <w:bodyDiv w:val="1"/>
      <w:marLeft w:val="0"/>
      <w:marRight w:val="0"/>
      <w:marTop w:val="0"/>
      <w:marBottom w:val="0"/>
      <w:divBdr>
        <w:top w:val="none" w:sz="0" w:space="0" w:color="auto"/>
        <w:left w:val="none" w:sz="0" w:space="0" w:color="auto"/>
        <w:bottom w:val="none" w:sz="0" w:space="0" w:color="auto"/>
        <w:right w:val="none" w:sz="0" w:space="0" w:color="auto"/>
      </w:divBdr>
      <w:divsChild>
        <w:div w:id="180511962">
          <w:marLeft w:val="0"/>
          <w:marRight w:val="0"/>
          <w:marTop w:val="0"/>
          <w:marBottom w:val="0"/>
          <w:divBdr>
            <w:top w:val="none" w:sz="0" w:space="0" w:color="auto"/>
            <w:left w:val="none" w:sz="0" w:space="0" w:color="auto"/>
            <w:bottom w:val="none" w:sz="0" w:space="0" w:color="auto"/>
            <w:right w:val="none" w:sz="0" w:space="0" w:color="auto"/>
          </w:divBdr>
        </w:div>
      </w:divsChild>
    </w:div>
    <w:div w:id="717239641">
      <w:bodyDiv w:val="1"/>
      <w:marLeft w:val="0"/>
      <w:marRight w:val="0"/>
      <w:marTop w:val="0"/>
      <w:marBottom w:val="0"/>
      <w:divBdr>
        <w:top w:val="none" w:sz="0" w:space="0" w:color="auto"/>
        <w:left w:val="none" w:sz="0" w:space="0" w:color="auto"/>
        <w:bottom w:val="none" w:sz="0" w:space="0" w:color="auto"/>
        <w:right w:val="none" w:sz="0" w:space="0" w:color="auto"/>
      </w:divBdr>
    </w:div>
    <w:div w:id="896744907">
      <w:bodyDiv w:val="1"/>
      <w:marLeft w:val="0"/>
      <w:marRight w:val="0"/>
      <w:marTop w:val="0"/>
      <w:marBottom w:val="0"/>
      <w:divBdr>
        <w:top w:val="none" w:sz="0" w:space="0" w:color="auto"/>
        <w:left w:val="none" w:sz="0" w:space="0" w:color="auto"/>
        <w:bottom w:val="none" w:sz="0" w:space="0" w:color="auto"/>
        <w:right w:val="none" w:sz="0" w:space="0" w:color="auto"/>
      </w:divBdr>
    </w:div>
    <w:div w:id="1062873370">
      <w:bodyDiv w:val="1"/>
      <w:marLeft w:val="0"/>
      <w:marRight w:val="0"/>
      <w:marTop w:val="0"/>
      <w:marBottom w:val="0"/>
      <w:divBdr>
        <w:top w:val="none" w:sz="0" w:space="0" w:color="auto"/>
        <w:left w:val="none" w:sz="0" w:space="0" w:color="auto"/>
        <w:bottom w:val="none" w:sz="0" w:space="0" w:color="auto"/>
        <w:right w:val="none" w:sz="0" w:space="0" w:color="auto"/>
      </w:divBdr>
    </w:div>
    <w:div w:id="203437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bbi.gov.in/webfront/legal_framework.php" TargetMode="External"/><Relationship Id="rId3" Type="http://schemas.openxmlformats.org/officeDocument/2006/relationships/settings" Target="settings.xml"/><Relationship Id="rId7" Type="http://schemas.openxmlformats.org/officeDocument/2006/relationships/hyperlink" Target="http://ebook.mca.gov.in/Default.aspx?page=m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10</Pages>
  <Words>3044</Words>
  <Characters>17354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dharmendra.kumar</dc:creator>
  <cp:lastModifiedBy>Triloki Verma</cp:lastModifiedBy>
  <cp:revision>16</cp:revision>
  <dcterms:created xsi:type="dcterms:W3CDTF">2019-02-01T10:32:00Z</dcterms:created>
  <dcterms:modified xsi:type="dcterms:W3CDTF">2019-02-02T12:41:00Z</dcterms:modified>
</cp:coreProperties>
</file>