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E9FB9" w14:textId="77DC1DB7" w:rsidR="007677B2" w:rsidRDefault="007677B2" w:rsidP="00003067">
      <w:pPr>
        <w:shd w:val="clear" w:color="auto" w:fill="FFFFFF"/>
        <w:tabs>
          <w:tab w:val="num" w:pos="720"/>
        </w:tabs>
        <w:spacing w:after="60" w:line="240" w:lineRule="auto"/>
        <w:ind w:left="360" w:hanging="360"/>
      </w:pPr>
      <w:r>
        <w:t>Raju’s Master Guide to US Tax – Sample</w:t>
      </w:r>
    </w:p>
    <w:p w14:paraId="40B4BC75" w14:textId="306E82BD" w:rsidR="007677B2" w:rsidRDefault="007677B2" w:rsidP="00003067">
      <w:pPr>
        <w:shd w:val="clear" w:color="auto" w:fill="FFFFFF"/>
        <w:tabs>
          <w:tab w:val="num" w:pos="720"/>
        </w:tabs>
        <w:spacing w:after="60" w:line="240" w:lineRule="auto"/>
        <w:ind w:left="360" w:hanging="360"/>
      </w:pPr>
      <w:r>
        <w:t>Contact Details for the complete book</w:t>
      </w:r>
      <w:bookmarkStart w:id="0" w:name="_GoBack"/>
      <w:bookmarkEnd w:id="0"/>
      <w:r>
        <w:t>:</w:t>
      </w:r>
    </w:p>
    <w:p w14:paraId="766A8D29" w14:textId="79BFBBE2" w:rsidR="007677B2" w:rsidRDefault="007677B2" w:rsidP="00003067">
      <w:pPr>
        <w:shd w:val="clear" w:color="auto" w:fill="FFFFFF"/>
        <w:tabs>
          <w:tab w:val="num" w:pos="720"/>
        </w:tabs>
        <w:spacing w:after="60" w:line="240" w:lineRule="auto"/>
        <w:ind w:left="360" w:hanging="360"/>
      </w:pPr>
      <w:r>
        <w:t xml:space="preserve">E – Mail: </w:t>
      </w:r>
      <w:hyperlink r:id="rId5" w:history="1">
        <w:r w:rsidRPr="00426D79">
          <w:rPr>
            <w:rStyle w:val="Hyperlink"/>
          </w:rPr>
          <w:t>carajusn@gmail.com</w:t>
        </w:r>
      </w:hyperlink>
      <w:r>
        <w:t xml:space="preserve"> </w:t>
      </w:r>
    </w:p>
    <w:p w14:paraId="2787C9D0" w14:textId="466CFE1A"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A - Income Taxes (§§ 1 to 1564)</w:t>
      </w:r>
    </w:p>
    <w:p w14:paraId="1F5602E9" w14:textId="781B5D2E"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B - Estate and Gift Taxes (§§ 2001 to 2801)</w:t>
      </w:r>
    </w:p>
    <w:p w14:paraId="41BA7006" w14:textId="11C0808A"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C - Employment Taxes (§§ 3101 to 3512)</w:t>
      </w:r>
    </w:p>
    <w:p w14:paraId="286865AE" w14:textId="07FA7D0D"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D - Miscellaneous Excise Taxes (§§ 4001 to 5000C)</w:t>
      </w:r>
    </w:p>
    <w:p w14:paraId="48119356" w14:textId="6C23C154"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E - Alcohol, Tobacco, and Certain Other Excise Taxes (§§ 5001 to 5891)</w:t>
      </w:r>
    </w:p>
    <w:p w14:paraId="654E1CE3" w14:textId="1E03AA00"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F - Procedure and Administration (§§ 6001 to 7874)</w:t>
      </w:r>
    </w:p>
    <w:p w14:paraId="00B717B8" w14:textId="6E2808BD"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G - The Joint Committee on Taxation (§§ 8001 to 8023)</w:t>
      </w:r>
    </w:p>
    <w:p w14:paraId="0B15ACDD" w14:textId="6D963468"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H - Financing of Presidential Election Campaigns (§§ 9001 to 9042)</w:t>
      </w:r>
    </w:p>
    <w:p w14:paraId="5995448B" w14:textId="1472366D"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I - Trust Fund Code (§§ 9500 to 9602)</w:t>
      </w:r>
    </w:p>
    <w:p w14:paraId="4E737EEB" w14:textId="1CD0D2EB"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J - Coal Industry Health Benefits (§§ 9701 to 9722)</w:t>
      </w:r>
    </w:p>
    <w:p w14:paraId="3FD8ED9D" w14:textId="5998252C"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K - Group Health Plan Requirements (§§ 9801 to 9834)</w:t>
      </w:r>
    </w:p>
    <w:p w14:paraId="63AA06A2" w14:textId="30953F38" w:rsidR="00CD3FB6" w:rsidRPr="008B3051" w:rsidRDefault="00CD3FB6"/>
    <w:p w14:paraId="6E913B2B" w14:textId="77777777" w:rsidR="00003067" w:rsidRPr="008B3051" w:rsidRDefault="00003067" w:rsidP="00003067">
      <w:pPr>
        <w:numPr>
          <w:ilvl w:val="0"/>
          <w:numId w:val="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SUBTITLE A - Income Taxes (§§ 1 to 1564)</w:t>
      </w:r>
    </w:p>
    <w:p w14:paraId="2212831D" w14:textId="5497C0FA"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1 - NORMAL TAXES AND SURTAXES (§§ 1 to 1400Z-2)</w:t>
      </w:r>
    </w:p>
    <w:p w14:paraId="50367ADF" w14:textId="0E956ABF"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A - Determination of Tax Liability (§§ 1 to 59B)</w:t>
      </w:r>
    </w:p>
    <w:p w14:paraId="340B2670" w14:textId="7B64DA20"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I - TAX ON INDIVIDUALS (§§ 1 to 5)</w:t>
      </w:r>
    </w:p>
    <w:p w14:paraId="46A0222C" w14:textId="19C91016" w:rsidR="005B3BD3" w:rsidRPr="008B3051" w:rsidRDefault="005B3BD3" w:rsidP="005B3BD3">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 1 - Tax imposed</w:t>
      </w:r>
    </w:p>
    <w:p w14:paraId="517AE1D3" w14:textId="60DE6669" w:rsidR="005B3BD3" w:rsidRPr="008B3051" w:rsidRDefault="005B3BD3" w:rsidP="005B3BD3">
      <w:pPr>
        <w:shd w:val="clear" w:color="auto" w:fill="FFFFFF"/>
        <w:spacing w:after="60" w:line="240" w:lineRule="auto"/>
        <w:ind w:left="720"/>
        <w:rPr>
          <w:rFonts w:ascii="Verdana" w:eastAsia="Times New Roman" w:hAnsi="Verdana" w:cs="Times New Roman"/>
          <w:sz w:val="24"/>
          <w:szCs w:val="24"/>
        </w:rPr>
      </w:pPr>
    </w:p>
    <w:p w14:paraId="571CC071" w14:textId="226A13A7" w:rsidR="005B3BD3" w:rsidRPr="008B3051" w:rsidRDefault="005B3BD3" w:rsidP="005B3BD3">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w:t>
      </w:r>
      <w:r w:rsidRPr="008B3051">
        <w:rPr>
          <w:rFonts w:ascii="Verdana" w:eastAsia="Times New Roman" w:hAnsi="Verdana" w:cs="Times New Roman"/>
          <w:b/>
          <w:bCs/>
          <w:smallCaps/>
          <w:sz w:val="24"/>
          <w:szCs w:val="24"/>
        </w:rPr>
        <w:t>Married individuals filing joint returns and surviving spouses</w:t>
      </w:r>
      <w:r w:rsidRPr="008B3051">
        <w:rPr>
          <w:rFonts w:ascii="Verdana" w:eastAsia="Times New Roman" w:hAnsi="Verdana" w:cs="Times New Roman"/>
          <w:sz w:val="24"/>
          <w:szCs w:val="24"/>
        </w:rPr>
        <w:t>There is hereby imposed on the taxable income of—</w:t>
      </w:r>
    </w:p>
    <w:p w14:paraId="050F992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 w:name="a_1"/>
      <w:bookmarkEnd w:id="1"/>
      <w:r w:rsidRPr="008B3051">
        <w:rPr>
          <w:rFonts w:ascii="Verdana" w:eastAsia="Times New Roman" w:hAnsi="Verdana" w:cs="Times New Roman"/>
          <w:b/>
          <w:bCs/>
          <w:sz w:val="24"/>
          <w:szCs w:val="24"/>
        </w:rPr>
        <w:t>(1)</w:t>
      </w:r>
    </w:p>
    <w:p w14:paraId="42732870" w14:textId="0FF7C41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every married individual (as defined in section 7703) who makes a single return jointly with his spouse under section 6013, and</w:t>
      </w:r>
    </w:p>
    <w:p w14:paraId="56E31E2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 w:name="a_2"/>
      <w:bookmarkEnd w:id="2"/>
      <w:r w:rsidRPr="008B3051">
        <w:rPr>
          <w:rFonts w:ascii="Verdana" w:eastAsia="Times New Roman" w:hAnsi="Verdana" w:cs="Times New Roman"/>
          <w:b/>
          <w:bCs/>
          <w:sz w:val="24"/>
          <w:szCs w:val="24"/>
        </w:rPr>
        <w:t>(2)</w:t>
      </w:r>
    </w:p>
    <w:p w14:paraId="6209040D"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every surviving spouse (as defined in section 2(a)),</w:t>
      </w:r>
    </w:p>
    <w:p w14:paraId="0EED5BEA" w14:textId="58B7FE3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tax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3590"/>
        <w:gridCol w:w="4834"/>
      </w:tblGrid>
      <w:tr w:rsidR="005B3BD3" w:rsidRPr="008B3051" w14:paraId="25BE586D"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42EBD6C8"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C9B8807"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1B1FB89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253060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$36,900</w:t>
            </w:r>
          </w:p>
        </w:tc>
        <w:tc>
          <w:tcPr>
            <w:tcW w:w="0" w:type="auto"/>
            <w:tcBorders>
              <w:right w:val="nil"/>
            </w:tcBorders>
            <w:shd w:val="clear" w:color="auto" w:fill="auto"/>
            <w:tcMar>
              <w:top w:w="80" w:type="dxa"/>
              <w:left w:w="160" w:type="dxa"/>
              <w:bottom w:w="80" w:type="dxa"/>
              <w:right w:w="160" w:type="dxa"/>
            </w:tcMar>
            <w:vAlign w:val="center"/>
            <w:hideMark/>
          </w:tcPr>
          <w:p w14:paraId="161ABF0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 of taxable income.</w:t>
            </w:r>
          </w:p>
        </w:tc>
      </w:tr>
      <w:tr w:rsidR="005B3BD3" w:rsidRPr="008B3051" w14:paraId="0145276C"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AF8C65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$36,900 but not over $89,150</w:t>
            </w:r>
          </w:p>
        </w:tc>
        <w:tc>
          <w:tcPr>
            <w:tcW w:w="0" w:type="auto"/>
            <w:tcBorders>
              <w:right w:val="nil"/>
            </w:tcBorders>
            <w:shd w:val="clear" w:color="auto" w:fill="auto"/>
            <w:tcMar>
              <w:top w:w="80" w:type="dxa"/>
              <w:left w:w="160" w:type="dxa"/>
              <w:bottom w:w="80" w:type="dxa"/>
              <w:right w:w="160" w:type="dxa"/>
            </w:tcMar>
            <w:vAlign w:val="center"/>
            <w:hideMark/>
          </w:tcPr>
          <w:p w14:paraId="24DE5A9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$5,535, plus 28% of the excess over $36,900.</w:t>
            </w:r>
          </w:p>
        </w:tc>
      </w:tr>
      <w:tr w:rsidR="005B3BD3" w:rsidRPr="008B3051" w14:paraId="71B4C37E"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5061D4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$89,150 but not over $140,000</w:t>
            </w:r>
          </w:p>
        </w:tc>
        <w:tc>
          <w:tcPr>
            <w:tcW w:w="0" w:type="auto"/>
            <w:tcBorders>
              <w:right w:val="nil"/>
            </w:tcBorders>
            <w:shd w:val="clear" w:color="auto" w:fill="auto"/>
            <w:tcMar>
              <w:top w:w="80" w:type="dxa"/>
              <w:left w:w="160" w:type="dxa"/>
              <w:bottom w:w="80" w:type="dxa"/>
              <w:right w:w="160" w:type="dxa"/>
            </w:tcMar>
            <w:vAlign w:val="center"/>
            <w:hideMark/>
          </w:tcPr>
          <w:p w14:paraId="669EB5E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$20,165, plus 31% of the excess over $89,150.</w:t>
            </w:r>
          </w:p>
        </w:tc>
      </w:tr>
      <w:tr w:rsidR="005B3BD3" w:rsidRPr="008B3051" w14:paraId="597179EE"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3EBCA68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lastRenderedPageBreak/>
              <w:t>Over $140,000 but not over $250,000</w:t>
            </w:r>
          </w:p>
        </w:tc>
        <w:tc>
          <w:tcPr>
            <w:tcW w:w="0" w:type="auto"/>
            <w:tcBorders>
              <w:right w:val="nil"/>
            </w:tcBorders>
            <w:shd w:val="clear" w:color="auto" w:fill="auto"/>
            <w:tcMar>
              <w:top w:w="80" w:type="dxa"/>
              <w:left w:w="160" w:type="dxa"/>
              <w:bottom w:w="80" w:type="dxa"/>
              <w:right w:w="160" w:type="dxa"/>
            </w:tcMar>
            <w:vAlign w:val="center"/>
            <w:hideMark/>
          </w:tcPr>
          <w:p w14:paraId="664E006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$35,928.50, plus 36% of the excess over $140,000.</w:t>
            </w:r>
          </w:p>
        </w:tc>
      </w:tr>
      <w:tr w:rsidR="005B3BD3" w:rsidRPr="008B3051" w14:paraId="323358FC"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15F807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$250,000</w:t>
            </w:r>
          </w:p>
        </w:tc>
        <w:tc>
          <w:tcPr>
            <w:tcW w:w="0" w:type="auto"/>
            <w:tcBorders>
              <w:right w:val="nil"/>
            </w:tcBorders>
            <w:shd w:val="clear" w:color="auto" w:fill="auto"/>
            <w:tcMar>
              <w:top w:w="80" w:type="dxa"/>
              <w:left w:w="160" w:type="dxa"/>
              <w:bottom w:w="80" w:type="dxa"/>
              <w:right w:w="160" w:type="dxa"/>
            </w:tcMar>
            <w:vAlign w:val="center"/>
            <w:hideMark/>
          </w:tcPr>
          <w:p w14:paraId="77D1443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$75,528.50, plus 39.6% of the excess over $250,000.</w:t>
            </w:r>
          </w:p>
        </w:tc>
      </w:tr>
    </w:tbl>
    <w:p w14:paraId="76E9956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 w:name="b"/>
      <w:bookmarkEnd w:id="3"/>
      <w:r w:rsidRPr="008B3051">
        <w:rPr>
          <w:rFonts w:ascii="Verdana" w:eastAsia="Times New Roman" w:hAnsi="Verdana" w:cs="Times New Roman"/>
          <w:b/>
          <w:bCs/>
          <w:sz w:val="24"/>
          <w:szCs w:val="24"/>
        </w:rPr>
        <w:t>(b)</w:t>
      </w:r>
      <w:r w:rsidRPr="008B3051">
        <w:rPr>
          <w:rFonts w:ascii="Verdana" w:eastAsia="Times New Roman" w:hAnsi="Verdana" w:cs="Times New Roman"/>
          <w:b/>
          <w:bCs/>
          <w:smallCaps/>
          <w:sz w:val="24"/>
          <w:szCs w:val="24"/>
        </w:rPr>
        <w:t>Heads of households</w:t>
      </w:r>
    </w:p>
    <w:p w14:paraId="7A14C8A2" w14:textId="3E537134"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There is hereby imposed on the taxable income of every head of a household (as defined in section 2(b)) a tax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3691"/>
        <w:gridCol w:w="4733"/>
      </w:tblGrid>
      <w:tr w:rsidR="005B3BD3" w:rsidRPr="008B3051" w14:paraId="3291CD2D"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A61EEC2"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A113E59"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542058B5"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E78FFF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$29,600</w:t>
            </w:r>
          </w:p>
        </w:tc>
        <w:tc>
          <w:tcPr>
            <w:tcW w:w="0" w:type="auto"/>
            <w:tcBorders>
              <w:right w:val="nil"/>
            </w:tcBorders>
            <w:shd w:val="clear" w:color="auto" w:fill="auto"/>
            <w:tcMar>
              <w:top w:w="80" w:type="dxa"/>
              <w:left w:w="160" w:type="dxa"/>
              <w:bottom w:w="80" w:type="dxa"/>
              <w:right w:w="160" w:type="dxa"/>
            </w:tcMar>
            <w:vAlign w:val="center"/>
            <w:hideMark/>
          </w:tcPr>
          <w:p w14:paraId="23000DD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 of taxable income.</w:t>
            </w:r>
          </w:p>
        </w:tc>
      </w:tr>
      <w:tr w:rsidR="005B3BD3" w:rsidRPr="008B3051" w14:paraId="4ED00209"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7F802E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$29,600 but not over $76,400</w:t>
            </w:r>
          </w:p>
        </w:tc>
        <w:tc>
          <w:tcPr>
            <w:tcW w:w="0" w:type="auto"/>
            <w:tcBorders>
              <w:right w:val="nil"/>
            </w:tcBorders>
            <w:shd w:val="clear" w:color="auto" w:fill="auto"/>
            <w:tcMar>
              <w:top w:w="80" w:type="dxa"/>
              <w:left w:w="160" w:type="dxa"/>
              <w:bottom w:w="80" w:type="dxa"/>
              <w:right w:w="160" w:type="dxa"/>
            </w:tcMar>
            <w:vAlign w:val="center"/>
            <w:hideMark/>
          </w:tcPr>
          <w:p w14:paraId="0094280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$4,440, plus 28% of the excess over $29,600.</w:t>
            </w:r>
          </w:p>
        </w:tc>
      </w:tr>
      <w:tr w:rsidR="005B3BD3" w:rsidRPr="008B3051" w14:paraId="29ECBA8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CEAF24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$76,400 but not over $127,500</w:t>
            </w:r>
          </w:p>
        </w:tc>
        <w:tc>
          <w:tcPr>
            <w:tcW w:w="0" w:type="auto"/>
            <w:tcBorders>
              <w:right w:val="nil"/>
            </w:tcBorders>
            <w:shd w:val="clear" w:color="auto" w:fill="auto"/>
            <w:tcMar>
              <w:top w:w="80" w:type="dxa"/>
              <w:left w:w="160" w:type="dxa"/>
              <w:bottom w:w="80" w:type="dxa"/>
              <w:right w:w="160" w:type="dxa"/>
            </w:tcMar>
            <w:vAlign w:val="center"/>
            <w:hideMark/>
          </w:tcPr>
          <w:p w14:paraId="7C5D7F6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$17,544, plus 31% of the excess over $76,400.</w:t>
            </w:r>
          </w:p>
        </w:tc>
      </w:tr>
      <w:tr w:rsidR="005B3BD3" w:rsidRPr="008B3051" w14:paraId="55F931F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9BCA47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$127,500 but not over $250,000</w:t>
            </w:r>
          </w:p>
        </w:tc>
        <w:tc>
          <w:tcPr>
            <w:tcW w:w="0" w:type="auto"/>
            <w:tcBorders>
              <w:right w:val="nil"/>
            </w:tcBorders>
            <w:shd w:val="clear" w:color="auto" w:fill="auto"/>
            <w:tcMar>
              <w:top w:w="80" w:type="dxa"/>
              <w:left w:w="160" w:type="dxa"/>
              <w:bottom w:w="80" w:type="dxa"/>
              <w:right w:w="160" w:type="dxa"/>
            </w:tcMar>
            <w:vAlign w:val="center"/>
            <w:hideMark/>
          </w:tcPr>
          <w:p w14:paraId="54FF01E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$33,385, plus 36% of the excess over $127,500.</w:t>
            </w:r>
          </w:p>
        </w:tc>
      </w:tr>
      <w:tr w:rsidR="005B3BD3" w:rsidRPr="008B3051" w14:paraId="64FCAFA1"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3FEC744"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$250,000</w:t>
            </w:r>
          </w:p>
        </w:tc>
        <w:tc>
          <w:tcPr>
            <w:tcW w:w="0" w:type="auto"/>
            <w:tcBorders>
              <w:right w:val="nil"/>
            </w:tcBorders>
            <w:shd w:val="clear" w:color="auto" w:fill="auto"/>
            <w:tcMar>
              <w:top w:w="80" w:type="dxa"/>
              <w:left w:w="160" w:type="dxa"/>
              <w:bottom w:w="80" w:type="dxa"/>
              <w:right w:w="160" w:type="dxa"/>
            </w:tcMar>
            <w:vAlign w:val="center"/>
            <w:hideMark/>
          </w:tcPr>
          <w:p w14:paraId="702F632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$77,485, plus 39.6% of the excess over $250,000.</w:t>
            </w:r>
          </w:p>
        </w:tc>
      </w:tr>
    </w:tbl>
    <w:p w14:paraId="4CEA9E1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 w:name="c"/>
      <w:bookmarkEnd w:id="4"/>
      <w:r w:rsidRPr="008B3051">
        <w:rPr>
          <w:rFonts w:ascii="Verdana" w:eastAsia="Times New Roman" w:hAnsi="Verdana" w:cs="Times New Roman"/>
          <w:b/>
          <w:bCs/>
          <w:sz w:val="24"/>
          <w:szCs w:val="24"/>
        </w:rPr>
        <w:t>(c)</w:t>
      </w:r>
      <w:r w:rsidRPr="008B3051">
        <w:rPr>
          <w:rFonts w:ascii="Verdana" w:eastAsia="Times New Roman" w:hAnsi="Verdana" w:cs="Times New Roman"/>
          <w:b/>
          <w:bCs/>
          <w:smallCaps/>
          <w:sz w:val="24"/>
          <w:szCs w:val="24"/>
        </w:rPr>
        <w:t>Unmarried individuals (other than surviving spouses and heads of households)</w:t>
      </w:r>
    </w:p>
    <w:p w14:paraId="5FC08438" w14:textId="02E3F40E"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There is hereby imposed on the taxable income of every individual (other than a surviving spouse as defined in section 2(a) or the head of a household as defined in section 2(b)) who is not a married individual (as defined in section 7703) a tax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3691"/>
        <w:gridCol w:w="4733"/>
      </w:tblGrid>
      <w:tr w:rsidR="005B3BD3" w:rsidRPr="008B3051" w14:paraId="4BEAEEEE"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779D2F55"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42DCBA9"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56820012"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EDD06D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$22,100</w:t>
            </w:r>
          </w:p>
        </w:tc>
        <w:tc>
          <w:tcPr>
            <w:tcW w:w="0" w:type="auto"/>
            <w:tcBorders>
              <w:right w:val="nil"/>
            </w:tcBorders>
            <w:shd w:val="clear" w:color="auto" w:fill="auto"/>
            <w:tcMar>
              <w:top w:w="80" w:type="dxa"/>
              <w:left w:w="160" w:type="dxa"/>
              <w:bottom w:w="80" w:type="dxa"/>
              <w:right w:w="160" w:type="dxa"/>
            </w:tcMar>
            <w:vAlign w:val="center"/>
            <w:hideMark/>
          </w:tcPr>
          <w:p w14:paraId="505B380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 of taxable income.</w:t>
            </w:r>
          </w:p>
        </w:tc>
      </w:tr>
      <w:tr w:rsidR="005B3BD3" w:rsidRPr="008B3051" w14:paraId="4FCBDFAA"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44998F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$22,100 but not over $53,500</w:t>
            </w:r>
          </w:p>
        </w:tc>
        <w:tc>
          <w:tcPr>
            <w:tcW w:w="0" w:type="auto"/>
            <w:tcBorders>
              <w:right w:val="nil"/>
            </w:tcBorders>
            <w:shd w:val="clear" w:color="auto" w:fill="auto"/>
            <w:tcMar>
              <w:top w:w="80" w:type="dxa"/>
              <w:left w:w="160" w:type="dxa"/>
              <w:bottom w:w="80" w:type="dxa"/>
              <w:right w:w="160" w:type="dxa"/>
            </w:tcMar>
            <w:vAlign w:val="center"/>
            <w:hideMark/>
          </w:tcPr>
          <w:p w14:paraId="267E212F"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$3,315, plus 28% of the excess over $22,100.</w:t>
            </w:r>
          </w:p>
        </w:tc>
      </w:tr>
      <w:tr w:rsidR="005B3BD3" w:rsidRPr="008B3051" w14:paraId="76940F16"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B50638F"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$53,500 but not over $115,000</w:t>
            </w:r>
          </w:p>
        </w:tc>
        <w:tc>
          <w:tcPr>
            <w:tcW w:w="0" w:type="auto"/>
            <w:tcBorders>
              <w:right w:val="nil"/>
            </w:tcBorders>
            <w:shd w:val="clear" w:color="auto" w:fill="auto"/>
            <w:tcMar>
              <w:top w:w="80" w:type="dxa"/>
              <w:left w:w="160" w:type="dxa"/>
              <w:bottom w:w="80" w:type="dxa"/>
              <w:right w:w="160" w:type="dxa"/>
            </w:tcMar>
            <w:vAlign w:val="center"/>
            <w:hideMark/>
          </w:tcPr>
          <w:p w14:paraId="360846E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$12,107, plus 31% of the excess over $53,500.</w:t>
            </w:r>
          </w:p>
        </w:tc>
      </w:tr>
      <w:tr w:rsidR="005B3BD3" w:rsidRPr="008B3051" w14:paraId="08709356"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913A7A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$115,000 but not over $250,000</w:t>
            </w:r>
          </w:p>
        </w:tc>
        <w:tc>
          <w:tcPr>
            <w:tcW w:w="0" w:type="auto"/>
            <w:tcBorders>
              <w:right w:val="nil"/>
            </w:tcBorders>
            <w:shd w:val="clear" w:color="auto" w:fill="auto"/>
            <w:tcMar>
              <w:top w:w="80" w:type="dxa"/>
              <w:left w:w="160" w:type="dxa"/>
              <w:bottom w:w="80" w:type="dxa"/>
              <w:right w:w="160" w:type="dxa"/>
            </w:tcMar>
            <w:vAlign w:val="center"/>
            <w:hideMark/>
          </w:tcPr>
          <w:p w14:paraId="72141B84"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$31,172, plus 36% of the excess over $115,000.</w:t>
            </w:r>
          </w:p>
        </w:tc>
      </w:tr>
      <w:tr w:rsidR="005B3BD3" w:rsidRPr="008B3051" w14:paraId="443B750A"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61D111C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$250,000</w:t>
            </w:r>
          </w:p>
        </w:tc>
        <w:tc>
          <w:tcPr>
            <w:tcW w:w="0" w:type="auto"/>
            <w:tcBorders>
              <w:right w:val="nil"/>
            </w:tcBorders>
            <w:shd w:val="clear" w:color="auto" w:fill="auto"/>
            <w:tcMar>
              <w:top w:w="80" w:type="dxa"/>
              <w:left w:w="160" w:type="dxa"/>
              <w:bottom w:w="80" w:type="dxa"/>
              <w:right w:w="160" w:type="dxa"/>
            </w:tcMar>
            <w:vAlign w:val="center"/>
            <w:hideMark/>
          </w:tcPr>
          <w:p w14:paraId="2CA4AAD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$79,772, plus 39.6% of the excess over $250,000.</w:t>
            </w:r>
          </w:p>
        </w:tc>
      </w:tr>
    </w:tbl>
    <w:p w14:paraId="3805E68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 w:name="d"/>
      <w:bookmarkEnd w:id="5"/>
      <w:r w:rsidRPr="008B3051">
        <w:rPr>
          <w:rFonts w:ascii="Verdana" w:eastAsia="Times New Roman" w:hAnsi="Verdana" w:cs="Times New Roman"/>
          <w:b/>
          <w:bCs/>
          <w:sz w:val="24"/>
          <w:szCs w:val="24"/>
        </w:rPr>
        <w:lastRenderedPageBreak/>
        <w:t>(d)</w:t>
      </w:r>
      <w:r w:rsidRPr="008B3051">
        <w:rPr>
          <w:rFonts w:ascii="Verdana" w:eastAsia="Times New Roman" w:hAnsi="Verdana" w:cs="Times New Roman"/>
          <w:b/>
          <w:bCs/>
          <w:smallCaps/>
          <w:sz w:val="24"/>
          <w:szCs w:val="24"/>
        </w:rPr>
        <w:t>Married individuals filing separate returns</w:t>
      </w:r>
    </w:p>
    <w:p w14:paraId="5569F0CE" w14:textId="324E906E"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There is hereby imposed on the taxable income of every married individual (as defined in section 7703) who does not make a single return jointly with his spouse under section 6013, a tax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3526"/>
        <w:gridCol w:w="4898"/>
      </w:tblGrid>
      <w:tr w:rsidR="005B3BD3" w:rsidRPr="008B3051" w14:paraId="46C9CCE4"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5C480346"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51B2789C"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133230F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6C626F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$18,450</w:t>
            </w:r>
          </w:p>
        </w:tc>
        <w:tc>
          <w:tcPr>
            <w:tcW w:w="0" w:type="auto"/>
            <w:tcBorders>
              <w:right w:val="nil"/>
            </w:tcBorders>
            <w:shd w:val="clear" w:color="auto" w:fill="auto"/>
            <w:tcMar>
              <w:top w:w="80" w:type="dxa"/>
              <w:left w:w="160" w:type="dxa"/>
              <w:bottom w:w="80" w:type="dxa"/>
              <w:right w:w="160" w:type="dxa"/>
            </w:tcMar>
            <w:vAlign w:val="center"/>
            <w:hideMark/>
          </w:tcPr>
          <w:p w14:paraId="3AD186E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 of taxable income.</w:t>
            </w:r>
          </w:p>
        </w:tc>
      </w:tr>
      <w:tr w:rsidR="005B3BD3" w:rsidRPr="008B3051" w14:paraId="438DBB7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78CC7F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$18,450 but not over $44,575</w:t>
            </w:r>
          </w:p>
        </w:tc>
        <w:tc>
          <w:tcPr>
            <w:tcW w:w="0" w:type="auto"/>
            <w:tcBorders>
              <w:right w:val="nil"/>
            </w:tcBorders>
            <w:shd w:val="clear" w:color="auto" w:fill="auto"/>
            <w:tcMar>
              <w:top w:w="80" w:type="dxa"/>
              <w:left w:w="160" w:type="dxa"/>
              <w:bottom w:w="80" w:type="dxa"/>
              <w:right w:w="160" w:type="dxa"/>
            </w:tcMar>
            <w:vAlign w:val="center"/>
            <w:hideMark/>
          </w:tcPr>
          <w:p w14:paraId="3EE0724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$2,767.50, plus 28% of the excess over $18,450.</w:t>
            </w:r>
          </w:p>
        </w:tc>
      </w:tr>
      <w:tr w:rsidR="005B3BD3" w:rsidRPr="008B3051" w14:paraId="2B23FEFD"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F5D35E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$44,575 but not over $70,000</w:t>
            </w:r>
          </w:p>
        </w:tc>
        <w:tc>
          <w:tcPr>
            <w:tcW w:w="0" w:type="auto"/>
            <w:tcBorders>
              <w:right w:val="nil"/>
            </w:tcBorders>
            <w:shd w:val="clear" w:color="auto" w:fill="auto"/>
            <w:tcMar>
              <w:top w:w="80" w:type="dxa"/>
              <w:left w:w="160" w:type="dxa"/>
              <w:bottom w:w="80" w:type="dxa"/>
              <w:right w:w="160" w:type="dxa"/>
            </w:tcMar>
            <w:vAlign w:val="center"/>
            <w:hideMark/>
          </w:tcPr>
          <w:p w14:paraId="25EA5DF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$10,082.50, plus 31% of the excess over $44,575.</w:t>
            </w:r>
          </w:p>
        </w:tc>
      </w:tr>
      <w:tr w:rsidR="005B3BD3" w:rsidRPr="008B3051" w14:paraId="5E193BB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EF9E81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$70,000 but not over $125,000</w:t>
            </w:r>
          </w:p>
        </w:tc>
        <w:tc>
          <w:tcPr>
            <w:tcW w:w="0" w:type="auto"/>
            <w:tcBorders>
              <w:right w:val="nil"/>
            </w:tcBorders>
            <w:shd w:val="clear" w:color="auto" w:fill="auto"/>
            <w:tcMar>
              <w:top w:w="80" w:type="dxa"/>
              <w:left w:w="160" w:type="dxa"/>
              <w:bottom w:w="80" w:type="dxa"/>
              <w:right w:w="160" w:type="dxa"/>
            </w:tcMar>
            <w:vAlign w:val="center"/>
            <w:hideMark/>
          </w:tcPr>
          <w:p w14:paraId="744A367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$17,964.25, plus 36% of the excess over $70,000.</w:t>
            </w:r>
          </w:p>
        </w:tc>
      </w:tr>
      <w:tr w:rsidR="005B3BD3" w:rsidRPr="008B3051" w14:paraId="0F24A2C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914C150"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$125,000</w:t>
            </w:r>
          </w:p>
        </w:tc>
        <w:tc>
          <w:tcPr>
            <w:tcW w:w="0" w:type="auto"/>
            <w:tcBorders>
              <w:right w:val="nil"/>
            </w:tcBorders>
            <w:shd w:val="clear" w:color="auto" w:fill="auto"/>
            <w:tcMar>
              <w:top w:w="80" w:type="dxa"/>
              <w:left w:w="160" w:type="dxa"/>
              <w:bottom w:w="80" w:type="dxa"/>
              <w:right w:w="160" w:type="dxa"/>
            </w:tcMar>
            <w:vAlign w:val="center"/>
            <w:hideMark/>
          </w:tcPr>
          <w:p w14:paraId="7C48C7C4"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$37,764.25, plus 39.6% of the excess over $125,000.</w:t>
            </w:r>
          </w:p>
        </w:tc>
      </w:tr>
    </w:tbl>
    <w:p w14:paraId="0B84F6B9" w14:textId="3D4A0ED3"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 w:name="e"/>
      <w:bookmarkEnd w:id="6"/>
      <w:r w:rsidRPr="008B3051">
        <w:rPr>
          <w:rFonts w:ascii="Verdana" w:eastAsia="Times New Roman" w:hAnsi="Verdana" w:cs="Times New Roman"/>
          <w:b/>
          <w:bCs/>
          <w:sz w:val="24"/>
          <w:szCs w:val="24"/>
        </w:rPr>
        <w:t>(e)</w:t>
      </w:r>
      <w:r w:rsidRPr="008B3051">
        <w:rPr>
          <w:rFonts w:ascii="Verdana" w:eastAsia="Times New Roman" w:hAnsi="Verdana" w:cs="Times New Roman"/>
          <w:b/>
          <w:bCs/>
          <w:smallCaps/>
          <w:sz w:val="24"/>
          <w:szCs w:val="24"/>
        </w:rPr>
        <w:t>Estates and trusts</w:t>
      </w:r>
      <w:r w:rsidRPr="008B3051">
        <w:rPr>
          <w:rFonts w:ascii="Verdana" w:eastAsia="Times New Roman" w:hAnsi="Verdana" w:cs="Times New Roman"/>
          <w:sz w:val="24"/>
          <w:szCs w:val="24"/>
        </w:rPr>
        <w:t>There is hereby imposed on the taxable income of—</w:t>
      </w:r>
    </w:p>
    <w:p w14:paraId="06F9CF8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 w:name="e_1"/>
      <w:bookmarkEnd w:id="7"/>
      <w:r w:rsidRPr="008B3051">
        <w:rPr>
          <w:rFonts w:ascii="Verdana" w:eastAsia="Times New Roman" w:hAnsi="Verdana" w:cs="Times New Roman"/>
          <w:b/>
          <w:bCs/>
          <w:sz w:val="24"/>
          <w:szCs w:val="24"/>
        </w:rPr>
        <w:t>(1)</w:t>
      </w:r>
    </w:p>
    <w:p w14:paraId="389C44D7"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every estate, and</w:t>
      </w:r>
    </w:p>
    <w:p w14:paraId="5E09C62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 w:name="e_2"/>
      <w:bookmarkEnd w:id="8"/>
      <w:r w:rsidRPr="008B3051">
        <w:rPr>
          <w:rFonts w:ascii="Verdana" w:eastAsia="Times New Roman" w:hAnsi="Verdana" w:cs="Times New Roman"/>
          <w:b/>
          <w:bCs/>
          <w:sz w:val="24"/>
          <w:szCs w:val="24"/>
        </w:rPr>
        <w:t>(2)</w:t>
      </w:r>
    </w:p>
    <w:p w14:paraId="38044633" w14:textId="6603CB9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every trust,</w:t>
      </w:r>
    </w:p>
    <w:p w14:paraId="1705DF8E" w14:textId="70B07E2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taxable under this subsection a tax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3552"/>
        <w:gridCol w:w="4872"/>
      </w:tblGrid>
      <w:tr w:rsidR="005B3BD3" w:rsidRPr="008B3051" w14:paraId="6F74B6C3"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575E19EF"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5015CD60"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396D231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6B943D5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$1,500</w:t>
            </w:r>
          </w:p>
        </w:tc>
        <w:tc>
          <w:tcPr>
            <w:tcW w:w="0" w:type="auto"/>
            <w:tcBorders>
              <w:right w:val="nil"/>
            </w:tcBorders>
            <w:shd w:val="clear" w:color="auto" w:fill="auto"/>
            <w:tcMar>
              <w:top w:w="80" w:type="dxa"/>
              <w:left w:w="160" w:type="dxa"/>
              <w:bottom w:w="80" w:type="dxa"/>
              <w:right w:w="160" w:type="dxa"/>
            </w:tcMar>
            <w:vAlign w:val="center"/>
            <w:hideMark/>
          </w:tcPr>
          <w:p w14:paraId="31021F0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 of taxable income.</w:t>
            </w:r>
          </w:p>
        </w:tc>
      </w:tr>
      <w:tr w:rsidR="005B3BD3" w:rsidRPr="008B3051" w14:paraId="5C5F497B"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AE7F12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$1,500 but not over $3,500</w:t>
            </w:r>
          </w:p>
        </w:tc>
        <w:tc>
          <w:tcPr>
            <w:tcW w:w="0" w:type="auto"/>
            <w:tcBorders>
              <w:right w:val="nil"/>
            </w:tcBorders>
            <w:shd w:val="clear" w:color="auto" w:fill="auto"/>
            <w:tcMar>
              <w:top w:w="80" w:type="dxa"/>
              <w:left w:w="160" w:type="dxa"/>
              <w:bottom w:w="80" w:type="dxa"/>
              <w:right w:w="160" w:type="dxa"/>
            </w:tcMar>
            <w:vAlign w:val="center"/>
            <w:hideMark/>
          </w:tcPr>
          <w:p w14:paraId="1F1AA60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$225, plus 28% of the excess over $1,500.</w:t>
            </w:r>
          </w:p>
        </w:tc>
      </w:tr>
      <w:tr w:rsidR="005B3BD3" w:rsidRPr="008B3051" w14:paraId="2E36A5D8"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E92DAB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$3,500 but not over $5,500</w:t>
            </w:r>
          </w:p>
        </w:tc>
        <w:tc>
          <w:tcPr>
            <w:tcW w:w="0" w:type="auto"/>
            <w:tcBorders>
              <w:right w:val="nil"/>
            </w:tcBorders>
            <w:shd w:val="clear" w:color="auto" w:fill="auto"/>
            <w:tcMar>
              <w:top w:w="80" w:type="dxa"/>
              <w:left w:w="160" w:type="dxa"/>
              <w:bottom w:w="80" w:type="dxa"/>
              <w:right w:w="160" w:type="dxa"/>
            </w:tcMar>
            <w:vAlign w:val="center"/>
            <w:hideMark/>
          </w:tcPr>
          <w:p w14:paraId="72DD489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$785, plus 31% of the excess over $3,500.</w:t>
            </w:r>
          </w:p>
        </w:tc>
      </w:tr>
      <w:tr w:rsidR="005B3BD3" w:rsidRPr="008B3051" w14:paraId="55DB0B7C"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18512F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Over $5,500 but not over $7,500</w:t>
            </w:r>
          </w:p>
        </w:tc>
        <w:tc>
          <w:tcPr>
            <w:tcW w:w="0" w:type="auto"/>
            <w:tcBorders>
              <w:right w:val="nil"/>
            </w:tcBorders>
            <w:shd w:val="clear" w:color="auto" w:fill="auto"/>
            <w:tcMar>
              <w:top w:w="80" w:type="dxa"/>
              <w:left w:w="160" w:type="dxa"/>
              <w:bottom w:w="80" w:type="dxa"/>
              <w:right w:w="160" w:type="dxa"/>
            </w:tcMar>
            <w:vAlign w:val="center"/>
            <w:hideMark/>
          </w:tcPr>
          <w:p w14:paraId="6935F3E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$1,405, plus 36% of the excess over $5,500.</w:t>
            </w:r>
          </w:p>
        </w:tc>
      </w:tr>
      <w:tr w:rsidR="005B3BD3" w:rsidRPr="008B3051" w14:paraId="53B69E4B"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F54712F"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$7,500</w:t>
            </w:r>
          </w:p>
        </w:tc>
        <w:tc>
          <w:tcPr>
            <w:tcW w:w="0" w:type="auto"/>
            <w:tcBorders>
              <w:right w:val="nil"/>
            </w:tcBorders>
            <w:shd w:val="clear" w:color="auto" w:fill="auto"/>
            <w:tcMar>
              <w:top w:w="80" w:type="dxa"/>
              <w:left w:w="160" w:type="dxa"/>
              <w:bottom w:w="80" w:type="dxa"/>
              <w:right w:w="160" w:type="dxa"/>
            </w:tcMar>
            <w:vAlign w:val="center"/>
            <w:hideMark/>
          </w:tcPr>
          <w:p w14:paraId="7586E97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$2,125, plus 39.6% of the excess over $7,500.</w:t>
            </w:r>
          </w:p>
        </w:tc>
      </w:tr>
    </w:tbl>
    <w:p w14:paraId="1FE3820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 w:name="f"/>
      <w:bookmarkEnd w:id="9"/>
      <w:r w:rsidRPr="008B3051">
        <w:rPr>
          <w:rFonts w:ascii="Verdana" w:eastAsia="Times New Roman" w:hAnsi="Verdana" w:cs="Times New Roman"/>
          <w:b/>
          <w:bCs/>
          <w:sz w:val="24"/>
          <w:szCs w:val="24"/>
        </w:rPr>
        <w:t>(f)</w:t>
      </w:r>
      <w:r w:rsidRPr="008B3051">
        <w:rPr>
          <w:rFonts w:ascii="Verdana" w:eastAsia="Times New Roman" w:hAnsi="Verdana" w:cs="Times New Roman"/>
          <w:b/>
          <w:bCs/>
          <w:smallCaps/>
          <w:sz w:val="24"/>
          <w:szCs w:val="24"/>
        </w:rPr>
        <w:t>Phaseout of marriage penalty in 15-percent bracket; adjustments in tax tables so that inflation will not result in tax increases</w:t>
      </w:r>
    </w:p>
    <w:p w14:paraId="76003E2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 w:name="f_1"/>
      <w:bookmarkEnd w:id="10"/>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p>
    <w:p w14:paraId="025C4DEF" w14:textId="2110E9D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Not later than December 15 of 1993, and each subsequent calendar year, the Secretary shall prescribe tables which shall apply in lieu of the tables contained in subsections (a), (b), (c), (d), and (e) with respect to taxable years beginning in the succeeding calendar year.</w:t>
      </w:r>
    </w:p>
    <w:p w14:paraId="2A268A7D" w14:textId="3E53270E"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 w:name="f_2"/>
      <w:bookmarkEnd w:id="11"/>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Method of prescribing tables</w:t>
      </w:r>
      <w:r w:rsidRPr="008B3051">
        <w:rPr>
          <w:rFonts w:ascii="Verdana" w:eastAsia="Times New Roman" w:hAnsi="Verdana" w:cs="Times New Roman"/>
          <w:sz w:val="24"/>
          <w:szCs w:val="24"/>
        </w:rPr>
        <w:t xml:space="preserve">The table which under paragraph (1) is to apply in lieu of the table contained in subsection (a), (b), (c), (d), or (e), as </w:t>
      </w:r>
      <w:r w:rsidRPr="008B3051">
        <w:rPr>
          <w:rFonts w:ascii="Verdana" w:eastAsia="Times New Roman" w:hAnsi="Verdana" w:cs="Times New Roman"/>
          <w:sz w:val="24"/>
          <w:szCs w:val="24"/>
        </w:rPr>
        <w:lastRenderedPageBreak/>
        <w:t>the case may be, with respect to taxable yearsbeginning in any calendar year shall be prescribed—</w:t>
      </w:r>
    </w:p>
    <w:p w14:paraId="239BADE3" w14:textId="43F7306C"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 w:name="f_2_A"/>
      <w:bookmarkEnd w:id="12"/>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except as provided in paragraph (8), by increasing the minimum and maximum dollar amounts for each bracket for which a tax is imposed under such table by the cost-of-living adjustment for such calendar year, determined—</w:t>
      </w:r>
    </w:p>
    <w:p w14:paraId="266AAB1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 w:name="f_2_A_i"/>
      <w:bookmarkEnd w:id="13"/>
      <w:r w:rsidRPr="008B3051">
        <w:rPr>
          <w:rFonts w:ascii="Verdana" w:eastAsia="Times New Roman" w:hAnsi="Verdana" w:cs="Times New Roman"/>
          <w:b/>
          <w:bCs/>
          <w:sz w:val="24"/>
          <w:szCs w:val="24"/>
        </w:rPr>
        <w:t>(i)</w:t>
      </w:r>
    </w:p>
    <w:p w14:paraId="65327216" w14:textId="4A8920A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clause (ii), by substituting “1992” for “2016” in paragraph (3)(A)(ii), and</w:t>
      </w:r>
    </w:p>
    <w:p w14:paraId="5B4FA2F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 w:name="f_2_A_ii"/>
      <w:bookmarkEnd w:id="14"/>
      <w:r w:rsidRPr="008B3051">
        <w:rPr>
          <w:rFonts w:ascii="Verdana" w:eastAsia="Times New Roman" w:hAnsi="Verdana" w:cs="Times New Roman"/>
          <w:b/>
          <w:bCs/>
          <w:sz w:val="24"/>
          <w:szCs w:val="24"/>
        </w:rPr>
        <w:t>(ii)</w:t>
      </w:r>
    </w:p>
    <w:p w14:paraId="192AAF13" w14:textId="24E00F8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adjustments to the dollar amounts at which the 36 percent rate bracket begins or at which the 39.6 percent rate bracket begins, by substituting “1993” for “2016” in paragraph (3)(A)(ii),</w:t>
      </w:r>
    </w:p>
    <w:p w14:paraId="158B363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 w:name="f_2_B"/>
      <w:bookmarkEnd w:id="15"/>
      <w:r w:rsidRPr="008B3051">
        <w:rPr>
          <w:rFonts w:ascii="Verdana" w:eastAsia="Times New Roman" w:hAnsi="Verdana" w:cs="Times New Roman"/>
          <w:b/>
          <w:bCs/>
          <w:sz w:val="24"/>
          <w:szCs w:val="24"/>
        </w:rPr>
        <w:t>(B)</w:t>
      </w:r>
    </w:p>
    <w:p w14:paraId="18AC5678"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not changing the rate applicable to any rate bracket as adjusted under subparagraph (A), and</w:t>
      </w:r>
    </w:p>
    <w:p w14:paraId="267DF5B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 w:name="f_2_C"/>
      <w:bookmarkEnd w:id="16"/>
      <w:r w:rsidRPr="008B3051">
        <w:rPr>
          <w:rFonts w:ascii="Verdana" w:eastAsia="Times New Roman" w:hAnsi="Verdana" w:cs="Times New Roman"/>
          <w:b/>
          <w:bCs/>
          <w:sz w:val="24"/>
          <w:szCs w:val="24"/>
        </w:rPr>
        <w:t>(C)</w:t>
      </w:r>
    </w:p>
    <w:p w14:paraId="49472E57" w14:textId="0E9AD2E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adjusting the amounts setting forth the tax to the extent necessary to reflect the adjustments in the rate brackets.</w:t>
      </w:r>
    </w:p>
    <w:p w14:paraId="4AC98B6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 w:name="f_3"/>
      <w:bookmarkEnd w:id="17"/>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Cost-of-living adjustment</w:t>
      </w:r>
      <w:r w:rsidRPr="008B3051">
        <w:rPr>
          <w:rFonts w:ascii="Verdana" w:eastAsia="Times New Roman" w:hAnsi="Verdana" w:cs="Times New Roman"/>
          <w:sz w:val="24"/>
          <w:szCs w:val="24"/>
        </w:rPr>
        <w:t>For purposes of this subsection—</w:t>
      </w:r>
    </w:p>
    <w:p w14:paraId="30F6F445" w14:textId="57E17236"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 w:name="f_3_A"/>
      <w:bookmarkEnd w:id="18"/>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The cost-of-living adjustment for any calendar year is the percentage (if any) by which—</w:t>
      </w:r>
    </w:p>
    <w:p w14:paraId="0D05D7D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 w:name="f_3_A_i"/>
      <w:bookmarkEnd w:id="19"/>
      <w:r w:rsidRPr="008B3051">
        <w:rPr>
          <w:rFonts w:ascii="Verdana" w:eastAsia="Times New Roman" w:hAnsi="Verdana" w:cs="Times New Roman"/>
          <w:b/>
          <w:bCs/>
          <w:sz w:val="24"/>
          <w:szCs w:val="24"/>
        </w:rPr>
        <w:t>(i)</w:t>
      </w:r>
    </w:p>
    <w:p w14:paraId="3435B4E9" w14:textId="6BDBE14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C-CPI-U for the preceding calendar year, exceeds</w:t>
      </w:r>
    </w:p>
    <w:p w14:paraId="0B6A20C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 w:name="f_3_A_ii"/>
      <w:bookmarkEnd w:id="20"/>
      <w:r w:rsidRPr="008B3051">
        <w:rPr>
          <w:rFonts w:ascii="Verdana" w:eastAsia="Times New Roman" w:hAnsi="Verdana" w:cs="Times New Roman"/>
          <w:b/>
          <w:bCs/>
          <w:sz w:val="24"/>
          <w:szCs w:val="24"/>
        </w:rPr>
        <w:t>(ii)</w:t>
      </w:r>
    </w:p>
    <w:p w14:paraId="0177DC0B" w14:textId="59CA684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CPI for calendar year 2016, multiplied by the amount determined under subparagraph (B).</w:t>
      </w:r>
    </w:p>
    <w:p w14:paraId="6E41477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 w:name="f_3_B"/>
      <w:bookmarkEnd w:id="21"/>
      <w:r w:rsidRPr="008B3051">
        <w:rPr>
          <w:rFonts w:ascii="Verdana" w:eastAsia="Times New Roman" w:hAnsi="Verdana" w:cs="Times New Roman"/>
          <w:b/>
          <w:bCs/>
          <w:sz w:val="24"/>
          <w:szCs w:val="24"/>
        </w:rPr>
        <w:t>(B)Amount determined</w:t>
      </w:r>
      <w:r w:rsidRPr="008B3051">
        <w:rPr>
          <w:rFonts w:ascii="Verdana" w:eastAsia="Times New Roman" w:hAnsi="Verdana" w:cs="Times New Roman"/>
          <w:sz w:val="24"/>
          <w:szCs w:val="24"/>
        </w:rPr>
        <w:t>The amount determined under this clause is the amount obtained by dividing—</w:t>
      </w:r>
    </w:p>
    <w:p w14:paraId="5960A12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 w:name="f_3_B_i"/>
      <w:bookmarkEnd w:id="22"/>
      <w:r w:rsidRPr="008B3051">
        <w:rPr>
          <w:rFonts w:ascii="Verdana" w:eastAsia="Times New Roman" w:hAnsi="Verdana" w:cs="Times New Roman"/>
          <w:b/>
          <w:bCs/>
          <w:sz w:val="24"/>
          <w:szCs w:val="24"/>
        </w:rPr>
        <w:t>(i)</w:t>
      </w:r>
    </w:p>
    <w:p w14:paraId="6B12A48A" w14:textId="5CF1331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C-CPI-U for calendar year 2016, by</w:t>
      </w:r>
    </w:p>
    <w:p w14:paraId="453F206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 w:name="f_3_B_ii"/>
      <w:bookmarkEnd w:id="23"/>
      <w:r w:rsidRPr="008B3051">
        <w:rPr>
          <w:rFonts w:ascii="Verdana" w:eastAsia="Times New Roman" w:hAnsi="Verdana" w:cs="Times New Roman"/>
          <w:b/>
          <w:bCs/>
          <w:sz w:val="24"/>
          <w:szCs w:val="24"/>
        </w:rPr>
        <w:t>(ii)</w:t>
      </w:r>
    </w:p>
    <w:p w14:paraId="21CA89A7" w14:textId="2C10169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CPI for calendar year 2016.</w:t>
      </w:r>
    </w:p>
    <w:p w14:paraId="720F7FA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 w:name="f_3_C"/>
      <w:bookmarkEnd w:id="24"/>
      <w:r w:rsidRPr="008B3051">
        <w:rPr>
          <w:rFonts w:ascii="Verdana" w:eastAsia="Times New Roman" w:hAnsi="Verdana" w:cs="Times New Roman"/>
          <w:b/>
          <w:bCs/>
          <w:sz w:val="24"/>
          <w:szCs w:val="24"/>
        </w:rPr>
        <w:t>(C)Special rule for adjustments with a base year after 2016</w:t>
      </w:r>
    </w:p>
    <w:p w14:paraId="57A19F35" w14:textId="55EAB31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any provision of this title which provides for the substitution of a year after 2016 for “2016” in subparagraph (A)(ii), subparagraph (A) shall be applied by substituting “the C-CPI-U for calendar year 2016” for “the CPI for calendar year 2016” and all that follows in clause (ii) thereof.</w:t>
      </w:r>
    </w:p>
    <w:p w14:paraId="6E65973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5" w:name="f_4"/>
      <w:bookmarkEnd w:id="25"/>
      <w:r w:rsidRPr="008B3051">
        <w:rPr>
          <w:rFonts w:ascii="Verdana" w:eastAsia="Times New Roman" w:hAnsi="Verdana" w:cs="Times New Roman"/>
          <w:b/>
          <w:bCs/>
          <w:sz w:val="24"/>
          <w:szCs w:val="24"/>
        </w:rPr>
        <w:t>(4)</w:t>
      </w:r>
      <w:r w:rsidRPr="008B3051">
        <w:rPr>
          <w:rFonts w:ascii="Verdana" w:eastAsia="Times New Roman" w:hAnsi="Verdana" w:cs="Times New Roman"/>
          <w:b/>
          <w:bCs/>
          <w:smallCaps/>
          <w:sz w:val="24"/>
          <w:szCs w:val="24"/>
        </w:rPr>
        <w:t>CPI for any calendar year</w:t>
      </w:r>
    </w:p>
    <w:p w14:paraId="4A67B09D" w14:textId="0B18165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paragraph (3), the CPI for any calendar year is the average of the Consumer Price Index as of the close of the 12-month period ending on August 31 of such calendar year.</w:t>
      </w:r>
    </w:p>
    <w:p w14:paraId="06EF4C6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6" w:name="f_5"/>
      <w:bookmarkEnd w:id="26"/>
      <w:r w:rsidRPr="008B3051">
        <w:rPr>
          <w:rFonts w:ascii="Verdana" w:eastAsia="Times New Roman" w:hAnsi="Verdana" w:cs="Times New Roman"/>
          <w:b/>
          <w:bCs/>
          <w:sz w:val="24"/>
          <w:szCs w:val="24"/>
        </w:rPr>
        <w:lastRenderedPageBreak/>
        <w:t>(5)</w:t>
      </w:r>
      <w:r w:rsidRPr="008B3051">
        <w:rPr>
          <w:rFonts w:ascii="Verdana" w:eastAsia="Times New Roman" w:hAnsi="Verdana" w:cs="Times New Roman"/>
          <w:b/>
          <w:bCs/>
          <w:smallCaps/>
          <w:sz w:val="24"/>
          <w:szCs w:val="24"/>
        </w:rPr>
        <w:t>Consumer Price Index</w:t>
      </w:r>
    </w:p>
    <w:p w14:paraId="2551FACF" w14:textId="24D9194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paragraph (4), the term “Consumer Price Index” means the last Consumer Price Index for all-urban consumers published by the Department of Labor. For purposes of the preceding sentence, the revision of the Consumer Price Index which is most consistent with the Consumer Price Index for calendar year 1986 shall be used.</w:t>
      </w:r>
    </w:p>
    <w:p w14:paraId="550F9B4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7" w:name="f_6"/>
      <w:bookmarkEnd w:id="27"/>
      <w:r w:rsidRPr="008B3051">
        <w:rPr>
          <w:rFonts w:ascii="Verdana" w:eastAsia="Times New Roman" w:hAnsi="Verdana" w:cs="Times New Roman"/>
          <w:b/>
          <w:bCs/>
          <w:sz w:val="24"/>
          <w:szCs w:val="24"/>
        </w:rPr>
        <w:t>(6)</w:t>
      </w:r>
      <w:r w:rsidRPr="008B3051">
        <w:rPr>
          <w:rFonts w:ascii="Verdana" w:eastAsia="Times New Roman" w:hAnsi="Verdana" w:cs="Times New Roman"/>
          <w:b/>
          <w:bCs/>
          <w:smallCaps/>
          <w:sz w:val="24"/>
          <w:szCs w:val="24"/>
        </w:rPr>
        <w:t>C-CPI-U</w:t>
      </w:r>
      <w:r w:rsidRPr="008B3051">
        <w:rPr>
          <w:rFonts w:ascii="Verdana" w:eastAsia="Times New Roman" w:hAnsi="Verdana" w:cs="Times New Roman"/>
          <w:sz w:val="24"/>
          <w:szCs w:val="24"/>
        </w:rPr>
        <w:t>For purposes of this subsection—</w:t>
      </w:r>
    </w:p>
    <w:p w14:paraId="52C603C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8" w:name="f_6_A"/>
      <w:bookmarkEnd w:id="28"/>
      <w:r w:rsidRPr="008B3051">
        <w:rPr>
          <w:rFonts w:ascii="Verdana" w:eastAsia="Times New Roman" w:hAnsi="Verdana" w:cs="Times New Roman"/>
          <w:b/>
          <w:bCs/>
          <w:sz w:val="24"/>
          <w:szCs w:val="24"/>
        </w:rPr>
        <w:t>(A)In general</w:t>
      </w:r>
    </w:p>
    <w:p w14:paraId="118CFB70" w14:textId="718D6EB5"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“C-CPI-U” means the Chained Consumer Price Index for All Urban Consumers (as published by the Bureau of Labor Statistics of the Department of Labor). The values of the Chained Consumer Price Index for All Urban Consumers taken into account for purposes of determining the cost-of-living adjustment for any calendar year under this subsection shall be the latest values so published as of the date on which such Bureau publishes the initial value of the Chained Consumer Price Index for All Urban Consumers for the month of August for the preceding calendar year.</w:t>
      </w:r>
    </w:p>
    <w:p w14:paraId="6896A5F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9" w:name="f_6_B"/>
      <w:bookmarkEnd w:id="29"/>
      <w:r w:rsidRPr="008B3051">
        <w:rPr>
          <w:rFonts w:ascii="Verdana" w:eastAsia="Times New Roman" w:hAnsi="Verdana" w:cs="Times New Roman"/>
          <w:b/>
          <w:bCs/>
          <w:sz w:val="24"/>
          <w:szCs w:val="24"/>
        </w:rPr>
        <w:t>(B)Determination for calendar year</w:t>
      </w:r>
    </w:p>
    <w:p w14:paraId="766AE4DA" w14:textId="16F0AF0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C-CPI-U for any calendar year is the average of the C-CPI-U as of the close of the 12-month period ending on August 31 of such calendar year.</w:t>
      </w:r>
    </w:p>
    <w:p w14:paraId="7DDA6864"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0" w:name="f_7"/>
      <w:bookmarkEnd w:id="30"/>
      <w:r w:rsidRPr="008B3051">
        <w:rPr>
          <w:rFonts w:ascii="Verdana" w:eastAsia="Times New Roman" w:hAnsi="Verdana" w:cs="Times New Roman"/>
          <w:b/>
          <w:bCs/>
          <w:sz w:val="24"/>
          <w:szCs w:val="24"/>
        </w:rPr>
        <w:t>(7)</w:t>
      </w:r>
      <w:r w:rsidRPr="008B3051">
        <w:rPr>
          <w:rFonts w:ascii="Verdana" w:eastAsia="Times New Roman" w:hAnsi="Verdana" w:cs="Times New Roman"/>
          <w:b/>
          <w:bCs/>
          <w:smallCaps/>
          <w:sz w:val="24"/>
          <w:szCs w:val="24"/>
        </w:rPr>
        <w:t>Rounding</w:t>
      </w:r>
    </w:p>
    <w:p w14:paraId="3EE3C56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1" w:name="f_7_A"/>
      <w:bookmarkEnd w:id="31"/>
      <w:r w:rsidRPr="008B3051">
        <w:rPr>
          <w:rFonts w:ascii="Verdana" w:eastAsia="Times New Roman" w:hAnsi="Verdana" w:cs="Times New Roman"/>
          <w:b/>
          <w:bCs/>
          <w:sz w:val="24"/>
          <w:szCs w:val="24"/>
        </w:rPr>
        <w:t>(A)In general</w:t>
      </w:r>
    </w:p>
    <w:p w14:paraId="4319E59A"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increase determined under paragraph (2)(A), section 63(c)(4), section 68(b)(2) or section 151(d)(4) is not a multiple of $50, such increase shall be rounded to the next lowest multiple of $50.</w:t>
      </w:r>
    </w:p>
    <w:p w14:paraId="538A1A3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2" w:name="f_7_B"/>
      <w:bookmarkEnd w:id="32"/>
      <w:r w:rsidRPr="008B3051">
        <w:rPr>
          <w:rFonts w:ascii="Verdana" w:eastAsia="Times New Roman" w:hAnsi="Verdana" w:cs="Times New Roman"/>
          <w:b/>
          <w:bCs/>
          <w:sz w:val="24"/>
          <w:szCs w:val="24"/>
        </w:rPr>
        <w:t>(B)Table for married individuals filing separately</w:t>
      </w:r>
    </w:p>
    <w:p w14:paraId="741C7E94" w14:textId="019EBB9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married individual filing a separate return, subparagraph (A) (other than with respect to sections 63(c)(4) and 151(d)(4)(A)) shall be applied by substituting “$25” for “$50” each place it appears.</w:t>
      </w:r>
    </w:p>
    <w:p w14:paraId="0430E25D" w14:textId="63DD585D"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3" w:name="f_8"/>
      <w:bookmarkEnd w:id="33"/>
      <w:r w:rsidRPr="008B3051">
        <w:rPr>
          <w:rFonts w:ascii="Verdana" w:eastAsia="Times New Roman" w:hAnsi="Verdana" w:cs="Times New Roman"/>
          <w:b/>
          <w:bCs/>
          <w:sz w:val="24"/>
          <w:szCs w:val="24"/>
        </w:rPr>
        <w:t>(8)</w:t>
      </w:r>
      <w:r w:rsidRPr="008B3051">
        <w:rPr>
          <w:rFonts w:ascii="Verdana" w:eastAsia="Times New Roman" w:hAnsi="Verdana" w:cs="Times New Roman"/>
          <w:b/>
          <w:bCs/>
          <w:smallCaps/>
          <w:sz w:val="24"/>
          <w:szCs w:val="24"/>
        </w:rPr>
        <w:t>Elimination of marriage penalty in 15-percent bracket</w:t>
      </w:r>
      <w:r w:rsidRPr="008B3051">
        <w:rPr>
          <w:rFonts w:ascii="Verdana" w:eastAsia="Times New Roman" w:hAnsi="Verdana" w:cs="Times New Roman"/>
          <w:sz w:val="24"/>
          <w:szCs w:val="24"/>
        </w:rPr>
        <w:t>With respect to taxable yearsbeginning after December 31, 2003, in prescribing the tables under paragraph (1)—</w:t>
      </w:r>
    </w:p>
    <w:p w14:paraId="6268C12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4" w:name="f_8_A"/>
      <w:bookmarkEnd w:id="34"/>
      <w:r w:rsidRPr="008B3051">
        <w:rPr>
          <w:rFonts w:ascii="Verdana" w:eastAsia="Times New Roman" w:hAnsi="Verdana" w:cs="Times New Roman"/>
          <w:b/>
          <w:bCs/>
          <w:sz w:val="24"/>
          <w:szCs w:val="24"/>
        </w:rPr>
        <w:t>(A)</w:t>
      </w:r>
    </w:p>
    <w:p w14:paraId="67C6FE49" w14:textId="1BD41C9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maximum taxable income in the 15-percent rate bracket in the table contained in subsection (a) (and the minimum taxable income in the next higher taxable income bracket in such table) shall be 200 percent of the maximum taxable income in the 15-percent rate bracket in the table contained in subsection (c) (after any other adjustment under this subsection), and</w:t>
      </w:r>
    </w:p>
    <w:p w14:paraId="58161FC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5" w:name="f_8_B"/>
      <w:bookmarkEnd w:id="35"/>
      <w:r w:rsidRPr="008B3051">
        <w:rPr>
          <w:rFonts w:ascii="Verdana" w:eastAsia="Times New Roman" w:hAnsi="Verdana" w:cs="Times New Roman"/>
          <w:b/>
          <w:bCs/>
          <w:sz w:val="24"/>
          <w:szCs w:val="24"/>
        </w:rPr>
        <w:t>(B)</w:t>
      </w:r>
    </w:p>
    <w:p w14:paraId="63CE9073" w14:textId="48AD233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comparable taxable income amounts in the table contained in subsection (d) shall be ½ of the amounts determined under subparagraph (A).</w:t>
      </w:r>
    </w:p>
    <w:p w14:paraId="0688869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6" w:name="g"/>
      <w:bookmarkEnd w:id="36"/>
      <w:r w:rsidRPr="008B3051">
        <w:rPr>
          <w:rFonts w:ascii="Verdana" w:eastAsia="Times New Roman" w:hAnsi="Verdana" w:cs="Times New Roman"/>
          <w:b/>
          <w:bCs/>
          <w:sz w:val="24"/>
          <w:szCs w:val="24"/>
        </w:rPr>
        <w:t>(g)</w:t>
      </w:r>
      <w:r w:rsidRPr="008B3051">
        <w:rPr>
          <w:rFonts w:ascii="Verdana" w:eastAsia="Times New Roman" w:hAnsi="Verdana" w:cs="Times New Roman"/>
          <w:b/>
          <w:bCs/>
          <w:smallCaps/>
          <w:sz w:val="24"/>
          <w:szCs w:val="24"/>
        </w:rPr>
        <w:t>Certain unearned income of children taxed as if parent’s income</w:t>
      </w:r>
    </w:p>
    <w:p w14:paraId="3E9FF72B" w14:textId="1CD1FB9D"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7" w:name="g_1"/>
      <w:bookmarkEnd w:id="37"/>
      <w:r w:rsidRPr="008B3051">
        <w:rPr>
          <w:rFonts w:ascii="Verdana" w:eastAsia="Times New Roman" w:hAnsi="Verdana" w:cs="Times New Roman"/>
          <w:b/>
          <w:bCs/>
          <w:sz w:val="24"/>
          <w:szCs w:val="24"/>
        </w:rPr>
        <w:lastRenderedPageBreak/>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In the case of any child to whom this subsection applies, the tax imposed by this section shall be equal to the greater of—</w:t>
      </w:r>
    </w:p>
    <w:p w14:paraId="19D9FBD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8" w:name="g_1_A"/>
      <w:bookmarkEnd w:id="38"/>
      <w:r w:rsidRPr="008B3051">
        <w:rPr>
          <w:rFonts w:ascii="Verdana" w:eastAsia="Times New Roman" w:hAnsi="Verdana" w:cs="Times New Roman"/>
          <w:b/>
          <w:bCs/>
          <w:sz w:val="24"/>
          <w:szCs w:val="24"/>
        </w:rPr>
        <w:t>(A)</w:t>
      </w:r>
    </w:p>
    <w:p w14:paraId="5A9E80E7" w14:textId="66ADDCC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 imposed by this section without regard to this subsection, or</w:t>
      </w:r>
    </w:p>
    <w:p w14:paraId="0DC4010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39" w:name="g_1_B"/>
      <w:bookmarkEnd w:id="39"/>
      <w:r w:rsidRPr="008B3051">
        <w:rPr>
          <w:rFonts w:ascii="Verdana" w:eastAsia="Times New Roman" w:hAnsi="Verdana" w:cs="Times New Roman"/>
          <w:b/>
          <w:bCs/>
          <w:sz w:val="24"/>
          <w:szCs w:val="24"/>
        </w:rPr>
        <w:t>(B)</w:t>
      </w:r>
      <w:r w:rsidRPr="008B3051">
        <w:rPr>
          <w:rFonts w:ascii="Verdana" w:eastAsia="Times New Roman" w:hAnsi="Verdana" w:cs="Times New Roman"/>
          <w:sz w:val="24"/>
          <w:szCs w:val="24"/>
        </w:rPr>
        <w:t>the sum of—</w:t>
      </w:r>
    </w:p>
    <w:p w14:paraId="33690F1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0" w:name="g_1_B_i"/>
      <w:bookmarkEnd w:id="40"/>
      <w:r w:rsidRPr="008B3051">
        <w:rPr>
          <w:rFonts w:ascii="Verdana" w:eastAsia="Times New Roman" w:hAnsi="Verdana" w:cs="Times New Roman"/>
          <w:b/>
          <w:bCs/>
          <w:sz w:val="24"/>
          <w:szCs w:val="24"/>
        </w:rPr>
        <w:t>(i)</w:t>
      </w:r>
    </w:p>
    <w:p w14:paraId="607598A2" w14:textId="362C2C7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 which would be imposed by this section if the taxable income of such child for the taxable year were reduced by the net unearned income of such child, plus</w:t>
      </w:r>
    </w:p>
    <w:p w14:paraId="1A6D7B8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1" w:name="g_1_B_ii"/>
      <w:bookmarkEnd w:id="41"/>
      <w:r w:rsidRPr="008B3051">
        <w:rPr>
          <w:rFonts w:ascii="Verdana" w:eastAsia="Times New Roman" w:hAnsi="Verdana" w:cs="Times New Roman"/>
          <w:b/>
          <w:bCs/>
          <w:sz w:val="24"/>
          <w:szCs w:val="24"/>
        </w:rPr>
        <w:t>(ii)</w:t>
      </w:r>
    </w:p>
    <w:p w14:paraId="7528F3D5" w14:textId="1659DA1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child’s share of the allocable parental tax.</w:t>
      </w:r>
    </w:p>
    <w:p w14:paraId="3F1F3401" w14:textId="44DD3446"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2" w:name="g_2"/>
      <w:bookmarkEnd w:id="42"/>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Child to whom subsection applies</w:t>
      </w:r>
      <w:r w:rsidRPr="008B3051">
        <w:rPr>
          <w:rFonts w:ascii="Verdana" w:eastAsia="Times New Roman" w:hAnsi="Verdana" w:cs="Times New Roman"/>
          <w:sz w:val="24"/>
          <w:szCs w:val="24"/>
        </w:rPr>
        <w:t>This subsection shall apply to any child for any taxable year if—</w:t>
      </w:r>
    </w:p>
    <w:p w14:paraId="2B1AED7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3" w:name="g_2_A"/>
      <w:bookmarkEnd w:id="43"/>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such child—</w:t>
      </w:r>
    </w:p>
    <w:p w14:paraId="4315E08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4" w:name="g_2_A_i"/>
      <w:bookmarkEnd w:id="44"/>
      <w:r w:rsidRPr="008B3051">
        <w:rPr>
          <w:rFonts w:ascii="Verdana" w:eastAsia="Times New Roman" w:hAnsi="Verdana" w:cs="Times New Roman"/>
          <w:b/>
          <w:bCs/>
          <w:sz w:val="24"/>
          <w:szCs w:val="24"/>
        </w:rPr>
        <w:t>(i)</w:t>
      </w:r>
    </w:p>
    <w:p w14:paraId="39536825" w14:textId="4D0BDB7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has not attained age 18 before the close of the taxable year, or</w:t>
      </w:r>
    </w:p>
    <w:p w14:paraId="4FCF29C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5" w:name="g_2_A_ii"/>
      <w:bookmarkEnd w:id="45"/>
      <w:r w:rsidRPr="008B3051">
        <w:rPr>
          <w:rFonts w:ascii="Verdana" w:eastAsia="Times New Roman" w:hAnsi="Verdana" w:cs="Times New Roman"/>
          <w:b/>
          <w:bCs/>
          <w:sz w:val="24"/>
          <w:szCs w:val="24"/>
        </w:rPr>
        <w:t>(ii)</w:t>
      </w:r>
    </w:p>
    <w:p w14:paraId="5981DAE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6" w:name="g_2_A_ii_I"/>
      <w:bookmarkEnd w:id="46"/>
      <w:r w:rsidRPr="008B3051">
        <w:rPr>
          <w:rFonts w:ascii="Verdana" w:eastAsia="Times New Roman" w:hAnsi="Verdana" w:cs="Times New Roman"/>
          <w:b/>
          <w:bCs/>
          <w:sz w:val="24"/>
          <w:szCs w:val="24"/>
        </w:rPr>
        <w:t>(I)</w:t>
      </w:r>
    </w:p>
    <w:p w14:paraId="65B7D18B" w14:textId="5A65091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has attained age 18 before the close of the taxable year and meets the age requirements of section 152(c)(3) (determined without regard to subparagraph (B) thereof), and</w:t>
      </w:r>
    </w:p>
    <w:p w14:paraId="57EEA47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7" w:name="g_2_A_ii_II"/>
      <w:bookmarkEnd w:id="47"/>
      <w:r w:rsidRPr="008B3051">
        <w:rPr>
          <w:rFonts w:ascii="Verdana" w:eastAsia="Times New Roman" w:hAnsi="Verdana" w:cs="Times New Roman"/>
          <w:b/>
          <w:bCs/>
          <w:sz w:val="24"/>
          <w:szCs w:val="24"/>
        </w:rPr>
        <w:t>(II)</w:t>
      </w:r>
    </w:p>
    <w:p w14:paraId="7928B422" w14:textId="503093B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whose earned income (as defined in section 911(d)(2)) for such taxable year does not exceed one-half of the amount of the individual’s support (within the meaning of section 152(c)(1)(D) after the application of section 152(f)(5) (without regard to subparagraph (A) thereof)) for such taxable year,</w:t>
      </w:r>
    </w:p>
    <w:p w14:paraId="2993780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8" w:name="g_2_B"/>
      <w:bookmarkEnd w:id="48"/>
      <w:r w:rsidRPr="008B3051">
        <w:rPr>
          <w:rFonts w:ascii="Verdana" w:eastAsia="Times New Roman" w:hAnsi="Verdana" w:cs="Times New Roman"/>
          <w:b/>
          <w:bCs/>
          <w:sz w:val="24"/>
          <w:szCs w:val="24"/>
        </w:rPr>
        <w:t>(B)</w:t>
      </w:r>
    </w:p>
    <w:p w14:paraId="1971AD18" w14:textId="1E28214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either parent of such child is alive at the close of the taxable year, and</w:t>
      </w:r>
    </w:p>
    <w:p w14:paraId="390A3CC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49" w:name="g_2_C"/>
      <w:bookmarkEnd w:id="49"/>
      <w:r w:rsidRPr="008B3051">
        <w:rPr>
          <w:rFonts w:ascii="Verdana" w:eastAsia="Times New Roman" w:hAnsi="Verdana" w:cs="Times New Roman"/>
          <w:b/>
          <w:bCs/>
          <w:sz w:val="24"/>
          <w:szCs w:val="24"/>
        </w:rPr>
        <w:t>(C)</w:t>
      </w:r>
    </w:p>
    <w:p w14:paraId="58CB3819" w14:textId="0F73743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child does not file a joint return for the taxable year.</w:t>
      </w:r>
    </w:p>
    <w:p w14:paraId="0733F6B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0" w:name="g_3"/>
      <w:bookmarkEnd w:id="50"/>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Allocable parental tax</w:t>
      </w:r>
      <w:r w:rsidRPr="008B3051">
        <w:rPr>
          <w:rFonts w:ascii="Verdana" w:eastAsia="Times New Roman" w:hAnsi="Verdana" w:cs="Times New Roman"/>
          <w:sz w:val="24"/>
          <w:szCs w:val="24"/>
        </w:rPr>
        <w:t>For purposes of this subsection—</w:t>
      </w:r>
    </w:p>
    <w:p w14:paraId="6F8BB572" w14:textId="5F2C756A"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1" w:name="g_3_A"/>
      <w:bookmarkEnd w:id="51"/>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The term “allocable parental tax” means the excess of—</w:t>
      </w:r>
    </w:p>
    <w:p w14:paraId="5DBCCBC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2" w:name="g_3_A_i"/>
      <w:bookmarkEnd w:id="52"/>
      <w:r w:rsidRPr="008B3051">
        <w:rPr>
          <w:rFonts w:ascii="Verdana" w:eastAsia="Times New Roman" w:hAnsi="Verdana" w:cs="Times New Roman"/>
          <w:b/>
          <w:bCs/>
          <w:sz w:val="24"/>
          <w:szCs w:val="24"/>
        </w:rPr>
        <w:t>(i)</w:t>
      </w:r>
    </w:p>
    <w:p w14:paraId="2EE16FF9" w14:textId="752A156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 which would be imposed by this section on the parent’s taxable income if such income included the net unearned income of all children of the parent to whom this subsection applies, over</w:t>
      </w:r>
    </w:p>
    <w:p w14:paraId="19917A8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3" w:name="g_3_A_ii"/>
      <w:bookmarkEnd w:id="53"/>
      <w:r w:rsidRPr="008B3051">
        <w:rPr>
          <w:rFonts w:ascii="Verdana" w:eastAsia="Times New Roman" w:hAnsi="Verdana" w:cs="Times New Roman"/>
          <w:b/>
          <w:bCs/>
          <w:sz w:val="24"/>
          <w:szCs w:val="24"/>
        </w:rPr>
        <w:t>(ii)</w:t>
      </w:r>
    </w:p>
    <w:p w14:paraId="7D164310" w14:textId="43D2F42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 imposed by this section on the parent without regard to this subsection.</w:t>
      </w:r>
    </w:p>
    <w:p w14:paraId="5A17BB97" w14:textId="09C60C05"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For purposes of clause (i), net unearned income of all children of the parent shall not be taken into account in computing any exclusion, deduction, or credit of the parent.</w:t>
      </w:r>
    </w:p>
    <w:p w14:paraId="5B84769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4" w:name="g_3_B"/>
      <w:bookmarkEnd w:id="54"/>
      <w:r w:rsidRPr="008B3051">
        <w:rPr>
          <w:rFonts w:ascii="Verdana" w:eastAsia="Times New Roman" w:hAnsi="Verdana" w:cs="Times New Roman"/>
          <w:b/>
          <w:bCs/>
          <w:sz w:val="24"/>
          <w:szCs w:val="24"/>
        </w:rPr>
        <w:t>(B)Child’s share</w:t>
      </w:r>
    </w:p>
    <w:p w14:paraId="03C60D19" w14:textId="6974047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child’s share of any allocable parental tax of a parent shall be equal to an amount which bears the same ratio to the total allocable parental tax as the child’s net unearned income bears to the aggregate net unearned income of all children of such parent to whom this subsection applies.</w:t>
      </w:r>
    </w:p>
    <w:p w14:paraId="5FF118D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5" w:name="g_3_C"/>
      <w:bookmarkEnd w:id="55"/>
      <w:r w:rsidRPr="008B3051">
        <w:rPr>
          <w:rFonts w:ascii="Verdana" w:eastAsia="Times New Roman" w:hAnsi="Verdana" w:cs="Times New Roman"/>
          <w:b/>
          <w:bCs/>
          <w:sz w:val="24"/>
          <w:szCs w:val="24"/>
        </w:rPr>
        <w:t>(C)Special rule where parent has different taxable year</w:t>
      </w:r>
    </w:p>
    <w:p w14:paraId="3F523EF4" w14:textId="127E5F4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regulations, if the parent does not have the same taxable year as the child, the allocable parental tax shall be determined on the basis of the taxable year of the parent ending in the child’s taxable year.</w:t>
      </w:r>
    </w:p>
    <w:p w14:paraId="5145EA7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6" w:name="g_4"/>
      <w:bookmarkEnd w:id="56"/>
      <w:r w:rsidRPr="008B3051">
        <w:rPr>
          <w:rFonts w:ascii="Verdana" w:eastAsia="Times New Roman" w:hAnsi="Verdana" w:cs="Times New Roman"/>
          <w:b/>
          <w:bCs/>
          <w:sz w:val="24"/>
          <w:szCs w:val="24"/>
        </w:rPr>
        <w:t>(4)</w:t>
      </w:r>
      <w:r w:rsidRPr="008B3051">
        <w:rPr>
          <w:rFonts w:ascii="Verdana" w:eastAsia="Times New Roman" w:hAnsi="Verdana" w:cs="Times New Roman"/>
          <w:b/>
          <w:bCs/>
          <w:smallCaps/>
          <w:sz w:val="24"/>
          <w:szCs w:val="24"/>
        </w:rPr>
        <w:t>Net unearned income</w:t>
      </w:r>
      <w:r w:rsidRPr="008B3051">
        <w:rPr>
          <w:rFonts w:ascii="Verdana" w:eastAsia="Times New Roman" w:hAnsi="Verdana" w:cs="Times New Roman"/>
          <w:sz w:val="24"/>
          <w:szCs w:val="24"/>
        </w:rPr>
        <w:t>For purposes of this subsection—</w:t>
      </w:r>
    </w:p>
    <w:p w14:paraId="02417AB5" w14:textId="78B54F5F"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7" w:name="g_4_A"/>
      <w:bookmarkEnd w:id="57"/>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The term “net unearned income” means the excess of—</w:t>
      </w:r>
    </w:p>
    <w:p w14:paraId="250D153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8" w:name="g_4_A_i"/>
      <w:bookmarkEnd w:id="58"/>
      <w:r w:rsidRPr="008B3051">
        <w:rPr>
          <w:rFonts w:ascii="Verdana" w:eastAsia="Times New Roman" w:hAnsi="Verdana" w:cs="Times New Roman"/>
          <w:b/>
          <w:bCs/>
          <w:sz w:val="24"/>
          <w:szCs w:val="24"/>
        </w:rPr>
        <w:t>(i)</w:t>
      </w:r>
    </w:p>
    <w:p w14:paraId="01F2F5CA" w14:textId="64AF6A4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portion of the adjusted gross income for the taxable year which is not attributable to earned income (as defined in section 911(d)(2)), over</w:t>
      </w:r>
    </w:p>
    <w:p w14:paraId="60CBE99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59" w:name="g_4_A_ii"/>
      <w:bookmarkEnd w:id="59"/>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sum of—</w:t>
      </w:r>
    </w:p>
    <w:p w14:paraId="09CD7AA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0" w:name="g_4_A_ii_I"/>
      <w:bookmarkEnd w:id="60"/>
      <w:r w:rsidRPr="008B3051">
        <w:rPr>
          <w:rFonts w:ascii="Verdana" w:eastAsia="Times New Roman" w:hAnsi="Verdana" w:cs="Times New Roman"/>
          <w:b/>
          <w:bCs/>
          <w:sz w:val="24"/>
          <w:szCs w:val="24"/>
        </w:rPr>
        <w:t>(I)</w:t>
      </w:r>
    </w:p>
    <w:p w14:paraId="2AE77B57" w14:textId="4909E05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in effect for the taxable year under section 63(c)(5)(A) (relating to limitation on standard deduction in the case of certain dependents), plus</w:t>
      </w:r>
    </w:p>
    <w:p w14:paraId="0D73793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1" w:name="g_4_A_ii_II"/>
      <w:bookmarkEnd w:id="61"/>
      <w:r w:rsidRPr="008B3051">
        <w:rPr>
          <w:rFonts w:ascii="Verdana" w:eastAsia="Times New Roman" w:hAnsi="Verdana" w:cs="Times New Roman"/>
          <w:b/>
          <w:bCs/>
          <w:sz w:val="24"/>
          <w:szCs w:val="24"/>
        </w:rPr>
        <w:t>(II)</w:t>
      </w:r>
    </w:p>
    <w:p w14:paraId="21FD3CAC" w14:textId="4AE875B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greater of the amount described in subclause (I) or, if the child itemizes his deductions for the taxable year, the amount of the itemized deductions allowed by this chapter for the taxable year which are directly connected with the production of the portion of adjusted gross income referred to in clause (i).</w:t>
      </w:r>
    </w:p>
    <w:p w14:paraId="0B0D4D3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2" w:name="g_4_B"/>
      <w:bookmarkEnd w:id="62"/>
      <w:r w:rsidRPr="008B3051">
        <w:rPr>
          <w:rFonts w:ascii="Verdana" w:eastAsia="Times New Roman" w:hAnsi="Verdana" w:cs="Times New Roman"/>
          <w:b/>
          <w:bCs/>
          <w:sz w:val="24"/>
          <w:szCs w:val="24"/>
        </w:rPr>
        <w:t>(B)Limitation based on taxable income</w:t>
      </w:r>
    </w:p>
    <w:p w14:paraId="1858937F" w14:textId="18172FE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the net unearned income for any taxable year shall not exceed the individual’s taxable income for such taxable year.</w:t>
      </w:r>
    </w:p>
    <w:p w14:paraId="191F386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3" w:name="g_4_C"/>
      <w:bookmarkEnd w:id="63"/>
      <w:r w:rsidRPr="008B3051">
        <w:rPr>
          <w:rFonts w:ascii="Verdana" w:eastAsia="Times New Roman" w:hAnsi="Verdana" w:cs="Times New Roman"/>
          <w:b/>
          <w:bCs/>
          <w:sz w:val="24"/>
          <w:szCs w:val="24"/>
        </w:rPr>
        <w:t>(C)Treatment of distributions from qualified disability trusts</w:t>
      </w:r>
    </w:p>
    <w:p w14:paraId="5DC42D12" w14:textId="3228528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subsection, in the case of any child who is a beneficiary of a qualified disability trust (as defined in section 642(b)(2)(C)(ii)), any amount included in the income of such child under sections 652 and 662 during a taxable year shall be considered earned income of such child for such taxable year.</w:t>
      </w:r>
    </w:p>
    <w:p w14:paraId="4A020153" w14:textId="49E824D9"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4" w:name="g_5"/>
      <w:bookmarkEnd w:id="64"/>
      <w:r w:rsidRPr="008B3051">
        <w:rPr>
          <w:rFonts w:ascii="Verdana" w:eastAsia="Times New Roman" w:hAnsi="Verdana" w:cs="Times New Roman"/>
          <w:b/>
          <w:bCs/>
          <w:sz w:val="24"/>
          <w:szCs w:val="24"/>
        </w:rPr>
        <w:t>(5)</w:t>
      </w:r>
      <w:r w:rsidRPr="008B3051">
        <w:rPr>
          <w:rFonts w:ascii="Verdana" w:eastAsia="Times New Roman" w:hAnsi="Verdana" w:cs="Times New Roman"/>
          <w:b/>
          <w:bCs/>
          <w:smallCaps/>
          <w:sz w:val="24"/>
          <w:szCs w:val="24"/>
        </w:rPr>
        <w:t>Special rules for determining parent to whom subsection applies</w:t>
      </w:r>
      <w:r w:rsidRPr="008B3051">
        <w:rPr>
          <w:rFonts w:ascii="Verdana" w:eastAsia="Times New Roman" w:hAnsi="Verdana" w:cs="Times New Roman"/>
          <w:sz w:val="24"/>
          <w:szCs w:val="24"/>
        </w:rPr>
        <w:t>For purposes of this subsection, the parent whose taxable income shall be taken into account shall be—</w:t>
      </w:r>
    </w:p>
    <w:p w14:paraId="49F9BBA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5" w:name="g_5_A"/>
      <w:bookmarkEnd w:id="65"/>
      <w:r w:rsidRPr="008B3051">
        <w:rPr>
          <w:rFonts w:ascii="Verdana" w:eastAsia="Times New Roman" w:hAnsi="Verdana" w:cs="Times New Roman"/>
          <w:b/>
          <w:bCs/>
          <w:sz w:val="24"/>
          <w:szCs w:val="24"/>
        </w:rPr>
        <w:t>(A)</w:t>
      </w:r>
    </w:p>
    <w:p w14:paraId="0CA18C41" w14:textId="160A098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in the case of parents who are not married (within the meaning of section 7703), the custodial parent (within the meaning of section 152(e)) of the child, and</w:t>
      </w:r>
    </w:p>
    <w:p w14:paraId="2C8E5A21"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6" w:name="g_5_B"/>
      <w:bookmarkEnd w:id="66"/>
      <w:r w:rsidRPr="008B3051">
        <w:rPr>
          <w:rFonts w:ascii="Verdana" w:eastAsia="Times New Roman" w:hAnsi="Verdana" w:cs="Times New Roman"/>
          <w:b/>
          <w:bCs/>
          <w:sz w:val="24"/>
          <w:szCs w:val="24"/>
        </w:rPr>
        <w:t>(B)</w:t>
      </w:r>
    </w:p>
    <w:p w14:paraId="6C246686" w14:textId="45FD7AF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married individuals filing separately, the individual with the greater taxable income.</w:t>
      </w:r>
    </w:p>
    <w:p w14:paraId="4B7E07E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7" w:name="g_6"/>
      <w:bookmarkEnd w:id="67"/>
      <w:r w:rsidRPr="008B3051">
        <w:rPr>
          <w:rFonts w:ascii="Verdana" w:eastAsia="Times New Roman" w:hAnsi="Verdana" w:cs="Times New Roman"/>
          <w:b/>
          <w:bCs/>
          <w:sz w:val="24"/>
          <w:szCs w:val="24"/>
        </w:rPr>
        <w:t>(6)</w:t>
      </w:r>
      <w:r w:rsidRPr="008B3051">
        <w:rPr>
          <w:rFonts w:ascii="Verdana" w:eastAsia="Times New Roman" w:hAnsi="Verdana" w:cs="Times New Roman"/>
          <w:b/>
          <w:bCs/>
          <w:smallCaps/>
          <w:sz w:val="24"/>
          <w:szCs w:val="24"/>
        </w:rPr>
        <w:t>Providing of parent’s TIN</w:t>
      </w:r>
    </w:p>
    <w:p w14:paraId="3D023868" w14:textId="405E60A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parent of any child to whom this subsection applies for any taxable year shall provide the TIN of such parent to such child and such child shall include such TIN on the child’s return of tax imposed by this section for such taxable year.</w:t>
      </w:r>
    </w:p>
    <w:p w14:paraId="193AC18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8" w:name="g_7"/>
      <w:bookmarkEnd w:id="68"/>
      <w:r w:rsidRPr="008B3051">
        <w:rPr>
          <w:rFonts w:ascii="Verdana" w:eastAsia="Times New Roman" w:hAnsi="Verdana" w:cs="Times New Roman"/>
          <w:b/>
          <w:bCs/>
          <w:sz w:val="24"/>
          <w:szCs w:val="24"/>
        </w:rPr>
        <w:t>(7)</w:t>
      </w:r>
      <w:r w:rsidRPr="008B3051">
        <w:rPr>
          <w:rFonts w:ascii="Verdana" w:eastAsia="Times New Roman" w:hAnsi="Verdana" w:cs="Times New Roman"/>
          <w:b/>
          <w:bCs/>
          <w:smallCaps/>
          <w:sz w:val="24"/>
          <w:szCs w:val="24"/>
        </w:rPr>
        <w:t>Election to claim certain unearned income of child on parent’s return</w:t>
      </w:r>
    </w:p>
    <w:p w14:paraId="7E201AE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69" w:name="g_7_A"/>
      <w:bookmarkEnd w:id="69"/>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If—</w:t>
      </w:r>
    </w:p>
    <w:p w14:paraId="30B52A9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0" w:name="g_7_A_i"/>
      <w:bookmarkEnd w:id="70"/>
      <w:r w:rsidRPr="008B3051">
        <w:rPr>
          <w:rFonts w:ascii="Verdana" w:eastAsia="Times New Roman" w:hAnsi="Verdana" w:cs="Times New Roman"/>
          <w:b/>
          <w:bCs/>
          <w:sz w:val="24"/>
          <w:szCs w:val="24"/>
        </w:rPr>
        <w:t>(i)</w:t>
      </w:r>
    </w:p>
    <w:p w14:paraId="312EF948" w14:textId="06C3B07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child to whom this subsection applies has gross income for the taxable year only from interest and dividends (including Alaska Permanent Fund dividends),</w:t>
      </w:r>
    </w:p>
    <w:p w14:paraId="721E1B9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1" w:name="g_7_A_ii"/>
      <w:bookmarkEnd w:id="71"/>
      <w:r w:rsidRPr="008B3051">
        <w:rPr>
          <w:rFonts w:ascii="Verdana" w:eastAsia="Times New Roman" w:hAnsi="Verdana" w:cs="Times New Roman"/>
          <w:b/>
          <w:bCs/>
          <w:sz w:val="24"/>
          <w:szCs w:val="24"/>
        </w:rPr>
        <w:t>(ii)</w:t>
      </w:r>
    </w:p>
    <w:p w14:paraId="08165BC9" w14:textId="42AFAED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gross income is more than the amount described in paragraph (4)(A)(ii)(I) and less than 10 times the amount so described,</w:t>
      </w:r>
    </w:p>
    <w:p w14:paraId="5CCBEA5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2" w:name="g_7_A_iii"/>
      <w:bookmarkEnd w:id="72"/>
      <w:r w:rsidRPr="008B3051">
        <w:rPr>
          <w:rFonts w:ascii="Verdana" w:eastAsia="Times New Roman" w:hAnsi="Verdana" w:cs="Times New Roman"/>
          <w:b/>
          <w:bCs/>
          <w:sz w:val="24"/>
          <w:szCs w:val="24"/>
        </w:rPr>
        <w:t>(iii)</w:t>
      </w:r>
    </w:p>
    <w:p w14:paraId="15E9C78D" w14:textId="1CAC359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 estimated taxpayments for such year are made in the name and TIN of such child, and no amount has been deducted and withheld under section 3406, and</w:t>
      </w:r>
    </w:p>
    <w:p w14:paraId="44992BB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3" w:name="g_7_A_iv"/>
      <w:bookmarkEnd w:id="73"/>
      <w:r w:rsidRPr="008B3051">
        <w:rPr>
          <w:rFonts w:ascii="Verdana" w:eastAsia="Times New Roman" w:hAnsi="Verdana" w:cs="Times New Roman"/>
          <w:b/>
          <w:bCs/>
          <w:sz w:val="24"/>
          <w:szCs w:val="24"/>
        </w:rPr>
        <w:t>(iv)</w:t>
      </w:r>
    </w:p>
    <w:p w14:paraId="432DD302"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parent of such child (as determined under paragraph (5)) elects the application of subparagraph (B),</w:t>
      </w:r>
    </w:p>
    <w:p w14:paraId="5004C5EC" w14:textId="72904E4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child shall be treated (other than for purposes of this paragraph) as having no gross incomefor such year and shall not be required to file a return under section 6012.</w:t>
      </w:r>
    </w:p>
    <w:p w14:paraId="6229D289" w14:textId="0103AF88"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4" w:name="g_7_B"/>
      <w:bookmarkEnd w:id="74"/>
      <w:r w:rsidRPr="008B3051">
        <w:rPr>
          <w:rFonts w:ascii="Verdana" w:eastAsia="Times New Roman" w:hAnsi="Verdana" w:cs="Times New Roman"/>
          <w:b/>
          <w:bCs/>
          <w:sz w:val="24"/>
          <w:szCs w:val="24"/>
        </w:rPr>
        <w:t>(B)Income included on parent’s return</w:t>
      </w:r>
      <w:r w:rsidRPr="008B3051">
        <w:rPr>
          <w:rFonts w:ascii="Verdana" w:eastAsia="Times New Roman" w:hAnsi="Verdana" w:cs="Times New Roman"/>
          <w:sz w:val="24"/>
          <w:szCs w:val="24"/>
        </w:rPr>
        <w:t>In the case of a parent making the election under this paragraph—</w:t>
      </w:r>
    </w:p>
    <w:p w14:paraId="797ECFD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5" w:name="g_7_B_i"/>
      <w:bookmarkEnd w:id="75"/>
      <w:r w:rsidRPr="008B3051">
        <w:rPr>
          <w:rFonts w:ascii="Verdana" w:eastAsia="Times New Roman" w:hAnsi="Verdana" w:cs="Times New Roman"/>
          <w:b/>
          <w:bCs/>
          <w:sz w:val="24"/>
          <w:szCs w:val="24"/>
        </w:rPr>
        <w:t>(i)</w:t>
      </w:r>
    </w:p>
    <w:p w14:paraId="10F992C1" w14:textId="14BD8AC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gross income of each child to whom such election applies (to the extent the gross income of such child exceeds twice the amount described in paragraph (4)(A)(ii)(I)) shall be included in such parent’s gross income for the taxable year,</w:t>
      </w:r>
    </w:p>
    <w:p w14:paraId="517FA997" w14:textId="41A9DDE0"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6" w:name="g_7_B_ii"/>
      <w:bookmarkEnd w:id="76"/>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tax imposed by this section for such year with respect to such parent shall be the amount equal to the sum of—</w:t>
      </w:r>
    </w:p>
    <w:p w14:paraId="2999D78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7" w:name="g_7_B_ii_I"/>
      <w:bookmarkEnd w:id="77"/>
      <w:r w:rsidRPr="008B3051">
        <w:rPr>
          <w:rFonts w:ascii="Verdana" w:eastAsia="Times New Roman" w:hAnsi="Verdana" w:cs="Times New Roman"/>
          <w:b/>
          <w:bCs/>
          <w:sz w:val="24"/>
          <w:szCs w:val="24"/>
        </w:rPr>
        <w:t>(I)</w:t>
      </w:r>
    </w:p>
    <w:p w14:paraId="0DEE2F70"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amount determined under this section after the application of clause (i), plus</w:t>
      </w:r>
    </w:p>
    <w:p w14:paraId="059E838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8" w:name="g_7_B_ii_II"/>
      <w:bookmarkEnd w:id="78"/>
      <w:r w:rsidRPr="008B3051">
        <w:rPr>
          <w:rFonts w:ascii="Verdana" w:eastAsia="Times New Roman" w:hAnsi="Verdana" w:cs="Times New Roman"/>
          <w:b/>
          <w:bCs/>
          <w:sz w:val="24"/>
          <w:szCs w:val="24"/>
        </w:rPr>
        <w:t>(II)</w:t>
      </w:r>
    </w:p>
    <w:p w14:paraId="2D2983FA" w14:textId="2311308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each such child, 10 percent of the lesser of the amount described in paragraph (4)(A)(ii)(I) or the excess of the gross income of such child over the amount so described, and</w:t>
      </w:r>
    </w:p>
    <w:p w14:paraId="2CB8D9C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79" w:name="g_7_B_iii"/>
      <w:bookmarkEnd w:id="79"/>
      <w:r w:rsidRPr="008B3051">
        <w:rPr>
          <w:rFonts w:ascii="Verdana" w:eastAsia="Times New Roman" w:hAnsi="Verdana" w:cs="Times New Roman"/>
          <w:b/>
          <w:bCs/>
          <w:sz w:val="24"/>
          <w:szCs w:val="24"/>
        </w:rPr>
        <w:t>(iii)</w:t>
      </w:r>
    </w:p>
    <w:p w14:paraId="4A8847FE" w14:textId="49D8206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interest which is an item of tax preference under section 57(a)(5) of the child shall be treated as an item of tax preference of such parent (and not of such child).</w:t>
      </w:r>
    </w:p>
    <w:p w14:paraId="693EAFC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0" w:name="g_7_C"/>
      <w:bookmarkEnd w:id="80"/>
      <w:r w:rsidRPr="008B3051">
        <w:rPr>
          <w:rFonts w:ascii="Verdana" w:eastAsia="Times New Roman" w:hAnsi="Verdana" w:cs="Times New Roman"/>
          <w:b/>
          <w:bCs/>
          <w:sz w:val="24"/>
          <w:szCs w:val="24"/>
        </w:rPr>
        <w:t>(C)Regulations</w:t>
      </w:r>
    </w:p>
    <w:p w14:paraId="24EAD464" w14:textId="742AA46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Secretary shall prescribe such regulations as may be necessary or appropriate to carry out the purposes of this paragraph.</w:t>
      </w:r>
    </w:p>
    <w:p w14:paraId="5FE2CB6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1" w:name="h"/>
      <w:bookmarkEnd w:id="81"/>
      <w:r w:rsidRPr="008B3051">
        <w:rPr>
          <w:rFonts w:ascii="Verdana" w:eastAsia="Times New Roman" w:hAnsi="Verdana" w:cs="Times New Roman"/>
          <w:b/>
          <w:bCs/>
          <w:sz w:val="24"/>
          <w:szCs w:val="24"/>
        </w:rPr>
        <w:t>(h)</w:t>
      </w:r>
      <w:r w:rsidRPr="008B3051">
        <w:rPr>
          <w:rFonts w:ascii="Verdana" w:eastAsia="Times New Roman" w:hAnsi="Verdana" w:cs="Times New Roman"/>
          <w:b/>
          <w:bCs/>
          <w:smallCaps/>
          <w:sz w:val="24"/>
          <w:szCs w:val="24"/>
        </w:rPr>
        <w:t>Maximum capital gains rate</w:t>
      </w:r>
    </w:p>
    <w:p w14:paraId="1AA22EC6" w14:textId="324A28E1"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2" w:name="h_1"/>
      <w:bookmarkEnd w:id="82"/>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If a taxpayer has a net capital gain for any taxable year, the tax imposed by this section for such taxable year shall not exceed the sum of—</w:t>
      </w:r>
    </w:p>
    <w:p w14:paraId="5AE91B2C" w14:textId="21431C50"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3" w:name="h_1_A"/>
      <w:bookmarkEnd w:id="83"/>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a tax computed at the rates and in the same manner as if this subsection had not been enacted on the greater of—</w:t>
      </w:r>
    </w:p>
    <w:p w14:paraId="3BC45E7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4" w:name="h_1_A_i"/>
      <w:bookmarkEnd w:id="84"/>
      <w:r w:rsidRPr="008B3051">
        <w:rPr>
          <w:rFonts w:ascii="Verdana" w:eastAsia="Times New Roman" w:hAnsi="Verdana" w:cs="Times New Roman"/>
          <w:b/>
          <w:bCs/>
          <w:sz w:val="24"/>
          <w:szCs w:val="24"/>
        </w:rPr>
        <w:t>(i)</w:t>
      </w:r>
    </w:p>
    <w:p w14:paraId="7769FD1C" w14:textId="074FE7D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taxable income reduced by the net capital gain; or</w:t>
      </w:r>
    </w:p>
    <w:p w14:paraId="3820063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5" w:name="h_1_A_ii"/>
      <w:bookmarkEnd w:id="85"/>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lesser of—</w:t>
      </w:r>
    </w:p>
    <w:p w14:paraId="3F9C681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6" w:name="h_1_A_ii_I"/>
      <w:bookmarkEnd w:id="86"/>
      <w:r w:rsidRPr="008B3051">
        <w:rPr>
          <w:rFonts w:ascii="Verdana" w:eastAsia="Times New Roman" w:hAnsi="Verdana" w:cs="Times New Roman"/>
          <w:b/>
          <w:bCs/>
          <w:sz w:val="24"/>
          <w:szCs w:val="24"/>
        </w:rPr>
        <w:t>(I)</w:t>
      </w:r>
    </w:p>
    <w:p w14:paraId="6E5225F3" w14:textId="603C465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taxable income taxed at a rate below 25 percent; or</w:t>
      </w:r>
    </w:p>
    <w:p w14:paraId="6086D52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7" w:name="h_1_A_ii_II"/>
      <w:bookmarkEnd w:id="87"/>
      <w:r w:rsidRPr="008B3051">
        <w:rPr>
          <w:rFonts w:ascii="Verdana" w:eastAsia="Times New Roman" w:hAnsi="Verdana" w:cs="Times New Roman"/>
          <w:b/>
          <w:bCs/>
          <w:sz w:val="24"/>
          <w:szCs w:val="24"/>
        </w:rPr>
        <w:t>(II)</w:t>
      </w:r>
    </w:p>
    <w:p w14:paraId="2FAD5A4C" w14:textId="7EA11AE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taxable income reduced by the adjusted net capital gain;</w:t>
      </w:r>
    </w:p>
    <w:p w14:paraId="286DD081" w14:textId="733EB399"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8" w:name="h_1_B"/>
      <w:bookmarkEnd w:id="88"/>
      <w:r w:rsidRPr="008B3051">
        <w:rPr>
          <w:rFonts w:ascii="Verdana" w:eastAsia="Times New Roman" w:hAnsi="Verdana" w:cs="Times New Roman"/>
          <w:b/>
          <w:bCs/>
          <w:sz w:val="24"/>
          <w:szCs w:val="24"/>
        </w:rPr>
        <w:t>(B)</w:t>
      </w:r>
      <w:r w:rsidRPr="008B3051">
        <w:rPr>
          <w:rFonts w:ascii="Verdana" w:eastAsia="Times New Roman" w:hAnsi="Verdana" w:cs="Times New Roman"/>
          <w:sz w:val="24"/>
          <w:szCs w:val="24"/>
        </w:rPr>
        <w:t>0 percent of so much of the adjusted net capital gain (or, if less, taxable income) as does not exceed the excess (if any) of—</w:t>
      </w:r>
    </w:p>
    <w:p w14:paraId="17E4B5D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89" w:name="h_1_B_i"/>
      <w:bookmarkEnd w:id="89"/>
      <w:r w:rsidRPr="008B3051">
        <w:rPr>
          <w:rFonts w:ascii="Verdana" w:eastAsia="Times New Roman" w:hAnsi="Verdana" w:cs="Times New Roman"/>
          <w:b/>
          <w:bCs/>
          <w:sz w:val="24"/>
          <w:szCs w:val="24"/>
        </w:rPr>
        <w:t>(i)</w:t>
      </w:r>
    </w:p>
    <w:p w14:paraId="3C21A053" w14:textId="5990A76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taxable income which would (without regard to this paragraph) be taxed at a rate below 25 percent, over</w:t>
      </w:r>
    </w:p>
    <w:p w14:paraId="71105D1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0" w:name="h_1_B_ii"/>
      <w:bookmarkEnd w:id="90"/>
      <w:r w:rsidRPr="008B3051">
        <w:rPr>
          <w:rFonts w:ascii="Verdana" w:eastAsia="Times New Roman" w:hAnsi="Verdana" w:cs="Times New Roman"/>
          <w:b/>
          <w:bCs/>
          <w:sz w:val="24"/>
          <w:szCs w:val="24"/>
        </w:rPr>
        <w:t>(ii)</w:t>
      </w:r>
    </w:p>
    <w:p w14:paraId="1BD09D31" w14:textId="40C5D1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taxable income reduced by the adjusted net capital gain;</w:t>
      </w:r>
    </w:p>
    <w:p w14:paraId="2D2B264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1" w:name="h_1_C"/>
      <w:bookmarkEnd w:id="91"/>
      <w:r w:rsidRPr="008B3051">
        <w:rPr>
          <w:rFonts w:ascii="Verdana" w:eastAsia="Times New Roman" w:hAnsi="Verdana" w:cs="Times New Roman"/>
          <w:b/>
          <w:bCs/>
          <w:sz w:val="24"/>
          <w:szCs w:val="24"/>
        </w:rPr>
        <w:t>(C)</w:t>
      </w:r>
      <w:r w:rsidRPr="008B3051">
        <w:rPr>
          <w:rFonts w:ascii="Verdana" w:eastAsia="Times New Roman" w:hAnsi="Verdana" w:cs="Times New Roman"/>
          <w:sz w:val="24"/>
          <w:szCs w:val="24"/>
        </w:rPr>
        <w:t>15 percent of the lesser of—</w:t>
      </w:r>
    </w:p>
    <w:p w14:paraId="6B679A6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2" w:name="h_1_C_i"/>
      <w:bookmarkEnd w:id="92"/>
      <w:r w:rsidRPr="008B3051">
        <w:rPr>
          <w:rFonts w:ascii="Verdana" w:eastAsia="Times New Roman" w:hAnsi="Verdana" w:cs="Times New Roman"/>
          <w:b/>
          <w:bCs/>
          <w:sz w:val="24"/>
          <w:szCs w:val="24"/>
        </w:rPr>
        <w:t>(i)</w:t>
      </w:r>
    </w:p>
    <w:p w14:paraId="009C2962" w14:textId="3AE5AD7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so much of the adjusted net capital gain (or, if less, taxable income) as exceeds the amount on which a tax is determined under subparagraph (B), or</w:t>
      </w:r>
    </w:p>
    <w:p w14:paraId="01EC49B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3" w:name="h_1_C_ii"/>
      <w:bookmarkEnd w:id="93"/>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excess of—</w:t>
      </w:r>
    </w:p>
    <w:p w14:paraId="60D5361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4" w:name="h_1_C_ii_I"/>
      <w:bookmarkEnd w:id="94"/>
      <w:r w:rsidRPr="008B3051">
        <w:rPr>
          <w:rFonts w:ascii="Verdana" w:eastAsia="Times New Roman" w:hAnsi="Verdana" w:cs="Times New Roman"/>
          <w:b/>
          <w:bCs/>
          <w:sz w:val="24"/>
          <w:szCs w:val="24"/>
        </w:rPr>
        <w:t>(I)</w:t>
      </w:r>
    </w:p>
    <w:p w14:paraId="6E890DAB" w14:textId="2E02F3B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taxable income which would (without regard to this paragraph) be taxed at a rate below 39.6 percent, over</w:t>
      </w:r>
    </w:p>
    <w:p w14:paraId="1ADE4DA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5" w:name="h_1_C_ii_II"/>
      <w:bookmarkEnd w:id="95"/>
      <w:r w:rsidRPr="008B3051">
        <w:rPr>
          <w:rFonts w:ascii="Verdana" w:eastAsia="Times New Roman" w:hAnsi="Verdana" w:cs="Times New Roman"/>
          <w:b/>
          <w:bCs/>
          <w:sz w:val="24"/>
          <w:szCs w:val="24"/>
        </w:rPr>
        <w:lastRenderedPageBreak/>
        <w:t>(II)</w:t>
      </w:r>
    </w:p>
    <w:p w14:paraId="5D552B13" w14:textId="1C69FCA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sum of the amounts on which a tax is determined under subparagraphs (A) and (B),</w:t>
      </w:r>
    </w:p>
    <w:p w14:paraId="27624EF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6" w:name="h_1_D"/>
      <w:bookmarkEnd w:id="96"/>
      <w:r w:rsidRPr="008B3051">
        <w:rPr>
          <w:rFonts w:ascii="Verdana" w:eastAsia="Times New Roman" w:hAnsi="Verdana" w:cs="Times New Roman"/>
          <w:b/>
          <w:bCs/>
          <w:sz w:val="24"/>
          <w:szCs w:val="24"/>
        </w:rPr>
        <w:t>(D)</w:t>
      </w:r>
    </w:p>
    <w:p w14:paraId="017C5C7C" w14:textId="16FE0C7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 percent of the adjusted net capital gain (or, if less, taxable income) in excess of the sum of the amounts on which tax is determined under subparagraphs (B) and (C),</w:t>
      </w:r>
    </w:p>
    <w:p w14:paraId="1AF4B31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7" w:name="h_1_E"/>
      <w:bookmarkEnd w:id="97"/>
      <w:r w:rsidRPr="008B3051">
        <w:rPr>
          <w:rFonts w:ascii="Verdana" w:eastAsia="Times New Roman" w:hAnsi="Verdana" w:cs="Times New Roman"/>
          <w:b/>
          <w:bCs/>
          <w:sz w:val="24"/>
          <w:szCs w:val="24"/>
        </w:rPr>
        <w:t>(E)</w:t>
      </w:r>
      <w:r w:rsidRPr="008B3051">
        <w:rPr>
          <w:rFonts w:ascii="Verdana" w:eastAsia="Times New Roman" w:hAnsi="Verdana" w:cs="Times New Roman"/>
          <w:sz w:val="24"/>
          <w:szCs w:val="24"/>
        </w:rPr>
        <w:t>25 percent of the excess (if any) of—</w:t>
      </w:r>
    </w:p>
    <w:p w14:paraId="3887ACD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8" w:name="h_1_E_i"/>
      <w:bookmarkEnd w:id="98"/>
      <w:r w:rsidRPr="008B3051">
        <w:rPr>
          <w:rFonts w:ascii="Verdana" w:eastAsia="Times New Roman" w:hAnsi="Verdana" w:cs="Times New Roman"/>
          <w:b/>
          <w:bCs/>
          <w:sz w:val="24"/>
          <w:szCs w:val="24"/>
        </w:rPr>
        <w:t>(i)</w:t>
      </w:r>
    </w:p>
    <w:p w14:paraId="47FD67AA" w14:textId="353A5C3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unrecaptured section 1250 gain (or, if less, the net capital gain (determined without regard to paragraph (11))), over</w:t>
      </w:r>
    </w:p>
    <w:p w14:paraId="5F7EBA7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99" w:name="h_1_E_ii"/>
      <w:bookmarkEnd w:id="99"/>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excess (if any) of—</w:t>
      </w:r>
    </w:p>
    <w:p w14:paraId="1BC4AC5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0" w:name="h_1_E_ii_I"/>
      <w:bookmarkEnd w:id="100"/>
      <w:r w:rsidRPr="008B3051">
        <w:rPr>
          <w:rFonts w:ascii="Verdana" w:eastAsia="Times New Roman" w:hAnsi="Verdana" w:cs="Times New Roman"/>
          <w:b/>
          <w:bCs/>
          <w:sz w:val="24"/>
          <w:szCs w:val="24"/>
        </w:rPr>
        <w:t>(I)</w:t>
      </w:r>
    </w:p>
    <w:p w14:paraId="63156804" w14:textId="6BC3AC9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sum of the amount on which tax is determined under subparagraph (A) plus the net capital gain, over</w:t>
      </w:r>
    </w:p>
    <w:p w14:paraId="4744417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1" w:name="h_1_E_ii_II"/>
      <w:bookmarkEnd w:id="101"/>
      <w:r w:rsidRPr="008B3051">
        <w:rPr>
          <w:rFonts w:ascii="Verdana" w:eastAsia="Times New Roman" w:hAnsi="Verdana" w:cs="Times New Roman"/>
          <w:b/>
          <w:bCs/>
          <w:sz w:val="24"/>
          <w:szCs w:val="24"/>
        </w:rPr>
        <w:t>(II)</w:t>
      </w:r>
    </w:p>
    <w:p w14:paraId="208F3351" w14:textId="725398D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taxable income; and</w:t>
      </w:r>
    </w:p>
    <w:p w14:paraId="30B064C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2" w:name="h_1_F"/>
      <w:bookmarkEnd w:id="102"/>
      <w:r w:rsidRPr="008B3051">
        <w:rPr>
          <w:rFonts w:ascii="Verdana" w:eastAsia="Times New Roman" w:hAnsi="Verdana" w:cs="Times New Roman"/>
          <w:b/>
          <w:bCs/>
          <w:sz w:val="24"/>
          <w:szCs w:val="24"/>
        </w:rPr>
        <w:t>(F)</w:t>
      </w:r>
    </w:p>
    <w:p w14:paraId="7A17ACB0" w14:textId="18F8970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28 percent of the amount of taxable income in excess of the sum of the amounts on which tax is determined under the preceding subparagraphs of this paragraph.</w:t>
      </w:r>
    </w:p>
    <w:p w14:paraId="7948E02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3" w:name="h_2"/>
      <w:bookmarkEnd w:id="103"/>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Net capital gain taken into account as investment income</w:t>
      </w:r>
    </w:p>
    <w:p w14:paraId="7BCD5BD7" w14:textId="1608C44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subsection, the net capital gain for any taxable year shall be reduced (but not below zero) by the amount which the taxpayer takes into account as investment income under section 163(d)(4)(B)(iii).</w:t>
      </w:r>
    </w:p>
    <w:p w14:paraId="10492F2F" w14:textId="216B333D"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4" w:name="h_3"/>
      <w:bookmarkEnd w:id="104"/>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Adjusted net capital gain</w:t>
      </w:r>
      <w:r w:rsidRPr="008B3051">
        <w:rPr>
          <w:rFonts w:ascii="Verdana" w:eastAsia="Times New Roman" w:hAnsi="Verdana" w:cs="Times New Roman"/>
          <w:sz w:val="24"/>
          <w:szCs w:val="24"/>
        </w:rPr>
        <w:t>For purposes of this subsection, the term “adjusted net capital gain” means the sum of—</w:t>
      </w:r>
    </w:p>
    <w:p w14:paraId="62A3DD16" w14:textId="258516BA"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5" w:name="h_3_A"/>
      <w:bookmarkEnd w:id="105"/>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net capital gain (determined without regard to paragraph (11)) reduced (but not below zero) by the sum of—</w:t>
      </w:r>
    </w:p>
    <w:p w14:paraId="43658BF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6" w:name="h_3_A_i"/>
      <w:bookmarkEnd w:id="106"/>
      <w:r w:rsidRPr="008B3051">
        <w:rPr>
          <w:rFonts w:ascii="Verdana" w:eastAsia="Times New Roman" w:hAnsi="Verdana" w:cs="Times New Roman"/>
          <w:b/>
          <w:bCs/>
          <w:sz w:val="24"/>
          <w:szCs w:val="24"/>
        </w:rPr>
        <w:t>(i)</w:t>
      </w:r>
    </w:p>
    <w:p w14:paraId="29B7E0BF" w14:textId="6463872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unrecaptured section 1250 gain, and</w:t>
      </w:r>
    </w:p>
    <w:p w14:paraId="0E35BA9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7" w:name="h_3_A_ii"/>
      <w:bookmarkEnd w:id="107"/>
      <w:r w:rsidRPr="008B3051">
        <w:rPr>
          <w:rFonts w:ascii="Verdana" w:eastAsia="Times New Roman" w:hAnsi="Verdana" w:cs="Times New Roman"/>
          <w:b/>
          <w:bCs/>
          <w:sz w:val="24"/>
          <w:szCs w:val="24"/>
        </w:rPr>
        <w:t>(ii)</w:t>
      </w:r>
    </w:p>
    <w:p w14:paraId="3E43ACA3" w14:textId="30ED132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28-percent rate gain, plus</w:t>
      </w:r>
    </w:p>
    <w:p w14:paraId="4542C02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8" w:name="h_3_B"/>
      <w:bookmarkEnd w:id="108"/>
      <w:r w:rsidRPr="008B3051">
        <w:rPr>
          <w:rFonts w:ascii="Verdana" w:eastAsia="Times New Roman" w:hAnsi="Verdana" w:cs="Times New Roman"/>
          <w:b/>
          <w:bCs/>
          <w:sz w:val="24"/>
          <w:szCs w:val="24"/>
        </w:rPr>
        <w:t>(B)</w:t>
      </w:r>
    </w:p>
    <w:p w14:paraId="2CD1A6CE" w14:textId="28D99D5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qualified dividend income (as defined in paragraph (11)).</w:t>
      </w:r>
    </w:p>
    <w:p w14:paraId="01F8E722" w14:textId="3A42A244"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09" w:name="h_4"/>
      <w:bookmarkEnd w:id="109"/>
      <w:r w:rsidRPr="008B3051">
        <w:rPr>
          <w:rFonts w:ascii="Verdana" w:eastAsia="Times New Roman" w:hAnsi="Verdana" w:cs="Times New Roman"/>
          <w:b/>
          <w:bCs/>
          <w:sz w:val="24"/>
          <w:szCs w:val="24"/>
        </w:rPr>
        <w:t>(4)</w:t>
      </w:r>
      <w:r w:rsidRPr="008B3051">
        <w:rPr>
          <w:rFonts w:ascii="Verdana" w:eastAsia="Times New Roman" w:hAnsi="Verdana" w:cs="Times New Roman"/>
          <w:b/>
          <w:bCs/>
          <w:smallCaps/>
          <w:sz w:val="24"/>
          <w:szCs w:val="24"/>
        </w:rPr>
        <w:t>28-percent rate gain</w:t>
      </w:r>
      <w:r w:rsidRPr="008B3051">
        <w:rPr>
          <w:rFonts w:ascii="Verdana" w:eastAsia="Times New Roman" w:hAnsi="Verdana" w:cs="Times New Roman"/>
          <w:sz w:val="24"/>
          <w:szCs w:val="24"/>
        </w:rPr>
        <w:t>For purposes of this subsection, the term “28-percent rate gain” means the excess (if any) of—</w:t>
      </w:r>
    </w:p>
    <w:p w14:paraId="44C7C2F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0" w:name="h_4_A"/>
      <w:bookmarkEnd w:id="110"/>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the sum of—</w:t>
      </w:r>
    </w:p>
    <w:p w14:paraId="3E8F5FB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1" w:name="h_4_A_i"/>
      <w:bookmarkEnd w:id="111"/>
      <w:r w:rsidRPr="008B3051">
        <w:rPr>
          <w:rFonts w:ascii="Verdana" w:eastAsia="Times New Roman" w:hAnsi="Verdana" w:cs="Times New Roman"/>
          <w:b/>
          <w:bCs/>
          <w:sz w:val="24"/>
          <w:szCs w:val="24"/>
        </w:rPr>
        <w:t>(i)</w:t>
      </w:r>
    </w:p>
    <w:p w14:paraId="1D58B69F" w14:textId="3668A53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collectibles gain; and</w:t>
      </w:r>
    </w:p>
    <w:p w14:paraId="6F62A6E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2" w:name="h_4_A_ii"/>
      <w:bookmarkEnd w:id="112"/>
      <w:r w:rsidRPr="008B3051">
        <w:rPr>
          <w:rFonts w:ascii="Verdana" w:eastAsia="Times New Roman" w:hAnsi="Verdana" w:cs="Times New Roman"/>
          <w:b/>
          <w:bCs/>
          <w:sz w:val="24"/>
          <w:szCs w:val="24"/>
        </w:rPr>
        <w:t>(ii)</w:t>
      </w:r>
    </w:p>
    <w:p w14:paraId="36A923FD" w14:textId="0B15CF7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section 1202 gain, over</w:t>
      </w:r>
    </w:p>
    <w:p w14:paraId="11D66C5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3" w:name="h_4_B"/>
      <w:bookmarkEnd w:id="113"/>
      <w:r w:rsidRPr="008B3051">
        <w:rPr>
          <w:rFonts w:ascii="Verdana" w:eastAsia="Times New Roman" w:hAnsi="Verdana" w:cs="Times New Roman"/>
          <w:b/>
          <w:bCs/>
          <w:sz w:val="24"/>
          <w:szCs w:val="24"/>
        </w:rPr>
        <w:lastRenderedPageBreak/>
        <w:t>(B)</w:t>
      </w:r>
      <w:r w:rsidRPr="008B3051">
        <w:rPr>
          <w:rFonts w:ascii="Verdana" w:eastAsia="Times New Roman" w:hAnsi="Verdana" w:cs="Times New Roman"/>
          <w:sz w:val="24"/>
          <w:szCs w:val="24"/>
        </w:rPr>
        <w:t>the sum of—</w:t>
      </w:r>
    </w:p>
    <w:p w14:paraId="6A08024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4" w:name="h_4_B_i"/>
      <w:bookmarkEnd w:id="114"/>
      <w:r w:rsidRPr="008B3051">
        <w:rPr>
          <w:rFonts w:ascii="Verdana" w:eastAsia="Times New Roman" w:hAnsi="Verdana" w:cs="Times New Roman"/>
          <w:b/>
          <w:bCs/>
          <w:sz w:val="24"/>
          <w:szCs w:val="24"/>
        </w:rPr>
        <w:t>(i)</w:t>
      </w:r>
    </w:p>
    <w:p w14:paraId="504B429E" w14:textId="47DB6DC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collectibles loss;</w:t>
      </w:r>
    </w:p>
    <w:p w14:paraId="72477A6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5" w:name="h_4_B_ii"/>
      <w:bookmarkEnd w:id="115"/>
      <w:r w:rsidRPr="008B3051">
        <w:rPr>
          <w:rFonts w:ascii="Verdana" w:eastAsia="Times New Roman" w:hAnsi="Verdana" w:cs="Times New Roman"/>
          <w:b/>
          <w:bCs/>
          <w:sz w:val="24"/>
          <w:szCs w:val="24"/>
        </w:rPr>
        <w:t>(ii)</w:t>
      </w:r>
    </w:p>
    <w:p w14:paraId="3B303E9A" w14:textId="5BE098C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net short-term capital loss; and</w:t>
      </w:r>
    </w:p>
    <w:p w14:paraId="44DE6AC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6" w:name="h_4_B_iii"/>
      <w:bookmarkEnd w:id="116"/>
      <w:r w:rsidRPr="008B3051">
        <w:rPr>
          <w:rFonts w:ascii="Verdana" w:eastAsia="Times New Roman" w:hAnsi="Verdana" w:cs="Times New Roman"/>
          <w:b/>
          <w:bCs/>
          <w:sz w:val="24"/>
          <w:szCs w:val="24"/>
        </w:rPr>
        <w:t>(iii)</w:t>
      </w:r>
    </w:p>
    <w:p w14:paraId="23B3C736" w14:textId="1C18662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long-term capital loss carried under section 1212(b)(1)(B) to the taxable year.</w:t>
      </w:r>
    </w:p>
    <w:p w14:paraId="42EE37D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7" w:name="h_5"/>
      <w:bookmarkEnd w:id="117"/>
      <w:r w:rsidRPr="008B3051">
        <w:rPr>
          <w:rFonts w:ascii="Verdana" w:eastAsia="Times New Roman" w:hAnsi="Verdana" w:cs="Times New Roman"/>
          <w:b/>
          <w:bCs/>
          <w:sz w:val="24"/>
          <w:szCs w:val="24"/>
        </w:rPr>
        <w:t>(5)</w:t>
      </w:r>
      <w:r w:rsidRPr="008B3051">
        <w:rPr>
          <w:rFonts w:ascii="Verdana" w:eastAsia="Times New Roman" w:hAnsi="Verdana" w:cs="Times New Roman"/>
          <w:b/>
          <w:bCs/>
          <w:smallCaps/>
          <w:sz w:val="24"/>
          <w:szCs w:val="24"/>
        </w:rPr>
        <w:t>Collectibles gain and loss</w:t>
      </w:r>
      <w:r w:rsidRPr="008B3051">
        <w:rPr>
          <w:rFonts w:ascii="Verdana" w:eastAsia="Times New Roman" w:hAnsi="Verdana" w:cs="Times New Roman"/>
          <w:sz w:val="24"/>
          <w:szCs w:val="24"/>
        </w:rPr>
        <w:t>For purposes of this subsection—</w:t>
      </w:r>
    </w:p>
    <w:p w14:paraId="47DFEE3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8" w:name="h_5_A"/>
      <w:bookmarkEnd w:id="118"/>
      <w:r w:rsidRPr="008B3051">
        <w:rPr>
          <w:rFonts w:ascii="Verdana" w:eastAsia="Times New Roman" w:hAnsi="Verdana" w:cs="Times New Roman"/>
          <w:b/>
          <w:bCs/>
          <w:sz w:val="24"/>
          <w:szCs w:val="24"/>
        </w:rPr>
        <w:t>(A)In general</w:t>
      </w:r>
    </w:p>
    <w:p w14:paraId="74C1C083" w14:textId="7921EBC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terms “collectibles gain” and “collectibles loss” mean gain or loss (respectively) from the sale or exchange of a collectible (as defined in section 408(m) without regard to paragraph (3) thereof) which is a capital asset held for more than 1 year but only to the extent such gain is taken into account in computing gross income and such loss is taken into account in computing taxable income.</w:t>
      </w:r>
    </w:p>
    <w:p w14:paraId="4803655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19" w:name="h_5_B"/>
      <w:bookmarkEnd w:id="119"/>
      <w:r w:rsidRPr="008B3051">
        <w:rPr>
          <w:rFonts w:ascii="Verdana" w:eastAsia="Times New Roman" w:hAnsi="Verdana" w:cs="Times New Roman"/>
          <w:b/>
          <w:bCs/>
          <w:sz w:val="24"/>
          <w:szCs w:val="24"/>
        </w:rPr>
        <w:t>(B)Partnerships, etc.</w:t>
      </w:r>
    </w:p>
    <w:p w14:paraId="4552947D" w14:textId="4BB78DD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subparagraph (A), any gain from the sale of an interest in a partnership, S corporation, or trust which is attributable to unrealized appreciation in the value of collectibles shall be treated as gain from the sale or exchange of a collectible. Rules similar to the rules of section 751 shall apply for purposes of the preceding sentence.</w:t>
      </w:r>
    </w:p>
    <w:p w14:paraId="0C1764DE" w14:textId="77C073B2"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0" w:name="h_6"/>
      <w:bookmarkEnd w:id="120"/>
      <w:r w:rsidRPr="008B3051">
        <w:rPr>
          <w:rFonts w:ascii="Verdana" w:eastAsia="Times New Roman" w:hAnsi="Verdana" w:cs="Times New Roman"/>
          <w:b/>
          <w:bCs/>
          <w:sz w:val="24"/>
          <w:szCs w:val="24"/>
        </w:rPr>
        <w:t>(6)</w:t>
      </w:r>
      <w:r w:rsidRPr="008B3051">
        <w:rPr>
          <w:rFonts w:ascii="Verdana" w:eastAsia="Times New Roman" w:hAnsi="Verdana" w:cs="Times New Roman"/>
          <w:b/>
          <w:bCs/>
          <w:smallCaps/>
          <w:sz w:val="24"/>
          <w:szCs w:val="24"/>
        </w:rPr>
        <w:t>Unrecaptured section 1250 gain</w:t>
      </w:r>
      <w:r w:rsidRPr="008B3051">
        <w:rPr>
          <w:rFonts w:ascii="Verdana" w:eastAsia="Times New Roman" w:hAnsi="Verdana" w:cs="Times New Roman"/>
          <w:sz w:val="24"/>
          <w:szCs w:val="24"/>
        </w:rPr>
        <w:t>For purposes of this subsection—</w:t>
      </w:r>
    </w:p>
    <w:p w14:paraId="788549E0" w14:textId="742BF228"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1" w:name="h_6_A"/>
      <w:bookmarkEnd w:id="121"/>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The term “unrecaptured section 1250 gain” means the excess (if any) of—</w:t>
      </w:r>
    </w:p>
    <w:p w14:paraId="2C6FFD2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2" w:name="h_6_A_i"/>
      <w:bookmarkEnd w:id="122"/>
      <w:r w:rsidRPr="008B3051">
        <w:rPr>
          <w:rFonts w:ascii="Verdana" w:eastAsia="Times New Roman" w:hAnsi="Verdana" w:cs="Times New Roman"/>
          <w:b/>
          <w:bCs/>
          <w:sz w:val="24"/>
          <w:szCs w:val="24"/>
        </w:rPr>
        <w:t>(i)</w:t>
      </w:r>
    </w:p>
    <w:p w14:paraId="5F508947" w14:textId="6E35EAB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of long-term capital gain (not otherwise treated as ordinary income) which would be treated as ordinary income if section 1250(b)(1) included all depreciation and the applicable percentage under section 1250(a) were 100 percent, over</w:t>
      </w:r>
    </w:p>
    <w:p w14:paraId="2FAF522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3" w:name="h_6_A_ii"/>
      <w:bookmarkEnd w:id="123"/>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excess (if any) of—</w:t>
      </w:r>
    </w:p>
    <w:p w14:paraId="73EF17C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4" w:name="h_6_A_ii_I"/>
      <w:bookmarkEnd w:id="124"/>
      <w:r w:rsidRPr="008B3051">
        <w:rPr>
          <w:rFonts w:ascii="Verdana" w:eastAsia="Times New Roman" w:hAnsi="Verdana" w:cs="Times New Roman"/>
          <w:b/>
          <w:bCs/>
          <w:sz w:val="24"/>
          <w:szCs w:val="24"/>
        </w:rPr>
        <w:t>(I)</w:t>
      </w:r>
    </w:p>
    <w:p w14:paraId="366F1770"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described in paragraph (4)(B); over</w:t>
      </w:r>
    </w:p>
    <w:p w14:paraId="5EE2F2B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5" w:name="h_6_A_ii_II"/>
      <w:bookmarkEnd w:id="125"/>
      <w:r w:rsidRPr="008B3051">
        <w:rPr>
          <w:rFonts w:ascii="Verdana" w:eastAsia="Times New Roman" w:hAnsi="Verdana" w:cs="Times New Roman"/>
          <w:b/>
          <w:bCs/>
          <w:sz w:val="24"/>
          <w:szCs w:val="24"/>
        </w:rPr>
        <w:t>(II)</w:t>
      </w:r>
    </w:p>
    <w:p w14:paraId="43870856"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described in paragraph (4)(A).</w:t>
      </w:r>
    </w:p>
    <w:p w14:paraId="2E57B69E" w14:textId="7C01DBF3"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6" w:name="h_6_B"/>
      <w:bookmarkEnd w:id="126"/>
      <w:r w:rsidRPr="008B3051">
        <w:rPr>
          <w:rFonts w:ascii="Verdana" w:eastAsia="Times New Roman" w:hAnsi="Verdana" w:cs="Times New Roman"/>
          <w:b/>
          <w:bCs/>
          <w:sz w:val="24"/>
          <w:szCs w:val="24"/>
        </w:rPr>
        <w:t>(B)Limitation with respect to section 1231 property</w:t>
      </w:r>
    </w:p>
    <w:p w14:paraId="76058A09" w14:textId="7C3C8DD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described in subparagraph (A)(i) from sales, exchanges, and conversions described in section 1231(a)(3)(A) for any taxable year shall not exceed the net section 1231 gain (as defined in section 1231(c)(3)) for such year.</w:t>
      </w:r>
    </w:p>
    <w:p w14:paraId="4D8D75C7" w14:textId="731D4715"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7" w:name="h_7"/>
      <w:bookmarkEnd w:id="127"/>
      <w:r w:rsidRPr="008B3051">
        <w:rPr>
          <w:rFonts w:ascii="Verdana" w:eastAsia="Times New Roman" w:hAnsi="Verdana" w:cs="Times New Roman"/>
          <w:b/>
          <w:bCs/>
          <w:sz w:val="24"/>
          <w:szCs w:val="24"/>
        </w:rPr>
        <w:t>(7)</w:t>
      </w:r>
      <w:r w:rsidRPr="008B3051">
        <w:rPr>
          <w:rFonts w:ascii="Verdana" w:eastAsia="Times New Roman" w:hAnsi="Verdana" w:cs="Times New Roman"/>
          <w:b/>
          <w:bCs/>
          <w:smallCaps/>
          <w:sz w:val="24"/>
          <w:szCs w:val="24"/>
        </w:rPr>
        <w:t>Section 1202 gain</w:t>
      </w:r>
      <w:r w:rsidRPr="008B3051">
        <w:rPr>
          <w:rFonts w:ascii="Verdana" w:eastAsia="Times New Roman" w:hAnsi="Verdana" w:cs="Times New Roman"/>
          <w:sz w:val="24"/>
          <w:szCs w:val="24"/>
        </w:rPr>
        <w:t>For purposes of this subsection, the term “section 1202 gain” means the excess of—</w:t>
      </w:r>
    </w:p>
    <w:p w14:paraId="46EC2C8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8" w:name="h_7_A"/>
      <w:bookmarkEnd w:id="128"/>
      <w:r w:rsidRPr="008B3051">
        <w:rPr>
          <w:rFonts w:ascii="Verdana" w:eastAsia="Times New Roman" w:hAnsi="Verdana" w:cs="Times New Roman"/>
          <w:b/>
          <w:bCs/>
          <w:sz w:val="24"/>
          <w:szCs w:val="24"/>
        </w:rPr>
        <w:lastRenderedPageBreak/>
        <w:t>(A)</w:t>
      </w:r>
    </w:p>
    <w:p w14:paraId="6D75440E" w14:textId="7418771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gain which would be excluded from gross income under section 1202 but for the percentage limitation in section 1202(a), over</w:t>
      </w:r>
    </w:p>
    <w:p w14:paraId="46C0C77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29" w:name="h_7_B"/>
      <w:bookmarkEnd w:id="129"/>
      <w:r w:rsidRPr="008B3051">
        <w:rPr>
          <w:rFonts w:ascii="Verdana" w:eastAsia="Times New Roman" w:hAnsi="Verdana" w:cs="Times New Roman"/>
          <w:b/>
          <w:bCs/>
          <w:sz w:val="24"/>
          <w:szCs w:val="24"/>
        </w:rPr>
        <w:t>(B)</w:t>
      </w:r>
    </w:p>
    <w:p w14:paraId="6CB02BB7" w14:textId="541DEC9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gain excluded from gross income under section 1202.</w:t>
      </w:r>
    </w:p>
    <w:p w14:paraId="3D89FA6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0" w:name="h_8"/>
      <w:bookmarkEnd w:id="130"/>
      <w:r w:rsidRPr="008B3051">
        <w:rPr>
          <w:rFonts w:ascii="Verdana" w:eastAsia="Times New Roman" w:hAnsi="Verdana" w:cs="Times New Roman"/>
          <w:b/>
          <w:bCs/>
          <w:sz w:val="24"/>
          <w:szCs w:val="24"/>
        </w:rPr>
        <w:t>(8)</w:t>
      </w:r>
      <w:r w:rsidRPr="008B3051">
        <w:rPr>
          <w:rFonts w:ascii="Verdana" w:eastAsia="Times New Roman" w:hAnsi="Verdana" w:cs="Times New Roman"/>
          <w:b/>
          <w:bCs/>
          <w:smallCaps/>
          <w:sz w:val="24"/>
          <w:szCs w:val="24"/>
        </w:rPr>
        <w:t>Coordination with recapture of net ordinary losses under section 1231</w:t>
      </w:r>
    </w:p>
    <w:p w14:paraId="7157081E" w14:textId="2E26543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amount is treated as ordinary income under section 1231(c), such amount shall be allocated among the separate categories of net section 1231 gain (as defined in section 1231(c)(3)) in such manner as the Secretary may by forms or regulations prescribe.</w:t>
      </w:r>
    </w:p>
    <w:p w14:paraId="32DF5F8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1" w:name="h_9"/>
      <w:bookmarkEnd w:id="131"/>
      <w:r w:rsidRPr="008B3051">
        <w:rPr>
          <w:rFonts w:ascii="Verdana" w:eastAsia="Times New Roman" w:hAnsi="Verdana" w:cs="Times New Roman"/>
          <w:b/>
          <w:bCs/>
          <w:sz w:val="24"/>
          <w:szCs w:val="24"/>
        </w:rPr>
        <w:t>(9)</w:t>
      </w:r>
      <w:r w:rsidRPr="008B3051">
        <w:rPr>
          <w:rFonts w:ascii="Verdana" w:eastAsia="Times New Roman" w:hAnsi="Verdana" w:cs="Times New Roman"/>
          <w:b/>
          <w:bCs/>
          <w:smallCaps/>
          <w:sz w:val="24"/>
          <w:szCs w:val="24"/>
        </w:rPr>
        <w:t>Regulations</w:t>
      </w:r>
    </w:p>
    <w:p w14:paraId="3E60CF54" w14:textId="2984FF7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Secretary may prescribe such regulations as are appropriate (including regulations requiring reporting) to apply this subsection in the case of sales and exchanges by pass-thru entities and of interests in such entities.</w:t>
      </w:r>
    </w:p>
    <w:p w14:paraId="22FEAB13" w14:textId="43C9478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2" w:name="h_10"/>
      <w:bookmarkEnd w:id="132"/>
      <w:r w:rsidRPr="008B3051">
        <w:rPr>
          <w:rFonts w:ascii="Verdana" w:eastAsia="Times New Roman" w:hAnsi="Verdana" w:cs="Times New Roman"/>
          <w:b/>
          <w:bCs/>
          <w:sz w:val="24"/>
          <w:szCs w:val="24"/>
        </w:rPr>
        <w:t>(10)</w:t>
      </w:r>
      <w:r w:rsidRPr="008B3051">
        <w:rPr>
          <w:rFonts w:ascii="Verdana" w:eastAsia="Times New Roman" w:hAnsi="Verdana" w:cs="Times New Roman"/>
          <w:b/>
          <w:bCs/>
          <w:smallCaps/>
          <w:sz w:val="24"/>
          <w:szCs w:val="24"/>
        </w:rPr>
        <w:t>Pass-thru entity defined</w:t>
      </w:r>
      <w:r w:rsidRPr="008B3051">
        <w:rPr>
          <w:rFonts w:ascii="Verdana" w:eastAsia="Times New Roman" w:hAnsi="Verdana" w:cs="Times New Roman"/>
          <w:sz w:val="24"/>
          <w:szCs w:val="24"/>
        </w:rPr>
        <w:t>For purposes of this subsection, the term “pass-thru entity” means—</w:t>
      </w:r>
    </w:p>
    <w:p w14:paraId="1EF5BE6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3" w:name="h_10_A"/>
      <w:bookmarkEnd w:id="133"/>
      <w:r w:rsidRPr="008B3051">
        <w:rPr>
          <w:rFonts w:ascii="Verdana" w:eastAsia="Times New Roman" w:hAnsi="Verdana" w:cs="Times New Roman"/>
          <w:b/>
          <w:bCs/>
          <w:sz w:val="24"/>
          <w:szCs w:val="24"/>
        </w:rPr>
        <w:t>(A)</w:t>
      </w:r>
    </w:p>
    <w:p w14:paraId="5496990F" w14:textId="48DEAC42"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regulated investment company;</w:t>
      </w:r>
    </w:p>
    <w:p w14:paraId="307AC944"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4" w:name="h_10_B"/>
      <w:bookmarkEnd w:id="134"/>
      <w:r w:rsidRPr="008B3051">
        <w:rPr>
          <w:rFonts w:ascii="Verdana" w:eastAsia="Times New Roman" w:hAnsi="Verdana" w:cs="Times New Roman"/>
          <w:b/>
          <w:bCs/>
          <w:sz w:val="24"/>
          <w:szCs w:val="24"/>
        </w:rPr>
        <w:t>(B)</w:t>
      </w:r>
    </w:p>
    <w:p w14:paraId="7187EFFF" w14:textId="397FA9F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real estate investment trust;</w:t>
      </w:r>
    </w:p>
    <w:p w14:paraId="070EEF9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5" w:name="h_10_C"/>
      <w:bookmarkEnd w:id="135"/>
      <w:r w:rsidRPr="008B3051">
        <w:rPr>
          <w:rFonts w:ascii="Verdana" w:eastAsia="Times New Roman" w:hAnsi="Verdana" w:cs="Times New Roman"/>
          <w:b/>
          <w:bCs/>
          <w:sz w:val="24"/>
          <w:szCs w:val="24"/>
        </w:rPr>
        <w:t>(C)</w:t>
      </w:r>
    </w:p>
    <w:p w14:paraId="630B3C1D" w14:textId="33E2B1D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S corporation;</w:t>
      </w:r>
    </w:p>
    <w:p w14:paraId="410E1BD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6" w:name="h_10_D"/>
      <w:bookmarkEnd w:id="136"/>
      <w:r w:rsidRPr="008B3051">
        <w:rPr>
          <w:rFonts w:ascii="Verdana" w:eastAsia="Times New Roman" w:hAnsi="Verdana" w:cs="Times New Roman"/>
          <w:b/>
          <w:bCs/>
          <w:sz w:val="24"/>
          <w:szCs w:val="24"/>
        </w:rPr>
        <w:t>(D)</w:t>
      </w:r>
    </w:p>
    <w:p w14:paraId="554E27B9" w14:textId="47EDE18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partnership;</w:t>
      </w:r>
    </w:p>
    <w:p w14:paraId="3256B54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7" w:name="h_10_E"/>
      <w:bookmarkEnd w:id="137"/>
      <w:r w:rsidRPr="008B3051">
        <w:rPr>
          <w:rFonts w:ascii="Verdana" w:eastAsia="Times New Roman" w:hAnsi="Verdana" w:cs="Times New Roman"/>
          <w:b/>
          <w:bCs/>
          <w:sz w:val="24"/>
          <w:szCs w:val="24"/>
        </w:rPr>
        <w:t>(E)</w:t>
      </w:r>
    </w:p>
    <w:p w14:paraId="4375532A" w14:textId="1448EAF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estate or trust;</w:t>
      </w:r>
    </w:p>
    <w:p w14:paraId="07043B1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8" w:name="h_10_F"/>
      <w:bookmarkEnd w:id="138"/>
      <w:r w:rsidRPr="008B3051">
        <w:rPr>
          <w:rFonts w:ascii="Verdana" w:eastAsia="Times New Roman" w:hAnsi="Verdana" w:cs="Times New Roman"/>
          <w:b/>
          <w:bCs/>
          <w:sz w:val="24"/>
          <w:szCs w:val="24"/>
        </w:rPr>
        <w:t>(F)</w:t>
      </w:r>
    </w:p>
    <w:p w14:paraId="485BAA1C" w14:textId="2D0196C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common trust fund; and</w:t>
      </w:r>
    </w:p>
    <w:p w14:paraId="7F99DC5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39" w:name="h_10_G"/>
      <w:bookmarkEnd w:id="139"/>
      <w:r w:rsidRPr="008B3051">
        <w:rPr>
          <w:rFonts w:ascii="Verdana" w:eastAsia="Times New Roman" w:hAnsi="Verdana" w:cs="Times New Roman"/>
          <w:b/>
          <w:bCs/>
          <w:sz w:val="24"/>
          <w:szCs w:val="24"/>
        </w:rPr>
        <w:t>(G)</w:t>
      </w:r>
    </w:p>
    <w:p w14:paraId="4CA6220F" w14:textId="50318C95"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qualified electing fund (as defined in section 1295).</w:t>
      </w:r>
    </w:p>
    <w:p w14:paraId="1C75856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0" w:name="h_11"/>
      <w:bookmarkEnd w:id="140"/>
      <w:r w:rsidRPr="008B3051">
        <w:rPr>
          <w:rFonts w:ascii="Verdana" w:eastAsia="Times New Roman" w:hAnsi="Verdana" w:cs="Times New Roman"/>
          <w:b/>
          <w:bCs/>
          <w:sz w:val="24"/>
          <w:szCs w:val="24"/>
        </w:rPr>
        <w:t>(11)</w:t>
      </w:r>
      <w:r w:rsidRPr="008B3051">
        <w:rPr>
          <w:rFonts w:ascii="Verdana" w:eastAsia="Times New Roman" w:hAnsi="Verdana" w:cs="Times New Roman"/>
          <w:b/>
          <w:bCs/>
          <w:smallCaps/>
          <w:sz w:val="24"/>
          <w:szCs w:val="24"/>
        </w:rPr>
        <w:t>Dividends taxed as net capital gain</w:t>
      </w:r>
    </w:p>
    <w:p w14:paraId="638C504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1" w:name="h_11_A"/>
      <w:bookmarkEnd w:id="141"/>
      <w:r w:rsidRPr="008B3051">
        <w:rPr>
          <w:rFonts w:ascii="Verdana" w:eastAsia="Times New Roman" w:hAnsi="Verdana" w:cs="Times New Roman"/>
          <w:b/>
          <w:bCs/>
          <w:sz w:val="24"/>
          <w:szCs w:val="24"/>
        </w:rPr>
        <w:t>(A)In general</w:t>
      </w:r>
    </w:p>
    <w:p w14:paraId="18EFCD85" w14:textId="4F3C6E9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subsection, the term “net capital gain” means net capital gain (determined without regard to this paragraph) increased by qualified dividend income.</w:t>
      </w:r>
    </w:p>
    <w:p w14:paraId="42AC1D1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2" w:name="h_11_B"/>
      <w:bookmarkEnd w:id="142"/>
      <w:r w:rsidRPr="008B3051">
        <w:rPr>
          <w:rFonts w:ascii="Verdana" w:eastAsia="Times New Roman" w:hAnsi="Verdana" w:cs="Times New Roman"/>
          <w:b/>
          <w:bCs/>
          <w:sz w:val="24"/>
          <w:szCs w:val="24"/>
        </w:rPr>
        <w:t>(B)Qualified dividend income</w:t>
      </w:r>
      <w:r w:rsidRPr="008B3051">
        <w:rPr>
          <w:rFonts w:ascii="Verdana" w:eastAsia="Times New Roman" w:hAnsi="Verdana" w:cs="Times New Roman"/>
          <w:sz w:val="24"/>
          <w:szCs w:val="24"/>
        </w:rPr>
        <w:t>For purposes of this paragraph—</w:t>
      </w:r>
    </w:p>
    <w:p w14:paraId="5FE5CB68" w14:textId="0502FE7C"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3" w:name="h_11_B_i"/>
      <w:bookmarkEnd w:id="143"/>
      <w:r w:rsidRPr="008B3051">
        <w:rPr>
          <w:rFonts w:ascii="Verdana" w:eastAsia="Times New Roman" w:hAnsi="Verdana" w:cs="Times New Roman"/>
          <w:b/>
          <w:bCs/>
          <w:sz w:val="24"/>
          <w:szCs w:val="24"/>
        </w:rPr>
        <w:t>(i)In general</w:t>
      </w:r>
      <w:r w:rsidRPr="008B3051">
        <w:rPr>
          <w:rFonts w:ascii="Verdana" w:eastAsia="Times New Roman" w:hAnsi="Verdana" w:cs="Times New Roman"/>
          <w:sz w:val="24"/>
          <w:szCs w:val="24"/>
        </w:rPr>
        <w:t>The term “qualified dividend income” means dividends received during the taxable year from—</w:t>
      </w:r>
    </w:p>
    <w:p w14:paraId="0DB947E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4" w:name="h_11_B_i_I"/>
      <w:bookmarkEnd w:id="144"/>
      <w:r w:rsidRPr="008B3051">
        <w:rPr>
          <w:rFonts w:ascii="Verdana" w:eastAsia="Times New Roman" w:hAnsi="Verdana" w:cs="Times New Roman"/>
          <w:b/>
          <w:bCs/>
          <w:sz w:val="24"/>
          <w:szCs w:val="24"/>
        </w:rPr>
        <w:t>(I)</w:t>
      </w:r>
    </w:p>
    <w:p w14:paraId="18070FDA" w14:textId="7DB3791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domesticcorporations, and</w:t>
      </w:r>
    </w:p>
    <w:p w14:paraId="61F7EFD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5" w:name="h_11_B_i_II"/>
      <w:bookmarkEnd w:id="145"/>
      <w:r w:rsidRPr="008B3051">
        <w:rPr>
          <w:rFonts w:ascii="Verdana" w:eastAsia="Times New Roman" w:hAnsi="Verdana" w:cs="Times New Roman"/>
          <w:b/>
          <w:bCs/>
          <w:sz w:val="24"/>
          <w:szCs w:val="24"/>
        </w:rPr>
        <w:lastRenderedPageBreak/>
        <w:t>(II)</w:t>
      </w:r>
    </w:p>
    <w:p w14:paraId="7FB9F109" w14:textId="67356DB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qualified foreigncorporations.</w:t>
      </w:r>
    </w:p>
    <w:p w14:paraId="1B60DAD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6" w:name="h_11_B_ii"/>
      <w:bookmarkEnd w:id="146"/>
      <w:r w:rsidRPr="008B3051">
        <w:rPr>
          <w:rFonts w:ascii="Verdana" w:eastAsia="Times New Roman" w:hAnsi="Verdana" w:cs="Times New Roman"/>
          <w:b/>
          <w:bCs/>
          <w:sz w:val="24"/>
          <w:szCs w:val="24"/>
        </w:rPr>
        <w:t>(ii)Certain dividends excluded</w:t>
      </w:r>
      <w:r w:rsidRPr="008B3051">
        <w:rPr>
          <w:rFonts w:ascii="Verdana" w:eastAsia="Times New Roman" w:hAnsi="Verdana" w:cs="Times New Roman"/>
          <w:sz w:val="24"/>
          <w:szCs w:val="24"/>
        </w:rPr>
        <w:t>Such term shall not include—</w:t>
      </w:r>
    </w:p>
    <w:p w14:paraId="6DB8F5A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7" w:name="h_11_B_ii_I"/>
      <w:bookmarkEnd w:id="147"/>
      <w:r w:rsidRPr="008B3051">
        <w:rPr>
          <w:rFonts w:ascii="Verdana" w:eastAsia="Times New Roman" w:hAnsi="Verdana" w:cs="Times New Roman"/>
          <w:b/>
          <w:bCs/>
          <w:sz w:val="24"/>
          <w:szCs w:val="24"/>
        </w:rPr>
        <w:t>(I)</w:t>
      </w:r>
    </w:p>
    <w:p w14:paraId="6BB5B9D3" w14:textId="194444D6"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dividend from a corporation which for the taxable year of the corporation in which the distribution is made, or the preceding taxable year, is a corporation exempt from tax under section 501 or 521,</w:t>
      </w:r>
    </w:p>
    <w:p w14:paraId="35A6B4A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8" w:name="h_11_B_ii_II"/>
      <w:bookmarkEnd w:id="148"/>
      <w:r w:rsidRPr="008B3051">
        <w:rPr>
          <w:rFonts w:ascii="Verdana" w:eastAsia="Times New Roman" w:hAnsi="Verdana" w:cs="Times New Roman"/>
          <w:b/>
          <w:bCs/>
          <w:sz w:val="24"/>
          <w:szCs w:val="24"/>
        </w:rPr>
        <w:t>(II)</w:t>
      </w:r>
    </w:p>
    <w:p w14:paraId="576E801B" w14:textId="6245373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amount allowed as a deduction under section 591 (relating to deduction for dividendspaid by mutual savings banks, etc.), and</w:t>
      </w:r>
    </w:p>
    <w:p w14:paraId="4535602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49" w:name="h_11_B_ii_III"/>
      <w:bookmarkEnd w:id="149"/>
      <w:r w:rsidRPr="008B3051">
        <w:rPr>
          <w:rFonts w:ascii="Verdana" w:eastAsia="Times New Roman" w:hAnsi="Verdana" w:cs="Times New Roman"/>
          <w:b/>
          <w:bCs/>
          <w:sz w:val="24"/>
          <w:szCs w:val="24"/>
        </w:rPr>
        <w:t>(III)</w:t>
      </w:r>
    </w:p>
    <w:p w14:paraId="2BB78C6B" w14:textId="1331B5E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dividend described in section 404(k).</w:t>
      </w:r>
    </w:p>
    <w:p w14:paraId="3B92B831" w14:textId="770E0F4A"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0" w:name="h_11_B_iii"/>
      <w:bookmarkEnd w:id="150"/>
      <w:r w:rsidRPr="008B3051">
        <w:rPr>
          <w:rFonts w:ascii="Verdana" w:eastAsia="Times New Roman" w:hAnsi="Verdana" w:cs="Times New Roman"/>
          <w:b/>
          <w:bCs/>
          <w:sz w:val="24"/>
          <w:szCs w:val="24"/>
        </w:rPr>
        <w:t>(iii)Coordination with section 246(c)</w:t>
      </w:r>
      <w:r w:rsidRPr="008B3051">
        <w:rPr>
          <w:rFonts w:ascii="Verdana" w:eastAsia="Times New Roman" w:hAnsi="Verdana" w:cs="Times New Roman"/>
          <w:sz w:val="24"/>
          <w:szCs w:val="24"/>
        </w:rPr>
        <w:t>Such term shall not include any dividend on any share of stock—</w:t>
      </w:r>
    </w:p>
    <w:p w14:paraId="06B1090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1" w:name="h_11_B_iii_I"/>
      <w:bookmarkEnd w:id="151"/>
      <w:r w:rsidRPr="008B3051">
        <w:rPr>
          <w:rFonts w:ascii="Verdana" w:eastAsia="Times New Roman" w:hAnsi="Verdana" w:cs="Times New Roman"/>
          <w:b/>
          <w:bCs/>
          <w:sz w:val="24"/>
          <w:szCs w:val="24"/>
        </w:rPr>
        <w:t>(I)</w:t>
      </w:r>
    </w:p>
    <w:p w14:paraId="50B4AB49" w14:textId="261BEE4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with respect to which the holding period requirements of section 246(c) are not met (determined by substituting in section 246(c) “60 days” for “45 days” each place it appears and by substituting “121-day period” for “91-day period”), or</w:t>
      </w:r>
    </w:p>
    <w:p w14:paraId="3E1BE384"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2" w:name="h_11_B_iii_II"/>
      <w:bookmarkEnd w:id="152"/>
      <w:r w:rsidRPr="008B3051">
        <w:rPr>
          <w:rFonts w:ascii="Verdana" w:eastAsia="Times New Roman" w:hAnsi="Verdana" w:cs="Times New Roman"/>
          <w:b/>
          <w:bCs/>
          <w:sz w:val="24"/>
          <w:szCs w:val="24"/>
        </w:rPr>
        <w:t>(II)</w:t>
      </w:r>
    </w:p>
    <w:p w14:paraId="4EF40A2E" w14:textId="584A25F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to the extent that the taxpayer is under an obligation (whether pursuant to a short sale or otherwise) to make related payments with respect to positions in substantially similar or related property.</w:t>
      </w:r>
    </w:p>
    <w:p w14:paraId="03376EA4"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3" w:name="h_11_C"/>
      <w:bookmarkEnd w:id="153"/>
      <w:r w:rsidRPr="008B3051">
        <w:rPr>
          <w:rFonts w:ascii="Verdana" w:eastAsia="Times New Roman" w:hAnsi="Verdana" w:cs="Times New Roman"/>
          <w:b/>
          <w:bCs/>
          <w:sz w:val="24"/>
          <w:szCs w:val="24"/>
        </w:rPr>
        <w:t>(C)Qualified foreign corporations</w:t>
      </w:r>
    </w:p>
    <w:p w14:paraId="009C3A96" w14:textId="24DAF43E"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4" w:name="h_11_C_i"/>
      <w:bookmarkEnd w:id="154"/>
      <w:r w:rsidRPr="008B3051">
        <w:rPr>
          <w:rFonts w:ascii="Verdana" w:eastAsia="Times New Roman" w:hAnsi="Verdana" w:cs="Times New Roman"/>
          <w:b/>
          <w:bCs/>
          <w:sz w:val="24"/>
          <w:szCs w:val="24"/>
        </w:rPr>
        <w:t>(i)In general</w:t>
      </w:r>
      <w:r w:rsidRPr="008B3051">
        <w:rPr>
          <w:rFonts w:ascii="Verdana" w:eastAsia="Times New Roman" w:hAnsi="Verdana" w:cs="Times New Roman"/>
          <w:sz w:val="24"/>
          <w:szCs w:val="24"/>
        </w:rPr>
        <w:t>Except as otherwise provided in this paragraph, the term “qualified foreign corporation” means any foreign corporation if—</w:t>
      </w:r>
    </w:p>
    <w:p w14:paraId="0480380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5" w:name="h_11_C_i_I"/>
      <w:bookmarkEnd w:id="155"/>
      <w:r w:rsidRPr="008B3051">
        <w:rPr>
          <w:rFonts w:ascii="Verdana" w:eastAsia="Times New Roman" w:hAnsi="Verdana" w:cs="Times New Roman"/>
          <w:b/>
          <w:bCs/>
          <w:sz w:val="24"/>
          <w:szCs w:val="24"/>
        </w:rPr>
        <w:t>(I)</w:t>
      </w:r>
    </w:p>
    <w:p w14:paraId="45F24379" w14:textId="68C2006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corporation is incorporated in a possession of the United States, or</w:t>
      </w:r>
    </w:p>
    <w:p w14:paraId="7A1344F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6" w:name="h_11_C_i_II"/>
      <w:bookmarkEnd w:id="156"/>
      <w:r w:rsidRPr="008B3051">
        <w:rPr>
          <w:rFonts w:ascii="Verdana" w:eastAsia="Times New Roman" w:hAnsi="Verdana" w:cs="Times New Roman"/>
          <w:b/>
          <w:bCs/>
          <w:sz w:val="24"/>
          <w:szCs w:val="24"/>
        </w:rPr>
        <w:t>(II)</w:t>
      </w:r>
    </w:p>
    <w:p w14:paraId="504A8DA1" w14:textId="275AF60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corporation is eligible for benefits of a comprehensive income tax treaty with the United States which the Secretary determines is satisfactory for purposes of this paragraph and which includes an exchange of information program.</w:t>
      </w:r>
    </w:p>
    <w:p w14:paraId="57282CB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7" w:name="h_11_C_ii"/>
      <w:bookmarkEnd w:id="157"/>
      <w:r w:rsidRPr="008B3051">
        <w:rPr>
          <w:rFonts w:ascii="Verdana" w:eastAsia="Times New Roman" w:hAnsi="Verdana" w:cs="Times New Roman"/>
          <w:b/>
          <w:bCs/>
          <w:sz w:val="24"/>
          <w:szCs w:val="24"/>
        </w:rPr>
        <w:t>(ii)Dividends on stock readily tradable on United States securities market</w:t>
      </w:r>
    </w:p>
    <w:p w14:paraId="3B48FA92" w14:textId="037FCB7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foreigncorporation not otherwise treated as a qualified foreign corporation under clause (i) shall be so treated with respect to any dividend paid by such corporation if the stock with respect to which such dividend is paid is readily tradable on an established securities market in the United States.</w:t>
      </w:r>
    </w:p>
    <w:p w14:paraId="79C1777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8" w:name="h_11_C_iii"/>
      <w:bookmarkEnd w:id="158"/>
      <w:r w:rsidRPr="008B3051">
        <w:rPr>
          <w:rFonts w:ascii="Verdana" w:eastAsia="Times New Roman" w:hAnsi="Verdana" w:cs="Times New Roman"/>
          <w:b/>
          <w:bCs/>
          <w:sz w:val="24"/>
          <w:szCs w:val="24"/>
        </w:rPr>
        <w:t>(iii)Exclusion of dividends of certain foreign corporations</w:t>
      </w:r>
      <w:r w:rsidRPr="008B3051">
        <w:rPr>
          <w:rFonts w:ascii="Verdana" w:eastAsia="Times New Roman" w:hAnsi="Verdana" w:cs="Times New Roman"/>
          <w:sz w:val="24"/>
          <w:szCs w:val="24"/>
        </w:rPr>
        <w:t>Such term shall not include—</w:t>
      </w:r>
    </w:p>
    <w:p w14:paraId="0E104A6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59" w:name="h_11_C_iii_I"/>
      <w:bookmarkEnd w:id="159"/>
      <w:r w:rsidRPr="008B3051">
        <w:rPr>
          <w:rFonts w:ascii="Verdana" w:eastAsia="Times New Roman" w:hAnsi="Verdana" w:cs="Times New Roman"/>
          <w:b/>
          <w:bCs/>
          <w:sz w:val="24"/>
          <w:szCs w:val="24"/>
        </w:rPr>
        <w:lastRenderedPageBreak/>
        <w:t>(I)</w:t>
      </w:r>
    </w:p>
    <w:p w14:paraId="2202F9CE" w14:textId="128FE2C5"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foreigncorporation which for the taxable year of the corporation in which the dividendwas paid, or the preceding taxable year, is a passive foreign investment company (as defined in section 1297), and</w:t>
      </w:r>
    </w:p>
    <w:p w14:paraId="67362A0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0" w:name="h_11_C_iii_II"/>
      <w:bookmarkEnd w:id="160"/>
      <w:r w:rsidRPr="008B3051">
        <w:rPr>
          <w:rFonts w:ascii="Verdana" w:eastAsia="Times New Roman" w:hAnsi="Verdana" w:cs="Times New Roman"/>
          <w:b/>
          <w:bCs/>
          <w:sz w:val="24"/>
          <w:szCs w:val="24"/>
        </w:rPr>
        <w:t>(II)</w:t>
      </w:r>
    </w:p>
    <w:p w14:paraId="23F63DDC" w14:textId="31064EE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corporation which first becomes a surrogate foreign corporation (as defined in section 7874(a)(2)(B)) after the date of the enactment of this subclause, other than a foreign corporation which is treated as a domestic corporation under section 7874(b).</w:t>
      </w:r>
    </w:p>
    <w:p w14:paraId="38AFDE1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1" w:name="h_11_C_iv"/>
      <w:bookmarkEnd w:id="161"/>
      <w:r w:rsidRPr="008B3051">
        <w:rPr>
          <w:rFonts w:ascii="Verdana" w:eastAsia="Times New Roman" w:hAnsi="Verdana" w:cs="Times New Roman"/>
          <w:b/>
          <w:bCs/>
          <w:sz w:val="24"/>
          <w:szCs w:val="24"/>
        </w:rPr>
        <w:t>(iv)Coordination with foreign tax credit limitation</w:t>
      </w:r>
    </w:p>
    <w:p w14:paraId="4DE6EE0B" w14:textId="6D2E9ED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Rules similar to the rules of section 904(b)(2)(B) shall apply with respect to the dividend rate differential under this paragraph.</w:t>
      </w:r>
    </w:p>
    <w:p w14:paraId="2F46FAD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2" w:name="h_11_D"/>
      <w:bookmarkEnd w:id="162"/>
      <w:r w:rsidRPr="008B3051">
        <w:rPr>
          <w:rFonts w:ascii="Verdana" w:eastAsia="Times New Roman" w:hAnsi="Verdana" w:cs="Times New Roman"/>
          <w:b/>
          <w:bCs/>
          <w:sz w:val="24"/>
          <w:szCs w:val="24"/>
        </w:rPr>
        <w:t>(D)Special rules</w:t>
      </w:r>
    </w:p>
    <w:p w14:paraId="51127BC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3" w:name="h_11_D_i"/>
      <w:bookmarkEnd w:id="163"/>
      <w:r w:rsidRPr="008B3051">
        <w:rPr>
          <w:rFonts w:ascii="Verdana" w:eastAsia="Times New Roman" w:hAnsi="Verdana" w:cs="Times New Roman"/>
          <w:b/>
          <w:bCs/>
          <w:sz w:val="24"/>
          <w:szCs w:val="24"/>
        </w:rPr>
        <w:t>(i)Amounts taken into account as investment income</w:t>
      </w:r>
    </w:p>
    <w:p w14:paraId="4D224692" w14:textId="4EAC758E"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Qualified dividend income shall not include any amount which the taxpayer takes into account as investment income under section 163(d)(4)(B).</w:t>
      </w:r>
    </w:p>
    <w:p w14:paraId="36FA365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4" w:name="h_11_D_ii"/>
      <w:bookmarkEnd w:id="164"/>
      <w:r w:rsidRPr="008B3051">
        <w:rPr>
          <w:rFonts w:ascii="Verdana" w:eastAsia="Times New Roman" w:hAnsi="Verdana" w:cs="Times New Roman"/>
          <w:b/>
          <w:bCs/>
          <w:sz w:val="24"/>
          <w:szCs w:val="24"/>
        </w:rPr>
        <w:t>(ii)Extraordinary dividends</w:t>
      </w:r>
    </w:p>
    <w:p w14:paraId="38047A22" w14:textId="27F105B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 taxpayer to whom this section applies receives, with respect to any share of stock, qualified dividend income from 1 or more dividends which are extraordinary dividends (within the meaning of section 1059(c)), any loss on the sale or exchange of such share shall, to the extent of such dividends, be treated as long-term capital loss.</w:t>
      </w:r>
    </w:p>
    <w:p w14:paraId="1ECE36D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5" w:name="h_11_D_iii"/>
      <w:bookmarkEnd w:id="165"/>
      <w:r w:rsidRPr="008B3051">
        <w:rPr>
          <w:rFonts w:ascii="Verdana" w:eastAsia="Times New Roman" w:hAnsi="Verdana" w:cs="Times New Roman"/>
          <w:b/>
          <w:bCs/>
          <w:sz w:val="24"/>
          <w:szCs w:val="24"/>
        </w:rPr>
        <w:t>(iii)Treatment of dividends from regulated investment companies and real estate investment trusts</w:t>
      </w:r>
    </w:p>
    <w:p w14:paraId="681B347E" w14:textId="7F19FEC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dividend received from a regulated investment company or a real estate investment trust shall be subject to the limitations prescribed in sections 854 and 857.</w:t>
      </w:r>
    </w:p>
    <w:p w14:paraId="76B9A3C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6" w:name="i"/>
      <w:bookmarkEnd w:id="166"/>
      <w:r w:rsidRPr="008B3051">
        <w:rPr>
          <w:rFonts w:ascii="Verdana" w:eastAsia="Times New Roman" w:hAnsi="Verdana" w:cs="Times New Roman"/>
          <w:b/>
          <w:bCs/>
          <w:sz w:val="24"/>
          <w:szCs w:val="24"/>
        </w:rPr>
        <w:t>(i)</w:t>
      </w:r>
      <w:r w:rsidRPr="008B3051">
        <w:rPr>
          <w:rFonts w:ascii="Verdana" w:eastAsia="Times New Roman" w:hAnsi="Verdana" w:cs="Times New Roman"/>
          <w:b/>
          <w:bCs/>
          <w:smallCaps/>
          <w:sz w:val="24"/>
          <w:szCs w:val="24"/>
        </w:rPr>
        <w:t>Rate reductions after 2000</w:t>
      </w:r>
    </w:p>
    <w:p w14:paraId="4ACE147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7" w:name="i_1"/>
      <w:bookmarkEnd w:id="167"/>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10-percent rate bracket</w:t>
      </w:r>
    </w:p>
    <w:p w14:paraId="5EF3F22B" w14:textId="02D15AD4"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8" w:name="i_1_A"/>
      <w:bookmarkEnd w:id="168"/>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In the case of taxable years beginning after December 31, 2000—</w:t>
      </w:r>
    </w:p>
    <w:p w14:paraId="4F9E4CC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69" w:name="i_1_A_i"/>
      <w:bookmarkEnd w:id="169"/>
      <w:r w:rsidRPr="008B3051">
        <w:rPr>
          <w:rFonts w:ascii="Verdana" w:eastAsia="Times New Roman" w:hAnsi="Verdana" w:cs="Times New Roman"/>
          <w:b/>
          <w:bCs/>
          <w:sz w:val="24"/>
          <w:szCs w:val="24"/>
        </w:rPr>
        <w:t>(i)</w:t>
      </w:r>
    </w:p>
    <w:p w14:paraId="06F3B953" w14:textId="70EAABB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rate of tax under subsections (a), (b), (c), and (d) on taxable income not over the initial bracket amount shall be 10 percent, and</w:t>
      </w:r>
    </w:p>
    <w:p w14:paraId="4F19488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0" w:name="i_1_A_ii"/>
      <w:bookmarkEnd w:id="170"/>
      <w:r w:rsidRPr="008B3051">
        <w:rPr>
          <w:rFonts w:ascii="Verdana" w:eastAsia="Times New Roman" w:hAnsi="Verdana" w:cs="Times New Roman"/>
          <w:b/>
          <w:bCs/>
          <w:sz w:val="24"/>
          <w:szCs w:val="24"/>
        </w:rPr>
        <w:t>(ii)</w:t>
      </w:r>
    </w:p>
    <w:p w14:paraId="17FFE5F8" w14:textId="6288D69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15 percent rate of tax shall apply only to taxable income over the initial bracket amount but not over the maximum dollar amount for the 15-percent rate bracket.</w:t>
      </w:r>
    </w:p>
    <w:p w14:paraId="4F2611C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1" w:name="i_1_B"/>
      <w:bookmarkEnd w:id="171"/>
      <w:r w:rsidRPr="008B3051">
        <w:rPr>
          <w:rFonts w:ascii="Verdana" w:eastAsia="Times New Roman" w:hAnsi="Verdana" w:cs="Times New Roman"/>
          <w:b/>
          <w:bCs/>
          <w:sz w:val="24"/>
          <w:szCs w:val="24"/>
        </w:rPr>
        <w:t>(B)Initial bracket amount</w:t>
      </w:r>
      <w:r w:rsidRPr="008B3051">
        <w:rPr>
          <w:rFonts w:ascii="Verdana" w:eastAsia="Times New Roman" w:hAnsi="Verdana" w:cs="Times New Roman"/>
          <w:sz w:val="24"/>
          <w:szCs w:val="24"/>
        </w:rPr>
        <w:t>For purposes of this paragraph, the initial bracket amount is—</w:t>
      </w:r>
    </w:p>
    <w:p w14:paraId="0285632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2" w:name="i_1_B_i"/>
      <w:bookmarkEnd w:id="172"/>
      <w:r w:rsidRPr="008B3051">
        <w:rPr>
          <w:rFonts w:ascii="Verdana" w:eastAsia="Times New Roman" w:hAnsi="Verdana" w:cs="Times New Roman"/>
          <w:b/>
          <w:bCs/>
          <w:sz w:val="24"/>
          <w:szCs w:val="24"/>
        </w:rPr>
        <w:t>(i)</w:t>
      </w:r>
    </w:p>
    <w:p w14:paraId="523990CE"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$14,000 in the case of subsection (a),</w:t>
      </w:r>
    </w:p>
    <w:p w14:paraId="05750D2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3" w:name="i_1_B_ii"/>
      <w:bookmarkEnd w:id="173"/>
      <w:r w:rsidRPr="008B3051">
        <w:rPr>
          <w:rFonts w:ascii="Verdana" w:eastAsia="Times New Roman" w:hAnsi="Verdana" w:cs="Times New Roman"/>
          <w:b/>
          <w:bCs/>
          <w:sz w:val="24"/>
          <w:szCs w:val="24"/>
        </w:rPr>
        <w:lastRenderedPageBreak/>
        <w:t>(ii)</w:t>
      </w:r>
    </w:p>
    <w:p w14:paraId="768735C3"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$10,000 in the case of subsection (b), and</w:t>
      </w:r>
    </w:p>
    <w:p w14:paraId="3C265F71"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4" w:name="i_1_B_iii"/>
      <w:bookmarkEnd w:id="174"/>
      <w:r w:rsidRPr="008B3051">
        <w:rPr>
          <w:rFonts w:ascii="Verdana" w:eastAsia="Times New Roman" w:hAnsi="Verdana" w:cs="Times New Roman"/>
          <w:b/>
          <w:bCs/>
          <w:sz w:val="24"/>
          <w:szCs w:val="24"/>
        </w:rPr>
        <w:t>(iii)</w:t>
      </w:r>
    </w:p>
    <w:p w14:paraId="27285795"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½ the amount applicable under clause (i) (after adjustment, if any, under subparagraph (C)) in the case of subsections (c) and (d).</w:t>
      </w:r>
    </w:p>
    <w:p w14:paraId="51B4A753" w14:textId="49F5947B"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5" w:name="i_1_C"/>
      <w:bookmarkEnd w:id="175"/>
      <w:r w:rsidRPr="008B3051">
        <w:rPr>
          <w:rFonts w:ascii="Verdana" w:eastAsia="Times New Roman" w:hAnsi="Verdana" w:cs="Times New Roman"/>
          <w:b/>
          <w:bCs/>
          <w:sz w:val="24"/>
          <w:szCs w:val="24"/>
        </w:rPr>
        <w:t>(C)Inflation adjustment</w:t>
      </w:r>
      <w:r w:rsidRPr="008B3051">
        <w:rPr>
          <w:rFonts w:ascii="Verdana" w:eastAsia="Times New Roman" w:hAnsi="Verdana" w:cs="Times New Roman"/>
          <w:sz w:val="24"/>
          <w:szCs w:val="24"/>
        </w:rPr>
        <w:t>In prescribing the tables under subsection (f) which apply with respect to taxable years beginning in calendar years after 2003—</w:t>
      </w:r>
    </w:p>
    <w:p w14:paraId="1A83FDD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6" w:name="i_1_C_i"/>
      <w:bookmarkEnd w:id="176"/>
      <w:r w:rsidRPr="008B3051">
        <w:rPr>
          <w:rFonts w:ascii="Verdana" w:eastAsia="Times New Roman" w:hAnsi="Verdana" w:cs="Times New Roman"/>
          <w:b/>
          <w:bCs/>
          <w:sz w:val="24"/>
          <w:szCs w:val="24"/>
        </w:rPr>
        <w:t>(i)</w:t>
      </w:r>
    </w:p>
    <w:p w14:paraId="54ADB6AF" w14:textId="35CFA4C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cost-of-living adjustment shall be determined under subsection (f)(3) by substituting “2002” for “2016” in subparagraph (A)(ii) thereof, and</w:t>
      </w:r>
    </w:p>
    <w:p w14:paraId="27463D6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7" w:name="i_1_C_ii"/>
      <w:bookmarkEnd w:id="177"/>
      <w:r w:rsidRPr="008B3051">
        <w:rPr>
          <w:rFonts w:ascii="Verdana" w:eastAsia="Times New Roman" w:hAnsi="Verdana" w:cs="Times New Roman"/>
          <w:b/>
          <w:bCs/>
          <w:sz w:val="24"/>
          <w:szCs w:val="24"/>
        </w:rPr>
        <w:t>(ii)</w:t>
      </w:r>
    </w:p>
    <w:p w14:paraId="4CAE6C7D"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adjustments under clause (i) shall not apply to the amount referred to in subparagraph (B)(iii).</w:t>
      </w:r>
    </w:p>
    <w:p w14:paraId="5A84C99B"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amount after adjustment under the preceding sentence is not a multiple of $50, such amount shall be rounded to the next lowest multiple of $50.</w:t>
      </w:r>
    </w:p>
    <w:p w14:paraId="3337231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8" w:name="i_2"/>
      <w:bookmarkEnd w:id="178"/>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25-, 28-, and 33-percent rate brackets</w:t>
      </w:r>
      <w:r w:rsidRPr="008B3051">
        <w:rPr>
          <w:rFonts w:ascii="Verdana" w:eastAsia="Times New Roman" w:hAnsi="Verdana" w:cs="Times New Roman"/>
          <w:sz w:val="24"/>
          <w:szCs w:val="24"/>
        </w:rPr>
        <w:t>The tables under subsections (a), (b), (c), (d), and (e) shall be applied—</w:t>
      </w:r>
    </w:p>
    <w:p w14:paraId="654AE74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79" w:name="i_2_A"/>
      <w:bookmarkEnd w:id="179"/>
      <w:r w:rsidRPr="008B3051">
        <w:rPr>
          <w:rFonts w:ascii="Verdana" w:eastAsia="Times New Roman" w:hAnsi="Verdana" w:cs="Times New Roman"/>
          <w:b/>
          <w:bCs/>
          <w:sz w:val="24"/>
          <w:szCs w:val="24"/>
        </w:rPr>
        <w:t>(A)</w:t>
      </w:r>
    </w:p>
    <w:p w14:paraId="05975D2C"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substituting “25%” for “28%” each place it appears (before the application of subparagraph (B)),</w:t>
      </w:r>
    </w:p>
    <w:p w14:paraId="1ADE145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0" w:name="i_2_B"/>
      <w:bookmarkEnd w:id="180"/>
      <w:r w:rsidRPr="008B3051">
        <w:rPr>
          <w:rFonts w:ascii="Verdana" w:eastAsia="Times New Roman" w:hAnsi="Verdana" w:cs="Times New Roman"/>
          <w:b/>
          <w:bCs/>
          <w:sz w:val="24"/>
          <w:szCs w:val="24"/>
        </w:rPr>
        <w:t>(B)</w:t>
      </w:r>
    </w:p>
    <w:p w14:paraId="54BE04CC"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substituting “28%” for “31%” each place it appears, and</w:t>
      </w:r>
    </w:p>
    <w:p w14:paraId="18CAE7B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1" w:name="i_2_C"/>
      <w:bookmarkEnd w:id="181"/>
      <w:r w:rsidRPr="008B3051">
        <w:rPr>
          <w:rFonts w:ascii="Verdana" w:eastAsia="Times New Roman" w:hAnsi="Verdana" w:cs="Times New Roman"/>
          <w:b/>
          <w:bCs/>
          <w:sz w:val="24"/>
          <w:szCs w:val="24"/>
        </w:rPr>
        <w:t>(C)</w:t>
      </w:r>
    </w:p>
    <w:p w14:paraId="3B293180"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substituting “33%” for “36%” each place it appears.</w:t>
      </w:r>
    </w:p>
    <w:p w14:paraId="365CCE4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2" w:name="i_3"/>
      <w:bookmarkEnd w:id="182"/>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Modifications to income tax brackets for high-income taxpayers</w:t>
      </w:r>
    </w:p>
    <w:p w14:paraId="21630870" w14:textId="3BD57BDF"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3" w:name="i_3_A"/>
      <w:bookmarkEnd w:id="183"/>
      <w:r w:rsidRPr="008B3051">
        <w:rPr>
          <w:rFonts w:ascii="Verdana" w:eastAsia="Times New Roman" w:hAnsi="Verdana" w:cs="Times New Roman"/>
          <w:b/>
          <w:bCs/>
          <w:sz w:val="24"/>
          <w:szCs w:val="24"/>
        </w:rPr>
        <w:t>(A)35-percent rate bracket</w:t>
      </w:r>
      <w:r w:rsidRPr="008B3051">
        <w:rPr>
          <w:rFonts w:ascii="Verdana" w:eastAsia="Times New Roman" w:hAnsi="Verdana" w:cs="Times New Roman"/>
          <w:sz w:val="24"/>
          <w:szCs w:val="24"/>
        </w:rPr>
        <w:t>In the case of taxable years beginning after December 31, 2012—</w:t>
      </w:r>
    </w:p>
    <w:p w14:paraId="6F476775" w14:textId="19989A21"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4" w:name="i_3_A_i"/>
      <w:bookmarkEnd w:id="184"/>
      <w:r w:rsidRPr="008B3051">
        <w:rPr>
          <w:rFonts w:ascii="Verdana" w:eastAsia="Times New Roman" w:hAnsi="Verdana" w:cs="Times New Roman"/>
          <w:b/>
          <w:bCs/>
          <w:sz w:val="24"/>
          <w:szCs w:val="24"/>
        </w:rPr>
        <w:t>(i)</w:t>
      </w:r>
      <w:r w:rsidRPr="008B3051">
        <w:rPr>
          <w:rFonts w:ascii="Verdana" w:eastAsia="Times New Roman" w:hAnsi="Verdana" w:cs="Times New Roman"/>
          <w:sz w:val="24"/>
          <w:szCs w:val="24"/>
        </w:rPr>
        <w:t>the rate of tax under subsections (a), (b), (c), and (d) on a taxpayer’s taxable income in the highest rate bracket shall be 35 percent to the extent such income does not exceed an amount equal to the excess of—</w:t>
      </w:r>
    </w:p>
    <w:p w14:paraId="2158EB3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5" w:name="i_3_A_i_I"/>
      <w:bookmarkEnd w:id="185"/>
      <w:r w:rsidRPr="008B3051">
        <w:rPr>
          <w:rFonts w:ascii="Verdana" w:eastAsia="Times New Roman" w:hAnsi="Verdana" w:cs="Times New Roman"/>
          <w:b/>
          <w:bCs/>
          <w:sz w:val="24"/>
          <w:szCs w:val="24"/>
        </w:rPr>
        <w:t>(I)</w:t>
      </w:r>
    </w:p>
    <w:p w14:paraId="6B456730"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applicable threshold, over</w:t>
      </w:r>
    </w:p>
    <w:p w14:paraId="6094891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6" w:name="i_3_A_i_II"/>
      <w:bookmarkEnd w:id="186"/>
      <w:r w:rsidRPr="008B3051">
        <w:rPr>
          <w:rFonts w:ascii="Verdana" w:eastAsia="Times New Roman" w:hAnsi="Verdana" w:cs="Times New Roman"/>
          <w:b/>
          <w:bCs/>
          <w:sz w:val="24"/>
          <w:szCs w:val="24"/>
        </w:rPr>
        <w:t>(II)</w:t>
      </w:r>
    </w:p>
    <w:p w14:paraId="3D5BD328"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dollar amount at which such bracket begins, and</w:t>
      </w:r>
    </w:p>
    <w:p w14:paraId="06C067E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7" w:name="i_3_A_ii"/>
      <w:bookmarkEnd w:id="187"/>
      <w:r w:rsidRPr="008B3051">
        <w:rPr>
          <w:rFonts w:ascii="Verdana" w:eastAsia="Times New Roman" w:hAnsi="Verdana" w:cs="Times New Roman"/>
          <w:b/>
          <w:bCs/>
          <w:sz w:val="24"/>
          <w:szCs w:val="24"/>
        </w:rPr>
        <w:t>(ii)</w:t>
      </w:r>
    </w:p>
    <w:p w14:paraId="1E5F79AA" w14:textId="51DB66D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39.6 percent rate of tax under such subsections shall apply only to the taxpayer’s taxable income in such bracket in excess of the amount to which clause (i) applies.</w:t>
      </w:r>
    </w:p>
    <w:p w14:paraId="4FCB39AF" w14:textId="1164C88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8" w:name="i_3_B"/>
      <w:bookmarkEnd w:id="188"/>
      <w:r w:rsidRPr="008B3051">
        <w:rPr>
          <w:rFonts w:ascii="Verdana" w:eastAsia="Times New Roman" w:hAnsi="Verdana" w:cs="Times New Roman"/>
          <w:b/>
          <w:bCs/>
          <w:sz w:val="24"/>
          <w:szCs w:val="24"/>
        </w:rPr>
        <w:lastRenderedPageBreak/>
        <w:t>(B)Applicable threshold</w:t>
      </w:r>
      <w:r w:rsidRPr="008B3051">
        <w:rPr>
          <w:rFonts w:ascii="Verdana" w:eastAsia="Times New Roman" w:hAnsi="Verdana" w:cs="Times New Roman"/>
          <w:sz w:val="24"/>
          <w:szCs w:val="24"/>
        </w:rPr>
        <w:t>For purposes of this paragraph, the term “applicable threshold” means—</w:t>
      </w:r>
    </w:p>
    <w:p w14:paraId="4270E0F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89" w:name="i_3_B_i"/>
      <w:bookmarkEnd w:id="189"/>
      <w:r w:rsidRPr="008B3051">
        <w:rPr>
          <w:rFonts w:ascii="Verdana" w:eastAsia="Times New Roman" w:hAnsi="Verdana" w:cs="Times New Roman"/>
          <w:b/>
          <w:bCs/>
          <w:sz w:val="24"/>
          <w:szCs w:val="24"/>
        </w:rPr>
        <w:t>(i)</w:t>
      </w:r>
    </w:p>
    <w:p w14:paraId="7F7431C2"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$450,000 in the case of subsection (a),</w:t>
      </w:r>
    </w:p>
    <w:p w14:paraId="27A5D63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0" w:name="i_3_B_ii"/>
      <w:bookmarkEnd w:id="190"/>
      <w:r w:rsidRPr="008B3051">
        <w:rPr>
          <w:rFonts w:ascii="Verdana" w:eastAsia="Times New Roman" w:hAnsi="Verdana" w:cs="Times New Roman"/>
          <w:b/>
          <w:bCs/>
          <w:sz w:val="24"/>
          <w:szCs w:val="24"/>
        </w:rPr>
        <w:t>(ii)</w:t>
      </w:r>
    </w:p>
    <w:p w14:paraId="2018B841"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$425,000 in the case of subsection (b),</w:t>
      </w:r>
    </w:p>
    <w:p w14:paraId="6F61642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1" w:name="i_3_B_iii"/>
      <w:bookmarkEnd w:id="191"/>
      <w:r w:rsidRPr="008B3051">
        <w:rPr>
          <w:rFonts w:ascii="Verdana" w:eastAsia="Times New Roman" w:hAnsi="Verdana" w:cs="Times New Roman"/>
          <w:b/>
          <w:bCs/>
          <w:sz w:val="24"/>
          <w:szCs w:val="24"/>
        </w:rPr>
        <w:t>(iii)</w:t>
      </w:r>
    </w:p>
    <w:p w14:paraId="064B7A58"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$400,000 in the case of subsection (c), and</w:t>
      </w:r>
    </w:p>
    <w:p w14:paraId="18A13D8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2" w:name="i_3_B_iv"/>
      <w:bookmarkEnd w:id="192"/>
      <w:r w:rsidRPr="008B3051">
        <w:rPr>
          <w:rFonts w:ascii="Verdana" w:eastAsia="Times New Roman" w:hAnsi="Verdana" w:cs="Times New Roman"/>
          <w:b/>
          <w:bCs/>
          <w:sz w:val="24"/>
          <w:szCs w:val="24"/>
        </w:rPr>
        <w:t>(iv)</w:t>
      </w:r>
    </w:p>
    <w:p w14:paraId="7CC29A1E"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½ the amount applicable under clause (i) (after adjustment, if any, under subparagraph (C)) in the case of subsection (d).</w:t>
      </w:r>
    </w:p>
    <w:p w14:paraId="509F599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3" w:name="i_3_C"/>
      <w:bookmarkEnd w:id="193"/>
      <w:r w:rsidRPr="008B3051">
        <w:rPr>
          <w:rFonts w:ascii="Verdana" w:eastAsia="Times New Roman" w:hAnsi="Verdana" w:cs="Times New Roman"/>
          <w:b/>
          <w:bCs/>
          <w:sz w:val="24"/>
          <w:szCs w:val="24"/>
        </w:rPr>
        <w:t>(C)Inflation adjustment</w:t>
      </w:r>
    </w:p>
    <w:p w14:paraId="0C3C2CCE" w14:textId="193DDA1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paragraph, with respect to taxable years beginning in calendar years after 2013, each of the dollar amounts under clauses (i), (ii), and (iii) of subparagraph (B) shall be adjusted in the same manner as under paragraph (1)(C)(i), except that subsection (f)(3)(A)(ii) shall be applied by substituting “2012” for “2016”.</w:t>
      </w:r>
    </w:p>
    <w:p w14:paraId="7B8F8A7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4" w:name="i_4"/>
      <w:bookmarkEnd w:id="194"/>
      <w:r w:rsidRPr="008B3051">
        <w:rPr>
          <w:rFonts w:ascii="Verdana" w:eastAsia="Times New Roman" w:hAnsi="Verdana" w:cs="Times New Roman"/>
          <w:b/>
          <w:bCs/>
          <w:sz w:val="24"/>
          <w:szCs w:val="24"/>
        </w:rPr>
        <w:t>(4)</w:t>
      </w:r>
      <w:r w:rsidRPr="008B3051">
        <w:rPr>
          <w:rFonts w:ascii="Verdana" w:eastAsia="Times New Roman" w:hAnsi="Verdana" w:cs="Times New Roman"/>
          <w:b/>
          <w:bCs/>
          <w:smallCaps/>
          <w:sz w:val="24"/>
          <w:szCs w:val="24"/>
        </w:rPr>
        <w:t>Adjustment of tables</w:t>
      </w:r>
    </w:p>
    <w:p w14:paraId="4CC0CB54" w14:textId="35F968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Secretary shall adjust the tables prescribed under subsection (f) to carry out this subsection.</w:t>
      </w:r>
    </w:p>
    <w:p w14:paraId="1B45415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5" w:name="j"/>
      <w:bookmarkEnd w:id="195"/>
      <w:r w:rsidRPr="008B3051">
        <w:rPr>
          <w:rFonts w:ascii="Verdana" w:eastAsia="Times New Roman" w:hAnsi="Verdana" w:cs="Times New Roman"/>
          <w:b/>
          <w:bCs/>
          <w:sz w:val="24"/>
          <w:szCs w:val="24"/>
        </w:rPr>
        <w:t>(j)</w:t>
      </w:r>
      <w:r w:rsidRPr="008B3051">
        <w:rPr>
          <w:rFonts w:ascii="Verdana" w:eastAsia="Times New Roman" w:hAnsi="Verdana" w:cs="Times New Roman"/>
          <w:b/>
          <w:bCs/>
          <w:smallCaps/>
          <w:sz w:val="24"/>
          <w:szCs w:val="24"/>
        </w:rPr>
        <w:t>Modifications for Taxable Years 2018 Through 2025</w:t>
      </w:r>
    </w:p>
    <w:p w14:paraId="4AE868B1" w14:textId="78B1186D"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6" w:name="j_1"/>
      <w:bookmarkEnd w:id="196"/>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In the case of a taxable year beginning after December 31, 2017, and before January 1, 2026—</w:t>
      </w:r>
    </w:p>
    <w:p w14:paraId="5105301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7" w:name="j_1_A"/>
      <w:bookmarkEnd w:id="197"/>
      <w:r w:rsidRPr="008B3051">
        <w:rPr>
          <w:rFonts w:ascii="Verdana" w:eastAsia="Times New Roman" w:hAnsi="Verdana" w:cs="Times New Roman"/>
          <w:b/>
          <w:bCs/>
          <w:sz w:val="24"/>
          <w:szCs w:val="24"/>
        </w:rPr>
        <w:t>(A)</w:t>
      </w:r>
    </w:p>
    <w:p w14:paraId="4F12710A"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subsection (i) shall not apply, and</w:t>
      </w:r>
    </w:p>
    <w:p w14:paraId="11877D8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8" w:name="j_1_B"/>
      <w:bookmarkEnd w:id="198"/>
      <w:r w:rsidRPr="008B3051">
        <w:rPr>
          <w:rFonts w:ascii="Verdana" w:eastAsia="Times New Roman" w:hAnsi="Verdana" w:cs="Times New Roman"/>
          <w:b/>
          <w:bCs/>
          <w:sz w:val="24"/>
          <w:szCs w:val="24"/>
        </w:rPr>
        <w:t>(B)</w:t>
      </w:r>
    </w:p>
    <w:p w14:paraId="15E859CD"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section (other than subsection (i)) shall be applied as provided in paragraphs (2) through (6).</w:t>
      </w:r>
    </w:p>
    <w:p w14:paraId="0DC9BD3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199" w:name="j_2"/>
      <w:bookmarkEnd w:id="199"/>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Rate tables</w:t>
      </w:r>
    </w:p>
    <w:p w14:paraId="0F6C426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0" w:name="j_2_A"/>
      <w:bookmarkEnd w:id="200"/>
      <w:r w:rsidRPr="008B3051">
        <w:rPr>
          <w:rFonts w:ascii="Verdana" w:eastAsia="Times New Roman" w:hAnsi="Verdana" w:cs="Times New Roman"/>
          <w:b/>
          <w:bCs/>
          <w:sz w:val="24"/>
          <w:szCs w:val="24"/>
        </w:rPr>
        <w:t>(A)Married individuals filing joint returns and surviving spouses</w:t>
      </w:r>
    </w:p>
    <w:p w14:paraId="473CC422" w14:textId="77777777"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following table shall be applied in lieu of the table contained in subsection (a):</w:t>
      </w:r>
    </w:p>
    <w:tbl>
      <w:tblPr>
        <w:tblW w:w="4500" w:type="pct"/>
        <w:tblCellMar>
          <w:top w:w="15" w:type="dxa"/>
          <w:left w:w="15" w:type="dxa"/>
          <w:bottom w:w="15" w:type="dxa"/>
          <w:right w:w="15" w:type="dxa"/>
        </w:tblCellMar>
        <w:tblLook w:val="04A0" w:firstRow="1" w:lastRow="0" w:firstColumn="1" w:lastColumn="0" w:noHBand="0" w:noVBand="1"/>
      </w:tblPr>
      <w:tblGrid>
        <w:gridCol w:w="3717"/>
        <w:gridCol w:w="4707"/>
      </w:tblGrid>
      <w:tr w:rsidR="005B3BD3" w:rsidRPr="008B3051" w14:paraId="7F06F8A5"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13D2E36"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232289A3"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334D1162"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97DD3C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$19,050</w:t>
            </w:r>
          </w:p>
        </w:tc>
        <w:tc>
          <w:tcPr>
            <w:tcW w:w="0" w:type="auto"/>
            <w:tcBorders>
              <w:right w:val="nil"/>
            </w:tcBorders>
            <w:shd w:val="clear" w:color="auto" w:fill="auto"/>
            <w:tcMar>
              <w:top w:w="80" w:type="dxa"/>
              <w:left w:w="160" w:type="dxa"/>
              <w:bottom w:w="80" w:type="dxa"/>
              <w:right w:w="160" w:type="dxa"/>
            </w:tcMar>
            <w:vAlign w:val="center"/>
            <w:hideMark/>
          </w:tcPr>
          <w:p w14:paraId="7B31747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 of taxable income.</w:t>
            </w:r>
          </w:p>
        </w:tc>
      </w:tr>
      <w:tr w:rsidR="005B3BD3" w:rsidRPr="008B3051" w14:paraId="02656296"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EA099A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$19,050 but not over $77,400</w:t>
            </w:r>
          </w:p>
        </w:tc>
        <w:tc>
          <w:tcPr>
            <w:tcW w:w="0" w:type="auto"/>
            <w:tcBorders>
              <w:right w:val="nil"/>
            </w:tcBorders>
            <w:shd w:val="clear" w:color="auto" w:fill="auto"/>
            <w:tcMar>
              <w:top w:w="80" w:type="dxa"/>
              <w:left w:w="160" w:type="dxa"/>
              <w:bottom w:w="80" w:type="dxa"/>
              <w:right w:w="160" w:type="dxa"/>
            </w:tcMar>
            <w:vAlign w:val="center"/>
            <w:hideMark/>
          </w:tcPr>
          <w:p w14:paraId="6234106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$1,905, plus 12% of the excess over $19,050.</w:t>
            </w:r>
          </w:p>
        </w:tc>
      </w:tr>
      <w:tr w:rsidR="005B3BD3" w:rsidRPr="008B3051" w14:paraId="2689928A"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683C5F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$77,400 but not over $165,000</w:t>
            </w:r>
          </w:p>
        </w:tc>
        <w:tc>
          <w:tcPr>
            <w:tcW w:w="0" w:type="auto"/>
            <w:tcBorders>
              <w:right w:val="nil"/>
            </w:tcBorders>
            <w:shd w:val="clear" w:color="auto" w:fill="auto"/>
            <w:tcMar>
              <w:top w:w="80" w:type="dxa"/>
              <w:left w:w="160" w:type="dxa"/>
              <w:bottom w:w="80" w:type="dxa"/>
              <w:right w:w="160" w:type="dxa"/>
            </w:tcMar>
            <w:vAlign w:val="center"/>
            <w:hideMark/>
          </w:tcPr>
          <w:p w14:paraId="084DAA4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$8,907, plus 22% of the excess over $77,400.</w:t>
            </w:r>
          </w:p>
        </w:tc>
      </w:tr>
      <w:tr w:rsidR="005B3BD3" w:rsidRPr="008B3051" w14:paraId="10182756"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6C78A4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$165,000 but not over $315,000</w:t>
            </w:r>
          </w:p>
        </w:tc>
        <w:tc>
          <w:tcPr>
            <w:tcW w:w="0" w:type="auto"/>
            <w:tcBorders>
              <w:right w:val="nil"/>
            </w:tcBorders>
            <w:shd w:val="clear" w:color="auto" w:fill="auto"/>
            <w:tcMar>
              <w:top w:w="80" w:type="dxa"/>
              <w:left w:w="160" w:type="dxa"/>
              <w:bottom w:w="80" w:type="dxa"/>
              <w:right w:w="160" w:type="dxa"/>
            </w:tcMar>
            <w:vAlign w:val="center"/>
            <w:hideMark/>
          </w:tcPr>
          <w:p w14:paraId="3010D06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$28,179, plus 24% of the excess over $165,000.</w:t>
            </w:r>
          </w:p>
        </w:tc>
      </w:tr>
      <w:tr w:rsidR="005B3BD3" w:rsidRPr="008B3051" w14:paraId="5E647D2C"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9A9C3E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lastRenderedPageBreak/>
              <w:t>Over $315,000 but not over $400,000</w:t>
            </w:r>
          </w:p>
        </w:tc>
        <w:tc>
          <w:tcPr>
            <w:tcW w:w="0" w:type="auto"/>
            <w:tcBorders>
              <w:right w:val="nil"/>
            </w:tcBorders>
            <w:shd w:val="clear" w:color="auto" w:fill="auto"/>
            <w:tcMar>
              <w:top w:w="80" w:type="dxa"/>
              <w:left w:w="160" w:type="dxa"/>
              <w:bottom w:w="80" w:type="dxa"/>
              <w:right w:w="160" w:type="dxa"/>
            </w:tcMar>
            <w:vAlign w:val="center"/>
            <w:hideMark/>
          </w:tcPr>
          <w:p w14:paraId="50CCDDC4"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$64,179, plus 32% of the excess over $315,000.</w:t>
            </w:r>
          </w:p>
        </w:tc>
      </w:tr>
      <w:tr w:rsidR="005B3BD3" w:rsidRPr="008B3051" w14:paraId="106D00A3"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022DA1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$400,000 but not over $600,000</w:t>
            </w:r>
          </w:p>
        </w:tc>
        <w:tc>
          <w:tcPr>
            <w:tcW w:w="0" w:type="auto"/>
            <w:tcBorders>
              <w:right w:val="nil"/>
            </w:tcBorders>
            <w:shd w:val="clear" w:color="auto" w:fill="auto"/>
            <w:tcMar>
              <w:top w:w="80" w:type="dxa"/>
              <w:left w:w="160" w:type="dxa"/>
              <w:bottom w:w="80" w:type="dxa"/>
              <w:right w:w="160" w:type="dxa"/>
            </w:tcMar>
            <w:vAlign w:val="center"/>
            <w:hideMark/>
          </w:tcPr>
          <w:p w14:paraId="6414E39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$91,379, plus 35% of the excess over $400,000.</w:t>
            </w:r>
          </w:p>
        </w:tc>
      </w:tr>
      <w:tr w:rsidR="005B3BD3" w:rsidRPr="008B3051" w14:paraId="20BEE148"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0BE37B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$600,000</w:t>
            </w:r>
          </w:p>
        </w:tc>
        <w:tc>
          <w:tcPr>
            <w:tcW w:w="0" w:type="auto"/>
            <w:tcBorders>
              <w:right w:val="nil"/>
            </w:tcBorders>
            <w:shd w:val="clear" w:color="auto" w:fill="auto"/>
            <w:tcMar>
              <w:top w:w="80" w:type="dxa"/>
              <w:left w:w="160" w:type="dxa"/>
              <w:bottom w:w="80" w:type="dxa"/>
              <w:right w:w="160" w:type="dxa"/>
            </w:tcMar>
            <w:vAlign w:val="center"/>
            <w:hideMark/>
          </w:tcPr>
          <w:p w14:paraId="5C6B704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$161,379, plus 37% of the excess over $600,000.</w:t>
            </w:r>
          </w:p>
        </w:tc>
      </w:tr>
    </w:tbl>
    <w:p w14:paraId="55D5554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1" w:name="j_2_B"/>
      <w:bookmarkEnd w:id="201"/>
      <w:r w:rsidRPr="008B3051">
        <w:rPr>
          <w:rFonts w:ascii="Verdana" w:eastAsia="Times New Roman" w:hAnsi="Verdana" w:cs="Times New Roman"/>
          <w:b/>
          <w:bCs/>
          <w:sz w:val="24"/>
          <w:szCs w:val="24"/>
        </w:rPr>
        <w:t>(B)Heads of households</w:t>
      </w:r>
    </w:p>
    <w:p w14:paraId="74367C7B" w14:textId="77777777"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following table shall be applied in lieu of the table contained in subsection (b):</w:t>
      </w:r>
    </w:p>
    <w:tbl>
      <w:tblPr>
        <w:tblW w:w="4500" w:type="pct"/>
        <w:tblCellMar>
          <w:top w:w="15" w:type="dxa"/>
          <w:left w:w="15" w:type="dxa"/>
          <w:bottom w:w="15" w:type="dxa"/>
          <w:right w:w="15" w:type="dxa"/>
        </w:tblCellMar>
        <w:tblLook w:val="04A0" w:firstRow="1" w:lastRow="0" w:firstColumn="1" w:lastColumn="0" w:noHBand="0" w:noVBand="1"/>
      </w:tblPr>
      <w:tblGrid>
        <w:gridCol w:w="3717"/>
        <w:gridCol w:w="4707"/>
      </w:tblGrid>
      <w:tr w:rsidR="005B3BD3" w:rsidRPr="008B3051" w14:paraId="0AEEBA31"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9527125"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1ACB7907"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5CF34AB0"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369A99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$13,600</w:t>
            </w:r>
          </w:p>
        </w:tc>
        <w:tc>
          <w:tcPr>
            <w:tcW w:w="0" w:type="auto"/>
            <w:tcBorders>
              <w:right w:val="nil"/>
            </w:tcBorders>
            <w:shd w:val="clear" w:color="auto" w:fill="auto"/>
            <w:tcMar>
              <w:top w:w="80" w:type="dxa"/>
              <w:left w:w="160" w:type="dxa"/>
              <w:bottom w:w="80" w:type="dxa"/>
              <w:right w:w="160" w:type="dxa"/>
            </w:tcMar>
            <w:vAlign w:val="center"/>
            <w:hideMark/>
          </w:tcPr>
          <w:p w14:paraId="079AE94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 of taxable income.</w:t>
            </w:r>
          </w:p>
        </w:tc>
      </w:tr>
      <w:tr w:rsidR="005B3BD3" w:rsidRPr="008B3051" w14:paraId="6467907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C85273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$13,600 but not over $51,800</w:t>
            </w:r>
          </w:p>
        </w:tc>
        <w:tc>
          <w:tcPr>
            <w:tcW w:w="0" w:type="auto"/>
            <w:tcBorders>
              <w:right w:val="nil"/>
            </w:tcBorders>
            <w:shd w:val="clear" w:color="auto" w:fill="auto"/>
            <w:tcMar>
              <w:top w:w="80" w:type="dxa"/>
              <w:left w:w="160" w:type="dxa"/>
              <w:bottom w:w="80" w:type="dxa"/>
              <w:right w:w="160" w:type="dxa"/>
            </w:tcMar>
            <w:vAlign w:val="center"/>
            <w:hideMark/>
          </w:tcPr>
          <w:p w14:paraId="1B3F3F2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$1,360, plus 12% of the excess over $13,600.</w:t>
            </w:r>
          </w:p>
        </w:tc>
      </w:tr>
      <w:tr w:rsidR="005B3BD3" w:rsidRPr="008B3051" w14:paraId="15A91D33"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41E0D6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$51,800 but not over $82,500</w:t>
            </w:r>
          </w:p>
        </w:tc>
        <w:tc>
          <w:tcPr>
            <w:tcW w:w="0" w:type="auto"/>
            <w:tcBorders>
              <w:right w:val="nil"/>
            </w:tcBorders>
            <w:shd w:val="clear" w:color="auto" w:fill="auto"/>
            <w:tcMar>
              <w:top w:w="80" w:type="dxa"/>
              <w:left w:w="160" w:type="dxa"/>
              <w:bottom w:w="80" w:type="dxa"/>
              <w:right w:w="160" w:type="dxa"/>
            </w:tcMar>
            <w:vAlign w:val="center"/>
            <w:hideMark/>
          </w:tcPr>
          <w:p w14:paraId="3FF42E8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$5,944, plus 22% of the excess over $51,800.</w:t>
            </w:r>
          </w:p>
        </w:tc>
      </w:tr>
      <w:tr w:rsidR="005B3BD3" w:rsidRPr="008B3051" w14:paraId="5C468C00"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3D1FD8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$82,500 but not over $157,500</w:t>
            </w:r>
          </w:p>
        </w:tc>
        <w:tc>
          <w:tcPr>
            <w:tcW w:w="0" w:type="auto"/>
            <w:tcBorders>
              <w:right w:val="nil"/>
            </w:tcBorders>
            <w:shd w:val="clear" w:color="auto" w:fill="auto"/>
            <w:tcMar>
              <w:top w:w="80" w:type="dxa"/>
              <w:left w:w="160" w:type="dxa"/>
              <w:bottom w:w="80" w:type="dxa"/>
              <w:right w:w="160" w:type="dxa"/>
            </w:tcMar>
            <w:vAlign w:val="center"/>
            <w:hideMark/>
          </w:tcPr>
          <w:p w14:paraId="79F8E3C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$12,698, plus 24% of the excess over $82,500.</w:t>
            </w:r>
          </w:p>
        </w:tc>
      </w:tr>
      <w:tr w:rsidR="005B3BD3" w:rsidRPr="008B3051" w14:paraId="24526611"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1975C60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$157,500 but not over $200,000</w:t>
            </w:r>
          </w:p>
        </w:tc>
        <w:tc>
          <w:tcPr>
            <w:tcW w:w="0" w:type="auto"/>
            <w:tcBorders>
              <w:right w:val="nil"/>
            </w:tcBorders>
            <w:shd w:val="clear" w:color="auto" w:fill="auto"/>
            <w:tcMar>
              <w:top w:w="80" w:type="dxa"/>
              <w:left w:w="160" w:type="dxa"/>
              <w:bottom w:w="80" w:type="dxa"/>
              <w:right w:w="160" w:type="dxa"/>
            </w:tcMar>
            <w:vAlign w:val="center"/>
            <w:hideMark/>
          </w:tcPr>
          <w:p w14:paraId="563AAED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$30,698, plus 32% of the excess over $157,500.</w:t>
            </w:r>
          </w:p>
        </w:tc>
      </w:tr>
      <w:tr w:rsidR="005B3BD3" w:rsidRPr="008B3051" w14:paraId="2649A4D7"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8226C9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$200,000 but not over $500,000</w:t>
            </w:r>
          </w:p>
        </w:tc>
        <w:tc>
          <w:tcPr>
            <w:tcW w:w="0" w:type="auto"/>
            <w:tcBorders>
              <w:right w:val="nil"/>
            </w:tcBorders>
            <w:shd w:val="clear" w:color="auto" w:fill="auto"/>
            <w:tcMar>
              <w:top w:w="80" w:type="dxa"/>
              <w:left w:w="160" w:type="dxa"/>
              <w:bottom w:w="80" w:type="dxa"/>
              <w:right w:w="160" w:type="dxa"/>
            </w:tcMar>
            <w:vAlign w:val="center"/>
            <w:hideMark/>
          </w:tcPr>
          <w:p w14:paraId="2BACFBE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$44,298, plus 35% of the excess over $200,000.</w:t>
            </w:r>
          </w:p>
        </w:tc>
      </w:tr>
      <w:tr w:rsidR="005B3BD3" w:rsidRPr="008B3051" w14:paraId="11A06CF9"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2459B9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$500,000</w:t>
            </w:r>
          </w:p>
        </w:tc>
        <w:tc>
          <w:tcPr>
            <w:tcW w:w="0" w:type="auto"/>
            <w:tcBorders>
              <w:right w:val="nil"/>
            </w:tcBorders>
            <w:shd w:val="clear" w:color="auto" w:fill="auto"/>
            <w:tcMar>
              <w:top w:w="80" w:type="dxa"/>
              <w:left w:w="160" w:type="dxa"/>
              <w:bottom w:w="80" w:type="dxa"/>
              <w:right w:w="160" w:type="dxa"/>
            </w:tcMar>
            <w:vAlign w:val="center"/>
            <w:hideMark/>
          </w:tcPr>
          <w:p w14:paraId="736F586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$149,298, plus 37% of the excess over $500,000.</w:t>
            </w:r>
          </w:p>
        </w:tc>
      </w:tr>
    </w:tbl>
    <w:p w14:paraId="52814D6B"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2" w:name="j_2_C"/>
      <w:bookmarkEnd w:id="202"/>
      <w:r w:rsidRPr="008B3051">
        <w:rPr>
          <w:rFonts w:ascii="Verdana" w:eastAsia="Times New Roman" w:hAnsi="Verdana" w:cs="Times New Roman"/>
          <w:b/>
          <w:bCs/>
          <w:sz w:val="24"/>
          <w:szCs w:val="24"/>
        </w:rPr>
        <w:t>(C)Unmarried individuals other than surviving spouses and heads of households</w:t>
      </w:r>
    </w:p>
    <w:p w14:paraId="4583EE38" w14:textId="77777777"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following table shall be applied in lieu of the table contained in subsection (c):</w:t>
      </w:r>
    </w:p>
    <w:tbl>
      <w:tblPr>
        <w:tblW w:w="4500" w:type="pct"/>
        <w:tblCellMar>
          <w:top w:w="15" w:type="dxa"/>
          <w:left w:w="15" w:type="dxa"/>
          <w:bottom w:w="15" w:type="dxa"/>
          <w:right w:w="15" w:type="dxa"/>
        </w:tblCellMar>
        <w:tblLook w:val="04A0" w:firstRow="1" w:lastRow="0" w:firstColumn="1" w:lastColumn="0" w:noHBand="0" w:noVBand="1"/>
      </w:tblPr>
      <w:tblGrid>
        <w:gridCol w:w="3617"/>
        <w:gridCol w:w="4807"/>
      </w:tblGrid>
      <w:tr w:rsidR="005B3BD3" w:rsidRPr="008B3051" w14:paraId="030A183E"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7156A6D8"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244B97C5"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06CADA2D"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3550B46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$9,525</w:t>
            </w:r>
          </w:p>
        </w:tc>
        <w:tc>
          <w:tcPr>
            <w:tcW w:w="0" w:type="auto"/>
            <w:tcBorders>
              <w:right w:val="nil"/>
            </w:tcBorders>
            <w:shd w:val="clear" w:color="auto" w:fill="auto"/>
            <w:tcMar>
              <w:top w:w="80" w:type="dxa"/>
              <w:left w:w="160" w:type="dxa"/>
              <w:bottom w:w="80" w:type="dxa"/>
              <w:right w:w="160" w:type="dxa"/>
            </w:tcMar>
            <w:vAlign w:val="center"/>
            <w:hideMark/>
          </w:tcPr>
          <w:p w14:paraId="7426926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 of taxable income.</w:t>
            </w:r>
          </w:p>
        </w:tc>
      </w:tr>
      <w:tr w:rsidR="005B3BD3" w:rsidRPr="008B3051" w14:paraId="25238E1C"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F20ADB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$9,525 but not over $38,700</w:t>
            </w:r>
          </w:p>
        </w:tc>
        <w:tc>
          <w:tcPr>
            <w:tcW w:w="0" w:type="auto"/>
            <w:tcBorders>
              <w:right w:val="nil"/>
            </w:tcBorders>
            <w:shd w:val="clear" w:color="auto" w:fill="auto"/>
            <w:tcMar>
              <w:top w:w="80" w:type="dxa"/>
              <w:left w:w="160" w:type="dxa"/>
              <w:bottom w:w="80" w:type="dxa"/>
              <w:right w:w="160" w:type="dxa"/>
            </w:tcMar>
            <w:vAlign w:val="center"/>
            <w:hideMark/>
          </w:tcPr>
          <w:p w14:paraId="13B5164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$952.50, plus 12% of the excess over $9,525.</w:t>
            </w:r>
          </w:p>
        </w:tc>
      </w:tr>
      <w:tr w:rsidR="005B3BD3" w:rsidRPr="008B3051" w14:paraId="380712FF"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600FA17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$38,700 but not over $82,500</w:t>
            </w:r>
          </w:p>
        </w:tc>
        <w:tc>
          <w:tcPr>
            <w:tcW w:w="0" w:type="auto"/>
            <w:tcBorders>
              <w:right w:val="nil"/>
            </w:tcBorders>
            <w:shd w:val="clear" w:color="auto" w:fill="auto"/>
            <w:tcMar>
              <w:top w:w="80" w:type="dxa"/>
              <w:left w:w="160" w:type="dxa"/>
              <w:bottom w:w="80" w:type="dxa"/>
              <w:right w:w="160" w:type="dxa"/>
            </w:tcMar>
            <w:vAlign w:val="center"/>
            <w:hideMark/>
          </w:tcPr>
          <w:p w14:paraId="52B2FFAB"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$4,453.50, plus 22% of the excess over $38,700.</w:t>
            </w:r>
          </w:p>
        </w:tc>
      </w:tr>
      <w:tr w:rsidR="005B3BD3" w:rsidRPr="008B3051" w14:paraId="2D0D5171"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2708C3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$82,500 but not over $157,500</w:t>
            </w:r>
          </w:p>
        </w:tc>
        <w:tc>
          <w:tcPr>
            <w:tcW w:w="0" w:type="auto"/>
            <w:tcBorders>
              <w:right w:val="nil"/>
            </w:tcBorders>
            <w:shd w:val="clear" w:color="auto" w:fill="auto"/>
            <w:tcMar>
              <w:top w:w="80" w:type="dxa"/>
              <w:left w:w="160" w:type="dxa"/>
              <w:bottom w:w="80" w:type="dxa"/>
              <w:right w:w="160" w:type="dxa"/>
            </w:tcMar>
            <w:vAlign w:val="center"/>
            <w:hideMark/>
          </w:tcPr>
          <w:p w14:paraId="32C0E491"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$14,089.50, plus 24% of the excess over $82,500.</w:t>
            </w:r>
          </w:p>
        </w:tc>
      </w:tr>
      <w:tr w:rsidR="005B3BD3" w:rsidRPr="008B3051" w14:paraId="4C83E429"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2FA207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lastRenderedPageBreak/>
              <w:t>Over $157,500 but not over $200,000</w:t>
            </w:r>
          </w:p>
        </w:tc>
        <w:tc>
          <w:tcPr>
            <w:tcW w:w="0" w:type="auto"/>
            <w:tcBorders>
              <w:right w:val="nil"/>
            </w:tcBorders>
            <w:shd w:val="clear" w:color="auto" w:fill="auto"/>
            <w:tcMar>
              <w:top w:w="80" w:type="dxa"/>
              <w:left w:w="160" w:type="dxa"/>
              <w:bottom w:w="80" w:type="dxa"/>
              <w:right w:w="160" w:type="dxa"/>
            </w:tcMar>
            <w:vAlign w:val="center"/>
            <w:hideMark/>
          </w:tcPr>
          <w:p w14:paraId="00BC227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$32,089.50, plus 32% of the excess over $157,500.</w:t>
            </w:r>
          </w:p>
        </w:tc>
      </w:tr>
      <w:tr w:rsidR="005B3BD3" w:rsidRPr="008B3051" w14:paraId="3304563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AD4CF0F"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$200,000 but not over $500,000</w:t>
            </w:r>
          </w:p>
        </w:tc>
        <w:tc>
          <w:tcPr>
            <w:tcW w:w="0" w:type="auto"/>
            <w:tcBorders>
              <w:right w:val="nil"/>
            </w:tcBorders>
            <w:shd w:val="clear" w:color="auto" w:fill="auto"/>
            <w:tcMar>
              <w:top w:w="80" w:type="dxa"/>
              <w:left w:w="160" w:type="dxa"/>
              <w:bottom w:w="80" w:type="dxa"/>
              <w:right w:w="160" w:type="dxa"/>
            </w:tcMar>
            <w:vAlign w:val="center"/>
            <w:hideMark/>
          </w:tcPr>
          <w:p w14:paraId="511879C5"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$45,689.50, plus 35% of the excess over $200,000.</w:t>
            </w:r>
          </w:p>
        </w:tc>
      </w:tr>
      <w:tr w:rsidR="005B3BD3" w:rsidRPr="008B3051" w14:paraId="7813A67F"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86BE85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$500,000</w:t>
            </w:r>
          </w:p>
        </w:tc>
        <w:tc>
          <w:tcPr>
            <w:tcW w:w="0" w:type="auto"/>
            <w:tcBorders>
              <w:right w:val="nil"/>
            </w:tcBorders>
            <w:shd w:val="clear" w:color="auto" w:fill="auto"/>
            <w:tcMar>
              <w:top w:w="80" w:type="dxa"/>
              <w:left w:w="160" w:type="dxa"/>
              <w:bottom w:w="80" w:type="dxa"/>
              <w:right w:w="160" w:type="dxa"/>
            </w:tcMar>
            <w:vAlign w:val="center"/>
            <w:hideMark/>
          </w:tcPr>
          <w:p w14:paraId="6EBD87E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$150,689.50, plus 37% of the excess over $500,000.</w:t>
            </w:r>
          </w:p>
        </w:tc>
      </w:tr>
    </w:tbl>
    <w:p w14:paraId="24E7407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3" w:name="j_2_D"/>
      <w:bookmarkEnd w:id="203"/>
      <w:r w:rsidRPr="008B3051">
        <w:rPr>
          <w:rFonts w:ascii="Verdana" w:eastAsia="Times New Roman" w:hAnsi="Verdana" w:cs="Times New Roman"/>
          <w:b/>
          <w:bCs/>
          <w:sz w:val="24"/>
          <w:szCs w:val="24"/>
        </w:rPr>
        <w:t>(D)Married individuals filing separate returns</w:t>
      </w:r>
    </w:p>
    <w:p w14:paraId="56A0BF1D" w14:textId="77777777"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following table shall be applied in lieu of the table contained in subsection (d):</w:t>
      </w:r>
    </w:p>
    <w:tbl>
      <w:tblPr>
        <w:tblW w:w="4500" w:type="pct"/>
        <w:tblCellMar>
          <w:top w:w="15" w:type="dxa"/>
          <w:left w:w="15" w:type="dxa"/>
          <w:bottom w:w="15" w:type="dxa"/>
          <w:right w:w="15" w:type="dxa"/>
        </w:tblCellMar>
        <w:tblLook w:val="04A0" w:firstRow="1" w:lastRow="0" w:firstColumn="1" w:lastColumn="0" w:noHBand="0" w:noVBand="1"/>
      </w:tblPr>
      <w:tblGrid>
        <w:gridCol w:w="3656"/>
        <w:gridCol w:w="4768"/>
      </w:tblGrid>
      <w:tr w:rsidR="005B3BD3" w:rsidRPr="008B3051" w14:paraId="67257541"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FD0A9FA"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3315D1FC"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3F8EEE5B"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23102E1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$9,525</w:t>
            </w:r>
          </w:p>
        </w:tc>
        <w:tc>
          <w:tcPr>
            <w:tcW w:w="0" w:type="auto"/>
            <w:tcBorders>
              <w:right w:val="nil"/>
            </w:tcBorders>
            <w:shd w:val="clear" w:color="auto" w:fill="auto"/>
            <w:tcMar>
              <w:top w:w="80" w:type="dxa"/>
              <w:left w:w="160" w:type="dxa"/>
              <w:bottom w:w="80" w:type="dxa"/>
              <w:right w:w="160" w:type="dxa"/>
            </w:tcMar>
            <w:vAlign w:val="center"/>
            <w:hideMark/>
          </w:tcPr>
          <w:p w14:paraId="3EC5A670"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 of taxable income.</w:t>
            </w:r>
          </w:p>
        </w:tc>
      </w:tr>
      <w:tr w:rsidR="005B3BD3" w:rsidRPr="008B3051" w14:paraId="7381505B"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695AE077"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$9,525 but not over $38,700</w:t>
            </w:r>
          </w:p>
        </w:tc>
        <w:tc>
          <w:tcPr>
            <w:tcW w:w="0" w:type="auto"/>
            <w:tcBorders>
              <w:right w:val="nil"/>
            </w:tcBorders>
            <w:shd w:val="clear" w:color="auto" w:fill="auto"/>
            <w:tcMar>
              <w:top w:w="80" w:type="dxa"/>
              <w:left w:w="160" w:type="dxa"/>
              <w:bottom w:w="80" w:type="dxa"/>
              <w:right w:w="160" w:type="dxa"/>
            </w:tcMar>
            <w:vAlign w:val="center"/>
            <w:hideMark/>
          </w:tcPr>
          <w:p w14:paraId="5E62130A"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$952.50, plus 12% of the excess over $9,525.</w:t>
            </w:r>
          </w:p>
        </w:tc>
      </w:tr>
      <w:tr w:rsidR="005B3BD3" w:rsidRPr="008B3051" w14:paraId="1D0530B2"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42F4983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$38,700 but not over $82,500</w:t>
            </w:r>
          </w:p>
        </w:tc>
        <w:tc>
          <w:tcPr>
            <w:tcW w:w="0" w:type="auto"/>
            <w:tcBorders>
              <w:right w:val="nil"/>
            </w:tcBorders>
            <w:shd w:val="clear" w:color="auto" w:fill="auto"/>
            <w:tcMar>
              <w:top w:w="80" w:type="dxa"/>
              <w:left w:w="160" w:type="dxa"/>
              <w:bottom w:w="80" w:type="dxa"/>
              <w:right w:w="160" w:type="dxa"/>
            </w:tcMar>
            <w:vAlign w:val="center"/>
            <w:hideMark/>
          </w:tcPr>
          <w:p w14:paraId="3C8031D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$4,453.50, plus 22% of the excess over $38,700.</w:t>
            </w:r>
          </w:p>
        </w:tc>
      </w:tr>
      <w:tr w:rsidR="005B3BD3" w:rsidRPr="008B3051" w14:paraId="5D22738B"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6B29CE7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$82,500 but not over $157,500</w:t>
            </w:r>
          </w:p>
        </w:tc>
        <w:tc>
          <w:tcPr>
            <w:tcW w:w="0" w:type="auto"/>
            <w:tcBorders>
              <w:right w:val="nil"/>
            </w:tcBorders>
            <w:shd w:val="clear" w:color="auto" w:fill="auto"/>
            <w:tcMar>
              <w:top w:w="80" w:type="dxa"/>
              <w:left w:w="160" w:type="dxa"/>
              <w:bottom w:w="80" w:type="dxa"/>
              <w:right w:w="160" w:type="dxa"/>
            </w:tcMar>
            <w:vAlign w:val="center"/>
            <w:hideMark/>
          </w:tcPr>
          <w:p w14:paraId="3DE3899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$14,089.50, plus 24% of the excess over $82,500.</w:t>
            </w:r>
          </w:p>
        </w:tc>
      </w:tr>
      <w:tr w:rsidR="005B3BD3" w:rsidRPr="008B3051" w14:paraId="2B9A5665"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DB787D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$157,500 but not over $200,000</w:t>
            </w:r>
          </w:p>
        </w:tc>
        <w:tc>
          <w:tcPr>
            <w:tcW w:w="0" w:type="auto"/>
            <w:tcBorders>
              <w:right w:val="nil"/>
            </w:tcBorders>
            <w:shd w:val="clear" w:color="auto" w:fill="auto"/>
            <w:tcMar>
              <w:top w:w="80" w:type="dxa"/>
              <w:left w:w="160" w:type="dxa"/>
              <w:bottom w:w="80" w:type="dxa"/>
              <w:right w:w="160" w:type="dxa"/>
            </w:tcMar>
            <w:vAlign w:val="center"/>
            <w:hideMark/>
          </w:tcPr>
          <w:p w14:paraId="54E335F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$32,089.50, plus 32% of the excess over $157,500.</w:t>
            </w:r>
          </w:p>
        </w:tc>
      </w:tr>
      <w:tr w:rsidR="005B3BD3" w:rsidRPr="008B3051" w14:paraId="3B7D4B83"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AF1185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$200,000 but not over $300,000</w:t>
            </w:r>
          </w:p>
        </w:tc>
        <w:tc>
          <w:tcPr>
            <w:tcW w:w="0" w:type="auto"/>
            <w:tcBorders>
              <w:right w:val="nil"/>
            </w:tcBorders>
            <w:shd w:val="clear" w:color="auto" w:fill="auto"/>
            <w:tcMar>
              <w:top w:w="80" w:type="dxa"/>
              <w:left w:w="160" w:type="dxa"/>
              <w:bottom w:w="80" w:type="dxa"/>
              <w:right w:w="160" w:type="dxa"/>
            </w:tcMar>
            <w:vAlign w:val="center"/>
            <w:hideMark/>
          </w:tcPr>
          <w:p w14:paraId="6E40800C"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$45,689.50, plus 35% of the excess over $200,000.</w:t>
            </w:r>
          </w:p>
        </w:tc>
      </w:tr>
      <w:tr w:rsidR="005B3BD3" w:rsidRPr="008B3051" w14:paraId="7E3A4176"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0C6C3DE"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$300,000</w:t>
            </w:r>
          </w:p>
        </w:tc>
        <w:tc>
          <w:tcPr>
            <w:tcW w:w="0" w:type="auto"/>
            <w:tcBorders>
              <w:right w:val="nil"/>
            </w:tcBorders>
            <w:shd w:val="clear" w:color="auto" w:fill="auto"/>
            <w:tcMar>
              <w:top w:w="80" w:type="dxa"/>
              <w:left w:w="160" w:type="dxa"/>
              <w:bottom w:w="80" w:type="dxa"/>
              <w:right w:w="160" w:type="dxa"/>
            </w:tcMar>
            <w:vAlign w:val="center"/>
            <w:hideMark/>
          </w:tcPr>
          <w:p w14:paraId="74550F5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$80,689.50, plus 37% of the excess over $300,000.</w:t>
            </w:r>
          </w:p>
        </w:tc>
      </w:tr>
    </w:tbl>
    <w:p w14:paraId="1BEE496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4" w:name="j_2_E"/>
      <w:bookmarkEnd w:id="204"/>
      <w:r w:rsidRPr="008B3051">
        <w:rPr>
          <w:rFonts w:ascii="Verdana" w:eastAsia="Times New Roman" w:hAnsi="Verdana" w:cs="Times New Roman"/>
          <w:b/>
          <w:bCs/>
          <w:sz w:val="24"/>
          <w:szCs w:val="24"/>
        </w:rPr>
        <w:t>(E)Estates and trusts</w:t>
      </w:r>
    </w:p>
    <w:p w14:paraId="1F81A4F2" w14:textId="77777777" w:rsidR="005B3BD3" w:rsidRPr="008B3051" w:rsidRDefault="005B3BD3" w:rsidP="005B3BD3">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following table shall be applied in lieu of the table contained in subsection (e):</w:t>
      </w:r>
    </w:p>
    <w:tbl>
      <w:tblPr>
        <w:tblW w:w="4500" w:type="pct"/>
        <w:tblCellMar>
          <w:top w:w="15" w:type="dxa"/>
          <w:left w:w="15" w:type="dxa"/>
          <w:bottom w:w="15" w:type="dxa"/>
          <w:right w:w="15" w:type="dxa"/>
        </w:tblCellMar>
        <w:tblLook w:val="04A0" w:firstRow="1" w:lastRow="0" w:firstColumn="1" w:lastColumn="0" w:noHBand="0" w:noVBand="1"/>
      </w:tblPr>
      <w:tblGrid>
        <w:gridCol w:w="3529"/>
        <w:gridCol w:w="4895"/>
      </w:tblGrid>
      <w:tr w:rsidR="005B3BD3" w:rsidRPr="008B3051" w14:paraId="1E69AE50" w14:textId="77777777" w:rsidTr="005B3BD3">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4BA18CD0"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“If taxable income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FA3EA8C" w14:textId="77777777" w:rsidR="005B3BD3" w:rsidRPr="008B3051" w:rsidRDefault="005B3BD3" w:rsidP="005B3BD3">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tax is:</w:t>
            </w:r>
          </w:p>
        </w:tc>
      </w:tr>
      <w:tr w:rsidR="005B3BD3" w:rsidRPr="008B3051" w14:paraId="05D667CF"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5751086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Not over $2,550</w:t>
            </w:r>
          </w:p>
        </w:tc>
        <w:tc>
          <w:tcPr>
            <w:tcW w:w="0" w:type="auto"/>
            <w:tcBorders>
              <w:right w:val="nil"/>
            </w:tcBorders>
            <w:shd w:val="clear" w:color="auto" w:fill="auto"/>
            <w:tcMar>
              <w:top w:w="80" w:type="dxa"/>
              <w:left w:w="160" w:type="dxa"/>
              <w:bottom w:w="80" w:type="dxa"/>
              <w:right w:w="160" w:type="dxa"/>
            </w:tcMar>
            <w:vAlign w:val="center"/>
            <w:hideMark/>
          </w:tcPr>
          <w:p w14:paraId="5ABC535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10% of taxable income.</w:t>
            </w:r>
          </w:p>
        </w:tc>
      </w:tr>
      <w:tr w:rsidR="005B3BD3" w:rsidRPr="008B3051" w14:paraId="2CE8DC7A"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0D5927F3"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$2,550 but not over $9,150</w:t>
            </w:r>
          </w:p>
        </w:tc>
        <w:tc>
          <w:tcPr>
            <w:tcW w:w="0" w:type="auto"/>
            <w:tcBorders>
              <w:right w:val="nil"/>
            </w:tcBorders>
            <w:shd w:val="clear" w:color="auto" w:fill="auto"/>
            <w:tcMar>
              <w:top w:w="80" w:type="dxa"/>
              <w:left w:w="160" w:type="dxa"/>
              <w:bottom w:w="80" w:type="dxa"/>
              <w:right w:w="160" w:type="dxa"/>
            </w:tcMar>
            <w:vAlign w:val="center"/>
            <w:hideMark/>
          </w:tcPr>
          <w:p w14:paraId="305E4E26"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$255, plus 24% of the excess over $2,550.</w:t>
            </w:r>
          </w:p>
        </w:tc>
      </w:tr>
      <w:tr w:rsidR="005B3BD3" w:rsidRPr="008B3051" w14:paraId="7A6FEDD4"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7C5EF189"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$9,150 but not over $12,500</w:t>
            </w:r>
          </w:p>
        </w:tc>
        <w:tc>
          <w:tcPr>
            <w:tcW w:w="0" w:type="auto"/>
            <w:tcBorders>
              <w:right w:val="nil"/>
            </w:tcBorders>
            <w:shd w:val="clear" w:color="auto" w:fill="auto"/>
            <w:tcMar>
              <w:top w:w="80" w:type="dxa"/>
              <w:left w:w="160" w:type="dxa"/>
              <w:bottom w:w="80" w:type="dxa"/>
              <w:right w:w="160" w:type="dxa"/>
            </w:tcMar>
            <w:vAlign w:val="center"/>
            <w:hideMark/>
          </w:tcPr>
          <w:p w14:paraId="6164FDF8"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$1,839, plus 35% of the excess over $9,150.</w:t>
            </w:r>
          </w:p>
        </w:tc>
      </w:tr>
      <w:tr w:rsidR="005B3BD3" w:rsidRPr="008B3051" w14:paraId="500E1671" w14:textId="77777777" w:rsidTr="005B3BD3">
        <w:tc>
          <w:tcPr>
            <w:tcW w:w="0" w:type="auto"/>
            <w:tcBorders>
              <w:right w:val="single" w:sz="6" w:space="0" w:color="95B3D7"/>
            </w:tcBorders>
            <w:shd w:val="clear" w:color="auto" w:fill="auto"/>
            <w:tcMar>
              <w:top w:w="80" w:type="dxa"/>
              <w:left w:w="160" w:type="dxa"/>
              <w:bottom w:w="80" w:type="dxa"/>
              <w:right w:w="160" w:type="dxa"/>
            </w:tcMar>
            <w:vAlign w:val="center"/>
            <w:hideMark/>
          </w:tcPr>
          <w:p w14:paraId="3303DCF2"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Over $12,500</w:t>
            </w:r>
          </w:p>
        </w:tc>
        <w:tc>
          <w:tcPr>
            <w:tcW w:w="0" w:type="auto"/>
            <w:tcBorders>
              <w:right w:val="nil"/>
            </w:tcBorders>
            <w:shd w:val="clear" w:color="auto" w:fill="auto"/>
            <w:tcMar>
              <w:top w:w="80" w:type="dxa"/>
              <w:left w:w="160" w:type="dxa"/>
              <w:bottom w:w="80" w:type="dxa"/>
              <w:right w:w="160" w:type="dxa"/>
            </w:tcMar>
            <w:vAlign w:val="center"/>
            <w:hideMark/>
          </w:tcPr>
          <w:p w14:paraId="363FFE5D" w14:textId="77777777" w:rsidR="005B3BD3" w:rsidRPr="008B3051" w:rsidRDefault="005B3BD3" w:rsidP="005B3BD3">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$3,011.50, plus 37% of the excess over $12,500.</w:t>
            </w:r>
          </w:p>
        </w:tc>
      </w:tr>
    </w:tbl>
    <w:p w14:paraId="477FD30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5" w:name="j_2_F"/>
      <w:bookmarkEnd w:id="205"/>
      <w:r w:rsidRPr="008B3051">
        <w:rPr>
          <w:rFonts w:ascii="Verdana" w:eastAsia="Times New Roman" w:hAnsi="Verdana" w:cs="Times New Roman"/>
          <w:b/>
          <w:bCs/>
          <w:sz w:val="24"/>
          <w:szCs w:val="24"/>
        </w:rPr>
        <w:t>(F)References to rate tables</w:t>
      </w:r>
    </w:p>
    <w:p w14:paraId="0DCF958D" w14:textId="2D985FB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Any reference in this title to a rate of tax under subsection (c) shall be treated as a reference to the corresponding rate bracket under subparagraph (C) of this paragraph, except that the reference in section 3402(q)(1) to the third lowest rate of tax applicable under subsection (c) shall be treated as a reference to the fourth lowest rate of tax under subparagraph (C).</w:t>
      </w:r>
    </w:p>
    <w:p w14:paraId="6FA90C2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6" w:name="j_3"/>
      <w:bookmarkEnd w:id="206"/>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Adjustments</w:t>
      </w:r>
    </w:p>
    <w:p w14:paraId="4344FEE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7" w:name="j_3_A"/>
      <w:bookmarkEnd w:id="207"/>
      <w:r w:rsidRPr="008B3051">
        <w:rPr>
          <w:rFonts w:ascii="Verdana" w:eastAsia="Times New Roman" w:hAnsi="Verdana" w:cs="Times New Roman"/>
          <w:b/>
          <w:bCs/>
          <w:sz w:val="24"/>
          <w:szCs w:val="24"/>
        </w:rPr>
        <w:t>(A)No adjustment in 2018</w:t>
      </w:r>
    </w:p>
    <w:p w14:paraId="48F3B4C4" w14:textId="3734A0A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tables contained in paragraph (2) shall apply without adjustment for taxable years beginning after December 31, 2017, and before January 1, 2019.</w:t>
      </w:r>
    </w:p>
    <w:p w14:paraId="486A9CAB" w14:textId="75C989C3"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8" w:name="j_3_B"/>
      <w:bookmarkEnd w:id="208"/>
      <w:r w:rsidRPr="008B3051">
        <w:rPr>
          <w:rFonts w:ascii="Verdana" w:eastAsia="Times New Roman" w:hAnsi="Verdana" w:cs="Times New Roman"/>
          <w:b/>
          <w:bCs/>
          <w:sz w:val="24"/>
          <w:szCs w:val="24"/>
        </w:rPr>
        <w:t>(B)Subsequent years</w:t>
      </w:r>
      <w:r w:rsidRPr="008B3051">
        <w:rPr>
          <w:rFonts w:ascii="Verdana" w:eastAsia="Times New Roman" w:hAnsi="Verdana" w:cs="Times New Roman"/>
          <w:sz w:val="24"/>
          <w:szCs w:val="24"/>
        </w:rPr>
        <w:t>For taxable years beginning after December 31, 2018, the Secretary shall prescribe tables which shall apply in lieu of the tables contained in paragraph (2) in the same manner as under paragraphs (1) and (2) of subsection (f) (applied without regard to clauses (i) and (ii) of subsection (f)(2)(A)), except that in prescribing such tables—</w:t>
      </w:r>
    </w:p>
    <w:p w14:paraId="3D092151"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09" w:name="j_3_B_i"/>
      <w:bookmarkEnd w:id="209"/>
      <w:r w:rsidRPr="008B3051">
        <w:rPr>
          <w:rFonts w:ascii="Verdana" w:eastAsia="Times New Roman" w:hAnsi="Verdana" w:cs="Times New Roman"/>
          <w:b/>
          <w:bCs/>
          <w:sz w:val="24"/>
          <w:szCs w:val="24"/>
        </w:rPr>
        <w:t>(i)</w:t>
      </w:r>
    </w:p>
    <w:p w14:paraId="224FE80F" w14:textId="51F99E3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subsection (f)(3) shall be applied by substituting “calendar year 2017” for “calendar year 2016” in subparagraph (A)(ii) thereof,</w:t>
      </w:r>
    </w:p>
    <w:p w14:paraId="6E8653C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0" w:name="j_3_B_ii"/>
      <w:bookmarkEnd w:id="210"/>
      <w:r w:rsidRPr="008B3051">
        <w:rPr>
          <w:rFonts w:ascii="Verdana" w:eastAsia="Times New Roman" w:hAnsi="Verdana" w:cs="Times New Roman"/>
          <w:b/>
          <w:bCs/>
          <w:sz w:val="24"/>
          <w:szCs w:val="24"/>
        </w:rPr>
        <w:t>(ii)</w:t>
      </w:r>
    </w:p>
    <w:p w14:paraId="3249BCD6"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subsection (f)(7)(B) shall apply to any unmarried individual other than a surviving spouse or head of household, and</w:t>
      </w:r>
    </w:p>
    <w:p w14:paraId="51DE1DC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1" w:name="j_3_B_iii"/>
      <w:bookmarkEnd w:id="211"/>
      <w:r w:rsidRPr="008B3051">
        <w:rPr>
          <w:rFonts w:ascii="Verdana" w:eastAsia="Times New Roman" w:hAnsi="Verdana" w:cs="Times New Roman"/>
          <w:b/>
          <w:bCs/>
          <w:sz w:val="24"/>
          <w:szCs w:val="24"/>
        </w:rPr>
        <w:t>(iii)</w:t>
      </w:r>
    </w:p>
    <w:p w14:paraId="512A4D4A"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subsection (f)(8) shall not apply.</w:t>
      </w:r>
    </w:p>
    <w:p w14:paraId="5EE3E779"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2" w:name="j_4"/>
      <w:bookmarkEnd w:id="212"/>
      <w:r w:rsidRPr="008B3051">
        <w:rPr>
          <w:rFonts w:ascii="Verdana" w:eastAsia="Times New Roman" w:hAnsi="Verdana" w:cs="Times New Roman"/>
          <w:b/>
          <w:bCs/>
          <w:sz w:val="24"/>
          <w:szCs w:val="24"/>
        </w:rPr>
        <w:t>(4)</w:t>
      </w:r>
      <w:r w:rsidRPr="008B3051">
        <w:rPr>
          <w:rFonts w:ascii="Verdana" w:eastAsia="Times New Roman" w:hAnsi="Verdana" w:cs="Times New Roman"/>
          <w:b/>
          <w:bCs/>
          <w:smallCaps/>
          <w:sz w:val="24"/>
          <w:szCs w:val="24"/>
        </w:rPr>
        <w:t>Special rules for certain children with unearned income</w:t>
      </w:r>
    </w:p>
    <w:p w14:paraId="6833F3C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3" w:name="j_4_A"/>
      <w:bookmarkEnd w:id="213"/>
      <w:r w:rsidRPr="008B3051">
        <w:rPr>
          <w:rFonts w:ascii="Verdana" w:eastAsia="Times New Roman" w:hAnsi="Verdana" w:cs="Times New Roman"/>
          <w:b/>
          <w:bCs/>
          <w:sz w:val="24"/>
          <w:szCs w:val="24"/>
        </w:rPr>
        <w:t>(A)In general</w:t>
      </w:r>
    </w:p>
    <w:p w14:paraId="2C1B3B69" w14:textId="77FA00D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child to whom subsection (g) applies for the taxable year, the rules of subparagraphs (B) and (C) shall apply in lieu of the rule under subsection (g)(1).</w:t>
      </w:r>
    </w:p>
    <w:p w14:paraId="2BC2EE22" w14:textId="639FCD6E"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4" w:name="j_4_B"/>
      <w:bookmarkEnd w:id="214"/>
      <w:r w:rsidRPr="008B3051">
        <w:rPr>
          <w:rFonts w:ascii="Verdana" w:eastAsia="Times New Roman" w:hAnsi="Verdana" w:cs="Times New Roman"/>
          <w:b/>
          <w:bCs/>
          <w:sz w:val="24"/>
          <w:szCs w:val="24"/>
        </w:rPr>
        <w:t>(B)Modifications to applicable rate brackets</w:t>
      </w:r>
      <w:r w:rsidRPr="008B3051">
        <w:rPr>
          <w:rFonts w:ascii="Verdana" w:eastAsia="Times New Roman" w:hAnsi="Verdana" w:cs="Times New Roman"/>
          <w:sz w:val="24"/>
          <w:szCs w:val="24"/>
        </w:rPr>
        <w:t>In determining the amount of tax imposed by this section for the taxable year on a child described in subparagraph (A), the income tax table otherwise applicable under this subsection to the child shall be applied with the following modifications:</w:t>
      </w:r>
    </w:p>
    <w:p w14:paraId="703650A9" w14:textId="09952F59"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5" w:name="j_4_B_i"/>
      <w:bookmarkEnd w:id="215"/>
      <w:r w:rsidRPr="008B3051">
        <w:rPr>
          <w:rFonts w:ascii="Verdana" w:eastAsia="Times New Roman" w:hAnsi="Verdana" w:cs="Times New Roman"/>
          <w:b/>
          <w:bCs/>
          <w:sz w:val="24"/>
          <w:szCs w:val="24"/>
        </w:rPr>
        <w:t>(i)24-percent bracket</w:t>
      </w:r>
      <w:r w:rsidRPr="008B3051">
        <w:rPr>
          <w:rFonts w:ascii="Verdana" w:eastAsia="Times New Roman" w:hAnsi="Verdana" w:cs="Times New Roman"/>
          <w:sz w:val="24"/>
          <w:szCs w:val="24"/>
        </w:rPr>
        <w:t>The maximum taxable income which is taxed at a rate below 24 percent shall not be more than the sum of—</w:t>
      </w:r>
    </w:p>
    <w:p w14:paraId="6EC15A14"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6" w:name="j_4_B_i_I"/>
      <w:bookmarkEnd w:id="216"/>
      <w:r w:rsidRPr="008B3051">
        <w:rPr>
          <w:rFonts w:ascii="Verdana" w:eastAsia="Times New Roman" w:hAnsi="Verdana" w:cs="Times New Roman"/>
          <w:b/>
          <w:bCs/>
          <w:sz w:val="24"/>
          <w:szCs w:val="24"/>
        </w:rPr>
        <w:t>(I)</w:t>
      </w:r>
    </w:p>
    <w:p w14:paraId="0AA9A6AF" w14:textId="3F1E8DF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earned taxable income of such child, plus</w:t>
      </w:r>
    </w:p>
    <w:p w14:paraId="296C2CF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7" w:name="j_4_B_i_II"/>
      <w:bookmarkEnd w:id="217"/>
      <w:r w:rsidRPr="008B3051">
        <w:rPr>
          <w:rFonts w:ascii="Verdana" w:eastAsia="Times New Roman" w:hAnsi="Verdana" w:cs="Times New Roman"/>
          <w:b/>
          <w:bCs/>
          <w:sz w:val="24"/>
          <w:szCs w:val="24"/>
        </w:rPr>
        <w:t>(II)</w:t>
      </w:r>
    </w:p>
    <w:p w14:paraId="3605CBB5" w14:textId="275C401D"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minimum taxable income for the 24-percent bracket in the table under paragraph (2)(E) (as adjusted under paragraph (3)) for the taxable year.</w:t>
      </w:r>
    </w:p>
    <w:p w14:paraId="1764BFA4" w14:textId="2F91D876"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8" w:name="j_4_B_ii"/>
      <w:bookmarkEnd w:id="218"/>
      <w:r w:rsidRPr="008B3051">
        <w:rPr>
          <w:rFonts w:ascii="Verdana" w:eastAsia="Times New Roman" w:hAnsi="Verdana" w:cs="Times New Roman"/>
          <w:b/>
          <w:bCs/>
          <w:sz w:val="24"/>
          <w:szCs w:val="24"/>
        </w:rPr>
        <w:t>(ii)35-percent bracket</w:t>
      </w:r>
      <w:r w:rsidRPr="008B3051">
        <w:rPr>
          <w:rFonts w:ascii="Verdana" w:eastAsia="Times New Roman" w:hAnsi="Verdana" w:cs="Times New Roman"/>
          <w:sz w:val="24"/>
          <w:szCs w:val="24"/>
        </w:rPr>
        <w:t>The maximum taxable income which is taxed at a rate below 35 percent shall not be more than the sum of—</w:t>
      </w:r>
    </w:p>
    <w:p w14:paraId="0F18A4B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19" w:name="j_4_B_ii_I"/>
      <w:bookmarkEnd w:id="219"/>
      <w:r w:rsidRPr="008B3051">
        <w:rPr>
          <w:rFonts w:ascii="Verdana" w:eastAsia="Times New Roman" w:hAnsi="Verdana" w:cs="Times New Roman"/>
          <w:b/>
          <w:bCs/>
          <w:sz w:val="24"/>
          <w:szCs w:val="24"/>
        </w:rPr>
        <w:t>(I)</w:t>
      </w:r>
    </w:p>
    <w:p w14:paraId="3F7495F1" w14:textId="701D3BD1"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earned taxable income of such child, plus</w:t>
      </w:r>
    </w:p>
    <w:p w14:paraId="76A909A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0" w:name="j_4_B_ii_II"/>
      <w:bookmarkEnd w:id="220"/>
      <w:r w:rsidRPr="008B3051">
        <w:rPr>
          <w:rFonts w:ascii="Verdana" w:eastAsia="Times New Roman" w:hAnsi="Verdana" w:cs="Times New Roman"/>
          <w:b/>
          <w:bCs/>
          <w:sz w:val="24"/>
          <w:szCs w:val="24"/>
        </w:rPr>
        <w:t>(II)</w:t>
      </w:r>
    </w:p>
    <w:p w14:paraId="4DE33F7A" w14:textId="2D5FCC88"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minimum taxable income for the 35-percent bracket in the table under paragraph (2)(E) (as adjusted under paragraph (3)) for the taxable year.</w:t>
      </w:r>
    </w:p>
    <w:p w14:paraId="22070B02" w14:textId="47D74EEB"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1" w:name="j_4_B_iii"/>
      <w:bookmarkEnd w:id="221"/>
      <w:r w:rsidRPr="008B3051">
        <w:rPr>
          <w:rFonts w:ascii="Verdana" w:eastAsia="Times New Roman" w:hAnsi="Verdana" w:cs="Times New Roman"/>
          <w:b/>
          <w:bCs/>
          <w:sz w:val="24"/>
          <w:szCs w:val="24"/>
        </w:rPr>
        <w:t>(iii)37-percent bracket</w:t>
      </w:r>
      <w:r w:rsidRPr="008B3051">
        <w:rPr>
          <w:rFonts w:ascii="Verdana" w:eastAsia="Times New Roman" w:hAnsi="Verdana" w:cs="Times New Roman"/>
          <w:sz w:val="24"/>
          <w:szCs w:val="24"/>
        </w:rPr>
        <w:t>The maximum taxable income which is taxed at a rate below 37 percent shall not be more than the sum of—</w:t>
      </w:r>
    </w:p>
    <w:p w14:paraId="033DFD7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2" w:name="j_4_B_iii_I"/>
      <w:bookmarkEnd w:id="222"/>
      <w:r w:rsidRPr="008B3051">
        <w:rPr>
          <w:rFonts w:ascii="Verdana" w:eastAsia="Times New Roman" w:hAnsi="Verdana" w:cs="Times New Roman"/>
          <w:b/>
          <w:bCs/>
          <w:sz w:val="24"/>
          <w:szCs w:val="24"/>
        </w:rPr>
        <w:t>(I)</w:t>
      </w:r>
    </w:p>
    <w:p w14:paraId="7C322289" w14:textId="2BE9A980"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earned taxable income of such child, plus</w:t>
      </w:r>
    </w:p>
    <w:p w14:paraId="2A63CD38"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3" w:name="j_4_B_iii_II"/>
      <w:bookmarkEnd w:id="223"/>
      <w:r w:rsidRPr="008B3051">
        <w:rPr>
          <w:rFonts w:ascii="Verdana" w:eastAsia="Times New Roman" w:hAnsi="Verdana" w:cs="Times New Roman"/>
          <w:b/>
          <w:bCs/>
          <w:sz w:val="24"/>
          <w:szCs w:val="24"/>
        </w:rPr>
        <w:t>(II)</w:t>
      </w:r>
    </w:p>
    <w:p w14:paraId="51C4BA07" w14:textId="12C8D91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minimum taxable income for the 37-percent bracket in the table under paragraph (2)(E) (as adjusted under paragraph (3)) for the taxable year.</w:t>
      </w:r>
    </w:p>
    <w:p w14:paraId="032192D6" w14:textId="57CA0DF2"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4" w:name="j_4_C"/>
      <w:bookmarkEnd w:id="224"/>
      <w:r w:rsidRPr="008B3051">
        <w:rPr>
          <w:rFonts w:ascii="Verdana" w:eastAsia="Times New Roman" w:hAnsi="Verdana" w:cs="Times New Roman"/>
          <w:b/>
          <w:bCs/>
          <w:sz w:val="24"/>
          <w:szCs w:val="24"/>
        </w:rPr>
        <w:t>(C)Coordination with capital gains rates</w:t>
      </w:r>
      <w:r w:rsidRPr="008B3051">
        <w:rPr>
          <w:rFonts w:ascii="Verdana" w:eastAsia="Times New Roman" w:hAnsi="Verdana" w:cs="Times New Roman"/>
          <w:sz w:val="24"/>
          <w:szCs w:val="24"/>
        </w:rPr>
        <w:t>For purposes of applying section 1(h) (after the modifications under paragraph (5)(A))—</w:t>
      </w:r>
    </w:p>
    <w:p w14:paraId="3A0ACB9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5" w:name="j_4_C_i"/>
      <w:bookmarkEnd w:id="225"/>
      <w:r w:rsidRPr="008B3051">
        <w:rPr>
          <w:rFonts w:ascii="Verdana" w:eastAsia="Times New Roman" w:hAnsi="Verdana" w:cs="Times New Roman"/>
          <w:b/>
          <w:bCs/>
          <w:sz w:val="24"/>
          <w:szCs w:val="24"/>
        </w:rPr>
        <w:t>(i)</w:t>
      </w:r>
      <w:r w:rsidRPr="008B3051">
        <w:rPr>
          <w:rFonts w:ascii="Verdana" w:eastAsia="Times New Roman" w:hAnsi="Verdana" w:cs="Times New Roman"/>
          <w:sz w:val="24"/>
          <w:szCs w:val="24"/>
        </w:rPr>
        <w:t>the maximum zero rate amount shall not be more than the sum of—</w:t>
      </w:r>
    </w:p>
    <w:p w14:paraId="4B326F3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6" w:name="j_4_C_i_I"/>
      <w:bookmarkEnd w:id="226"/>
      <w:r w:rsidRPr="008B3051">
        <w:rPr>
          <w:rFonts w:ascii="Verdana" w:eastAsia="Times New Roman" w:hAnsi="Verdana" w:cs="Times New Roman"/>
          <w:b/>
          <w:bCs/>
          <w:sz w:val="24"/>
          <w:szCs w:val="24"/>
        </w:rPr>
        <w:t>(I)</w:t>
      </w:r>
    </w:p>
    <w:p w14:paraId="68E1D417" w14:textId="7B21E9D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earned taxable income of such child, plus</w:t>
      </w:r>
    </w:p>
    <w:p w14:paraId="3A927642"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7" w:name="j_4_C_i_II"/>
      <w:bookmarkEnd w:id="227"/>
      <w:r w:rsidRPr="008B3051">
        <w:rPr>
          <w:rFonts w:ascii="Verdana" w:eastAsia="Times New Roman" w:hAnsi="Verdana" w:cs="Times New Roman"/>
          <w:b/>
          <w:bCs/>
          <w:sz w:val="24"/>
          <w:szCs w:val="24"/>
        </w:rPr>
        <w:t>(II)</w:t>
      </w:r>
    </w:p>
    <w:p w14:paraId="1FCF9E24" w14:textId="2D43BED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in effect under paragraph (5)(B)(i)(IV) for the taxable year, and</w:t>
      </w:r>
    </w:p>
    <w:p w14:paraId="7AF28E96"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8" w:name="j_4_C_ii"/>
      <w:bookmarkEnd w:id="228"/>
      <w:r w:rsidRPr="008B3051">
        <w:rPr>
          <w:rFonts w:ascii="Verdana" w:eastAsia="Times New Roman" w:hAnsi="Verdana" w:cs="Times New Roman"/>
          <w:b/>
          <w:bCs/>
          <w:sz w:val="24"/>
          <w:szCs w:val="24"/>
        </w:rPr>
        <w:t>(ii)</w:t>
      </w:r>
      <w:r w:rsidRPr="008B3051">
        <w:rPr>
          <w:rFonts w:ascii="Verdana" w:eastAsia="Times New Roman" w:hAnsi="Verdana" w:cs="Times New Roman"/>
          <w:sz w:val="24"/>
          <w:szCs w:val="24"/>
        </w:rPr>
        <w:t>the maximum 15-percent rate amount shall not be more than the sum of—</w:t>
      </w:r>
    </w:p>
    <w:p w14:paraId="4655039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29" w:name="j_4_C_ii_I"/>
      <w:bookmarkEnd w:id="229"/>
      <w:r w:rsidRPr="008B3051">
        <w:rPr>
          <w:rFonts w:ascii="Verdana" w:eastAsia="Times New Roman" w:hAnsi="Verdana" w:cs="Times New Roman"/>
          <w:b/>
          <w:bCs/>
          <w:sz w:val="24"/>
          <w:szCs w:val="24"/>
        </w:rPr>
        <w:t>(I)</w:t>
      </w:r>
    </w:p>
    <w:p w14:paraId="467744F8" w14:textId="2233B45A"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earned taxable income of such child, plus</w:t>
      </w:r>
    </w:p>
    <w:p w14:paraId="689DAFC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0" w:name="j_4_C_ii_II"/>
      <w:bookmarkEnd w:id="230"/>
      <w:r w:rsidRPr="008B3051">
        <w:rPr>
          <w:rFonts w:ascii="Verdana" w:eastAsia="Times New Roman" w:hAnsi="Verdana" w:cs="Times New Roman"/>
          <w:b/>
          <w:bCs/>
          <w:sz w:val="24"/>
          <w:szCs w:val="24"/>
        </w:rPr>
        <w:t>(II)</w:t>
      </w:r>
    </w:p>
    <w:p w14:paraId="046CCB99" w14:textId="23B3E3F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in effect under paragraph (5)(B)(ii)(IV) for the taxable year.</w:t>
      </w:r>
    </w:p>
    <w:p w14:paraId="5CCB5471"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1" w:name="j_4_D"/>
      <w:bookmarkEnd w:id="231"/>
      <w:r w:rsidRPr="008B3051">
        <w:rPr>
          <w:rFonts w:ascii="Verdana" w:eastAsia="Times New Roman" w:hAnsi="Verdana" w:cs="Times New Roman"/>
          <w:b/>
          <w:bCs/>
          <w:sz w:val="24"/>
          <w:szCs w:val="24"/>
        </w:rPr>
        <w:t>(D)Earned taxable income</w:t>
      </w:r>
    </w:p>
    <w:p w14:paraId="7F73652A" w14:textId="38730604"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paragraph, the term “earned taxable income” means, with respect to any child for any taxable year, the taxable income of such child reduced (but not below zero) by the net unearned income (as defined in subsection (g)(4)) of such child.</w:t>
      </w:r>
    </w:p>
    <w:p w14:paraId="08FCEE9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2" w:name="j_5"/>
      <w:bookmarkEnd w:id="232"/>
      <w:r w:rsidRPr="008B3051">
        <w:rPr>
          <w:rFonts w:ascii="Verdana" w:eastAsia="Times New Roman" w:hAnsi="Verdana" w:cs="Times New Roman"/>
          <w:b/>
          <w:bCs/>
          <w:sz w:val="24"/>
          <w:szCs w:val="24"/>
        </w:rPr>
        <w:t>(5)</w:t>
      </w:r>
      <w:r w:rsidRPr="008B3051">
        <w:rPr>
          <w:rFonts w:ascii="Verdana" w:eastAsia="Times New Roman" w:hAnsi="Verdana" w:cs="Times New Roman"/>
          <w:b/>
          <w:bCs/>
          <w:smallCaps/>
          <w:sz w:val="24"/>
          <w:szCs w:val="24"/>
        </w:rPr>
        <w:t>Application of current income tax brackets to capital gains brackets</w:t>
      </w:r>
    </w:p>
    <w:p w14:paraId="6A5A449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3" w:name="j_5_A"/>
      <w:bookmarkEnd w:id="233"/>
      <w:r w:rsidRPr="008B3051">
        <w:rPr>
          <w:rFonts w:ascii="Verdana" w:eastAsia="Times New Roman" w:hAnsi="Verdana" w:cs="Times New Roman"/>
          <w:b/>
          <w:bCs/>
          <w:sz w:val="24"/>
          <w:szCs w:val="24"/>
        </w:rPr>
        <w:t>(A)In general</w:t>
      </w:r>
      <w:r w:rsidRPr="008B3051">
        <w:rPr>
          <w:rFonts w:ascii="Verdana" w:eastAsia="Times New Roman" w:hAnsi="Verdana" w:cs="Times New Roman"/>
          <w:sz w:val="24"/>
          <w:szCs w:val="24"/>
        </w:rPr>
        <w:t>Section 1(h)(1) shall be applied—</w:t>
      </w:r>
    </w:p>
    <w:p w14:paraId="24071D7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4" w:name="j_5_A_i"/>
      <w:bookmarkEnd w:id="234"/>
      <w:r w:rsidRPr="008B3051">
        <w:rPr>
          <w:rFonts w:ascii="Verdana" w:eastAsia="Times New Roman" w:hAnsi="Verdana" w:cs="Times New Roman"/>
          <w:b/>
          <w:bCs/>
          <w:sz w:val="24"/>
          <w:szCs w:val="24"/>
        </w:rPr>
        <w:t>(i)</w:t>
      </w:r>
    </w:p>
    <w:p w14:paraId="4003382D"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substituting “below the maximum zero rate amount” for “which would (without regard to this paragraph) be taxed at a rate below 25 percent” in subparagraph (B)(i), and</w:t>
      </w:r>
    </w:p>
    <w:p w14:paraId="568EE22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5" w:name="j_5_A_ii"/>
      <w:bookmarkEnd w:id="235"/>
      <w:r w:rsidRPr="008B3051">
        <w:rPr>
          <w:rFonts w:ascii="Verdana" w:eastAsia="Times New Roman" w:hAnsi="Verdana" w:cs="Times New Roman"/>
          <w:b/>
          <w:bCs/>
          <w:sz w:val="24"/>
          <w:szCs w:val="24"/>
        </w:rPr>
        <w:t>(ii)</w:t>
      </w:r>
    </w:p>
    <w:p w14:paraId="4287AB4B" w14:textId="0A2E50B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substituting “below the maximum 15-percent rate amount” for “which would (without regard to this paragraph) be taxed at a rate below 39.6 percent” in subparagraph (C)(ii)(I).</w:t>
      </w:r>
    </w:p>
    <w:p w14:paraId="69C33901" w14:textId="47F0A862"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6" w:name="j_5_B"/>
      <w:bookmarkEnd w:id="236"/>
      <w:r w:rsidRPr="008B3051">
        <w:rPr>
          <w:rFonts w:ascii="Verdana" w:eastAsia="Times New Roman" w:hAnsi="Verdana" w:cs="Times New Roman"/>
          <w:b/>
          <w:bCs/>
          <w:sz w:val="24"/>
          <w:szCs w:val="24"/>
        </w:rPr>
        <w:t>(B)Maximum amounts defined</w:t>
      </w:r>
      <w:r w:rsidRPr="008B3051">
        <w:rPr>
          <w:rFonts w:ascii="Verdana" w:eastAsia="Times New Roman" w:hAnsi="Verdana" w:cs="Times New Roman"/>
          <w:sz w:val="24"/>
          <w:szCs w:val="24"/>
        </w:rPr>
        <w:t>For purposes of applying section 1(h) with the modificationsdescribed in subparagraph (A)—</w:t>
      </w:r>
    </w:p>
    <w:p w14:paraId="016ED6A0"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7" w:name="j_5_B_i"/>
      <w:bookmarkEnd w:id="237"/>
      <w:r w:rsidRPr="008B3051">
        <w:rPr>
          <w:rFonts w:ascii="Verdana" w:eastAsia="Times New Roman" w:hAnsi="Verdana" w:cs="Times New Roman"/>
          <w:b/>
          <w:bCs/>
          <w:sz w:val="24"/>
          <w:szCs w:val="24"/>
        </w:rPr>
        <w:t>(i)Maximum zero rate amount</w:t>
      </w:r>
      <w:r w:rsidRPr="008B3051">
        <w:rPr>
          <w:rFonts w:ascii="Verdana" w:eastAsia="Times New Roman" w:hAnsi="Verdana" w:cs="Times New Roman"/>
          <w:sz w:val="24"/>
          <w:szCs w:val="24"/>
        </w:rPr>
        <w:t>The maximum zero rate amount shall be—</w:t>
      </w:r>
    </w:p>
    <w:p w14:paraId="142C63E3"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8" w:name="j_5_B_i_I"/>
      <w:bookmarkEnd w:id="238"/>
      <w:r w:rsidRPr="008B3051">
        <w:rPr>
          <w:rFonts w:ascii="Verdana" w:eastAsia="Times New Roman" w:hAnsi="Verdana" w:cs="Times New Roman"/>
          <w:b/>
          <w:bCs/>
          <w:sz w:val="24"/>
          <w:szCs w:val="24"/>
        </w:rPr>
        <w:lastRenderedPageBreak/>
        <w:t>(I)</w:t>
      </w:r>
    </w:p>
    <w:p w14:paraId="0600B1F1" w14:textId="452DC969"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joint return or surviving spouse, $77,200,</w:t>
      </w:r>
    </w:p>
    <w:p w14:paraId="63B72B8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39" w:name="j_5_B_i_II"/>
      <w:bookmarkEnd w:id="239"/>
      <w:r w:rsidRPr="008B3051">
        <w:rPr>
          <w:rFonts w:ascii="Verdana" w:eastAsia="Times New Roman" w:hAnsi="Verdana" w:cs="Times New Roman"/>
          <w:b/>
          <w:bCs/>
          <w:sz w:val="24"/>
          <w:szCs w:val="24"/>
        </w:rPr>
        <w:t>(II)</w:t>
      </w:r>
    </w:p>
    <w:p w14:paraId="050E9CE0"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 individual who is a head of household (as defined in section 2(b)), $51,700,</w:t>
      </w:r>
    </w:p>
    <w:p w14:paraId="1CA4F4A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0" w:name="j_5_B_i_III"/>
      <w:bookmarkEnd w:id="240"/>
      <w:r w:rsidRPr="008B3051">
        <w:rPr>
          <w:rFonts w:ascii="Verdana" w:eastAsia="Times New Roman" w:hAnsi="Verdana" w:cs="Times New Roman"/>
          <w:b/>
          <w:bCs/>
          <w:sz w:val="24"/>
          <w:szCs w:val="24"/>
        </w:rPr>
        <w:t>(III)</w:t>
      </w:r>
    </w:p>
    <w:p w14:paraId="7F4B4645" w14:textId="72AC962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any other individual (other than an estate or trust), an amount equal to ½ of the amount in effect for the taxable year under subclause (I), and</w:t>
      </w:r>
    </w:p>
    <w:p w14:paraId="05D3B277"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1" w:name="j_5_B_i_IV"/>
      <w:bookmarkEnd w:id="241"/>
      <w:r w:rsidRPr="008B3051">
        <w:rPr>
          <w:rFonts w:ascii="Verdana" w:eastAsia="Times New Roman" w:hAnsi="Verdana" w:cs="Times New Roman"/>
          <w:b/>
          <w:bCs/>
          <w:sz w:val="24"/>
          <w:szCs w:val="24"/>
        </w:rPr>
        <w:t>(IV)</w:t>
      </w:r>
    </w:p>
    <w:p w14:paraId="25723A33" w14:textId="707723C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 estate or trust, $2,600.</w:t>
      </w:r>
    </w:p>
    <w:p w14:paraId="2A2F8E7F"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2" w:name="j_5_B_ii"/>
      <w:bookmarkEnd w:id="242"/>
      <w:r w:rsidRPr="008B3051">
        <w:rPr>
          <w:rFonts w:ascii="Verdana" w:eastAsia="Times New Roman" w:hAnsi="Verdana" w:cs="Times New Roman"/>
          <w:b/>
          <w:bCs/>
          <w:sz w:val="24"/>
          <w:szCs w:val="24"/>
        </w:rPr>
        <w:t>(ii)Maximum 15-percent rate amount</w:t>
      </w:r>
      <w:r w:rsidRPr="008B3051">
        <w:rPr>
          <w:rFonts w:ascii="Verdana" w:eastAsia="Times New Roman" w:hAnsi="Verdana" w:cs="Times New Roman"/>
          <w:sz w:val="24"/>
          <w:szCs w:val="24"/>
        </w:rPr>
        <w:t>The maximum 15-percent rate amount shall be—</w:t>
      </w:r>
    </w:p>
    <w:p w14:paraId="7D7A5B0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3" w:name="j_5_B_ii_I"/>
      <w:bookmarkEnd w:id="243"/>
      <w:r w:rsidRPr="008B3051">
        <w:rPr>
          <w:rFonts w:ascii="Verdana" w:eastAsia="Times New Roman" w:hAnsi="Verdana" w:cs="Times New Roman"/>
          <w:b/>
          <w:bCs/>
          <w:sz w:val="24"/>
          <w:szCs w:val="24"/>
        </w:rPr>
        <w:t>(I)</w:t>
      </w:r>
    </w:p>
    <w:p w14:paraId="5A03F569" w14:textId="40460EC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joint return or surviving spouse, $479,000 (½ such amount in the case of a married individual filing a separate return),</w:t>
      </w:r>
    </w:p>
    <w:p w14:paraId="64EAA85D"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4" w:name="j_5_B_ii_II"/>
      <w:bookmarkEnd w:id="244"/>
      <w:r w:rsidRPr="008B3051">
        <w:rPr>
          <w:rFonts w:ascii="Verdana" w:eastAsia="Times New Roman" w:hAnsi="Verdana" w:cs="Times New Roman"/>
          <w:b/>
          <w:bCs/>
          <w:sz w:val="24"/>
          <w:szCs w:val="24"/>
        </w:rPr>
        <w:t>(II)</w:t>
      </w:r>
    </w:p>
    <w:p w14:paraId="1949F538"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 individual who is the head of a household (as defined in section 2(b)), $452,400,</w:t>
      </w:r>
    </w:p>
    <w:p w14:paraId="45511B5E"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5" w:name="j_5_B_ii_III"/>
      <w:bookmarkEnd w:id="245"/>
      <w:r w:rsidRPr="008B3051">
        <w:rPr>
          <w:rFonts w:ascii="Verdana" w:eastAsia="Times New Roman" w:hAnsi="Verdana" w:cs="Times New Roman"/>
          <w:b/>
          <w:bCs/>
          <w:sz w:val="24"/>
          <w:szCs w:val="24"/>
        </w:rPr>
        <w:t>(III)</w:t>
      </w:r>
    </w:p>
    <w:p w14:paraId="5393BD90" w14:textId="12878E3C"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any other individual (other than an estate or trust), $425,800, and</w:t>
      </w:r>
    </w:p>
    <w:p w14:paraId="65DC240A"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6" w:name="j_5_B_ii_IV"/>
      <w:bookmarkEnd w:id="246"/>
      <w:r w:rsidRPr="008B3051">
        <w:rPr>
          <w:rFonts w:ascii="Verdana" w:eastAsia="Times New Roman" w:hAnsi="Verdana" w:cs="Times New Roman"/>
          <w:b/>
          <w:bCs/>
          <w:sz w:val="24"/>
          <w:szCs w:val="24"/>
        </w:rPr>
        <w:t>(IV)</w:t>
      </w:r>
    </w:p>
    <w:p w14:paraId="495F6E98" w14:textId="44A64C53"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 estate or trust, $12,700.</w:t>
      </w:r>
    </w:p>
    <w:p w14:paraId="6D22AAB0" w14:textId="3E888F7E"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7" w:name="j_5_C"/>
      <w:bookmarkEnd w:id="247"/>
      <w:r w:rsidRPr="008B3051">
        <w:rPr>
          <w:rFonts w:ascii="Verdana" w:eastAsia="Times New Roman" w:hAnsi="Verdana" w:cs="Times New Roman"/>
          <w:b/>
          <w:bCs/>
          <w:sz w:val="24"/>
          <w:szCs w:val="24"/>
        </w:rPr>
        <w:t>(C)Inflation adjustment</w:t>
      </w:r>
      <w:r w:rsidRPr="008B3051">
        <w:rPr>
          <w:rFonts w:ascii="Verdana" w:eastAsia="Times New Roman" w:hAnsi="Verdana" w:cs="Times New Roman"/>
          <w:sz w:val="24"/>
          <w:szCs w:val="24"/>
        </w:rPr>
        <w:t>In the case of any taxable year beginning after 2018, each of the dollar amounts in clauses (i) and (ii) of subparagraph (B) shall be increased by an amount equal to—</w:t>
      </w:r>
    </w:p>
    <w:p w14:paraId="65FB0A3C"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8" w:name="j_5_C_i"/>
      <w:bookmarkEnd w:id="248"/>
      <w:r w:rsidRPr="008B3051">
        <w:rPr>
          <w:rFonts w:ascii="Verdana" w:eastAsia="Times New Roman" w:hAnsi="Verdana" w:cs="Times New Roman"/>
          <w:b/>
          <w:bCs/>
          <w:sz w:val="24"/>
          <w:szCs w:val="24"/>
        </w:rPr>
        <w:t>(i)</w:t>
      </w:r>
    </w:p>
    <w:p w14:paraId="6AC49A01"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dollar amount, multiplied by</w:t>
      </w:r>
    </w:p>
    <w:p w14:paraId="1354FC05" w14:textId="77777777"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49" w:name="j_5_C_ii"/>
      <w:bookmarkEnd w:id="249"/>
      <w:r w:rsidRPr="008B3051">
        <w:rPr>
          <w:rFonts w:ascii="Verdana" w:eastAsia="Times New Roman" w:hAnsi="Verdana" w:cs="Times New Roman"/>
          <w:b/>
          <w:bCs/>
          <w:sz w:val="24"/>
          <w:szCs w:val="24"/>
        </w:rPr>
        <w:t>(ii)</w:t>
      </w:r>
    </w:p>
    <w:p w14:paraId="3E55159F" w14:textId="78C4007F"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cost-of-living adjustment determined under subsection (f)(3) for the calendar year in which the taxable year begins, determined by substituting “calendar year 2017” for “calendar year 2016” in subparagraph (A)(ii) thereof.</w:t>
      </w:r>
    </w:p>
    <w:p w14:paraId="612B4B61" w14:textId="77777777"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increase under this subparagraph is not a multiple of $50, such increase shall be rounded to the next lowest multiple of $50.</w:t>
      </w:r>
    </w:p>
    <w:p w14:paraId="54F7A12D" w14:textId="647B4BBA" w:rsidR="005B3BD3" w:rsidRPr="008B3051" w:rsidRDefault="005B3BD3" w:rsidP="005B3BD3">
      <w:pPr>
        <w:shd w:val="clear" w:color="auto" w:fill="FFFFFF"/>
        <w:spacing w:after="0" w:line="240" w:lineRule="auto"/>
        <w:rPr>
          <w:rFonts w:ascii="Verdana" w:eastAsia="Times New Roman" w:hAnsi="Verdana" w:cs="Times New Roman"/>
          <w:sz w:val="24"/>
          <w:szCs w:val="24"/>
        </w:rPr>
      </w:pPr>
      <w:bookmarkStart w:id="250" w:name="j_6"/>
      <w:bookmarkEnd w:id="250"/>
      <w:r w:rsidRPr="008B3051">
        <w:rPr>
          <w:rFonts w:ascii="Verdana" w:eastAsia="Times New Roman" w:hAnsi="Verdana" w:cs="Times New Roman"/>
          <w:b/>
          <w:bCs/>
          <w:sz w:val="24"/>
          <w:szCs w:val="24"/>
        </w:rPr>
        <w:t>(6)</w:t>
      </w:r>
      <w:r w:rsidRPr="008B3051">
        <w:rPr>
          <w:rFonts w:ascii="Verdana" w:eastAsia="Times New Roman" w:hAnsi="Verdana" w:cs="Times New Roman"/>
          <w:b/>
          <w:bCs/>
          <w:smallCaps/>
          <w:sz w:val="24"/>
          <w:szCs w:val="24"/>
        </w:rPr>
        <w:t>Section 15 not to apply</w:t>
      </w:r>
    </w:p>
    <w:p w14:paraId="3AEF2C7D" w14:textId="1971D5FB" w:rsidR="005B3BD3" w:rsidRPr="008B3051" w:rsidRDefault="005B3BD3" w:rsidP="005B3BD3">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Section 15 shall not apply to any change in a rate of tax by reason of this subsection.</w:t>
      </w:r>
    </w:p>
    <w:p w14:paraId="048A9BE5" w14:textId="06B43F83" w:rsidR="005B3BD3" w:rsidRPr="008B3051" w:rsidRDefault="005B3BD3" w:rsidP="005B3BD3">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(Aug. 16, 1954, ch. 736, 68A Stat. 5; Pub. L. 88–272, title I, § 111, Feb. 26, 1964, 78 Stat. 19; Pub. L. 89–809, title I, § 103(a)(2), Nov. 13, 1966, 80 </w:t>
      </w:r>
      <w:r w:rsidRPr="008B3051">
        <w:rPr>
          <w:rFonts w:ascii="Verdana" w:eastAsia="Times New Roman" w:hAnsi="Verdana" w:cs="Times New Roman"/>
          <w:sz w:val="24"/>
          <w:szCs w:val="24"/>
        </w:rPr>
        <w:lastRenderedPageBreak/>
        <w:t>Stat. 1550; Pub. L. 91–172, title VIII, § 803(a), Dec. 30, 1969, 83 Stat. 678; Pub. L. 95–30, title I, § 101(a), May 23, 1977, 91 Stat. 127; Pub. L. 95–600, title I, § 101(a), Nov. 6, 1978, 92 Stat. 2767; Pub. L. 97–34, title I, §§ 101(a), 104(a), Aug. 13, 1981, 95 Stat. 176, 188; Pub. L. 97–448, title I, § 101(a)(3), Jan. 12, 1983, 96 Stat. 2366; Pub. L. 99–514, title I, § 101(a), title III, § 302(a), title XIV, § 1411(a), Oct. 22, 1986, 100 Stat. 2096, 2218, 2714; Pub. L. 100–647, title I, §§ 1001(a)(3), 1014(e)(1)–(3), (6), (7), title VI, § 6006(a), Nov. 10, 1988, 102 Stat. 3349, 3561, 3562, 3686; Pub. L. 101–239, title VII, §§ 7811(j)(1), 7816(b), 7831(a), Dec. 19, 1989, 103 Stat. 2411, 2420, 2425; Pub. L. 101–508, title XI, §§ 11101(a)–(c), (d)(1)(A), (2), 11103(c), 11104(b), Nov. 5, 1990, 104 Stat. 1388–403 to 1388–406, 1388–408; Pub. L. 103–66, title XIII, §§ 13201(a), (b)(3)(A), (B), 13202(a), 13206(d)(2), Aug. 10, 1993, 107 Stat. 457, 459, 461, 467; Pub. L. 104–188, title I, § 1704(m)(1), (2), Aug. 20, 1996, 110 Stat. 1882, 1883; Pub. L. 105–34, title III, § 311(a), Aug. 5, 1997, 111 Stat. 831; Pub. L. 105–206, title V, § 5001(a)(1)–(4), title VI, §§ 6005(d)(1), 6007(f)(1), July 22, 1998, 112 Stat. 787, 788, 800, 810; Pub. L. 105–277, div. J, title IV, § 4002(i)(1), (3), Oct. 21, 1998, 112 Stat. 2681–907, 2681–908; Pub. L. 106–554, § 1(a)(7) [title I, § 117(b)(1)], Dec. 21, 2000, 114 Stat. 2763, 2763A–604; Pub. L. 107–16, title I, § 101(a), (c)(1), (2), title III, §§ 301(c)(1), 302(a), (b), June 7, 2001, 115 Stat. 41, 43, 54; Pub. L. 108–27, title I, §§ 102(a), (b)(1), 104(a), (b), 105(a), title III, §§ 301(a)(1), (2)(A), (b)(1), 302(a), (e)(1), May 28, 2003, 117 Stat. 754, 755, 758, 760, 763; Pub. L. 108–311, title I, § 101(c), (d), title IV, §§ 402(a)(1)–(3), 408(a)(1), (2), Oct. 4, 2004, 118 Stat. 1167, 1168, 1184, 1190; Pub. L. 108–357, title IV, § 413(c)(1), Oct. 22, 2004, 118 Stat. 1506; Pub. L. 109–222, title V, § 510(a)—(c), May 17, 2006, 120 Stat. 364; Pub. L. 110–28, title VIII, § 8241(a), (b), May 25, 2007, 121 Stat. 199; Pub. L. 110–185, title I, § 101(f)(2), Feb. 13, 2008, 122 Stat. 617; Pub. L. 112–240, title I, §§ 101(b)(1), 102(b)(1), (c)(2), Jan. 2, 2013, 126 Stat. 2316, 2318, 2319; Pub. L. 113–295, div. A, title II, § 221(a)(1), Dec. 19, 2014, 128 Stat. 4037; Pub. L. 115–97, title I, §§ 11001(a), 11002(a)–(c), 14223(a), Dec. 22, 2017, 131 Stat. 2054, 2059, 2220.)</w:t>
      </w:r>
    </w:p>
    <w:p w14:paraId="4F0BB717" w14:textId="492BDA52" w:rsidR="005B3BD3" w:rsidRPr="008B3051" w:rsidRDefault="005B3BD3" w:rsidP="005B3BD3">
      <w:pPr>
        <w:shd w:val="clear" w:color="auto" w:fill="FFFFFF"/>
        <w:spacing w:after="60" w:line="240" w:lineRule="auto"/>
        <w:ind w:left="720"/>
        <w:rPr>
          <w:rFonts w:ascii="Verdana" w:eastAsia="Times New Roman" w:hAnsi="Verdana" w:cs="Times New Roman"/>
          <w:sz w:val="24"/>
          <w:szCs w:val="24"/>
        </w:rPr>
      </w:pPr>
    </w:p>
    <w:p w14:paraId="32634F8F" w14:textId="2331F8E2" w:rsidR="005B3BD3" w:rsidRPr="008B3051" w:rsidRDefault="00EF5FE1" w:rsidP="005B3BD3">
      <w:pPr>
        <w:shd w:val="clear" w:color="auto" w:fill="FFFFFF"/>
        <w:spacing w:after="60" w:line="240" w:lineRule="auto"/>
        <w:ind w:left="720"/>
        <w:rPr>
          <w:rFonts w:ascii="Verdana" w:eastAsia="Times New Roman" w:hAnsi="Verdana" w:cs="Times New Roman"/>
          <w:sz w:val="24"/>
          <w:szCs w:val="24"/>
        </w:rPr>
      </w:pPr>
      <w:r w:rsidRPr="008B3051">
        <w:rPr>
          <w:rFonts w:ascii="Verdana" w:eastAsia="Times New Roman" w:hAnsi="Verdana" w:cs="Times New Roman"/>
          <w:sz w:val="24"/>
          <w:szCs w:val="24"/>
        </w:rPr>
        <w:t>Notes:</w:t>
      </w:r>
    </w:p>
    <w:p w14:paraId="4033C9B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Inflation Adjusted Items for Certain Years</w:t>
      </w:r>
    </w:p>
    <w:p w14:paraId="1DCDFEAC" w14:textId="5C28039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inflation adjustment of certain items in this section, see Revenue Procedures listed in a table below.</w:t>
      </w:r>
    </w:p>
    <w:p w14:paraId="02AFBEC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References in Text</w:t>
      </w:r>
    </w:p>
    <w:p w14:paraId="2B36141C" w14:textId="65903B3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date of the enactment of this subclause, referred to in subsec. (h)(11)(C)(iii)(II), is the date of enactment of Pub. L. 115–97, which was approved Dec. 22, 2017.</w:t>
      </w:r>
    </w:p>
    <w:p w14:paraId="54AE44C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Amendments</w:t>
      </w:r>
    </w:p>
    <w:p w14:paraId="3C913F2A" w14:textId="4C87956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2017—Subsec. (f)(2)(A). Pub. L. 115–97, § 11002(c)(1), amended subpar. (A) generally. Prior to amendment, subpar. (A) read as follows: “except as provided in paragraph (8), by increasing the minimum and maximum dollar amounts for each rate bracket for which a tax is imposed under such table by the cost-of-living adjustment for such calendar year,”.</w:t>
      </w:r>
    </w:p>
    <w:p w14:paraId="2B3102EE" w14:textId="5C7F90D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(f)(3). Pub. L. 115–97, § 11002(a), added par. (3) and struck out former par. (3). Prior to amendment, text read as follows: “For purposes of paragraph (2), the cost-of-living adjustment for any calendar year is the percentage (if any) by which—</w:t>
      </w:r>
    </w:p>
    <w:p w14:paraId="124A21AE" w14:textId="41CAF1F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the CPI for the preceding calendar year, exceeds</w:t>
      </w:r>
    </w:p>
    <w:p w14:paraId="40FAD30C" w14:textId="0BDFAD1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the CPI for the calendar year 1992.”</w:t>
      </w:r>
    </w:p>
    <w:p w14:paraId="717F4E18" w14:textId="0C21A40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(f)(6), (7). Pub. L. 115–97, § 11002(b), added par. (6), redesignated former par. (6) as (7), and struck out former par. (7). Prior to amendment, text of par. (7) read as follows: “In prescribing tables under paragraph (1) which apply to taxable years beginning in a calendar year after 1994, the cost-of-living adjustment used in making adjustments to the dollar amounts at which the 36 percent rate bracket begins or at which the 39.6 percent rate bracket begins shall be determined under paragraph (3) by substituting ‘1993’ for ‘1992’.”</w:t>
      </w:r>
    </w:p>
    <w:p w14:paraId="3BE3EDA6" w14:textId="6EF471C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(h)(11)(C)(iii). Pub. L. 115–97, § 14223(a), substituted “shall not include—(I) any foreign corporation” for “shall not include any foreign corporation ” and added subcl. (II).</w:t>
      </w:r>
    </w:p>
    <w:p w14:paraId="3220C7C1" w14:textId="39FBA45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(i)(1)(C)(i). Pub. L. 115–97, § 11002(c)(2)(A), substituted “for ‘2016’ in subparagraph (A)(ii)” for “for ‘1992’ in subparagraph (B)”.</w:t>
      </w:r>
    </w:p>
    <w:p w14:paraId="2E9C17C6" w14:textId="79349DF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(i)(3)(C). Pub. L. 115–97, § 11002(c)(2)(B), substituted “subsection (f)(3)(A)(ii) shall be applied by substituting ‘2012’ for ‘2016’ ” for “subsection (f)(3)(B) shall be applied by substituting ‘2012’ for ‘1992’ ”.</w:t>
      </w:r>
    </w:p>
    <w:p w14:paraId="3548C68B" w14:textId="6B553A1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(j). Pub. L. 115–97, § 11001(a), added subsec. (j).</w:t>
      </w:r>
    </w:p>
    <w:p w14:paraId="43F5A481" w14:textId="64DE928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2014—Subsec. (f)(7). Pub. L. 113–295 amended par. (7) generally. Prior to amendment, text read as follows:</w:t>
      </w:r>
    </w:p>
    <w:p w14:paraId="41B4B2D1" w14:textId="689A467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mallCaps/>
          <w:sz w:val="24"/>
          <w:szCs w:val="24"/>
        </w:rPr>
        <w:t>Calendar year 1994</w:t>
      </w:r>
      <w:r w:rsidRPr="008B3051">
        <w:rPr>
          <w:rFonts w:ascii="Verdana" w:eastAsia="Times New Roman" w:hAnsi="Verdana" w:cs="Times New Roman"/>
          <w:sz w:val="24"/>
          <w:szCs w:val="24"/>
        </w:rPr>
        <w:t>.—In prescribing the tables under paragraph (1) which apply with respect to taxable years beginning in calendar year 1994, the Secretary shall make no adjustment to the dollar amounts at which the 36 percent rate bracket begins or at which the 39.6 percent rate begins under any table contained in subsection (a), (b), (c), (d), or (e).</w:t>
      </w:r>
    </w:p>
    <w:p w14:paraId="4C3CE07B" w14:textId="66D109F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w:t>
      </w:r>
      <w:r w:rsidRPr="008B3051">
        <w:rPr>
          <w:rFonts w:ascii="Verdana" w:eastAsia="Times New Roman" w:hAnsi="Verdana" w:cs="Times New Roman"/>
          <w:smallCaps/>
          <w:sz w:val="24"/>
          <w:szCs w:val="24"/>
        </w:rPr>
        <w:t>Later calendar years</w:t>
      </w:r>
      <w:r w:rsidRPr="008B3051">
        <w:rPr>
          <w:rFonts w:ascii="Verdana" w:eastAsia="Times New Roman" w:hAnsi="Verdana" w:cs="Times New Roman"/>
          <w:sz w:val="24"/>
          <w:szCs w:val="24"/>
        </w:rPr>
        <w:t xml:space="preserve">.—In prescribing tables under paragraph (1) which apply with respect to taxable yearsbeginning in a calendar year after 1994, the cost-of-living adjustment used in making adjustments to the dollar </w:t>
      </w:r>
      <w:r w:rsidRPr="008B3051">
        <w:rPr>
          <w:rFonts w:ascii="Verdana" w:eastAsia="Times New Roman" w:hAnsi="Verdana" w:cs="Times New Roman"/>
          <w:sz w:val="24"/>
          <w:szCs w:val="24"/>
        </w:rPr>
        <w:lastRenderedPageBreak/>
        <w:t>amounts referred to in subparagraph (A) shall be determined under paragraph (3) by substituting ‘1993’ for ‘1992’.”</w:t>
      </w:r>
    </w:p>
    <w:p w14:paraId="567C9F61" w14:textId="17AA472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2013—Subsec. (h)(1)(B). Pub. L. 112–240, § 102(c)(2), substituted “0 percent” for “5 percent (0 percent in the case of taxable years beginning after 2007)” in introductory provisions.</w:t>
      </w:r>
    </w:p>
    <w:p w14:paraId="05FB3E22" w14:textId="51EBB6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(h)(1)(C) to (F). Pub. L. 112–240, § 102(b)(1), added subpars. (C) and (D), redesignated former subpars. (D) and (E) as (E) and (F), respectively, and struck out former subpar. (C) which read as follows: “15 percent of the adjusted net capital gain (or, if less, taxable income) in excess of the amount on which a tax is determined under subparagraph (B);”.</w:t>
      </w:r>
    </w:p>
    <w:p w14:paraId="128B556D" w14:textId="00DD8B7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(i)(2). Pub. L. 112–240, § 101(b)(1)(A), amended par. (2) generally. Prior to amendment, par. (2) related to reductions in rates after June 30, 2001.</w:t>
      </w:r>
    </w:p>
    <w:p w14:paraId="0658FD7C" w14:textId="7E7DF23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(i)(3), (4). Pub. L. 112–240, § 101(b)(1)(B), added par. (3) and redesignated former par. (3) as (4).</w:t>
      </w:r>
    </w:p>
    <w:p w14:paraId="1F012B15" w14:textId="55EA0AF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2008—Subsec. (i)(1)(D). Pub. L. 110–185 struck out heading and text of subpar. (D). Text read as follows: “This paragraph shall not apply to any taxable year to which section 6428 applies.”</w:t>
      </w:r>
    </w:p>
    <w:p w14:paraId="0ADE7E7A" w14:textId="1E1735E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2007—Subsec. (g). Pub. L. 110–28, § 8241(b), struck out “minor” before “children” in heading.</w:t>
      </w:r>
    </w:p>
    <w:p w14:paraId="14A6CA7E" w14:textId="27097D5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(g)(2)(A). Pub. L. 110–28, § 8241(a), amended subpar. (A) generally. Prior to amendment, subpar. (A) read as follows: “such child has not attained age 18 before the close of the taxable year,”.</w:t>
      </w:r>
    </w:p>
    <w:p w14:paraId="5DB2F1C7" w14:textId="6EB2C46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2006—Subsec. (g)(2)(A). Pub. L. 109–222, § 510(a), substituted “age 18” for “age 14”.</w:t>
      </w:r>
    </w:p>
    <w:p w14:paraId="34F24D5D" w14:textId="6B5B4ED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(g)(2)(C). Pub. L. 109–222, § 510(c), added subpar. (C).</w:t>
      </w:r>
    </w:p>
    <w:p w14:paraId="4E8EBC1B" w14:textId="420361A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(g)(4)(C). Pub. L. 109–222, § 510(b), added subpar. (C).</w:t>
      </w:r>
    </w:p>
    <w:p w14:paraId="54D3310C" w14:textId="46F6966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2004—Subsec. (f)(8). Pub. L. 108–311, § 101(c), amended par. (8) generally, substituting provisions relating to elimination of marriage penalty in 15-percent bracket for provisions relating to phaseout of marriage penalty in 15-percent bracket.</w:t>
      </w:r>
    </w:p>
    <w:p w14:paraId="450D8003" w14:textId="16EA2D2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(g)(7)(B)(ii)(II). Pub. L. 108–311, § 408(a)(1), substituted “10 percent” for “10 percent.”</w:t>
      </w:r>
    </w:p>
    <w:p w14:paraId="31F4C716" w14:textId="33B6AAD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(h)(1)(D)(i). Pub. L. 108–311, § 402(a)(1), inserted “(determined without regard to paragraph (11))” after “net capital gain”.</w:t>
      </w:r>
    </w:p>
    <w:p w14:paraId="16866239" w14:textId="4CA9697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 (h)(6)(A)(ii)(I). Pub. L. 108–311, § 408(a)(2)(A), substituted “(4)(B)” for “(5)(B)”.</w:t>
      </w:r>
    </w:p>
    <w:p w14:paraId="3C72E645" w14:textId="7139B0C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(h)(6)(A)(ii)(II). Pub. L. 108–311, § 408(a)(2)(B), substituted “(4)(A)” for “(5)(A)”.</w:t>
      </w:r>
    </w:p>
    <w:p w14:paraId="1EF8BC6F" w14:textId="78D0683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(h)(10)(F) to (H). Pub. L. 108–357, § 413(c)(1)(A), inserted “and” at end of subpar. (F), redesignated subpar. (H) as (G), and struck out former subpar. (G) which read as follows: “a foreign investment company which is described in section 1246(b)(1) and for which an election is in effect under section 1247; and”.</w:t>
      </w:r>
    </w:p>
    <w:p w14:paraId="4761C039" w14:textId="4857F1B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(h)(11)(B)(iii)(I). Pub. L. 108–311, § 402(a)(2), substituted “substituting in section 246(c)” for “substituting in section 246(c)(1)”, “121-day period” for “120-day period”, and “91-day period” for “90-day period”.</w:t>
      </w:r>
    </w:p>
    <w:p w14:paraId="0C1812A4" w14:textId="12A0295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(h)(11)(C)(iii). Pub. L. 108–357, § 413(c)(1)(B), struck out “a foreign personal holding company (as defined in section 552), a foreign investment company (as defined in section 1246(b)), or” before “a passive foreign investment”.</w:t>
      </w:r>
    </w:p>
    <w:p w14:paraId="128FDF71" w14:textId="4A38B8D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(h)(11)(D)(ii). Pub. L. 108–311, § 402(a)(3), substituted “a taxpayer to whom this section applies” for “an individual”.</w:t>
      </w:r>
    </w:p>
    <w:p w14:paraId="347BBEEE" w14:textId="703FAB2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(i)(1)(B)(i). Pub. L. 108–311, § 101(d)(1), struck out “($12,000 in the case of taxable years beginning after December 31, 2004, and before January 1, 2008)” after “$14,000”.</w:t>
      </w:r>
    </w:p>
    <w:p w14:paraId="0A5871E0" w14:textId="492DB9D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(i)(1)(C). Pub. L. 108–311, § 101(d)(2), reenacted heading without change and amended text generally, substituting provisions relating to inflation adjustment in calendar years after 2003 for such provisions in calendar years after 2000.</w:t>
      </w:r>
    </w:p>
    <w:p w14:paraId="7E1567CD" w14:textId="3AF4933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2003—Subsec. (f)(8)(A). Pub. L. 108–27, § 102(b)(1), substituted “2002” for “2004”.</w:t>
      </w:r>
    </w:p>
    <w:p w14:paraId="163C23FA" w14:textId="4E17085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(f)(8)(B). Pub. L. 108–27, § 102(a), inserted table item relating to years 2003 and 2004.</w:t>
      </w:r>
    </w:p>
    <w:p w14:paraId="1C3CF514" w14:textId="369EAEB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(h)(1)(B). Pub. L. 108–27, § 301(a)(1), substituted “5 percent (0 percent in the case of taxable years beginning after 2007)” for “10 percent”.</w:t>
      </w:r>
    </w:p>
    <w:p w14:paraId="6992D023" w14:textId="01BD563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(h)(1)(C). Pub. L. 108–27, § 301(a)(2)(A), substituted “15 percent” for “20 percent”.</w:t>
      </w:r>
    </w:p>
    <w:p w14:paraId="4047C0AE" w14:textId="43E84EC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(h)(2). Pub. L. 108–27, § 301(b)(1)(A), (B), redesignated par. (3) as (2) and struck out heading and text of former par. (2). Text read as follows:</w:t>
      </w:r>
    </w:p>
    <w:p w14:paraId="1BB7B79E" w14:textId="220110B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“(A) </w:t>
      </w:r>
      <w:r w:rsidRPr="008B3051">
        <w:rPr>
          <w:rFonts w:ascii="Verdana" w:eastAsia="Times New Roman" w:hAnsi="Verdana" w:cs="Times New Roman"/>
          <w:smallCaps/>
          <w:sz w:val="24"/>
          <w:szCs w:val="24"/>
        </w:rPr>
        <w:t>Reduction in 10-percent rate</w:t>
      </w:r>
      <w:r w:rsidRPr="008B3051">
        <w:rPr>
          <w:rFonts w:ascii="Verdana" w:eastAsia="Times New Roman" w:hAnsi="Verdana" w:cs="Times New Roman"/>
          <w:sz w:val="24"/>
          <w:szCs w:val="24"/>
        </w:rPr>
        <w:t>.—In the case of any taxable year beginning after December 31, 2000, the rate under paragraph (1)(B) shall be 8 percent with respect to so much of the amount to which the 10-percent rate would otherwise apply as does not exceed qualified 5-year gain, and 10 percent with respect to the remainder of such amount.</w:t>
      </w:r>
    </w:p>
    <w:p w14:paraId="720BEB28"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w:t>
      </w:r>
      <w:r w:rsidRPr="008B3051">
        <w:rPr>
          <w:rFonts w:ascii="Verdana" w:eastAsia="Times New Roman" w:hAnsi="Verdana" w:cs="Times New Roman"/>
          <w:smallCaps/>
          <w:sz w:val="24"/>
          <w:szCs w:val="24"/>
        </w:rPr>
        <w:t>Reduction in 20-percent rate</w:t>
      </w:r>
      <w:r w:rsidRPr="008B3051">
        <w:rPr>
          <w:rFonts w:ascii="Verdana" w:eastAsia="Times New Roman" w:hAnsi="Verdana" w:cs="Times New Roman"/>
          <w:sz w:val="24"/>
          <w:szCs w:val="24"/>
        </w:rPr>
        <w:t>.—The rate under paragraph (1)(C) shall be 18 percent with respect to so much of the amount to which the 20-percent rate would otherwise apply as does not exceed the lesser of—</w:t>
      </w:r>
    </w:p>
    <w:p w14:paraId="4E4957AA" w14:textId="40B8478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excess of qualified 5-yeargain over the amount of such gain taken into account under subparagraph (A) of this paragraph; or</w:t>
      </w:r>
    </w:p>
    <w:p w14:paraId="6EB4F197" w14:textId="356EDB4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amount of qualified 5-yeargain (determined by taking into account only property the holding period for which begins after December 31, 2000),</w:t>
      </w:r>
    </w:p>
    <w:p w14:paraId="2EA53015" w14:textId="026396D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and 20 percent with respect to the remainder of such amount. For purposes of determining under the preceding sentence whether the holding period of property begins after December 31, 2000, the holding period of property acquired pursuant to the exercise of an option (or other right or obligation to acquire property) shall include the period such option (or other right or obligation) was held.”</w:t>
      </w:r>
    </w:p>
    <w:p w14:paraId="123263C8" w14:textId="0592082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(h)(3). Pub. L. 108–27, § 302(e)(1), amended heading and text of par. (3) generally. Prior to amendment, text read as follows: “For purposes of this subsection, the term ‘adjusted net capital gain’ means net capital gain reduced (but not below zero) by the sum of—</w:t>
      </w:r>
    </w:p>
    <w:p w14:paraId="322AB471" w14:textId="704468D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unrecaptured section 1250 gain; and</w:t>
      </w:r>
    </w:p>
    <w:p w14:paraId="2B592327" w14:textId="3B7BEAC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28-percent rate gain.”</w:t>
      </w:r>
    </w:p>
    <w:p w14:paraId="15A64951" w14:textId="799EDCB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 301(b)(1)(B), redesignated par. (4) as (3). Former par. (3) redesignated (2).</w:t>
      </w:r>
    </w:p>
    <w:p w14:paraId="27575A1B" w14:textId="7CE0FA9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(h)(4) to (7). Pub. L. 108–27, § 301(b)(1)(B), redesignated pars. (5) to (8) as (4) to (7), respectively. Former par. (4) redesignated (3).</w:t>
      </w:r>
    </w:p>
    <w:p w14:paraId="5D2881B1" w14:textId="76CDE52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(h)(8). Pub. L. 108–27, § 301(b)(1)(C), redesignated par. (10) as (8). Former par. (8) redesignated (7).</w:t>
      </w:r>
    </w:p>
    <w:p w14:paraId="760452DE" w14:textId="6ABE59E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(h)(9). Pub. L. 108–27, § 301(b)(1)(A), (C), redesignated par. (11) as (9) and struck out heading and text of former par. (9). Text read as follows: “For purposes of this subsection, the term ‘qualified 5-year gain’ means the aggregate long-term capital gain from property held for more than 5 years. The determination under the preceding sentence shall be made without regard to collectibles gain, gain described in paragraph (7)(A)(i), and section 1202 gain.”</w:t>
      </w:r>
    </w:p>
    <w:p w14:paraId="1EEBFA3F" w14:textId="6D3BBC1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 (h)(10). Pub. L. 108–27, § 301(b)(1)(C), redesignated par. (12) as (10). Former par. (10) redesignated (8).</w:t>
      </w:r>
    </w:p>
    <w:p w14:paraId="5DEC166E" w14:textId="303BB81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(h)(11). Pub. L. 108–27, § 302(a), added par. (11).</w:t>
      </w:r>
    </w:p>
    <w:p w14:paraId="4525681B" w14:textId="4B3B3FC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 301(b)(1)(C), redesignated par. (11) as (9).</w:t>
      </w:r>
    </w:p>
    <w:p w14:paraId="4717AE19" w14:textId="4376C02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(h)(12). Pub. L. 108–27, § 301(b)(1)(C), redesignated par. (12) as (10).</w:t>
      </w:r>
    </w:p>
    <w:p w14:paraId="727ECA33" w14:textId="191889A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(i)(1)(B)(i). Pub. L. 108–27, § 104(a), substituted “($12,000 in the case of taxable years beginning after December 31, 2004, and before January 1, 2008)” for “($12,000 in the case of taxable years beginning before January 1, 2008)”.</w:t>
      </w:r>
    </w:p>
    <w:p w14:paraId="051FED8F" w14:textId="5DAB4D2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(i)(1)(C). Pub. L. 108–27, § 104(b), amended heading and text of subpar. (C) generally. Text read as follows: “In prescribing the tables under subsection (f) which apply with respect to taxable years beginning in calendar years after 2000—</w:t>
      </w:r>
    </w:p>
    <w:p w14:paraId="34E93123" w14:textId="1BC4695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Secretary shall make no adjustment to the initial bracket amount for any taxable year beginning before January 1, 2009,</w:t>
      </w:r>
    </w:p>
    <w:p w14:paraId="710EC94E" w14:textId="7996ECD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cost-of-living adjustment used in making adjustments to the initial bracket amount for any taxable yearbeginning after December 31, 2008, shall be determined under subsection (f)(3) by substituting ‘2007’ for ‘1992’ in subparagraph (B) thereof, and</w:t>
      </w:r>
    </w:p>
    <w:p w14:paraId="5F4D9B03"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 such adjustment shall not apply to the amount referred to in subparagraph (B)(iii).</w:t>
      </w:r>
    </w:p>
    <w:p w14:paraId="3F40AEA9"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amount after adjustment under the preceding sentence is not a multiple of $50, such amount shall be rounded to the next lowest multiple of $50.”</w:t>
      </w:r>
    </w:p>
    <w:p w14:paraId="2F796ACD" w14:textId="7DB0F59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(i)(2). Pub. L. 108–27, § 105(a), amended table generally. Prior to amendment, table read as follows:</w:t>
      </w:r>
    </w:p>
    <w:tbl>
      <w:tblPr>
        <w:tblW w:w="4500" w:type="pct"/>
        <w:tblCellMar>
          <w:top w:w="15" w:type="dxa"/>
          <w:left w:w="15" w:type="dxa"/>
          <w:bottom w:w="15" w:type="dxa"/>
          <w:right w:w="15" w:type="dxa"/>
        </w:tblCellMar>
        <w:tblLook w:val="04A0" w:firstRow="1" w:lastRow="0" w:firstColumn="1" w:lastColumn="0" w:noHBand="0" w:noVBand="1"/>
      </w:tblPr>
      <w:tblGrid>
        <w:gridCol w:w="860"/>
        <w:gridCol w:w="2743"/>
        <w:gridCol w:w="1155"/>
        <w:gridCol w:w="1155"/>
        <w:gridCol w:w="1155"/>
        <w:gridCol w:w="1356"/>
      </w:tblGrid>
      <w:tr w:rsidR="00EF5FE1" w:rsidRPr="008B3051" w14:paraId="34C028FA" w14:textId="77777777" w:rsidTr="00EF5FE1">
        <w:trPr>
          <w:tblHeader/>
        </w:trPr>
        <w:tc>
          <w:tcPr>
            <w:tcW w:w="0" w:type="auto"/>
            <w:vMerge w:val="restart"/>
            <w:tcBorders>
              <w:bottom w:val="single" w:sz="18" w:space="0" w:color="CCCCCC"/>
            </w:tcBorders>
            <w:shd w:val="clear" w:color="auto" w:fill="F0F0F0"/>
            <w:tcMar>
              <w:top w:w="80" w:type="dxa"/>
              <w:left w:w="160" w:type="dxa"/>
              <w:bottom w:w="80" w:type="dxa"/>
              <w:right w:w="160" w:type="dxa"/>
            </w:tcMar>
            <w:vAlign w:val="center"/>
            <w:hideMark/>
          </w:tcPr>
          <w:p w14:paraId="60031968"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sz w:val="26"/>
                <w:szCs w:val="26"/>
              </w:rPr>
              <w:t> </w:t>
            </w:r>
          </w:p>
        </w:tc>
        <w:tc>
          <w:tcPr>
            <w:tcW w:w="0" w:type="auto"/>
            <w:vMerge w:val="restart"/>
            <w:tcBorders>
              <w:bottom w:val="single" w:sz="18" w:space="0" w:color="CCCCCC"/>
            </w:tcBorders>
            <w:shd w:val="clear" w:color="auto" w:fill="F0F0F0"/>
            <w:tcMar>
              <w:top w:w="80" w:type="dxa"/>
              <w:left w:w="160" w:type="dxa"/>
              <w:bottom w:w="80" w:type="dxa"/>
              <w:right w:w="160" w:type="dxa"/>
            </w:tcMar>
            <w:vAlign w:val="center"/>
            <w:hideMark/>
          </w:tcPr>
          <w:p w14:paraId="71F289F0"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“In the case of taxable yearsbeginning during calendar year:</w:t>
            </w:r>
          </w:p>
        </w:tc>
        <w:tc>
          <w:tcPr>
            <w:tcW w:w="0" w:type="auto"/>
            <w:gridSpan w:val="4"/>
            <w:tcBorders>
              <w:bottom w:val="single" w:sz="18" w:space="0" w:color="CCCCCC"/>
            </w:tcBorders>
            <w:shd w:val="clear" w:color="auto" w:fill="F0F0F0"/>
            <w:tcMar>
              <w:top w:w="80" w:type="dxa"/>
              <w:left w:w="160" w:type="dxa"/>
              <w:bottom w:w="80" w:type="dxa"/>
              <w:right w:w="160" w:type="dxa"/>
            </w:tcMar>
            <w:vAlign w:val="center"/>
            <w:hideMark/>
          </w:tcPr>
          <w:p w14:paraId="00A2B041"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corresponding percentages shall be substituted for</w:t>
            </w:r>
          </w:p>
          <w:p w14:paraId="7C506F06"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the following percentages:</w:t>
            </w:r>
          </w:p>
        </w:tc>
      </w:tr>
      <w:tr w:rsidR="00EF5FE1" w:rsidRPr="008B3051" w14:paraId="13099DDB" w14:textId="77777777" w:rsidTr="00EF5FE1">
        <w:trPr>
          <w:tblHeader/>
        </w:trPr>
        <w:tc>
          <w:tcPr>
            <w:tcW w:w="0" w:type="auto"/>
            <w:vMerge/>
            <w:tcBorders>
              <w:bottom w:val="single" w:sz="18" w:space="0" w:color="CCCCCC"/>
            </w:tcBorders>
            <w:shd w:val="clear" w:color="auto" w:fill="F0F0F0"/>
            <w:tcMar>
              <w:top w:w="150" w:type="dxa"/>
              <w:left w:w="150" w:type="dxa"/>
              <w:bottom w:w="150" w:type="dxa"/>
              <w:right w:w="150" w:type="dxa"/>
            </w:tcMar>
            <w:vAlign w:val="center"/>
            <w:hideMark/>
          </w:tcPr>
          <w:p w14:paraId="4AF0BE22" w14:textId="77777777" w:rsidR="00EF5FE1" w:rsidRPr="008B3051" w:rsidRDefault="00EF5FE1" w:rsidP="00EF5FE1">
            <w:pPr>
              <w:spacing w:after="0" w:line="240" w:lineRule="auto"/>
              <w:ind w:left="60" w:right="60"/>
              <w:jc w:val="center"/>
              <w:rPr>
                <w:rFonts w:ascii="Times New Roman" w:eastAsia="Times New Roman" w:hAnsi="Times New Roman" w:cs="Times New Roman"/>
                <w:sz w:val="26"/>
                <w:szCs w:val="26"/>
              </w:rPr>
            </w:pPr>
          </w:p>
        </w:tc>
        <w:tc>
          <w:tcPr>
            <w:tcW w:w="0" w:type="auto"/>
            <w:vMerge/>
            <w:tcBorders>
              <w:bottom w:val="single" w:sz="18" w:space="0" w:color="CCCCCC"/>
            </w:tcBorders>
            <w:shd w:val="clear" w:color="auto" w:fill="F0F0F0"/>
            <w:tcMar>
              <w:top w:w="150" w:type="dxa"/>
              <w:left w:w="150" w:type="dxa"/>
              <w:bottom w:w="150" w:type="dxa"/>
              <w:right w:w="150" w:type="dxa"/>
            </w:tcMar>
            <w:vAlign w:val="center"/>
            <w:hideMark/>
          </w:tcPr>
          <w:p w14:paraId="10BB0ADA" w14:textId="77777777" w:rsidR="00EF5FE1" w:rsidRPr="008B3051" w:rsidRDefault="00EF5FE1" w:rsidP="00EF5FE1">
            <w:pPr>
              <w:spacing w:after="0" w:line="240" w:lineRule="auto"/>
              <w:ind w:left="60" w:right="60"/>
              <w:jc w:val="center"/>
              <w:rPr>
                <w:rFonts w:ascii="Times New Roman" w:eastAsia="Times New Roman" w:hAnsi="Times New Roman" w:cs="Times New Roman"/>
                <w:sz w:val="26"/>
                <w:szCs w:val="26"/>
              </w:rPr>
            </w:pP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729C0145"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28%</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65E9971F"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31%</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4D575F32"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36%</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2BEBE053" w14:textId="77777777" w:rsidR="00EF5FE1" w:rsidRPr="008B3051" w:rsidRDefault="00EF5FE1" w:rsidP="00EF5FE1">
            <w:pPr>
              <w:spacing w:after="0" w:line="240" w:lineRule="auto"/>
              <w:ind w:left="140" w:right="140"/>
              <w:rPr>
                <w:rFonts w:ascii="Times New Roman" w:eastAsia="Times New Roman" w:hAnsi="Times New Roman" w:cs="Times New Roman"/>
                <w:sz w:val="26"/>
                <w:szCs w:val="26"/>
              </w:rPr>
            </w:pPr>
            <w:r w:rsidRPr="008B3051">
              <w:rPr>
                <w:rFonts w:ascii="Times New Roman" w:eastAsia="Times New Roman" w:hAnsi="Times New Roman" w:cs="Times New Roman"/>
                <w:b/>
                <w:bCs/>
                <w:sz w:val="26"/>
                <w:szCs w:val="26"/>
              </w:rPr>
              <w:t>39.6%</w:t>
            </w:r>
          </w:p>
        </w:tc>
      </w:tr>
      <w:tr w:rsidR="00EF5FE1" w:rsidRPr="008B3051" w14:paraId="1C37FB04" w14:textId="77777777" w:rsidTr="00EF5FE1">
        <w:tc>
          <w:tcPr>
            <w:tcW w:w="0" w:type="auto"/>
            <w:tcBorders>
              <w:right w:val="single" w:sz="6" w:space="0" w:color="95B3D7"/>
            </w:tcBorders>
            <w:shd w:val="clear" w:color="auto" w:fill="auto"/>
            <w:tcMar>
              <w:top w:w="80" w:type="dxa"/>
              <w:left w:w="160" w:type="dxa"/>
              <w:bottom w:w="80" w:type="dxa"/>
              <w:right w:w="160" w:type="dxa"/>
            </w:tcMar>
            <w:vAlign w:val="center"/>
            <w:hideMark/>
          </w:tcPr>
          <w:p w14:paraId="72F99BE5"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 </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6CDE8904"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2001</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303B3CCA"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27.5%</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6B97DF3B"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30.5%</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3C5BD012"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35.5%</w:t>
            </w:r>
          </w:p>
        </w:tc>
        <w:tc>
          <w:tcPr>
            <w:tcW w:w="0" w:type="auto"/>
            <w:tcBorders>
              <w:right w:val="nil"/>
            </w:tcBorders>
            <w:shd w:val="clear" w:color="auto" w:fill="auto"/>
            <w:tcMar>
              <w:top w:w="80" w:type="dxa"/>
              <w:left w:w="160" w:type="dxa"/>
              <w:bottom w:w="80" w:type="dxa"/>
              <w:right w:w="160" w:type="dxa"/>
            </w:tcMar>
            <w:vAlign w:val="center"/>
            <w:hideMark/>
          </w:tcPr>
          <w:p w14:paraId="294A2346"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39.1%</w:t>
            </w:r>
          </w:p>
        </w:tc>
      </w:tr>
      <w:tr w:rsidR="00EF5FE1" w:rsidRPr="008B3051" w14:paraId="4BB6EAB3" w14:textId="77777777" w:rsidTr="00EF5FE1">
        <w:tc>
          <w:tcPr>
            <w:tcW w:w="0" w:type="auto"/>
            <w:tcBorders>
              <w:right w:val="single" w:sz="6" w:space="0" w:color="95B3D7"/>
            </w:tcBorders>
            <w:shd w:val="clear" w:color="auto" w:fill="auto"/>
            <w:tcMar>
              <w:top w:w="80" w:type="dxa"/>
              <w:left w:w="160" w:type="dxa"/>
              <w:bottom w:w="80" w:type="dxa"/>
              <w:right w:w="160" w:type="dxa"/>
            </w:tcMar>
            <w:vAlign w:val="center"/>
            <w:hideMark/>
          </w:tcPr>
          <w:p w14:paraId="2AA57FFA"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 </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2A2B6427"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2002 and 2003</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5DADE6D6"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27.0%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737D8232"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30.0%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30F8ABEE"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35.0%</w:t>
            </w:r>
          </w:p>
        </w:tc>
        <w:tc>
          <w:tcPr>
            <w:tcW w:w="0" w:type="auto"/>
            <w:tcBorders>
              <w:right w:val="nil"/>
            </w:tcBorders>
            <w:shd w:val="clear" w:color="auto" w:fill="auto"/>
            <w:tcMar>
              <w:top w:w="80" w:type="dxa"/>
              <w:left w:w="160" w:type="dxa"/>
              <w:bottom w:w="80" w:type="dxa"/>
              <w:right w:w="160" w:type="dxa"/>
            </w:tcMar>
            <w:vAlign w:val="center"/>
            <w:hideMark/>
          </w:tcPr>
          <w:p w14:paraId="4EE8955D"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38.6%</w:t>
            </w:r>
          </w:p>
        </w:tc>
      </w:tr>
      <w:tr w:rsidR="00EF5FE1" w:rsidRPr="008B3051" w14:paraId="40B4C9A8" w14:textId="77777777" w:rsidTr="00EF5FE1">
        <w:tc>
          <w:tcPr>
            <w:tcW w:w="0" w:type="auto"/>
            <w:tcBorders>
              <w:right w:val="single" w:sz="6" w:space="0" w:color="95B3D7"/>
            </w:tcBorders>
            <w:shd w:val="clear" w:color="auto" w:fill="auto"/>
            <w:tcMar>
              <w:top w:w="80" w:type="dxa"/>
              <w:left w:w="160" w:type="dxa"/>
              <w:bottom w:w="80" w:type="dxa"/>
              <w:right w:w="160" w:type="dxa"/>
            </w:tcMar>
            <w:vAlign w:val="center"/>
            <w:hideMark/>
          </w:tcPr>
          <w:p w14:paraId="4356ADAB"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 </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6F514E63"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2004 and 2005</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1D3920EE"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26.0%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33B112C5"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29.0%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2B29CDE9"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34.0%</w:t>
            </w:r>
          </w:p>
        </w:tc>
        <w:tc>
          <w:tcPr>
            <w:tcW w:w="0" w:type="auto"/>
            <w:tcBorders>
              <w:right w:val="nil"/>
            </w:tcBorders>
            <w:shd w:val="clear" w:color="auto" w:fill="auto"/>
            <w:tcMar>
              <w:top w:w="80" w:type="dxa"/>
              <w:left w:w="160" w:type="dxa"/>
              <w:bottom w:w="80" w:type="dxa"/>
              <w:right w:w="160" w:type="dxa"/>
            </w:tcMar>
            <w:vAlign w:val="center"/>
            <w:hideMark/>
          </w:tcPr>
          <w:p w14:paraId="7DCD1BEA"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37.6%</w:t>
            </w:r>
          </w:p>
        </w:tc>
      </w:tr>
      <w:tr w:rsidR="00EF5FE1" w:rsidRPr="008B3051" w14:paraId="7CF41906" w14:textId="77777777" w:rsidTr="00EF5FE1">
        <w:tc>
          <w:tcPr>
            <w:tcW w:w="0" w:type="auto"/>
            <w:tcBorders>
              <w:right w:val="single" w:sz="6" w:space="0" w:color="95B3D7"/>
            </w:tcBorders>
            <w:shd w:val="clear" w:color="auto" w:fill="auto"/>
            <w:tcMar>
              <w:top w:w="80" w:type="dxa"/>
              <w:left w:w="160" w:type="dxa"/>
              <w:bottom w:w="80" w:type="dxa"/>
              <w:right w:w="160" w:type="dxa"/>
            </w:tcMar>
            <w:vAlign w:val="center"/>
            <w:hideMark/>
          </w:tcPr>
          <w:p w14:paraId="72A9105D"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lastRenderedPageBreak/>
              <w:t> </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5AE5B3EC"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shd w:val="clear" w:color="auto" w:fill="FFFFFF"/>
              </w:rPr>
              <w:t>2006 and thereafter</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3934538E"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25.0%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27763ADD"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28.0%</w:t>
            </w:r>
          </w:p>
        </w:tc>
        <w:tc>
          <w:tcPr>
            <w:tcW w:w="0" w:type="auto"/>
            <w:tcBorders>
              <w:right w:val="single" w:sz="6" w:space="0" w:color="95B3D7"/>
            </w:tcBorders>
            <w:shd w:val="clear" w:color="auto" w:fill="auto"/>
            <w:tcMar>
              <w:top w:w="80" w:type="dxa"/>
              <w:left w:w="160" w:type="dxa"/>
              <w:bottom w:w="80" w:type="dxa"/>
              <w:right w:w="160" w:type="dxa"/>
            </w:tcMar>
            <w:vAlign w:val="center"/>
            <w:hideMark/>
          </w:tcPr>
          <w:p w14:paraId="7DBD06AD"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33.0%</w:t>
            </w:r>
          </w:p>
        </w:tc>
        <w:tc>
          <w:tcPr>
            <w:tcW w:w="0" w:type="auto"/>
            <w:tcBorders>
              <w:right w:val="nil"/>
            </w:tcBorders>
            <w:shd w:val="clear" w:color="auto" w:fill="auto"/>
            <w:tcMar>
              <w:top w:w="80" w:type="dxa"/>
              <w:left w:w="160" w:type="dxa"/>
              <w:bottom w:w="80" w:type="dxa"/>
              <w:right w:w="160" w:type="dxa"/>
            </w:tcMar>
            <w:vAlign w:val="center"/>
            <w:hideMark/>
          </w:tcPr>
          <w:p w14:paraId="57B6053F" w14:textId="77777777" w:rsidR="00EF5FE1" w:rsidRPr="008B3051" w:rsidRDefault="00EF5FE1" w:rsidP="00EF5FE1">
            <w:pPr>
              <w:spacing w:after="0" w:line="240" w:lineRule="auto"/>
              <w:rPr>
                <w:rFonts w:ascii="Times New Roman" w:eastAsia="Times New Roman" w:hAnsi="Times New Roman" w:cs="Times New Roman"/>
                <w:sz w:val="24"/>
                <w:szCs w:val="24"/>
              </w:rPr>
            </w:pPr>
            <w:r w:rsidRPr="008B3051">
              <w:rPr>
                <w:rFonts w:ascii="Times New Roman" w:eastAsia="Times New Roman" w:hAnsi="Times New Roman" w:cs="Times New Roman"/>
                <w:sz w:val="24"/>
                <w:szCs w:val="24"/>
              </w:rPr>
              <w:t>35.0%”</w:t>
            </w:r>
          </w:p>
        </w:tc>
      </w:tr>
    </w:tbl>
    <w:p w14:paraId="3B7104E6" w14:textId="7C0ABF9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2001—Subsec. (f). Pub. L. 107–16, § 302(b)(2), substituted “Phaseout of marriage penalty in 15-percent bracket; adjustments” for “Adjustments” in heading.</w:t>
      </w:r>
    </w:p>
    <w:p w14:paraId="79D5BFFF" w14:textId="3DF8F36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(f)(2)(A). Pub. L. 107–16, § 302(b)(1), inserted “except as provided in paragraph (8),” before “by increasing”.</w:t>
      </w:r>
    </w:p>
    <w:p w14:paraId="18338EAD" w14:textId="62859D0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(f)(6)(B). Pub. L. 107–16, § 301(c)(1), substituted “(other than with respect to sections 63(c)(4) and 151(d)(4)(A)) shall be applied” for “(other than with respect to subsection (c)(4) of section 63 (as it applies to subsections (c)(5)(A) and (f) of such section) and section 151(d)(4)(A)) shall be applied”.</w:t>
      </w:r>
    </w:p>
    <w:p w14:paraId="0CF55233" w14:textId="509F33E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(f)(8). Pub. L. 107–16, § 302(a), added par. (8).</w:t>
      </w:r>
    </w:p>
    <w:p w14:paraId="3A5F2FB7" w14:textId="767AD7D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(g)(7)(B)(ii)(II). Pub. L. 107–16, § 101(c)(1), substituted “10 percent.” for “15 percent”.</w:t>
      </w:r>
    </w:p>
    <w:p w14:paraId="70B65A5E" w14:textId="6C666DB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(h)(1)(A)(ii)(I), (B)(i). Pub. L. 107–16, § 101(c)(2)(A), substituted “25 percent” for “28 percent”.</w:t>
      </w:r>
    </w:p>
    <w:p w14:paraId="1EB5AEA7" w14:textId="0491CCF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(h)(13). Pub. L. 107–16, § 101(c)(2)(B), struck out par. (13), which set out special rules for determination of 28-percent rate gain, unrecaptured section 1250 gain, pass-thru entities, and charitable remainder trusts.</w:t>
      </w:r>
    </w:p>
    <w:p w14:paraId="3AFA02BA" w14:textId="0656D2D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 Pub. L. 107–16, § 101(a), added subsec. (i).</w:t>
      </w:r>
    </w:p>
    <w:p w14:paraId="24476D0B" w14:textId="5F301CE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2000—Subsec.(h)(8). Pub. L. 106–554 substituted “means the excess of—” and subpars. (A) and (B) for “means an amount equal to the gain excluded from gross income under section 1202(a).”</w:t>
      </w:r>
    </w:p>
    <w:p w14:paraId="632EFFCF" w14:textId="101448A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1998—Subsec. (g)(3)(C), (D). Pub. L. 105–206, § 6007(f)(1), redesignated subpar. (D) as (C) and struck out heading and text of former subpar. (C). Text read as follows: “If tax is imposed under section 644(a)(1) with respect to the sale or exchange of any property of which the parent was the transferor, for purposes of applying subparagraph (A) to the taxable year of the parent in which such sale or exchange occurs—</w:t>
      </w:r>
    </w:p>
    <w:p w14:paraId="1D18869C" w14:textId="380F945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taxable income of the parent shall be increased by the amount treated as included in gross income under section 644(a)(2)(A)(i), and</w:t>
      </w:r>
    </w:p>
    <w:p w14:paraId="50F0E36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“(ii) the amount described in subparagraph (A)(ii) shall be increased by the amount of the excess referred to in section 644(a)(2)(A).”</w:t>
      </w:r>
    </w:p>
    <w:p w14:paraId="4451440E" w14:textId="28F7890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 Pub. L. 105–206, § 6005(d)(1), reenacted subsec. heading without change and amended text of subsec. (h) generally, substituting present provisions comprising pars. (1) to (13) for former similar provisions comprising pars. (1) to (11).</w:t>
      </w:r>
    </w:p>
    <w:p w14:paraId="7CACB229" w14:textId="22FABE0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(h)(5). Pub. L. 105–206, § 5001(a)(1), amended par. (5) generally. Prior to amendment, par. (5) read as follows:</w:t>
      </w:r>
    </w:p>
    <w:p w14:paraId="083BD060"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“(5) 28-</w:t>
      </w:r>
      <w:r w:rsidRPr="008B3051">
        <w:rPr>
          <w:rFonts w:ascii="Verdana" w:eastAsia="Times New Roman" w:hAnsi="Verdana" w:cs="Times New Roman"/>
          <w:smallCaps/>
          <w:sz w:val="24"/>
          <w:szCs w:val="24"/>
        </w:rPr>
        <w:t>percent rate gain</w:t>
      </w:r>
      <w:r w:rsidRPr="008B3051">
        <w:rPr>
          <w:rFonts w:ascii="Verdana" w:eastAsia="Times New Roman" w:hAnsi="Verdana" w:cs="Times New Roman"/>
          <w:sz w:val="24"/>
          <w:szCs w:val="24"/>
        </w:rPr>
        <w:t>.—For purposes of this subsection—</w:t>
      </w:r>
    </w:p>
    <w:p w14:paraId="79B5A18D" w14:textId="68A5DD7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mallCaps/>
          <w:sz w:val="24"/>
          <w:szCs w:val="24"/>
        </w:rPr>
        <w:t>In general</w:t>
      </w:r>
      <w:r w:rsidRPr="008B3051">
        <w:rPr>
          <w:rFonts w:ascii="Verdana" w:eastAsia="Times New Roman" w:hAnsi="Verdana" w:cs="Times New Roman"/>
          <w:sz w:val="24"/>
          <w:szCs w:val="24"/>
        </w:rPr>
        <w:t>.—The term ‘28-percent rate gain’ means the excess (if any) of—</w:t>
      </w:r>
    </w:p>
    <w:p w14:paraId="4803A4A5"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sum of—</w:t>
      </w:r>
    </w:p>
    <w:p w14:paraId="4ED022AF" w14:textId="2CEB58A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aggregate long-term capital gain from property held for more than 1 year but not more than 18 months;</w:t>
      </w:r>
    </w:p>
    <w:p w14:paraId="21CF7E20" w14:textId="3E4D95C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collectibles gain; and</w:t>
      </w:r>
    </w:p>
    <w:p w14:paraId="30265057" w14:textId="728B956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 section 1202 gain, over</w:t>
      </w:r>
    </w:p>
    <w:p w14:paraId="48E4F4B8"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sum of—</w:t>
      </w:r>
    </w:p>
    <w:p w14:paraId="128D0BE4" w14:textId="6E1962E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aggregate long-term capital loss (not described in subclause (IV)) from property referred to in clause (i)(I);</w:t>
      </w:r>
    </w:p>
    <w:p w14:paraId="480DE386" w14:textId="0D852AD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collectibles loss;</w:t>
      </w:r>
    </w:p>
    <w:p w14:paraId="57DE6046" w14:textId="2000CDE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 the net short-term capital loss; and</w:t>
      </w:r>
    </w:p>
    <w:p w14:paraId="09203A0B" w14:textId="0272A2A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“(IV) the amount of long-term capital loss carried under section 1212(b)(1)(B) to the taxable year.</w:t>
      </w:r>
    </w:p>
    <w:p w14:paraId="345F7EF4"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w:t>
      </w:r>
      <w:r w:rsidRPr="008B3051">
        <w:rPr>
          <w:rFonts w:ascii="Verdana" w:eastAsia="Times New Roman" w:hAnsi="Verdana" w:cs="Times New Roman"/>
          <w:smallCaps/>
          <w:sz w:val="24"/>
          <w:szCs w:val="24"/>
        </w:rPr>
        <w:t>Special rules.—</w:t>
      </w:r>
    </w:p>
    <w:p w14:paraId="4E963101" w14:textId="3D3FDAC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w:t>
      </w:r>
      <w:r w:rsidRPr="008B3051">
        <w:rPr>
          <w:rFonts w:ascii="Verdana" w:eastAsia="Times New Roman" w:hAnsi="Verdana" w:cs="Times New Roman"/>
          <w:smallCaps/>
          <w:sz w:val="24"/>
          <w:szCs w:val="24"/>
        </w:rPr>
        <w:t>Short sale gains and holding periods</w:t>
      </w:r>
      <w:r w:rsidRPr="008B3051">
        <w:rPr>
          <w:rFonts w:ascii="Verdana" w:eastAsia="Times New Roman" w:hAnsi="Verdana" w:cs="Times New Roman"/>
          <w:sz w:val="24"/>
          <w:szCs w:val="24"/>
        </w:rPr>
        <w:t>.—Rules similar to the rules of section 1233(b) shall apply where the substantially identical property has been held more than 1 year but not more than 18 months; except that, for purposes of such rules—</w:t>
      </w:r>
    </w:p>
    <w:p w14:paraId="72E2CF73" w14:textId="6571979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section 1233(b)(1) shall be applied by substituting ‘18 months’ for ‘1 year’ each place it appears; and</w:t>
      </w:r>
    </w:p>
    <w:p w14:paraId="023D51B0" w14:textId="2F8B26B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holding period of such property shall be treated as being 1 year on the day before the earlier of the date of the closing of the short sale or the date such property is disposed of.</w:t>
      </w:r>
    </w:p>
    <w:p w14:paraId="0573776D" w14:textId="70D2D0B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w:t>
      </w:r>
      <w:r w:rsidRPr="008B3051">
        <w:rPr>
          <w:rFonts w:ascii="Verdana" w:eastAsia="Times New Roman" w:hAnsi="Verdana" w:cs="Times New Roman"/>
          <w:smallCaps/>
          <w:sz w:val="24"/>
          <w:szCs w:val="24"/>
        </w:rPr>
        <w:t>Long-term losses</w:t>
      </w:r>
      <w:r w:rsidRPr="008B3051">
        <w:rPr>
          <w:rFonts w:ascii="Verdana" w:eastAsia="Times New Roman" w:hAnsi="Verdana" w:cs="Times New Roman"/>
          <w:sz w:val="24"/>
          <w:szCs w:val="24"/>
        </w:rPr>
        <w:t>.—Section 1233(d) shall be applied separately by substituting ‘18 months’ for ‘1 year’ each place it appears.</w:t>
      </w:r>
    </w:p>
    <w:p w14:paraId="39B943B4" w14:textId="149393A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“(iii) </w:t>
      </w:r>
      <w:r w:rsidRPr="008B3051">
        <w:rPr>
          <w:rFonts w:ascii="Verdana" w:eastAsia="Times New Roman" w:hAnsi="Verdana" w:cs="Times New Roman"/>
          <w:smallCaps/>
          <w:sz w:val="24"/>
          <w:szCs w:val="24"/>
        </w:rPr>
        <w:t>Options</w:t>
      </w:r>
      <w:r w:rsidRPr="008B3051">
        <w:rPr>
          <w:rFonts w:ascii="Verdana" w:eastAsia="Times New Roman" w:hAnsi="Verdana" w:cs="Times New Roman"/>
          <w:sz w:val="24"/>
          <w:szCs w:val="24"/>
        </w:rPr>
        <w:t>.—A rule similar to the rule of section 1092(f) shall apply where the stock was held for more than 18 months.</w:t>
      </w:r>
    </w:p>
    <w:p w14:paraId="13671638" w14:textId="1EE549E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“(iv) </w:t>
      </w:r>
      <w:r w:rsidRPr="008B3051">
        <w:rPr>
          <w:rFonts w:ascii="Verdana" w:eastAsia="Times New Roman" w:hAnsi="Verdana" w:cs="Times New Roman"/>
          <w:smallCaps/>
          <w:sz w:val="24"/>
          <w:szCs w:val="24"/>
        </w:rPr>
        <w:t>Section 1256 contracts</w:t>
      </w:r>
      <w:r w:rsidRPr="008B3051">
        <w:rPr>
          <w:rFonts w:ascii="Verdana" w:eastAsia="Times New Roman" w:hAnsi="Verdana" w:cs="Times New Roman"/>
          <w:sz w:val="24"/>
          <w:szCs w:val="24"/>
        </w:rPr>
        <w:t>.—Amounts treated as long-term capital gain or loss under section 1256(a)(3) shall be treated as attributable to property held for more than 18 months.”</w:t>
      </w:r>
    </w:p>
    <w:p w14:paraId="74CC119F" w14:textId="234E051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(h)(6)(A). Pub. L. 105–206, § 5001(a)(2), substituted “1 year” for “18 months”.</w:t>
      </w:r>
    </w:p>
    <w:p w14:paraId="53CCF234" w14:textId="08BB057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(h)(7)(A)(i), (ii). Pub. L. 105–206, § 5001(a)(3), amended cls. (i) and (ii) generally. Prior to amendment, cls. (i) and (ii) read as follows:</w:t>
      </w:r>
    </w:p>
    <w:p w14:paraId="78748F07" w14:textId="0F71F70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amount of long-term capital gain (not otherwise treated as ordinary income) which would be treated as ordinary income if—</w:t>
      </w:r>
    </w:p>
    <w:p w14:paraId="2A9FED17" w14:textId="58AB581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section 1250(b)(1) included all depreciation and the applicable percentage under section 1250(a) were 100 percent, and</w:t>
      </w:r>
    </w:p>
    <w:p w14:paraId="54575469" w14:textId="6E11643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only gain from property held for more than 18 months were taken into account, over</w:t>
      </w:r>
    </w:p>
    <w:p w14:paraId="354E1DCE"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excess (if any) of—</w:t>
      </w:r>
    </w:p>
    <w:p w14:paraId="10DA43A0"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amount described in paragraph (5)(A)(ii), over</w:t>
      </w:r>
    </w:p>
    <w:p w14:paraId="20611829"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amount described in paragraph (5)(A)(i).”</w:t>
      </w:r>
    </w:p>
    <w:p w14:paraId="47E897DD" w14:textId="61FF1F2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(h)(13). Pub. L. 105–206, § 5001(a)(4), struck out “for periods during 1997” after “Special rules” in par. heading and amended headings and text of subpars. (A) and (B) generally. Prior to amendment, subpars. (A) and (B) read as follows:</w:t>
      </w:r>
    </w:p>
    <w:p w14:paraId="4116D140"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mallCaps/>
          <w:sz w:val="24"/>
          <w:szCs w:val="24"/>
        </w:rPr>
        <w:t>Determination of 28-percent rate gain</w:t>
      </w:r>
      <w:r w:rsidRPr="008B3051">
        <w:rPr>
          <w:rFonts w:ascii="Verdana" w:eastAsia="Times New Roman" w:hAnsi="Verdana" w:cs="Times New Roman"/>
          <w:sz w:val="24"/>
          <w:szCs w:val="24"/>
        </w:rPr>
        <w:t>.—In applying paragraph (5)—</w:t>
      </w:r>
    </w:p>
    <w:p w14:paraId="23666788" w14:textId="2A64EBA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amount determined under subclause (I) of paragraph (5)(A)(i) shall include long-term capital gain (not otherwise described in paragraph (5)(A)(i)) which is properly taken into account for the portion of the taxable year before May 7, 1997;</w:t>
      </w:r>
    </w:p>
    <w:p w14:paraId="2A9E99BC" w14:textId="30EEA3A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amounts determined under subclause (I) of paragraph (5)(A)(ii) shall include long-term capital loss (not otherwise described in paragraph (5)(A)(ii)) which is properly taken into account for the portion of the taxable year before May 7, 1997; and</w:t>
      </w:r>
    </w:p>
    <w:p w14:paraId="217C8628" w14:textId="1E215B8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 clauses (i)(I) and (ii)(I) of paragraph (5)(A) shall be applied by not taking into account any gain and loss on property held for more than 1 year but not more than 18 months which is properly taken into account for the portion of the taxable year after May 6, 1997, and before July 29, 1997.</w:t>
      </w:r>
    </w:p>
    <w:p w14:paraId="41338399"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w:t>
      </w:r>
      <w:r w:rsidRPr="008B3051">
        <w:rPr>
          <w:rFonts w:ascii="Verdana" w:eastAsia="Times New Roman" w:hAnsi="Verdana" w:cs="Times New Roman"/>
          <w:smallCaps/>
          <w:sz w:val="24"/>
          <w:szCs w:val="24"/>
        </w:rPr>
        <w:t>Other special rules.—</w:t>
      </w:r>
    </w:p>
    <w:p w14:paraId="704C60F7" w14:textId="15EE9F8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“(i) </w:t>
      </w:r>
      <w:r w:rsidRPr="008B3051">
        <w:rPr>
          <w:rFonts w:ascii="Verdana" w:eastAsia="Times New Roman" w:hAnsi="Verdana" w:cs="Times New Roman"/>
          <w:smallCaps/>
          <w:sz w:val="24"/>
          <w:szCs w:val="24"/>
        </w:rPr>
        <w:t>Determination of unrecaptured section 1250 gain not to include pre-may 7, 1997 gain</w:t>
      </w:r>
      <w:r w:rsidRPr="008B3051">
        <w:rPr>
          <w:rFonts w:ascii="Verdana" w:eastAsia="Times New Roman" w:hAnsi="Verdana" w:cs="Times New Roman"/>
          <w:sz w:val="24"/>
          <w:szCs w:val="24"/>
        </w:rPr>
        <w:t>.—The amount determined under paragraph (7)(A)(i) shall not include gain properly taken into account for the portion of thetaxable year before May 7, 1997.</w:t>
      </w:r>
    </w:p>
    <w:p w14:paraId="3D30E282" w14:textId="00EB281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w:t>
      </w:r>
      <w:r w:rsidRPr="008B3051">
        <w:rPr>
          <w:rFonts w:ascii="Verdana" w:eastAsia="Times New Roman" w:hAnsi="Verdana" w:cs="Times New Roman"/>
          <w:smallCaps/>
          <w:sz w:val="24"/>
          <w:szCs w:val="24"/>
        </w:rPr>
        <w:t>Other transitional rules for 18-month holding period</w:t>
      </w:r>
      <w:r w:rsidRPr="008B3051">
        <w:rPr>
          <w:rFonts w:ascii="Verdana" w:eastAsia="Times New Roman" w:hAnsi="Verdana" w:cs="Times New Roman"/>
          <w:sz w:val="24"/>
          <w:szCs w:val="24"/>
        </w:rPr>
        <w:t>.—Paragraphs (6)(A) and (7)(A)(i)(II) shall be applied by substituting ‘1 year’ for ‘18 months’ with respect to gain properly taken into account for the portion of the taxable year after May 6, 1997, and before July 29, 1997.”</w:t>
      </w:r>
    </w:p>
    <w:p w14:paraId="176E7BF5" w14:textId="2CA3F4F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(h)(13)(B). Pub. L. 105–277, § 4002(i)(1), substituted “paragraph (7)(A)(i)” for “paragraph (7)(A)” in introductory provisions.</w:t>
      </w:r>
    </w:p>
    <w:p w14:paraId="04961A9C" w14:textId="52FE683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(h)(13)(D). Pub. L. 105–277, § 4002(i)(3), added subpar. (D).</w:t>
      </w:r>
    </w:p>
    <w:p w14:paraId="0D87736B" w14:textId="2B7BCBB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1997—Subsec. (h). Pub. L. 105–34 amended heading and text of subsec. (h) generally. Prior to amendment, text read as follows: “If a taxpayer has a net capital gain for any taxable year, then the tax imposed by this section shall not exceed the sum of—</w:t>
      </w:r>
    </w:p>
    <w:p w14:paraId="206391CF" w14:textId="4366A74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 a tax computed at the rates and in the same manner as if this subsection had not been enacted on the greater of—</w:t>
      </w:r>
    </w:p>
    <w:p w14:paraId="26DD860C" w14:textId="5334F8B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taxable income reduced by the amount of the net capital gain, or</w:t>
      </w:r>
    </w:p>
    <w:p w14:paraId="1B6C37A7" w14:textId="046803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the amount of taxable income taxed at a rate below 28 percent, plus</w:t>
      </w:r>
    </w:p>
    <w:p w14:paraId="219FCB79" w14:textId="42F0A51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 a tax of 28 percent of the amount of taxable income in excess of the amount determined under paragraph (1).</w:t>
      </w:r>
    </w:p>
    <w:p w14:paraId="0A4DB794" w14:textId="1D6C849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the preceding sentence, the net capital gain for any taxable year shall be reduced (but not below zero) by the amount which the taxpayer elects to take into account as investment income for the taxable year under section 163(d)(4)(B)(iii).”</w:t>
      </w:r>
    </w:p>
    <w:p w14:paraId="62885B57" w14:textId="70DEBAF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1996—Subsec. (g)(7)(A)(ii). Pub. L. 104–188, § 1704(m)(1), amended cl. (ii) generally. Prior to amendment, cl. (ii) read as follows: “such gross income is more than $500 and less than $5,000,”.</w:t>
      </w:r>
    </w:p>
    <w:p w14:paraId="242509C0" w14:textId="2C35C10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(g)(7)(B)(i). Pub. L. 104–188, § 1704(m)(2)(A), substituted “twice the amount described in paragraph (4)(A)(ii)(I)” for “$1,000”.</w:t>
      </w:r>
    </w:p>
    <w:p w14:paraId="3BF3C8DE" w14:textId="742320D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(g)(7)(B)(ii)(II). Pub. L. 104–188, § 1704(m)(2)(B), amended subcl. (II) generally. Prior to amendment, subcl. (II) read as follows: “for each such child, the lesser of $75 or 15 percent of the excess of the gross income of such child over $500, and”.</w:t>
      </w:r>
    </w:p>
    <w:p w14:paraId="126DB662" w14:textId="5503F66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1993—Subsecs. (a) to (e). Pub. L. 103–66, §§ 13201(a), 13202(a), amended subsecs. (a) to (e) generally, substituting five-tiered tax tables for </w:t>
      </w:r>
      <w:r w:rsidRPr="008B3051">
        <w:rPr>
          <w:rFonts w:ascii="Verdana" w:eastAsia="Times New Roman" w:hAnsi="Verdana" w:cs="Times New Roman"/>
          <w:sz w:val="24"/>
          <w:szCs w:val="24"/>
        </w:rPr>
        <w:lastRenderedPageBreak/>
        <w:t>all categories applicable to tax years after December 31, 1992, for prior three-tiered tax tables.</w:t>
      </w:r>
    </w:p>
    <w:p w14:paraId="15FA76E4" w14:textId="30E0FEF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(f)(1). Pub. L. 103–66, § 13201(b)(3)(A)(i), substituted “1993” for “1990”.</w:t>
      </w:r>
    </w:p>
    <w:p w14:paraId="44AFBF87" w14:textId="7E2F03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(f)(3)(B). Pub. L. 103–66, § 13201(b)(3)(A)(ii), substituted “1992” for “1989”.</w:t>
      </w:r>
    </w:p>
    <w:p w14:paraId="25536873" w14:textId="5DB565A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(f)(7). Pub. L. 103–66, § 13201(b)(3)(B), added par. (7).</w:t>
      </w:r>
    </w:p>
    <w:p w14:paraId="0BDAC56B" w14:textId="46DE38C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 Pub. L. 103–66, § 13206(d)(2), inserted as concluding provision at end “For purposes of the preceding sentence, the net capital gain for any taxable year shall be reduced (but not below zero) by the amount which the taxpayer elects to take into account as investment income for the taxable year under section 163(d)(4)(B)(iii).”</w:t>
      </w:r>
    </w:p>
    <w:p w14:paraId="62D451D7" w14:textId="055F547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1990—Subsecs. (a) to (e). Pub. L. 101–508, § 11101(a), amended subsecs. (a) to (e) generally, substituting three-tiered tax tables for all categories applicable to tax years after Dec. 31, 1990, for prior two-tiered tax tables.</w:t>
      </w:r>
    </w:p>
    <w:p w14:paraId="06549940" w14:textId="525F2B7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(f)(1). Pub. L. 101–508, § 11101(d)(1)(A)(i), substituted “1990” for “1988”.</w:t>
      </w:r>
    </w:p>
    <w:p w14:paraId="7687CE31" w14:textId="1163A33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(f)(3)(B). Pub. L. 101–508, § 11101(d)(1)(A)(ii), substituted “1989” for “1987”.</w:t>
      </w:r>
    </w:p>
    <w:p w14:paraId="52FE1281" w14:textId="76DD45C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(f)(6)(A). Pub. L. 101–508, § 11104(b)(1), substituted “section 151(d)(4)” for “section 151(d)(3)”.</w:t>
      </w:r>
    </w:p>
    <w:p w14:paraId="7818BD7F" w14:textId="7AF6252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 11103(c), inserted reference to section 68(b)(2).</w:t>
      </w:r>
    </w:p>
    <w:p w14:paraId="682A9AC9" w14:textId="1E3950C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 11101(b)(2), struck out “subsection (g)(4),” after “paragraph (2)(A),”.</w:t>
      </w:r>
    </w:p>
    <w:p w14:paraId="4580EF5B" w14:textId="586BFF6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(f)(6)(B). Pub. L. 101–508, § 11104(b)(2), substituted “section 151(d)(4)(A)” for “section 151(d)(3)”.</w:t>
      </w:r>
    </w:p>
    <w:p w14:paraId="7E6B43D5" w14:textId="31E9A6F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(g). Pub. L. 101–508, § 11101(d)(2), redesignated subsec. (i) as (g).</w:t>
      </w:r>
    </w:p>
    <w:p w14:paraId="7416310C" w14:textId="2AE1888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 11101(b)(1), struck out subsec. (g) which provided for phaseout of 15-percent rate and personal exemptions.</w:t>
      </w:r>
    </w:p>
    <w:p w14:paraId="12647E24" w14:textId="518A336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(h). Pub. L. 101–508, § 11101(d)(2), redesignated subsec. (j) as (h) and struck out former subsec. (h) which provided tax schedules for taxable years beginning in 1987.</w:t>
      </w:r>
    </w:p>
    <w:p w14:paraId="3447EA65" w14:textId="52D489C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 Pub. L. 101–508, § 11101(d)(2), redesignated subsec. (i) as (g).</w:t>
      </w:r>
    </w:p>
    <w:p w14:paraId="45F7EAD3" w14:textId="3EB174D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(j). Pub. L. 101–508, § 11101(d)(2), redesignated subsec. (j) as (h).</w:t>
      </w:r>
    </w:p>
    <w:p w14:paraId="52F87B17" w14:textId="1E8A12C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101–508, § 11101(c), amended subsec. (j) generally. Prior to amendment, subsec. (j) read as follows:</w:t>
      </w:r>
    </w:p>
    <w:p w14:paraId="2197046A" w14:textId="5F81CB9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 </w:t>
      </w:r>
      <w:r w:rsidRPr="008B3051">
        <w:rPr>
          <w:rFonts w:ascii="Verdana" w:eastAsia="Times New Roman" w:hAnsi="Verdana" w:cs="Times New Roman"/>
          <w:smallCaps/>
          <w:sz w:val="24"/>
          <w:szCs w:val="24"/>
        </w:rPr>
        <w:t>In general</w:t>
      </w:r>
      <w:r w:rsidRPr="008B3051">
        <w:rPr>
          <w:rFonts w:ascii="Verdana" w:eastAsia="Times New Roman" w:hAnsi="Verdana" w:cs="Times New Roman"/>
          <w:sz w:val="24"/>
          <w:szCs w:val="24"/>
        </w:rPr>
        <w:t>.—If a taxpayer has a net capital gain for any taxable year to which this subsection applies, then the tax imposed by this section shall not exceed the sum of—</w:t>
      </w:r>
    </w:p>
    <w:p w14:paraId="39910EEE" w14:textId="6D53043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a tax computed at the rates and in the same manner as if this subsection had not been enacted on the greater of—</w:t>
      </w:r>
    </w:p>
    <w:p w14:paraId="0CF691B0" w14:textId="3A443CB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taxable income reduced by the amount of net capital gain, or</w:t>
      </w:r>
    </w:p>
    <w:p w14:paraId="6A3FBC84" w14:textId="1A94E88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amount of taxable income taxed at a rate below 28 percent, plus</w:t>
      </w:r>
    </w:p>
    <w:p w14:paraId="2A2FFAE8" w14:textId="7157A23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a tax of 28 percent of the amount of taxable income in excess of the amount determined under subparagraph (A), plus</w:t>
      </w:r>
    </w:p>
    <w:p w14:paraId="0DB95FC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 the amount of increase determined under subsection (g).</w:t>
      </w:r>
    </w:p>
    <w:p w14:paraId="1B9C8321"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 </w:t>
      </w:r>
      <w:r w:rsidRPr="008B3051">
        <w:rPr>
          <w:rFonts w:ascii="Verdana" w:eastAsia="Times New Roman" w:hAnsi="Verdana" w:cs="Times New Roman"/>
          <w:smallCaps/>
          <w:sz w:val="24"/>
          <w:szCs w:val="24"/>
        </w:rPr>
        <w:t>Years to which subsection applies</w:t>
      </w:r>
      <w:r w:rsidRPr="008B3051">
        <w:rPr>
          <w:rFonts w:ascii="Verdana" w:eastAsia="Times New Roman" w:hAnsi="Verdana" w:cs="Times New Roman"/>
          <w:sz w:val="24"/>
          <w:szCs w:val="24"/>
        </w:rPr>
        <w:t>.—This subsection shall apply to—</w:t>
      </w:r>
    </w:p>
    <w:p w14:paraId="5E5F4C0C" w14:textId="4173434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any taxable year beginning in 1987, and</w:t>
      </w:r>
    </w:p>
    <w:p w14:paraId="08F55802" w14:textId="1F21E37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any taxable year beginning after 1987 if the highest rate of tax set forth in subsection (a), (b), (c), (d), or (e) (whichever applies) for such taxable year exceeds 28 percent.”</w:t>
      </w:r>
    </w:p>
    <w:p w14:paraId="473DEA91" w14:textId="34E51CC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1989—Subsec. (f)(6)(B). Pub. L. 101–239, § 7831(a), substituted “subsection (c)(4) of section 63 (as it applies to subsections (c)(5)(A) and (f) of such section) and section 151(d)(3)” for “section 63(c)(4)”.</w:t>
      </w:r>
    </w:p>
    <w:p w14:paraId="2D5C8C1A" w14:textId="1562586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(i)(3)(C), (D). Pub. L. 101–239, § 7811(j)(1), redesignated subpar. (C), relating to special rule where parent has different taxable year, as (D).</w:t>
      </w:r>
    </w:p>
    <w:p w14:paraId="5277899A" w14:textId="22ADFA9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(i)(7)(A). Pub. L. 101–239, § 7816(b), inserted “(other than for purposes of this paragraph)” after “shall be treated” in concluding provisions.</w:t>
      </w:r>
    </w:p>
    <w:p w14:paraId="4EE6AFB6" w14:textId="5949D60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1988—Subsec. (g)(2). Pub. L. 100–647, § 1001(a)(3), inserted provision relating to application of subpar. (B) at end of last sentence.</w:t>
      </w:r>
    </w:p>
    <w:p w14:paraId="02EFBFFF" w14:textId="6225DB4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(i)(3)(A). Pub. L. 100–647, § 1014(e)(2), substituted “any exclusion, deduction, or credit” for “any deduction or credit”.</w:t>
      </w:r>
    </w:p>
    <w:p w14:paraId="42A55C2C" w14:textId="75D484C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(i)(3)(C). Pub. L. 100–647, § 1014(e)(7), added subpar. (C) relating to special rule where parent has different taxable year.</w:t>
      </w:r>
    </w:p>
    <w:p w14:paraId="5CCDE937" w14:textId="232774E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100–647, § 1014(e)(1), added subpar. (C) relating to coordination with section 644.</w:t>
      </w:r>
    </w:p>
    <w:p w14:paraId="6278BCAB" w14:textId="564F440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 (i)(4)(A)(i). Pub. L. 100–647, § 1014(e)(3)(A), substituted “adjusted gross income” for “gross income” and inserted “attributable to” after “which is not”.</w:t>
      </w:r>
    </w:p>
    <w:p w14:paraId="4CEAD638" w14:textId="1F8D203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(i)(4)(A)(ii)(II). Pub. L. 100–647, § 1014(e)(3)(B)–(D), substituted “his deductions” for “his deduction”, “the itemized deductions allowed” for “the deductions allowed”, and “adjusted gross income” for “gross income”.</w:t>
      </w:r>
    </w:p>
    <w:p w14:paraId="682903F9" w14:textId="055E490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(i)(5)(A). Pub. L. 100–647, § 1014(e)(6), substituted “custodial parent (within the meaning of section 152(e))” for “custodial parent”.</w:t>
      </w:r>
    </w:p>
    <w:p w14:paraId="088A5B4D" w14:textId="7480F31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(i)(7). Pub. L. 100–647, § 6006(a), added par. (7).</w:t>
      </w:r>
    </w:p>
    <w:p w14:paraId="3EDD4568" w14:textId="5231850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1986—Subsecs. (a) to (e). Pub. L. 99–514, § 101(a), in amending subsecs. (a) to (e) generally, substituted a general tax table for tax tables (1), (2), and (3) in each subsec. applicable to taxable years beginning in 1982, 1983, and after 1983, respectively.</w:t>
      </w:r>
    </w:p>
    <w:p w14:paraId="49BC759B" w14:textId="6421C11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 Pub. L. 99–514, § 101(a), in amending subsec. (f) generally, in par. (1) substituted “1988,” for “1984” and struck out “paragraph (3) of” before “subsections”, in par. (2) struck out “paragraph (3) of” before “subsection” in introductory provisions, substituted subpars. (A) to (C) for former subpars. (A) to (C) which read as follows:</w:t>
      </w:r>
    </w:p>
    <w:p w14:paraId="5DF89871"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by increasing—</w:t>
      </w:r>
    </w:p>
    <w:p w14:paraId="24FD1ECA" w14:textId="5F655EF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maximum dollar amount on which no tax is imposed under such table, and</w:t>
      </w:r>
    </w:p>
    <w:p w14:paraId="1D92E8E7" w14:textId="0E97B2B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minimum and maximum dollar amounts for each rate bracket for which a tax is imposed under such table,</w:t>
      </w:r>
    </w:p>
    <w:p w14:paraId="27FD9E44" w14:textId="104CE10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by the cost-of-living adjustment for such calendar year,</w:t>
      </w:r>
    </w:p>
    <w:p w14:paraId="47AD60F5"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by not changing the rate applicable to any rate bracket as adjusted under subparagraph (A)(ii), and</w:t>
      </w:r>
    </w:p>
    <w:p w14:paraId="616D7111" w14:textId="0C9936B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 by adjusting the amounts setting forth the tax to the extent necessary to reflect the adjustments in the rate brackets.”,</w:t>
      </w:r>
    </w:p>
    <w:p w14:paraId="3E977FC1" w14:textId="342F4A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and struck out concluding provisions which read as follows: “If any increase determined under subparagraph (A) is not a multiple of $10, such increase shall be rounded to the nearest multiple of $10 (or if such increase is a multiple of $5, such increase shall be increased to the next highest multiple of $10).”, in par. (3)(B) substituted “1987” for “1983”, in par. (4) substituted “August 31” for “September 30”, in par. (5) inserted requirement that the Consumer Price Index most consistent with such Index for calendar year 1986 be used, and added par. (6).</w:t>
      </w:r>
    </w:p>
    <w:p w14:paraId="550CDC23" w14:textId="6CBF66C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Subsecs. (g), (h). Pub. L. 99–514, § 101(a), in amending section generally, added subsecs. (g) and (h).</w:t>
      </w:r>
    </w:p>
    <w:p w14:paraId="6966206D" w14:textId="225EB2C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(i). Pub. L. 99–514, § 1411(a), added subsec. (i).</w:t>
      </w:r>
    </w:p>
    <w:p w14:paraId="0DF6DD27" w14:textId="08E2ECE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(j). Pub. L. 99–514, § 302(a), added subsec. (j).</w:t>
      </w:r>
    </w:p>
    <w:p w14:paraId="528ED5B1" w14:textId="3114505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1982—Subsecs. (d), (e). Pub. L. 97–448, § 101(a)(3), set out as a note below, provided for amendment of the tables applying to married individuals filing separately or to estates and trusts so as to correct any figure differing by not more than 50 cents from the correct amount under the formula used in constructing such table. Corrections to the tables in subsecs. (d) and (e) appeared in Announcement 83–50 contained in Internal Revenue Bulletin No. 1983–12 of Mar. 21, 1983.</w:t>
      </w:r>
    </w:p>
    <w:p w14:paraId="4CA8CDCD" w14:textId="0CB03E9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1981—Subsecs. (a) to (e). Pub. L. 97–34, § 101(a), generally revised tax tables downward providing for cumulative across-the-board reductions of 23 percent on a three phase schedule under which different new rates were set for taxable years beginning in 1982, for taxable years beginning in 1983, and for taxable years beginning after 1983.</w:t>
      </w:r>
    </w:p>
    <w:p w14:paraId="02EC1DE6" w14:textId="240E2B2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(f). Pub. L. 97–34, § 104(a), added subsec. (f).</w:t>
      </w:r>
    </w:p>
    <w:p w14:paraId="3743ADAA" w14:textId="65A3173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1978—Subsec. (a). Pub. L. 95–600 generally made a downward revision of tax table for married individuals filing joint returns and surviving spouses resulting in a table under which, among other changes, a bottom bracket imposing no tax on taxable income of $3,400 or less was substituted for a bottom bracket imposing no tax on taxable income of $3,200 or less.</w:t>
      </w:r>
    </w:p>
    <w:p w14:paraId="3A6A1393" w14:textId="20C5083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 Pub. L. 95–600 generally made a downward revision of tax table for heads of household resulting in a table under which, among other changes, a bottom bracket imposing no tax on taxable income of $2,300 or less was substituted for a bottom bracket imposing no tax on taxable income of $2,200 or less.</w:t>
      </w:r>
    </w:p>
    <w:p w14:paraId="127DBD74" w14:textId="4B8610C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(c). Pub. L. 95–600 generally made a downward revision of tax table for unmarried individuals other than surviving spouses and heads of households resulting in a table under which, among other changes, a bottom bracket imposing no tax on taxable income of $2,300 or less was substituted for a bottom bracket imposing no tax on taxable income of $2,200 or less.</w:t>
      </w:r>
    </w:p>
    <w:p w14:paraId="7CD9D6D1" w14:textId="01361AE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(d). Pub. L. 95–600 generally made a downward revision of tax tables for married individuals filing separate returns resulting in a table under which, among other changes, a bottom bracket imposing no tax on taxable income of $1,700 or less was substituted for a bottom bracket imposing no tax on taxable income of $1,600 or less.</w:t>
      </w:r>
    </w:p>
    <w:p w14:paraId="4C12FB4C" w14:textId="32338C9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Subsec. (e). Pub. L. 95–600 generally made a downward revision of tax tables for estates and trusts resulting in a table under which, among other </w:t>
      </w:r>
      <w:r w:rsidRPr="008B3051">
        <w:rPr>
          <w:rFonts w:ascii="Verdana" w:eastAsia="Times New Roman" w:hAnsi="Verdana" w:cs="Times New Roman"/>
          <w:sz w:val="24"/>
          <w:szCs w:val="24"/>
        </w:rPr>
        <w:lastRenderedPageBreak/>
        <w:t>changes, a bottom bracket under which a tax of 14% is imposed on taxable income of $1,050 for a bottom bracket under which a tax of 14% was imposed on taxable income of $500 or less.</w:t>
      </w:r>
    </w:p>
    <w:p w14:paraId="0F3F77B1" w14:textId="7D61426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1977—Subsec. (a). Pub. L. 95–30 generally made a downward revision of tax table for married individuals filing joint returns and surviving spouses resulting in a table under which, among other changes, a bottom bracket imposing no tax on taxable income of $3,200 or less was substituted for a bottom bracket under which a tax of 14% had been imposed on a taxable income of $1,000 or less.</w:t>
      </w:r>
    </w:p>
    <w:p w14:paraId="10DF760E" w14:textId="747E9DB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 Pub. L. 95–30 generally made a downward revision of tax table for heads of households resulting in a table under which, among other changes, a bottom bracket imposing no tax on taxable income of $2,200 or less was substituted for a bottom bracket under which a tax of 14% had been imposed on a taxable income of $1,000 or less.</w:t>
      </w:r>
    </w:p>
    <w:p w14:paraId="67C0A5C4" w14:textId="0495B26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(c). Pub. L. 95–30 generally made a downward revision of tax table for unmarried individuals other than surviving spouses and heads of households resulting in a table under which, among other changes, a bottom bracket imposing no tax on taxable income of $2,200 or less was substituted for a bottom bracket under which a tax of 14% had been imposed on a taxable income of $500 or less.</w:t>
      </w:r>
    </w:p>
    <w:p w14:paraId="64A43042" w14:textId="173D488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(d). Pub. L. 95–30 generally made a downward revision of tax table for married individuals filing separate returns resulting in a table under which, among other changes, a bottom bracket imposing no tax on taxable income of $1,600 or less was substituted for a bottom bracket under which a tax of 14% had been imposed on a taxable income of $500 or less. Provisions making table applicable to estates and trusts were struck out. See subsec. (e).</w:t>
      </w:r>
    </w:p>
    <w:p w14:paraId="09DC4EF0" w14:textId="16A30C6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(e). Pub. L. 95–30 added subsec. (e) consisting of table formerly contained in subsec. (d) but without any downward revision and limited so as to apply only to estates and trusts.</w:t>
      </w:r>
    </w:p>
    <w:p w14:paraId="63CD036F" w14:textId="2F32728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1969—Subsec. (a). Pub. L. 91–172 substituted a table of rates of tax for married individuals filing joint returns and surviving spouses for the tables of rates of tax on individuals. For rates of taxes on unmarried individuals and married persons filing separate returns, see subsecs. (c) and (d) of this section.</w:t>
      </w:r>
    </w:p>
    <w:p w14:paraId="4B09A6A5" w14:textId="7325540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 Pub. L. 91–172 generally revised rates of tax of heads of household downwards and struck out provisions defining head of household, determination of status, and limitations. For definition of head of household, determination of status, and limitations, see section 2(b) of this title.</w:t>
      </w:r>
    </w:p>
    <w:p w14:paraId="4C4AE24E" w14:textId="22C18A3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 (c). Pub. L. 91–172 substituted rates of tax on unmarried individuals (other than surviving spouses and heads of household) for special rules explaining the rates of tax imposed under former subsecs. (a) and (b)(1) and prescribing a maximum limit of 87 percent of the taxable year.</w:t>
      </w:r>
    </w:p>
    <w:p w14:paraId="6FD8A66C" w14:textId="0E06828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(d). Pub. L. 91–172 substituted a table of rates of tax for married individuals filing separate returns for provision prescribing the applicability of the rates to non-resident aliens. For applicability of rates of tax to non-resident aliens, see section 2(d) of this title.</w:t>
      </w:r>
    </w:p>
    <w:p w14:paraId="65756023" w14:textId="37D5100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(e). Pub. L. 91–172 struck out cross reference to section 63. See section 2(e) of this title.</w:t>
      </w:r>
    </w:p>
    <w:p w14:paraId="62F615ED" w14:textId="0CAB927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1966—Subsecs. (d), (e). Pub. L. 89–809 added subsec. (d) and redesignated former subsec. (d) as (e).</w:t>
      </w:r>
    </w:p>
    <w:p w14:paraId="15B3FE91" w14:textId="4371461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1964—Pub. L. 88–272 amended section generally by splitting the former first bracket which started at $2,000 into four new brackets, the 14 percent bracket representing a 30 percent reduction, the 15 percent bracket a 25 percent cut, and the 16 percent bracket a 20 percent cut, and reducing all other brackets by cuts averaging about 20 percent and effectuated these cuts in two steps, one in 1964, and one in 1965.</w:t>
      </w:r>
    </w:p>
    <w:p w14:paraId="3539AF8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2017 Amendment</w:t>
      </w:r>
    </w:p>
    <w:p w14:paraId="010ED5DD" w14:textId="7F45936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115–97, title I, § 11001(c), Dec. 22, 2017, 131 Stat. 2059, provided that:</w:t>
      </w:r>
    </w:p>
    <w:p w14:paraId="312F2546" w14:textId="36C01E4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 6695 of this title] shall apply to taxable years beginning after December 31, 2017.”</w:t>
      </w:r>
    </w:p>
    <w:p w14:paraId="78B5CBCA" w14:textId="4BED146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115–97, title I, § 11002(e), Dec. 22, 2017, 131 Stat. 2063, provided that:</w:t>
      </w:r>
    </w:p>
    <w:p w14:paraId="7157F629" w14:textId="5408359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23, 25A, 25B, 32, 36B, 41, 42, 45R, 55, 59, 62, 63, 68, 125, 132, 135, 137, 146, 147, 151, 162, 179, 213, 219–221, 223, 280F, 408A, 430, 512, 513, 831, 877A, 911, 1274A, 2010, 2032A, 2503, 4161, 4261, 4980I, 5000A, 6039F, 6323, 6334, 6601, 6651, 6652, 6695, 6698, 6699, 6721, 6722, 7345, 7430, 7872, and 9831 of this title] shall apply to taxable years beginning after December 31, 2017.”</w:t>
      </w:r>
    </w:p>
    <w:p w14:paraId="568B692C" w14:textId="1636121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115–97, title I, § 14223(b), Dec. 22, 2017, 131 Stat. 2221, provided that:</w:t>
      </w:r>
    </w:p>
    <w:p w14:paraId="3D4E9493" w14:textId="7D51455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shall apply to dividends received after the date of the enactment of this Act [Dec. 22, 2017].”</w:t>
      </w:r>
    </w:p>
    <w:p w14:paraId="0AA6B23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2014 Amendment</w:t>
      </w:r>
    </w:p>
    <w:p w14:paraId="380F56D3" w14:textId="57EFA7C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113–295, div. A, title II, § 221(b), Dec. 19, 2014, 128 Stat. 4055, provided that:</w:t>
      </w:r>
    </w:p>
    <w:p w14:paraId="3F829FA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General rule.—</w:t>
      </w:r>
    </w:p>
    <w:p w14:paraId="113318E5" w14:textId="0CE917A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in subsection (a) [see Tables for classification] or paragraph (2) of this subsection, the amendments made by this section [see Tables for classification] shall take effect on the date of enactment of this Act [Dec. 19, 2014].</w:t>
      </w:r>
    </w:p>
    <w:p w14:paraId="704EB32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Savings provision.—</w:t>
      </w:r>
      <w:r w:rsidRPr="008B3051">
        <w:rPr>
          <w:rFonts w:ascii="Verdana" w:eastAsia="Times New Roman" w:hAnsi="Verdana" w:cs="Times New Roman"/>
          <w:sz w:val="24"/>
          <w:szCs w:val="24"/>
        </w:rPr>
        <w:t>If—</w:t>
      </w:r>
    </w:p>
    <w:p w14:paraId="163BAE3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“(A)any provision amended or repealed by the amendments made by this section applied to—</w:t>
      </w:r>
    </w:p>
    <w:p w14:paraId="0A97661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6D34990F" w14:textId="5967356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transaction occurring before the date of the enactment of this Act,</w:t>
      </w:r>
    </w:p>
    <w:p w14:paraId="15E0B55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68995279" w14:textId="15DDAA96"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property acquired before such date of enactment, or</w:t>
      </w:r>
    </w:p>
    <w:p w14:paraId="5CFDC89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w:t>
      </w:r>
    </w:p>
    <w:p w14:paraId="0F045000" w14:textId="5392DBA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item of income, loss, deduction, or credit taken into account before such date of enactment, and</w:t>
      </w:r>
    </w:p>
    <w:p w14:paraId="337DC40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7AD51015" w14:textId="6644102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treatment of such transaction, property, or item under such provision would (without regard to the amendments or repeals made by this section) affect the liability for tax for periods ending after [such] date of enactment, nothing in the amendments or repeals made by this section shall be construed to affect the treatment of such transaction, property, or item for purposes of determining liability for tax for periods ending after such date of enactment.”</w:t>
      </w:r>
    </w:p>
    <w:p w14:paraId="5AD6FEE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2013 Amendment</w:t>
      </w:r>
    </w:p>
    <w:p w14:paraId="04FD8E68" w14:textId="262680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112–240, title I, § 101(b)(3), Jan. 2, 2013, 126 Stat. 2317, provided that:</w:t>
      </w:r>
    </w:p>
    <w:p w14:paraId="0E4CDEE3" w14:textId="5D4AF44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subsection [amending this section and sections 68 and 151 of this title] shall apply to taxable years beginning after December 31, 2012.”</w:t>
      </w:r>
    </w:p>
    <w:p w14:paraId="360F594C" w14:textId="341338E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112–240, title I, § 102(d), Jan. 2, 2013, 126 Stat. 2319, provided that:</w:t>
      </w:r>
    </w:p>
    <w:p w14:paraId="05E1803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370196E0" w14:textId="4989476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the amendments made by subsections (b) and (c) [amending this section, sections 55, 531, 541, 1445, and 7518 of this title, and section 53511 of Title 46, Shipping] shall apply to taxable years beginning after December 31, 2012.</w:t>
      </w:r>
    </w:p>
    <w:p w14:paraId="5305ECB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Withholding.—</w:t>
      </w:r>
    </w:p>
    <w:p w14:paraId="2557CE93" w14:textId="55EA4A4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amendments made by paragraphs (1)(C) and (3) of subsection (c) [amending section 1445 of this title] shall apply to amounts paid on or after January 1, 2013.”</w:t>
      </w:r>
    </w:p>
    <w:p w14:paraId="349CB4E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and Termination Dates of 2010 Amendment</w:t>
      </w:r>
    </w:p>
    <w:p w14:paraId="7AD57B33" w14:textId="42690B0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111–148, title X, § 10909(c), Mar. 23, 2010, 124 Stat. 1023, as amended by Pub. L. 111–312, title I, § 101(b)(1), Dec. 17, 2010, 124 Stat. 3298, provided that:</w:t>
      </w:r>
    </w:p>
    <w:p w14:paraId="6AE45FF1" w14:textId="319B8D1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“Each provision of law amended by this section [amending sections 23, 24, 25, 25A, 25B, 26, 30, 30B, 30D, 36C, 137, 904, 1016, 1400C, and 6211 of this title and section 1324 of Title 31, Money and Finance, and renumbering section 23 of this title as section 36C of this title] is amended to read as such provision would read if this section had never been enacted. The amendments made by the preceding sentence shall apply to taxable years beginning after December 31, 2011.”</w:t>
      </w:r>
    </w:p>
    <w:p w14:paraId="564189AD" w14:textId="672788E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111–148, title X, § 10909(d), Mar. 23, 2010, 124 Stat. 1024, as amended by Pub. L. 111–312, title I, § 101(b)(2), Dec. 17, 2010, 124 Stat. 3298, provided that:</w:t>
      </w:r>
    </w:p>
    <w:p w14:paraId="2B4B85B2" w14:textId="49850A0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subsection (c) [set out as a note above], the amendments made by this section [amending sections 24, 25, 25A, 25B, 26, 30, 30B, 30D, 36C, 137, 904, 1016, 1400C, and 6211 of this title and section 1324 of Title 31, Money and Finance, and renumbering section 23 of this title as section 36C of this title] shall apply to taxable years beginning after December 31, 2009.”</w:t>
      </w:r>
    </w:p>
    <w:p w14:paraId="0B54BAF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2007 Amendment</w:t>
      </w:r>
    </w:p>
    <w:p w14:paraId="4C9512CF" w14:textId="3544148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110–28, title VIII, § 8241(c), May 25, 2007, 121 Stat. 199, provided that:</w:t>
      </w:r>
    </w:p>
    <w:p w14:paraId="0DFF65D2" w14:textId="0154C99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this section [amending this section] shall apply to taxable years beginning after the date of the enactment of this Act [May 25, 2007].”</w:t>
      </w:r>
    </w:p>
    <w:p w14:paraId="19F1DBD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2006 Amendment</w:t>
      </w:r>
    </w:p>
    <w:p w14:paraId="6E8C9E6D" w14:textId="76C20AB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109–222, title V, § 510(d), May 17, 2006, 120 Stat. 364, provided that:</w:t>
      </w:r>
    </w:p>
    <w:p w14:paraId="23A6A014" w14:textId="5AB8134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shall apply to taxable years beginning after December 31, 2005.”</w:t>
      </w:r>
    </w:p>
    <w:p w14:paraId="4A57E91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and Termination Dates of 2004 Amendment</w:t>
      </w:r>
    </w:p>
    <w:p w14:paraId="29952E28" w14:textId="52C205F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108–357, title IV, § 413(d), Oct. 22, 2004, 118 Stat. 1510, provided that:</w:t>
      </w:r>
    </w:p>
    <w:p w14:paraId="5B188D7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57F825BC" w14:textId="05786D3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paragraph (2), the amendments made by this section [amending this section and sections 170, 171, 245, 312, 443, 465, 508, 542, 543, 562, 563, 751, 864, </w:t>
      </w:r>
      <w:r w:rsidRPr="008B3051">
        <w:rPr>
          <w:rFonts w:ascii="Verdana" w:eastAsia="Times New Roman" w:hAnsi="Verdana" w:cs="Times New Roman"/>
          <w:sz w:val="24"/>
          <w:szCs w:val="24"/>
        </w:rPr>
        <w:lastRenderedPageBreak/>
        <w:t>898, 904, 951, 954, 989, 1014, 1016, 1212, 1223, 1248, 1260, 1291, 1294, 4947, 4948, 6103, 6501, and 6679 of this title and repealing sections 551 to 558, 1246, 1247, and 6035 of this title] shall apply to taxable years of foreign corporations beginning after December 31, 2004, and to taxable years of United States shareholders with or within which such taxable years of foreign corporations end.</w:t>
      </w:r>
    </w:p>
    <w:p w14:paraId="65CC81C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Subsection (c)(27).—</w:t>
      </w:r>
    </w:p>
    <w:p w14:paraId="719B7905" w14:textId="704BEE4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(c)(27) [amending section 6103 of this title] shall apply to disclosures of return or return information with respect to taxable years beginning after December 31, 2004.”</w:t>
      </w:r>
    </w:p>
    <w:p w14:paraId="747EAAD3" w14:textId="43AB515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108–311, title I, § 101(e), Oct. 4, 2004, 118 Stat. 1168, provided that:</w:t>
      </w:r>
    </w:p>
    <w:p w14:paraId="3A6C6427" w14:textId="50FFCF5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24 and 63 of this title] shall apply to taxable years beginning after December 31, 2003.”</w:t>
      </w:r>
    </w:p>
    <w:p w14:paraId="6B4AFD9D" w14:textId="14D62EE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108–311, title I, § 105, Oct. 4, 2004, 118 Stat. 1169, provided that:</w:t>
      </w:r>
    </w:p>
    <w:p w14:paraId="36F05AE2" w14:textId="771D7C6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“Each amendment made by this title [amending this section and sections 24, 32, 55, and 63 of this title] shall be subject to title IX of the Economic Growth and Tax Relief Reconciliation Act of 2001 [Pub. L. 107–16, § 901, which was repealed by Pub. L. 112–240, title I, § 101(a)(1), Jan. 2, 2013, 126 Stat. 2315, was formerly set out as an Effective and Termination Dates of 2001 Amendment note below] to the same extent and in the same manner as the provision of such Act to which such amendment relates.”</w:t>
      </w:r>
    </w:p>
    <w:p w14:paraId="3DDB6AD7" w14:textId="1275466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108–311, title IV, § 402(b), Oct. 4, 2004, 118 Stat. 1186, provided that:</w:t>
      </w:r>
    </w:p>
    <w:p w14:paraId="259E92AC" w14:textId="480BF51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(a) [amending this section and sections 691, 854, and 857 of this title and provisions set out as a note under this section] shall take effect as if included in section 302 of the Jobs and Growth Tax Relief Reconciliation Act of 2003 [Pub. L. 108–27].”</w:t>
      </w:r>
    </w:p>
    <w:p w14:paraId="4F6D9EC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and Termination Dates of 2003 Amendment</w:t>
      </w:r>
    </w:p>
    <w:p w14:paraId="3B7157BE" w14:textId="2C75E52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 § 102(c), May 28, 2003, 117 Stat. 754, provided that:</w:t>
      </w:r>
    </w:p>
    <w:p w14:paraId="063FDBE2" w14:textId="67525E2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provisions set out as a note under this section] shall apply to taxable years beginning after December 31, 2002.”</w:t>
      </w:r>
    </w:p>
    <w:p w14:paraId="5AE327FE" w14:textId="364BE19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 § 104(c), May 28, 2003, 117 Stat. 755, provided that:</w:t>
      </w:r>
    </w:p>
    <w:p w14:paraId="578232A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38DD5841" w14:textId="0BAEA86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shall apply to taxable years beginning after December 31, 2002.</w:t>
      </w:r>
    </w:p>
    <w:p w14:paraId="1E8F829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Tables for 2003.—</w:t>
      </w:r>
    </w:p>
    <w:p w14:paraId="0290BD10" w14:textId="67D0E0A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Secretary of the Treasury shall modify each table which has been prescribed under section 1(f) of the Internal Revenue Code of 1986 for taxable years beginning in 2003 and which relates to the amendment made by subsection (a) to reflect such amendment.”</w:t>
      </w:r>
    </w:p>
    <w:p w14:paraId="05B1ADC3" w14:textId="1548770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 § 105(b), May 28, 2003, 117 Stat. 755, provided that:</w:t>
      </w:r>
    </w:p>
    <w:p w14:paraId="0C63C5FF" w14:textId="1E8B60D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this section [amending this section] shall apply to taxable years beginning after December 31, 2002.”</w:t>
      </w:r>
    </w:p>
    <w:p w14:paraId="6AAF7BED" w14:textId="45B938D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 § 107, May 28, 2003, 117 Stat. 755, provided that:</w:t>
      </w:r>
    </w:p>
    <w:p w14:paraId="69321BCC" w14:textId="18864AA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“Each amendment made by this title [enacting section 6429 of this title, amending this section and sections 24, 55, and 63 of this title, and amending provisions set out as notes under this section] shall be subject to title IX of the Economic Growth and Tax Relief Reconciliation Act of 2001 [Pub. L. 107–16, § 901, which was repealed by Pub. L. 112–240, title I, § 101(a)(1), Jan. 2, 2013, 126 Stat. 2315, was formerly set out as an Effective and Termination Dates of 2001 Amendment note below] to the same extent and in the same manner as the provision of such Act to which such amendment relates.”</w:t>
      </w:r>
    </w:p>
    <w:p w14:paraId="42615F37" w14:textId="3FB1AE5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III, § 301(d), May 28, 2003, 117 Stat. 760, provided that:</w:t>
      </w:r>
    </w:p>
    <w:p w14:paraId="2C8E8F5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741E6FBF" w14:textId="05811E1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by this subsection, the amendments made by this section [amending this section, sections 55, 57, 1445, and 7518 of this title, and section 1177 of Title 46, Appendix, Shipping] shall apply to taxable years ending on or after May 6, 2003.</w:t>
      </w:r>
    </w:p>
    <w:p w14:paraId="4EB1DC7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Withholding.—</w:t>
      </w:r>
    </w:p>
    <w:p w14:paraId="186462AE" w14:textId="4885513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subsection (a)(2)(C) [amending section 1445 of this title] shall apply to amounts paid after the date of the enactment of this Act [May 28, 2003].</w:t>
      </w:r>
    </w:p>
    <w:p w14:paraId="5E2A7AA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r w:rsidRPr="008B3051">
        <w:rPr>
          <w:rFonts w:ascii="Verdana" w:eastAsia="Times New Roman" w:hAnsi="Verdana" w:cs="Times New Roman"/>
          <w:b/>
          <w:bCs/>
          <w:smallCaps/>
          <w:sz w:val="24"/>
          <w:szCs w:val="24"/>
        </w:rPr>
        <w:t>Small business stock.—</w:t>
      </w:r>
    </w:p>
    <w:p w14:paraId="1EB184BC" w14:textId="2E89357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(b)(3) [amending section 57 of this title] shall apply to dispositions on or after May 6, 2003.”</w:t>
      </w:r>
    </w:p>
    <w:p w14:paraId="1B3DEF20" w14:textId="3C4826F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III, § 302(f), May 28, 2003, 117 Stat. 764, as amended by Pub. L. 108–311, title IV, § 402(a)(6), Oct. 4, 2004, 118 Stat. 1185, provided that:</w:t>
      </w:r>
    </w:p>
    <w:p w14:paraId="320B556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77D7FB6C" w14:textId="155E910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paragraph (2), the amendments made by this section [amending this section and sections 163, 301, 306, 338, 467, 531, 541, 584, 702, 854, 857, 1255, and 1257 of this title and repealing section 341 of this title] shall apply to taxable years beginning after December 31, 2002.</w:t>
      </w:r>
    </w:p>
    <w:p w14:paraId="33D5687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“(2)</w:t>
      </w:r>
      <w:r w:rsidRPr="008B3051">
        <w:rPr>
          <w:rFonts w:ascii="Verdana" w:eastAsia="Times New Roman" w:hAnsi="Verdana" w:cs="Times New Roman"/>
          <w:b/>
          <w:bCs/>
          <w:smallCaps/>
          <w:sz w:val="24"/>
          <w:szCs w:val="24"/>
        </w:rPr>
        <w:t>Pass-thru entities.—</w:t>
      </w:r>
    </w:p>
    <w:p w14:paraId="1D15EF1B" w14:textId="4F7041E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pass-thru entity described in subparagraph (A), (B), (C), (D), (E), or (F) of section 1(h)(10) of the Internal Revenue Code of 1986, as amended by this Act, the amendments made by this section shall apply to taxable years ending after December 31, 2002; except that dividends received by such an entity on or before such date shall not be treated as qualified dividend income (as defined in section 1(h)(11)(B) of such Code, as added by this Act).”</w:t>
      </w:r>
    </w:p>
    <w:p w14:paraId="6D82B007" w14:textId="2FEC2E8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III, § 303, May 28, 2003, 117 Stat. 764, as amended by Pub. L. 109–222, title I, § 102, May 17, 2006, 120 Stat. 346; Pub. L. 111–312, title I, § 102(a), Dec. 17, 2010, 124 Stat. 3298, which provided that all provisions of, and amendments made by, title III of Pub. L. 108–27 would not apply to taxable years beginning after Dec. 31, 2012, and that the Internal Revenue Code of 1986 would be applied and administered to such years as if such provisions and amendments had never been enacted, was repealed by Pub. L. 112–240, title I, § 102(a), Jan. 2, 2013, 126 Stat. 2318.</w:t>
      </w:r>
    </w:p>
    <w:p w14:paraId="49A7F8D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and Termination Dates of 2001 Amendment</w:t>
      </w:r>
    </w:p>
    <w:p w14:paraId="4C0283DC" w14:textId="4A9BA52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111–312, title II, § 201(c), Dec. 17, 2010, 124 Stat. 3299, provided that:</w:t>
      </w:r>
    </w:p>
    <w:p w14:paraId="17895F66" w14:textId="00F37A1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“Title IX of the Economic Growth and Tax Relief Reconciliation Act of 2001 [Pub. L. 107–16, § 901, formerly set out below] (relating to sunset of provisions of such Act) shall not apply to title VII of such Act [Pub. L. 107–16, § 701, amending section 55 of this title and enacting provisions set out as a note under section 55 of this title] (relating to alternative minimum tax).”</w:t>
      </w:r>
    </w:p>
    <w:p w14:paraId="0C1D82AE" w14:textId="1144ED6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109–280, title VIII, § 811, Aug. 17, 2006, 120 Stat. 996, provided that:</w:t>
      </w:r>
    </w:p>
    <w:p w14:paraId="632B10A5" w14:textId="6FCE45D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“Title IX of the Economic Growth and Tax Relief Reconciliation Act of 2001 [Pub. L. 107–16, § 901, formerly set out below] shall not apply to the provisions of, and amendments made by, subtitles A through F of title VI of such Act [subtitles A to F [§§ 601–666] of title VI of Pub. L. 107–16, enacting sections 25B, 45E, 402A, and 4980F of this title, amending sections 24, 25, 25B, 26, 38, 39, 72, 132, 196, 219, 401, 402, 403, 404, 408, 408A, 409, 411, 412, 414 to 416, 457, 501, 505, 664, 861, 904, 1400C, 3401, 3405, 4972, 4973, 4975, 4979A, 6047, and 6051 of this title and sections 1003, 1053, 1054, 1082, 1104, and 1108 of Title 29, Labor, enacting provisions set out as notes under sections 24, 38, 72, 132, 219, 401, 402, 403, 404, 408, 409, 411, 412, 414 to 416, 457, 861, 4972, 4975, 4980F, and 7801 of this title and section 1107 of Title 29, and amending provisions set out as notes under section 414 of this title and section 1107 of Title 29] (relating to pension and individual retirement arrangement provisions).”</w:t>
      </w:r>
    </w:p>
    <w:p w14:paraId="062A7611" w14:textId="3079542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109–280, title XIII, § 1304(a), Aug. 17, 2006, 120 Stat. 1109, provided that:</w:t>
      </w:r>
    </w:p>
    <w:p w14:paraId="260021C6" w14:textId="40A7CC9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“Section 901 of the Economic Growth and Tax Relief Reconciliation Act of 2001 [Pub. L. 107–16, formerly set out below] (relating to sunset provisions) shall not apply to section 402 of such Act [amending sections 72, 135, 221, 529, 530, 4973, and 6693 of this title and enacting provisions set out as a note under section 72 of this title] (relating to modifications to qualified tuition programs).”</w:t>
      </w:r>
    </w:p>
    <w:p w14:paraId="6E1C7A39" w14:textId="2642558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107–16, title I, § 101(d), June 7, 2001, 115 Stat. 44, provided that:</w:t>
      </w:r>
    </w:p>
    <w:p w14:paraId="5589DFF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25628304" w14:textId="4C12017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paragraph (2), the amendments made by this section [enacting section 6428 of this titleand amending this section and sections 15, 531, 541, 3402, and 3406 of this title] shall apply to taxable years beginning after December 31, 2000.</w:t>
      </w:r>
    </w:p>
    <w:p w14:paraId="4F48FA5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Amendments to withholding provisions.—</w:t>
      </w:r>
    </w:p>
    <w:p w14:paraId="3DB86C77" w14:textId="42F12B3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paragraphs (6), (7), (8), (9), (10), and (11) of subsection (c) [amending sections 3402 and 3406 of this title] shall apply to amounts paid after the 60th day after the date of the enactment of this Act [June 7, 2001]. References to income brackets and rates of tax in such paragraphs shall be applied without regard to [former] section 1(i)(1)(D) of the Internal Revenue Code of 1986.”</w:t>
      </w:r>
    </w:p>
    <w:p w14:paraId="6725E60C" w14:textId="6633F78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107–16, title III, § 301(d), June 7, 2001, 115 Stat. 54, as amended by Pub. L. 108–27, title I, § 103(b), May 28, 2003, 117 Stat. 754, provided that:</w:t>
      </w:r>
    </w:p>
    <w:p w14:paraId="33F74BE0" w14:textId="387EAB1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 63 of this title] shall apply to taxable years beginning after December 31, 2002.”</w:t>
      </w:r>
    </w:p>
    <w:p w14:paraId="3126B155" w14:textId="3FDC5A3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107–16, title III, § 302(c), June 7, 2001, 115 Stat. 54, as amended by Pub. L. 108–27, title I, § 102(b)(2), May 28, 2003, 117 Stat. 754, provided that:</w:t>
      </w:r>
    </w:p>
    <w:p w14:paraId="346DE55E" w14:textId="713105D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shall apply to taxable years beginning after December 31, 2002.”</w:t>
      </w:r>
    </w:p>
    <w:p w14:paraId="770518AB" w14:textId="42A68FC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Pub. L. 107–16, title IX, § 901, June 7, 2001, 115 Stat. 150, as amended by Pub. L. 107–358, § 2, Dec. 17, 2002, 116 Stat. 3015; Pub. L. 111–312, title I, § 101(a)(1), Dec. 17, 2010, 124 Stat. 3298, which provided that all provisions of, and amendments made by, Pub. L. 107–16 (except for section 803 thereof (26 U.S.C. note prec. 101)) would not apply to taxable, plan, or limitation years beginning after Dec. 31, 2012, or, in the case of title V of Pub. L. 107–16, to estates of decedents dying, gifts made, or generation skipping transfers, after Dec. 31, 2012, and that the Internal Revenue Code of 1986 and the Employee Retirement Income Security Act of 1974 (29 </w:t>
      </w:r>
      <w:r w:rsidRPr="008B3051">
        <w:rPr>
          <w:rFonts w:ascii="Verdana" w:eastAsia="Times New Roman" w:hAnsi="Verdana" w:cs="Times New Roman"/>
          <w:sz w:val="24"/>
          <w:szCs w:val="24"/>
        </w:rPr>
        <w:lastRenderedPageBreak/>
        <w:t>U.S.C. 1001 et seq.) would be applied and administered to such years, estates, gifts, and transfers as if such provisions and amendments had never been enacted, was repealed by Pub. L. 112–240, title I, § 101(a)(1), Jan. 2, 2013, 126 Stat. 2315.</w:t>
      </w:r>
    </w:p>
    <w:p w14:paraId="199049F1" w14:textId="19823DA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112–240, title I, § 101(a)(3), Jan. 2, 2013, 126 Stat. 2316, provided that:</w:t>
      </w:r>
    </w:p>
    <w:p w14:paraId="4F7152BB" w14:textId="72DB665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subsection [repealing section 901 of Pub. L. 107–16, formerly set out above, and provisions set out as an Effective and Termination Dates of 2010 Amendment note under section 121 of this title] shall apply to taxable, plan, or limitation years beginning after December 31, 2012, and estates of decedents dying, gifts made, or generation skipping transfers after December 31, 2012.”</w:t>
      </w:r>
    </w:p>
    <w:p w14:paraId="497FA1E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w:t>
      </w:r>
    </w:p>
    <w:p w14:paraId="4073102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2000 Amendment</w:t>
      </w:r>
    </w:p>
    <w:p w14:paraId="194098D1" w14:textId="125A966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106–554, § 1(a)(7) [title I, § 117(c)], Dec. 21, 2000, 114 Stat. 2763, 2763A–605, provided that:</w:t>
      </w:r>
    </w:p>
    <w:p w14:paraId="5E33572D" w14:textId="3176B06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 1202 of this title] shall apply to stock acquired after the date of the enactment of this Act [Dec. 21, 2000].”</w:t>
      </w:r>
    </w:p>
    <w:p w14:paraId="72A43D9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1998 Amendment</w:t>
      </w:r>
    </w:p>
    <w:p w14:paraId="21DC1823" w14:textId="206AF68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title IV, § 4002(k), Oct. 21, 1998, 112 Stat. 2681–908, provided that:</w:t>
      </w:r>
    </w:p>
    <w:p w14:paraId="1396AC71" w14:textId="01CB559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408A, 6015, 6103, 6159, 7421, 7443A, and 7491 of this title and amending provisions set out as a note under section 6601 of this title] shall take effect as if included in the provisions of the 1998 Act [Pub. L. 105–206] to which they relate.”</w:t>
      </w:r>
    </w:p>
    <w:p w14:paraId="16622799" w14:textId="72DA88A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title V, § 5001(b), July 22, 1998, 112 Stat. 788, provided that:</w:t>
      </w:r>
    </w:p>
    <w:p w14:paraId="4E95C31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62693CA3" w14:textId="0D9C96C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paragraph (2), the amendments made by this section [amending this section and sections 1223 and 1235 of this title] shall apply to taxable years ending after December 31, 1997.</w:t>
      </w:r>
    </w:p>
    <w:p w14:paraId="7A4834C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Subsection (a)(5).—</w:t>
      </w:r>
    </w:p>
    <w:p w14:paraId="3F1D5790" w14:textId="12D3113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(a)(5) [amending sections 1223 and 1235 of this title] shall take effect on January 1, 1998.”</w:t>
      </w:r>
    </w:p>
    <w:p w14:paraId="63B4FBAA" w14:textId="3EAEB76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title VI, § 6024, July 22, 1998, 112 Stat. 826, provided that:</w:t>
      </w:r>
    </w:p>
    <w:p w14:paraId="3127861F" w14:textId="7D662A0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“Except as otherwise provided in this title [see Tables for classification], the amendments made by this title shall take effect as if included in the </w:t>
      </w:r>
      <w:r w:rsidRPr="008B3051">
        <w:rPr>
          <w:rFonts w:ascii="Verdana" w:eastAsia="Times New Roman" w:hAnsi="Verdana" w:cs="Times New Roman"/>
          <w:sz w:val="24"/>
          <w:szCs w:val="24"/>
        </w:rPr>
        <w:lastRenderedPageBreak/>
        <w:t>provisions of the Taxpayer Relief Act of 1997 [Pub. L. 105–34] to which they relate.”</w:t>
      </w:r>
    </w:p>
    <w:p w14:paraId="5451132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1997 Amendment</w:t>
      </w:r>
    </w:p>
    <w:p w14:paraId="45597CDD" w14:textId="03E5FC4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105–34, title III, § 311(d), Aug. 5, 1997, 111 Stat. 835, provided that:</w:t>
      </w:r>
    </w:p>
    <w:p w14:paraId="15180A1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564906F3" w14:textId="151FD20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paragraph (2), the amendments made by this section [amending this section, sections 55, 57, 904, 1445, and 7518 of this title, and section 1177 of Title 46, Appendix, Shipping] shall apply to taxable years ending after May 6, 1997.</w:t>
      </w:r>
    </w:p>
    <w:p w14:paraId="4A9C814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Withholding.—</w:t>
      </w:r>
    </w:p>
    <w:p w14:paraId="71176072" w14:textId="45BA13B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subsection (c)(1) [amending section 1445 of this title] shall apply only to amounts paid after the date of the enactment of this Act [Aug. 5, 1997].”</w:t>
      </w:r>
    </w:p>
    <w:p w14:paraId="28DBDA5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1996 Amendment</w:t>
      </w:r>
    </w:p>
    <w:p w14:paraId="15542F39" w14:textId="51B9EF6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104–188, title I, § 1704(m)(4), Aug. 20, 1996, 110 Stat. 1883, provided that:</w:t>
      </w:r>
    </w:p>
    <w:p w14:paraId="59A45B99" w14:textId="669FC4C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subsection [amending this section and section 59 of this title] shall apply to taxable years beginning after December 31, 1995.”</w:t>
      </w:r>
    </w:p>
    <w:p w14:paraId="115AD7C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1993 Amendment</w:t>
      </w:r>
    </w:p>
    <w:p w14:paraId="65147C94" w14:textId="217F49C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103–66, title XIII, § 13201(c), Aug. 10, 1993, 107 Stat. 459, provided that:</w:t>
      </w:r>
    </w:p>
    <w:p w14:paraId="5DFC15B3" w14:textId="58B20E3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41, 63, 68, 132, 151, 453A, 513, 531, and 541 of this title] shall apply to taxable years beginning after December 31, 1992.”</w:t>
      </w:r>
    </w:p>
    <w:p w14:paraId="2AD96F5C" w14:textId="6C4C2EB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103–66, title XIII, § 13202(c), Aug. 10, 1993, 107 Stat. 461, provided that:</w:t>
      </w:r>
    </w:p>
    <w:p w14:paraId="7291F582" w14:textId="393FA72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531 and 541 of this title] shall apply to taxable years beginning after December 31, 1992.”</w:t>
      </w:r>
    </w:p>
    <w:p w14:paraId="64847B4E" w14:textId="70456EA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103–66, title XIII, § 13206(d)(3), Aug. 10, 1993, 107 Stat. 467, provided that:</w:t>
      </w:r>
    </w:p>
    <w:p w14:paraId="497B3B93" w14:textId="7F367C4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subsection [amending this section and section 163 of this title] shall apply to taxable years beginning after December 31, 1992.”</w:t>
      </w:r>
    </w:p>
    <w:p w14:paraId="17A940E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1990 Amendment</w:t>
      </w:r>
    </w:p>
    <w:p w14:paraId="532AE6B5" w14:textId="5F20293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title XI, § 11101(e), Nov. 5, 1990, 104 Stat. 1388–405, provided that:</w:t>
      </w:r>
    </w:p>
    <w:p w14:paraId="2FE187F8" w14:textId="5B118B2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amendments made by this section [amending this section, sections 32, 41, 59, 63, 135, 151, 513, 691, 904, 6103, and 7518 of this title, and section 1177 of Title 46, Appendix, Shipping] shall apply to taxable years beginning after December 31, 1990.”</w:t>
      </w:r>
    </w:p>
    <w:p w14:paraId="7A2A033E" w14:textId="1902F74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title XI, § 11103(e), Nov. 5, 1990, 104 Stat. 1388–407, provided that:</w:t>
      </w:r>
    </w:p>
    <w:p w14:paraId="38CB4CAC" w14:textId="1DBBAB2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[enacting section 68 of this title and amending this section and section 56 of this title] shall apply to taxable years beginning after December 31, 1990.”</w:t>
      </w:r>
    </w:p>
    <w:p w14:paraId="6A4932BB" w14:textId="7A7B5A3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title XI, § 11104(c), Nov. 5, 1990, 104 Stat. 1388–408, provided that:</w:t>
      </w:r>
    </w:p>
    <w:p w14:paraId="152C1E61" w14:textId="39431AC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 151 of this title] shall apply to taxable years beginning after December 31, 1990.”</w:t>
      </w:r>
    </w:p>
    <w:p w14:paraId="58963F0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1989 Amendment</w:t>
      </w:r>
    </w:p>
    <w:p w14:paraId="16FD2745" w14:textId="273BF52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101–239, title VII, § 7817, Dec. 19, 1989, 103 Stat. 2423, provided that:</w:t>
      </w:r>
    </w:p>
    <w:p w14:paraId="08D8443B" w14:textId="2A4222B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in this part [part I (§§ 7811–7817) of subtitle H of title VII of Pub. L. 101–239, see Tables for classification], any amendment made by this part shall take effect as if included in the provision of the 1988 Act [Pub. L. 100–647] to which such amendment relates.”</w:t>
      </w:r>
    </w:p>
    <w:p w14:paraId="6BBE4DD1" w14:textId="6FF8493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101–239, title VII, § 7831(g), Dec. 19, 1989, 103 Stat. 2427, provided that:</w:t>
      </w:r>
    </w:p>
    <w:p w14:paraId="7EBC4894" w14:textId="7B7361D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amendment made by this section [amending this section and sections 42, 406, 407, and 1250 of this title and provisions set out as notes under sections 141 and 263A of this title] shall take effect as if included in the provision of the Tax Reform Act of 1986 [Pub. L. 99–514] to which such amendment relates.”</w:t>
      </w:r>
    </w:p>
    <w:p w14:paraId="1839472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1988 Amendment</w:t>
      </w:r>
    </w:p>
    <w:p w14:paraId="686AB672" w14:textId="61E8586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100–647, title I, § 1019, Nov. 10, 1988, 102 Stat. 3593, provided that:</w:t>
      </w:r>
    </w:p>
    <w:p w14:paraId="60E61E1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mallCaps/>
          <w:sz w:val="24"/>
          <w:szCs w:val="24"/>
        </w:rPr>
        <w:t>General Rule.—</w:t>
      </w:r>
    </w:p>
    <w:p w14:paraId="771E0B2F" w14:textId="1BF21F6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in this title, any amendment made by this title [see Tables for classification], shall take effect as if included in the provision of the Reform Act [Pub. L. 99–514] to which such amendment relates.</w:t>
      </w:r>
    </w:p>
    <w:p w14:paraId="56A0034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mallCaps/>
          <w:sz w:val="24"/>
          <w:szCs w:val="24"/>
        </w:rPr>
        <w:t>Waiver of Estimated Tax Penalties.—</w:t>
      </w:r>
    </w:p>
    <w:p w14:paraId="53ABC3A4" w14:textId="0A126C1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 addition to tax shall be made under section 6654 or 6655 of the 1986 Code for any period before April 16, 1989 (March 16, 1989 in the case of a taxpayer subject to section 6655 of the 1986 Code) with respect to any underpayment to the extent such underpayment was created or increased by any provision of this title or title II [see Tables for classification].”</w:t>
      </w:r>
    </w:p>
    <w:p w14:paraId="7F7D5187" w14:textId="1E53018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100–647, title VI, § 6006(b), Nov. 10, 1988, 102 Stat. 3687, provided that:</w:t>
      </w:r>
    </w:p>
    <w:p w14:paraId="05AD97EA" w14:textId="3F1B311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this section [amending this section] shall apply to taxable years beginning after December 31, 1988.”</w:t>
      </w:r>
    </w:p>
    <w:p w14:paraId="6FA9A6D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1986 Amendment</w:t>
      </w:r>
    </w:p>
    <w:p w14:paraId="5A71DD0B" w14:textId="0C57998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99–514, title I, § 151, Oct. 22, 1986, 100 Stat. 2121, provided that:</w:t>
      </w:r>
    </w:p>
    <w:p w14:paraId="5D39DA8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mallCaps/>
          <w:sz w:val="24"/>
          <w:szCs w:val="24"/>
        </w:rPr>
        <w:t>General Rule.—</w:t>
      </w:r>
    </w:p>
    <w:p w14:paraId="0F80ECE5" w14:textId="0BF5E46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in this section, the amendments made by this title [enacting section 67 of this title, amending this section, sections 3, 5, 15, 21, 32, 62, 63, 74, 85, 86, 102, 108, 117, 129, 151, 152, 164, 170, 172, 183, 213, 265, 274, 280A, 402, 441, 443, 527, 541, 613A, 642, 667, 861, 862, 901, 904, 1398, 1441, 2032A, 3121, 3231, 3306, 3401, 3402, 3507, 4941, 4945, 6012 to 6014, 6212, 6504, 6511, and 7871of this title, and section 409 of Title 42, The Public Health and Welfare, renumbering section 223 of this titleas section 220 of this title, repealing sections 24, 221, 222, and 1301 to 1305 of this title, and enacting provisions set out as a note under section 32 of this title] shall apply to taxable years beginning after December 31, 1986.</w:t>
      </w:r>
    </w:p>
    <w:p w14:paraId="600CD91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mallCaps/>
          <w:sz w:val="24"/>
          <w:szCs w:val="24"/>
        </w:rPr>
        <w:t>Unemployment Compensation.—</w:t>
      </w:r>
    </w:p>
    <w:p w14:paraId="67F147A1" w14:textId="02375D0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section 121 [amending section 85 of this title] shall apply to amounts received after December 31, 1986, in taxable years ending after such date.</w:t>
      </w:r>
    </w:p>
    <w:p w14:paraId="2E55EA7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w:t>
      </w:r>
      <w:r w:rsidRPr="008B3051">
        <w:rPr>
          <w:rFonts w:ascii="Verdana" w:eastAsia="Times New Roman" w:hAnsi="Verdana" w:cs="Times New Roman"/>
          <w:b/>
          <w:bCs/>
          <w:smallCaps/>
          <w:sz w:val="24"/>
          <w:szCs w:val="24"/>
        </w:rPr>
        <w:t>Prizes and Awards.—</w:t>
      </w:r>
    </w:p>
    <w:p w14:paraId="3111B90B" w14:textId="7DA55BC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section 122 [amending sections 74, 102, 274, 3121, 3231, 3306, 3401, 4941, and 4945 of this title and section 409 of Title 42, The Public Health and Welfare] shall apply to prizes and awards granted after December 31, 1986.</w:t>
      </w:r>
    </w:p>
    <w:p w14:paraId="0FF4A99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w:t>
      </w:r>
      <w:r w:rsidRPr="008B3051">
        <w:rPr>
          <w:rFonts w:ascii="Verdana" w:eastAsia="Times New Roman" w:hAnsi="Verdana" w:cs="Times New Roman"/>
          <w:b/>
          <w:bCs/>
          <w:smallCaps/>
          <w:sz w:val="24"/>
          <w:szCs w:val="24"/>
        </w:rPr>
        <w:t>Scholarships.—</w:t>
      </w:r>
    </w:p>
    <w:p w14:paraId="381B1AD0" w14:textId="6C31952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section 123 [amending sections 74, 117, 1441, and 7871 of this title] shall apply to taxable years beginning after December 31, 1986, but only in the case of scholarships and fellowships granted after August 16, 1986.</w:t>
      </w:r>
    </w:p>
    <w:p w14:paraId="02E07B4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w:t>
      </w:r>
      <w:r w:rsidRPr="008B3051">
        <w:rPr>
          <w:rFonts w:ascii="Verdana" w:eastAsia="Times New Roman" w:hAnsi="Verdana" w:cs="Times New Roman"/>
          <w:b/>
          <w:bCs/>
          <w:smallCaps/>
          <w:sz w:val="24"/>
          <w:szCs w:val="24"/>
        </w:rPr>
        <w:t>Parsonage and Military Housing Allowances.—</w:t>
      </w:r>
    </w:p>
    <w:p w14:paraId="78E6F55D" w14:textId="1794C83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section 144 [amending section 265 of this title] shall apply to taxable years beginning before, on, or after, December 31, 1986.”</w:t>
      </w:r>
    </w:p>
    <w:p w14:paraId="4F5FDA10" w14:textId="2534D93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99–514, title III, § 302(b), Oct. 22, 1986, 100 Stat. 2218, provided that:</w:t>
      </w:r>
    </w:p>
    <w:p w14:paraId="2B3D6A29" w14:textId="35D68DA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this section [amending this section] shall apply to taxable years beginning after December 31, 1986.”</w:t>
      </w:r>
    </w:p>
    <w:p w14:paraId="6E1E7245" w14:textId="20AF55D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99–514, title XIV, § 1411(c), Oct. 22, 1986, 100 Stat. 2716, provided that:</w:t>
      </w:r>
    </w:p>
    <w:p w14:paraId="2112B6EE" w14:textId="69F4DA0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 6103 of this title] shall apply to taxable years beginning after December 31, 1986.”</w:t>
      </w:r>
    </w:p>
    <w:p w14:paraId="660097A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1983 Amendment</w:t>
      </w:r>
    </w:p>
    <w:p w14:paraId="3FC70802" w14:textId="14FBC92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97–448, title I, § 109, Jan. 12, 1983, 96 Stat. 2391, provided that:</w:t>
      </w:r>
    </w:p>
    <w:p w14:paraId="518B17DB" w14:textId="08C104F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in this title, any amendment made by this title [see Tables for classification] shall take effect as if it had been included in the provision of the Economic Recovery Tax Act of 1981 [Pub. L. 97–34, Aug. 13, 1981, 95 Stat. 172] to which such amendment relates.”</w:t>
      </w:r>
    </w:p>
    <w:p w14:paraId="601F124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1981 Amendment</w:t>
      </w:r>
    </w:p>
    <w:p w14:paraId="230E542A" w14:textId="343959E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97–34, title I, § 101(f)(1), Aug. 13, 1981, 95 Stat. 185, as amended by Pub. L. 97–448, title I, § 101(a)(1), Jan. 12, 1983, 96 Stat. 2365, provided that:</w:t>
      </w:r>
    </w:p>
    <w:p w14:paraId="77BFA592" w14:textId="0C0727B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subsections (a), (c), and (d) [amending this section and sections 3, 21, 55, 541, and 1304 of this title and repealing section 1348 of this title] shall apply to taxable years beginning after December 31, 1981; except that the amendment made by paragraph (3) of subsection (d) [amending section 21 of this title] shall apply to taxable years ending after December 31, 1981.”</w:t>
      </w:r>
    </w:p>
    <w:p w14:paraId="0E3FDBD6" w14:textId="6E52ED1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97–34, title I, § 104(e), Aug. 13, 1981, 95 Stat. 190, provided that:</w:t>
      </w:r>
    </w:p>
    <w:p w14:paraId="42E155B7" w14:textId="055C32B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63, 151, 6012, and 6013 of this title] shall apply to taxable years beginning after December 31, 1984.”</w:t>
      </w:r>
    </w:p>
    <w:p w14:paraId="59A2376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1978 Amendment</w:t>
      </w:r>
    </w:p>
    <w:p w14:paraId="3F354AA8" w14:textId="2DDC1A4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95–600, title I, § 101(f)(1), Nov. 6, 1978, 92 Stat. 2770, provided that:</w:t>
      </w:r>
    </w:p>
    <w:p w14:paraId="7A7DE4BF" w14:textId="4502B4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subsections (a), (b), (c), and (d) [amending sections 63, 402, 1302, and 6012 of this title] shall apply to taxable years beginning after December 31, 1978.”</w:t>
      </w:r>
    </w:p>
    <w:p w14:paraId="4ABD6BC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1977 Amendment</w:t>
      </w:r>
    </w:p>
    <w:p w14:paraId="5FDD470D" w14:textId="1A76F1B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95–30, title I, § 106(a), May 23, 1977, 91 Stat. 141, provided that:</w:t>
      </w:r>
    </w:p>
    <w:p w14:paraId="46FBA4AD" w14:textId="185E525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sections 101, 102, and 104 [amending this section and sections 3, 21, 42, 57, 63, 143, 161, 172, 211, 402, 441, 443, 511, 584, 613A, 641, 642, 667, 703, 861, 862, 873, 904, 911, 931, 1034, 1211, 1302, 6012, 6014, 6212, 6504, and 6654 of this title and repealing sections 36, 141, 142, 144, and 145 of this title] shall apply to taxable years beginning after December 31, 1976.”</w:t>
      </w:r>
    </w:p>
    <w:p w14:paraId="3EE94A5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1969 Amendment</w:t>
      </w:r>
    </w:p>
    <w:p w14:paraId="16D63FCE" w14:textId="2519993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91–172, title VIII, § 803(f), Dec. 30, 1969, 83 Stat. 685, as amended by Pub. L. 99–514, § 2, Oct. 22, 1986, 100 Stat. 2095, provided that:</w:t>
      </w:r>
    </w:p>
    <w:p w14:paraId="345A84E6" w14:textId="009497F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subsections (a) [amending this section], (b) [amending section 2 of this title], and (d) (other than paragraphs (1) and (8)) [amending sections 5, 511, 632, 641, 1347, and 6015 of this title] shall apply to taxable years beginning after December 31, 1970, except that section 2(c) of the Internal Revenue Code of 1986 [formerly I.R.C. 1954] [section 2(c) of this title], as amended by subsection (b), shall also apply to taxable years beginning after December 31, 1969. The amendments made by subsections (c) [amending section 3 of this title], (d)(1) [amending section 6014 of this title], and (d)(8) [amending section 1304 of this title] shall apply to taxable years beginning after December 31, 1969”.</w:t>
      </w:r>
    </w:p>
    <w:p w14:paraId="0FA934D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1966 Amendment</w:t>
      </w:r>
    </w:p>
    <w:p w14:paraId="695CC1F1" w14:textId="270FBCB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89–809, title I, § 103(n), Nov. 13, 1966, 80 Stat. 1555, provided that:</w:t>
      </w:r>
    </w:p>
    <w:p w14:paraId="2689305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p>
    <w:p w14:paraId="781041C2" w14:textId="0E0F2E8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(other than the amendments made by subsections (h), (i), and (k)) [enacting section 877 of this title, amending this section and sections 116, 154, 871, 872, 873, 874, 875, 932, 6015, and 7701 of this title, renumbering section 877 as 878, and repealing section 1493 of this title] shall apply with respect to taxable years beginning after December 31, 1966.</w:t>
      </w:r>
    </w:p>
    <w:p w14:paraId="22B7AC9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7B659D55" w14:textId="036FC25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(h) [amending section 1441 of this title] shall apply with respect to payments made in taxable years of recipients beginning after December 31, 1966.</w:t>
      </w:r>
    </w:p>
    <w:p w14:paraId="0451BCB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p>
    <w:p w14:paraId="4EC1959E" w14:textId="4426A71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(i) [amending section 1461 of this title] shall apply with respect to payments occurring after December 31, 1966.</w:t>
      </w:r>
    </w:p>
    <w:p w14:paraId="73959FC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w:t>
      </w:r>
    </w:p>
    <w:p w14:paraId="4E1F2C72" w14:textId="558DB42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subsection (k) [amending section 3401 of this title] shall apply with respect to remuneration paid after December 31, 1966.”</w:t>
      </w:r>
    </w:p>
    <w:p w14:paraId="1CF8F03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1964 Amendment</w:t>
      </w:r>
    </w:p>
    <w:p w14:paraId="1523A5C1" w14:textId="6862C91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88–272, title I, § 131, Feb. 26, 1964, 78 Stat. 30, as amended by Pub. L. 99–514, § 2, Oct. 22, 1986, 100 Stat. 2095, provided that:</w:t>
      </w:r>
    </w:p>
    <w:p w14:paraId="139A8CB2" w14:textId="0091271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“Except for purposes of section 21 of the Internal Revenue Code of 1986 [formerly I.R.C. 1954] (relating to effect of changes in rates during a taxable year), the amendments made by parts I and II of this title [amending this section and </w:t>
      </w:r>
      <w:r w:rsidRPr="008B3051">
        <w:rPr>
          <w:rFonts w:ascii="Verdana" w:eastAsia="Times New Roman" w:hAnsi="Verdana" w:cs="Times New Roman"/>
          <w:sz w:val="24"/>
          <w:szCs w:val="24"/>
        </w:rPr>
        <w:lastRenderedPageBreak/>
        <w:t>sections 2, 11, 37, 141, 144, 242, 821, 871, 963, 6016, 6074, 6154, 6212, 6504, and 6655 of this title] shall apply with respect to taxable years beginning after December 31, 1963.”</w:t>
      </w:r>
    </w:p>
    <w:p w14:paraId="2B14494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2017 Amendment</w:t>
      </w:r>
    </w:p>
    <w:p w14:paraId="444B0C1E" w14:textId="2176A21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115–63, § 1(a), Sept. 29, 2017, 131 Stat. 1168, provided that:</w:t>
      </w:r>
    </w:p>
    <w:p w14:paraId="0E1CBC02" w14:textId="447845E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4083, 4261, 4271, and 9502 of this title, sections 254c–3, 256h, 256i, and 1395iii of Title 42, The Public Health and Welfare, and sections 106, 41742, 41743, 47104, 47107, 47114, 47115, 47124, 47141, 48101 to 48103, and 48114 of Title 49, Transportation, and amending provisions set out as a note under section 1395</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 of Title 42, provisions set out as a note preceding section 42301 of Title 49, and provisions set out as notes under sections 41731 and 47141 of Title 49] may be cited as the ‘Disaster Tax Relief and Airport and Airway Extension Act of 2017’.”</w:t>
      </w:r>
    </w:p>
    <w:p w14:paraId="7F655BC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2016 Amendment</w:t>
      </w:r>
    </w:p>
    <w:p w14:paraId="6E7F1DA9" w14:textId="3C296A3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114–239, § 1, Oct. 7, 2016, 130 Stat. 973, provided that:</w:t>
      </w:r>
    </w:p>
    <w:p w14:paraId="1DA1CF1D" w14:textId="5A4F141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74 of this title and enacting provisions set out as a note under section 74 of this title] may be cited as the ‘United States Appreciation for Olympians and Paralympians Act of 2016’.”</w:t>
      </w:r>
    </w:p>
    <w:p w14:paraId="6393429B" w14:textId="736D022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114–184, § 1, June 30, 2016, 130 Stat. 536, provided that:</w:t>
      </w:r>
    </w:p>
    <w:p w14:paraId="236F218E" w14:textId="0A9E5EB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6103 and 7213 of this title and enacting provisions set out as a note under section 6103 of this title] may be cited as the ‘Recovering Missing Children Act’.”</w:t>
      </w:r>
    </w:p>
    <w:p w14:paraId="796717FA" w14:textId="1DF64E7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114–141, § 1(a), Mar. 30, 2016, 130 Stat. 322, provided that:</w:t>
      </w:r>
    </w:p>
    <w:p w14:paraId="030FD865" w14:textId="71EC7C3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4083, 4261, 4271, and 9502 of this title and sections 106, 41742, 47104, 47107, 47115, 47124, 47141, and 48101 to 48103 of Title 49, Transportation, and amending provisions set out as a note preceding section 42301 of Title 49 and provisions set out as notes under sections 41731 and 47141 of Title 49] may be cited as the ‘Airport and Airway Extension Act of 2016’.”</w:t>
      </w:r>
    </w:p>
    <w:p w14:paraId="11ED56D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2015 Amendment</w:t>
      </w:r>
    </w:p>
    <w:p w14:paraId="592A0A4B" w14:textId="6BFE2AC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114–113, div. Q, § 1(a), Dec. 18, 2015, 129 Stat. 3040, provided that:</w:t>
      </w:r>
    </w:p>
    <w:p w14:paraId="3CD9BDF5" w14:textId="5917D1E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‘Protecting Americans from Tax Hikes Act of 2015’.”</w:t>
      </w:r>
    </w:p>
    <w:p w14:paraId="08592A43" w14:textId="2F76223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114–74, § 1(a), Nov. 2, 2015, 129 Stat. 584, provided that:</w:t>
      </w:r>
    </w:p>
    <w:p w14:paraId="5FB7000A" w14:textId="111EBD1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‘Bipartisan Budget Act of 2015’.”</w:t>
      </w:r>
    </w:p>
    <w:p w14:paraId="0A896637" w14:textId="73CC572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114–55, § 1(a), Sept. 30, 2015, 129 Stat. 522, provided that:</w:t>
      </w:r>
    </w:p>
    <w:p w14:paraId="5422F2A4" w14:textId="7C77561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[amending sections 4081, 4083, 4261, 4271, and 9502 of this title, sections 106, 41742, 47104, 47107, 47115, 47124, 47141, 48101 to 48103, and 48114 of Title 49, Transportation, and section 50905 of Title 51, National and Commercial Space Programs, and amending provisions set out as a note preceding section 42301 of Title 49 and provisions set out as notes under sections 41731 and 47141 of Title 49] may be cited as the ‘Airport and Airway Extension Act of 2015’.”</w:t>
      </w:r>
    </w:p>
    <w:p w14:paraId="5BC3734A" w14:textId="5B27024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114–26, § 1, June 29, 2015, 129 Stat. 319, provided that:</w:t>
      </w:r>
    </w:p>
    <w:p w14:paraId="742AC56E" w14:textId="3B6D2D1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[probably means sections 1 to 3 of Pub. L. 114–26, see Tables for classification] may be cited as the ‘Defending Public Safety Employees’ Retirement Act’.”</w:t>
      </w:r>
    </w:p>
    <w:p w14:paraId="27E50E37" w14:textId="3093022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114–14, § 1, May 22, 2015, 129 Stat. 198, provided that:</w:t>
      </w:r>
    </w:p>
    <w:p w14:paraId="195F1432" w14:textId="62CA7AB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104 of this title] may be cited as the ‘Don’t Tax Our Fallen Public Safety Heroes Act’.”</w:t>
      </w:r>
    </w:p>
    <w:p w14:paraId="6F968F3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2014 Amendment</w:t>
      </w:r>
    </w:p>
    <w:p w14:paraId="7E001A25" w14:textId="303F263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113–295, div. A, § 1(a), Dec. 19, 2014, 128 Stat. 4010, provided that:</w:t>
      </w:r>
    </w:p>
    <w:p w14:paraId="64F80B6E" w14:textId="34984D1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‘Tax Increase Prevention Act of 2014’.”</w:t>
      </w:r>
    </w:p>
    <w:p w14:paraId="1ADB5CE5" w14:textId="2F1B732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113–295, div. A, title II, § 201, Dec. 19, 2014, 128 Stat. 4024, provided that:</w:t>
      </w:r>
    </w:p>
    <w:p w14:paraId="6C87802D" w14:textId="2708100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‘Tax Technical Corrections Act of 2014’.”</w:t>
      </w:r>
    </w:p>
    <w:p w14:paraId="254D2706" w14:textId="1C5B7D7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113–295, div. B, § 1(a), Dec. 19, 2014, 128 Stat. 4056, provided that:</w:t>
      </w:r>
    </w:p>
    <w:p w14:paraId="1BDEE195" w14:textId="7D19237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‘Stephen Beck, Jr., Achieving a Better Life Experience Act of 2014’ or the ‘Stephen Beck, Jr., ABLE Act of 2014’.”</w:t>
      </w:r>
    </w:p>
    <w:p w14:paraId="5080C0C8" w14:textId="7E8227B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113–168, § 1, Sept. 26, 2014, 128 Stat. 1883, provided that:</w:t>
      </w:r>
    </w:p>
    <w:p w14:paraId="7670A693" w14:textId="5468F64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139E of this title and provisions set out as notes under section 139E of this title] may be cited as the ‘Tribal General Welfare Exclusion Act of 2014’.”</w:t>
      </w:r>
    </w:p>
    <w:p w14:paraId="5AB34126" w14:textId="26B03E4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113–94, § 1, Apr. 3, 2014, 128 Stat. 1085, provided that:</w:t>
      </w:r>
    </w:p>
    <w:p w14:paraId="29D73070" w14:textId="1A062C8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9006, 9008, 9009, 9012, and 9037 of this title and sections 282 and 282a of Title 42, The Public Health and Welfare, and enacting provisions set out as a note under section 282a of Title 42] may be cited as the ‘Gabriella Miller Kids First Research Act’.”</w:t>
      </w:r>
    </w:p>
    <w:p w14:paraId="3F6A062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2013 Amendment</w:t>
      </w:r>
    </w:p>
    <w:p w14:paraId="617B4C0D" w14:textId="6F63EA5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112–240, § 1(a), Jan. 2, 2013, 126 Stat. 2313, provided that:</w:t>
      </w:r>
    </w:p>
    <w:p w14:paraId="522183E9" w14:textId="620E143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[see Tables for classification] may be cited as the ‘American Taxpayer Relief Act of 2012’.”</w:t>
      </w:r>
    </w:p>
    <w:p w14:paraId="6ACE5EC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2012 Amendment</w:t>
      </w:r>
    </w:p>
    <w:p w14:paraId="0A16F008" w14:textId="228FFF9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112–141, div. D, § 40001, July 6, 2012, 126 Stat. 844, provided that:</w:t>
      </w:r>
    </w:p>
    <w:p w14:paraId="2D032093" w14:textId="0199E2E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‘Highway Investment, Job Creation, and Economic Growth Act of 2012’.”</w:t>
      </w:r>
    </w:p>
    <w:p w14:paraId="6C056DAF" w14:textId="15949D5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112–96, § 1(a), Feb. 22, 2012, 126 Stat. 156, provided that:</w:t>
      </w:r>
    </w:p>
    <w:p w14:paraId="274DBAF3" w14:textId="7D9051E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‘Middle Class Tax Relief and Job Creation Act of 2012’.”</w:t>
      </w:r>
    </w:p>
    <w:p w14:paraId="6C09D72A" w14:textId="446D4E8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112–96, title II, § 2001, Feb. 22, 2012, 126 Stat. 159, provided that:</w:t>
      </w:r>
    </w:p>
    <w:p w14:paraId="50904CC2" w14:textId="21943CC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505 and 1111 of Title 42, The Public Health and Welfare, amending sections 3304and 3306 of this title, section 503 of Title 42, and section 352 of Title 45, Railroads, enacting provisions set out as notes under this section, sections 3304 and 3306 of this title, and sections 503 and 1111 of Title 42, amending provisions set out as notes under section 3304 of this title, and repealing provisions set out as a note under section 3304 of this title] may be cited as the ‘Extended Benefits, Reemployment, and Program Integrity Improvement Act’.”</w:t>
      </w:r>
    </w:p>
    <w:p w14:paraId="4ADD9AE6" w14:textId="4AE5C11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112–96, title II, § 2121, Feb. 22, 2012, 126 Stat. 163, provided that:</w:t>
      </w:r>
    </w:p>
    <w:p w14:paraId="328C3D07" w14:textId="36090A2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B (§§ 2121–2124) of title II of Pub. L. 112–96, amending section 352 of Title 45, Railroads, and enacting and amending provisions set out as notes under section 3304 of this title] may be cited as the ‘Unemployment Benefits Extension Act of 2012’.”</w:t>
      </w:r>
    </w:p>
    <w:p w14:paraId="490DF65B" w14:textId="35B2759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112–96, title II, § 2160, Feb. 22, 2012, 126 Stat. 171, provided that:</w:t>
      </w:r>
    </w:p>
    <w:p w14:paraId="37B0DF78" w14:textId="18FB980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D (§§ 2160–2166) of title II of Pub. L. 112–96, amending sections 3304 and 3306 of this title and section 503 of Title 42, The Public Health and Welfare, enacting provisions set out as notes under sections 3304 and 3306 of this title, and repealing provisions set out as a note under section 3304 of this title] may be cited as the ‘Layoff Prevention Act of 2012’.”</w:t>
      </w:r>
    </w:p>
    <w:p w14:paraId="1779D357" w14:textId="3F904F8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112–91, § 1, Jan. 31, 2012, 126 Stat. 3, provided that:</w:t>
      </w:r>
    </w:p>
    <w:p w14:paraId="37AD74CB" w14:textId="6576582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41742, 41743, 44302, 44303, 47104, 47107, 47115, 47141, 48101 to 48103, and 49108 of Title 49, Transportation, enacting provisions set out as notes under sections 4081 and 9502 of this title, and amending provisions set out as notes under sections 41731 and 47109 of Title 49] may be cited as the ‘Airport and Airway Extension Act of 2012’.”</w:t>
      </w:r>
    </w:p>
    <w:p w14:paraId="14664E7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2011 Amendment</w:t>
      </w:r>
    </w:p>
    <w:p w14:paraId="33DCDFFB" w14:textId="223EAC1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112–78, § 1(a), Dec. 23, 2011, 125 Stat. 1280, provided that:</w:t>
      </w:r>
    </w:p>
    <w:p w14:paraId="3B89753A" w14:textId="654DD93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[enacting section 4547 of Title 12, Banks and Banking, amending section 645 of Title 2, The Congress, section 1709 of Title 12, sections 1395</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 1395m, 1395w–4, 1396a, 1396r–6, and 1396u–3 of Title 42, The Public Health and Welfare, and section 352 of Title 45, Railroads, enacting provisions set out as notes under sections 1401 and 3304 of this title, section 1709 of Title 12, and section 1395ww of Title 42, and amending provisions set out as notes under sections 1401 and 3304 of this title and sections 1395m, 1395w–4, and 1395ww of Title 42] may be cited as the ‘Temporary Payroll Tax Cut Continuation Act of 2011’.”</w:t>
      </w:r>
    </w:p>
    <w:p w14:paraId="23631221" w14:textId="1AB97AF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112–56, title I, § 101, Nov. 21, 2011, 125 Stat. 712, provided that:</w:t>
      </w:r>
    </w:p>
    <w:p w14:paraId="2ABB5095" w14:textId="0A94D4D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 3402 of this title and enacting provisions set out as a note under section 3402 of this title] may be cited as the ‘3% Withholding Repeal and Job Creation Act’.”</w:t>
      </w:r>
    </w:p>
    <w:p w14:paraId="6F0F40BD" w14:textId="353A526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112–30, title II, § 201, Sept. 16, 2011, 125 Stat. 357, provided that:</w:t>
      </w:r>
    </w:p>
    <w:p w14:paraId="37337FFB" w14:textId="7842858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4081, 4261, 4271 and 9502 of this title and sections 106, 40117, 41742, 41743, 44302, 44303, 47104, 47107, 47115, 47141, 48101 to 48103, and 49108 of Title 49, Transportation, enacting provisions set out as notes under sections 4081 and 9502 of this title, and amending provisions set out as notes under section 41731 and 47109 of Title 49] may be cited as the ‘Airport and Airway Extension Act of 2011, Part V’.”</w:t>
      </w:r>
    </w:p>
    <w:p w14:paraId="4DC19A9F" w14:textId="7048342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112–27, § 1, Aug. 5, 2011, 125 Stat. 270, provided that:</w:t>
      </w:r>
    </w:p>
    <w:p w14:paraId="1755A8D2" w14:textId="5463F88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40117, 41731, 44302, 44303, 47104, 47107, 47115, 47141,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2011, Part IV’.”</w:t>
      </w:r>
    </w:p>
    <w:p w14:paraId="4C3A38B6" w14:textId="63A4C5C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112–21, § 1, June 29, 2011, 125 Stat. 233, provided that:</w:t>
      </w:r>
    </w:p>
    <w:p w14:paraId="709E6F56" w14:textId="06C16EB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40117, 44302, 44303, 47104, 47107, 47115, 47141,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2011, Part III’.”</w:t>
      </w:r>
    </w:p>
    <w:p w14:paraId="0922328D" w14:textId="26BDB8C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112–16, § 1, May 31, 2011, 125 Stat. 218, provided that:</w:t>
      </w:r>
    </w:p>
    <w:p w14:paraId="7FFA0BE2" w14:textId="1AF62BE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“This Act [amending sections 4081, 4261, 4271, and 9502 of this title and sections 40117, 44302, 44303, 47104, 47107, 47115, 47141, 48103, and 49108 of Title 49, Transportation, enacting provisions set out as notes under sections 4081 and 9502 of this title and section 40117 of Title 49, and </w:t>
      </w:r>
      <w:r w:rsidRPr="008B3051">
        <w:rPr>
          <w:rFonts w:ascii="Verdana" w:eastAsia="Times New Roman" w:hAnsi="Verdana" w:cs="Times New Roman"/>
          <w:sz w:val="24"/>
          <w:szCs w:val="24"/>
        </w:rPr>
        <w:lastRenderedPageBreak/>
        <w:t>amending provisions set out as a note under section 47109 of Title 49] may be cited as the ‘Airport and Airway Extension Act of 2011, Part II’.”</w:t>
      </w:r>
    </w:p>
    <w:p w14:paraId="36A6D3F0" w14:textId="4838C85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112–9, § 1, Apr. 14, 2011, 125 Stat. 36, provided that:</w:t>
      </w:r>
    </w:p>
    <w:p w14:paraId="391D7B53" w14:textId="6C112C8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36B and 6041 of this title and enacting provisions set out as notes under sections 36B and 6041 of this title] may be cited as the ‘Comprehensive 1099 Taxpayer Protection and Repayment of Exchange Subsidy Overpayments Act of 2011’.”</w:t>
      </w:r>
    </w:p>
    <w:p w14:paraId="3B10F086" w14:textId="5E938D3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112–7, § 1, Mar. 31, 2011, 125 Stat. 31, provided that:</w:t>
      </w:r>
    </w:p>
    <w:p w14:paraId="13E82890" w14:textId="6496BB7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40117, 44302, 44303, 47104, 47107, 47115, 47141,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2011’.”</w:t>
      </w:r>
    </w:p>
    <w:p w14:paraId="4C68D4A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2010 Amendment</w:t>
      </w:r>
    </w:p>
    <w:p w14:paraId="6CB321A5" w14:textId="3D71F28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111–329, § 1, Dec. 22, 2010, 124 Stat. 3566, provided that:</w:t>
      </w:r>
    </w:p>
    <w:p w14:paraId="2F1EB75F" w14:textId="4C938A7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40117, 44302, 44303, 47104, 47107, 47115, 47141,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2010, Part IV’.”</w:t>
      </w:r>
    </w:p>
    <w:p w14:paraId="486D77E0" w14:textId="1523595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111–325, § 1(a), Dec. 22, 2010, 124 Stat. 3537, provided that:</w:t>
      </w:r>
    </w:p>
    <w:p w14:paraId="2A9CA757" w14:textId="6038DD5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267, 302, 316, 562, 851, 852, 853, 853A, 854, 855, 860, 871, 1212, and 4982 of this title, repealing section 6697 of this title, and enacting provisions set out as notes under sections 267, 316, 562, 851, 852, 854, 855, 860, 1212, and 4982 of this title] may be cited as the ‘Regulated Investment Company Modernization Act of 2010’.”</w:t>
      </w:r>
    </w:p>
    <w:p w14:paraId="56CC7BB6" w14:textId="0328EC4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111–312, § 1(a), Dec. 17, 2010, 124 Stat. 3296, provided that:</w:t>
      </w:r>
    </w:p>
    <w:p w14:paraId="7DB2DD6A" w14:textId="7A58B23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Relief, Unemployment Insurance Reauthorization, and Job Creation Act of 2010’.”</w:t>
      </w:r>
    </w:p>
    <w:p w14:paraId="51E525B7" w14:textId="0213879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111–249, § 1, Sept. 30, 2010, 124 Stat. 2627, provided that:</w:t>
      </w:r>
    </w:p>
    <w:p w14:paraId="5EE4C135" w14:textId="0E9DE0F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1135, 40117, 41743, 44302, 44303, 44703, 47104, 47107, 47115, 47141, 48103, and 49108 of Title 49, Transportation, enacting provisions set out as notes under sections 4081 and 9502 of this title and sections 1135 and 40117 of Title 49, and amending provisions set out as notes under sections 41731, 44701, and 47109 of Title 49] may be cited as the ‘Airport and Airway Extension Act of 2010, Part III’.”</w:t>
      </w:r>
    </w:p>
    <w:p w14:paraId="08D50565" w14:textId="4CD1623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111–240, title II, § 2001, Sept. 27, 2010, 124 Stat. 2553, provided that:</w:t>
      </w:r>
    </w:p>
    <w:p w14:paraId="6F3C9FD2" w14:textId="4EF432C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38 to 40, 55, 72, 162, 168, 179, 195, 280F, 402A, 460, 861, 862, 864, 1202, 1374, 1400L, 1400N, 6041, 6330, 6707A, 6721, and 6722 of this title and enacting provisions set out as notes under sections 38 to 40, 72, 162, 168, 179, 195, 280F, 402A, 460, 861, 1202, 1374, 6041, 6330, 6655, 6662A, 6707A, and 6721 of this title] may be cited as the ‘Creating Small Business Jobs Act of 2010’.”</w:t>
      </w:r>
    </w:p>
    <w:p w14:paraId="03CC3AF9" w14:textId="25D37E4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111–237, § 1, Aug. 16, 2010, 124 Stat. 2497, provided that:</w:t>
      </w:r>
    </w:p>
    <w:p w14:paraId="4CFF035A" w14:textId="6E00E8F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6201, 6213, 6302, and 6501 of this title and enacting provisions set out as notes under sections 6201, 6302, and 6655 of this title] may be cited as the ‘Firearms Excise Tax Improvement Act of 2010’.”</w:t>
      </w:r>
    </w:p>
    <w:p w14:paraId="6E306391" w14:textId="470B350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111–226, § 1, Aug. 10, 2010, 124 Stat. 2389, provided that:</w:t>
      </w:r>
    </w:p>
    <w:p w14:paraId="5168A3A4" w14:textId="13F76E8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909 of this title, amending sections 32, 304, 861, 864, 871, 901, 904, 960, 2104, 6012, 6051, 6302, and 6501 of this title and section 1396r–8 of Title 42, The Public Health and Welfare, repealing section 3507 of this title, enacting provisions set out as notes under sections 32, 304, 861, 864, 901, 904, 909, 960, and 6501 of this title and section 1396r–8 of Title 42, and amending provisions set out as a note under section 1396d of Title 42] may be cited as the ‘____Act of____’. [sic]”</w:t>
      </w:r>
    </w:p>
    <w:p w14:paraId="365AAF0F" w14:textId="351CE2C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111–205, § 1, July 22, 2010, 124 Stat. 2236, provided that:</w:t>
      </w:r>
    </w:p>
    <w:p w14:paraId="4FFA9C2E" w14:textId="501D19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and amending provisions set out as notes under section 3304 of this title] may be cited as the ‘Unemployment Compensation Extension Act of 2010’.”</w:t>
      </w:r>
    </w:p>
    <w:p w14:paraId="5C46605C" w14:textId="3570662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111–198, § 1, July 2, 2010, 124 Stat. 1356, provided that:</w:t>
      </w:r>
    </w:p>
    <w:p w14:paraId="12EB867C" w14:textId="78E0B27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36, 6103, and 6657 of this title, section 1187 of Title 8, Aliens and Nationality, and section 2131 of Title 22, Foreign Relations and Intercourse, and enacting provisions set out as notes under sections 36, 6103, and 6657 of this title] may be cited as the ‘Homebuyer Assistance and Improvement Act of 2010’.”</w:t>
      </w:r>
    </w:p>
    <w:p w14:paraId="70930D73" w14:textId="7436C12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111–197, § 1, July 2, 2010, 124 Stat. 1353, provided that:</w:t>
      </w:r>
    </w:p>
    <w:p w14:paraId="5477DCC7" w14:textId="5833068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44302, 44303, 47104, 47107, 47115, 47141, 48101 to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2010, Part II’.”</w:t>
      </w:r>
    </w:p>
    <w:p w14:paraId="155D9CA1" w14:textId="1F8689A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111–161, § 1, Apr. 30, 2010, 124 Stat. 1126, provided that:</w:t>
      </w:r>
    </w:p>
    <w:p w14:paraId="434E9A44" w14:textId="3C8245F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[amending sections 4081, 4261, 4271, and 9502 of this title and sections 106, 40117, 44302, 44303, 47104, 47107, 47115, 47141, 48101 to 48103, and 49108 of Title 49, Transportation, enacting provisions set out as notes under sections 4081 and 9502 of this title and section 40117 of Title 49, and amending provisions set out as a note under section 47109 of Title 49] may be cited as the ‘Airport and Airway Extension Act of 2010’.”</w:t>
      </w:r>
    </w:p>
    <w:p w14:paraId="3980EB02" w14:textId="176A89A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111–159, § 1, Apr. 26, 2010, 124 Stat. 1123, provided that:</w:t>
      </w:r>
    </w:p>
    <w:p w14:paraId="21C4906F" w14:textId="1450B03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5000A of this title and enacting provisions set out as a note under section 5000A of this title] may be cited as the ‘TRICARE Affirmation Act’.”</w:t>
      </w:r>
    </w:p>
    <w:p w14:paraId="0CE5AA99" w14:textId="66465C9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111–157, § 1, Apr. 15, 2010, 124 Stat. 1116, provided that:</w:t>
      </w:r>
    </w:p>
    <w:p w14:paraId="61CE72DE" w14:textId="6C1A549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119 of Title 17, Copyrights, sections 1395w–4 and 1396b of Title 42, The Public Health and Welfare, and section 325 of Title 47, Telecommunications, enacting provisions set out as notes under sections 3304 and 6432 of this title and section 1395w–4 of Title 42, and amending provisions set out as notes under sections 3304 and 6432 of this title and section 119 of Title 17] may be cited as the ‘Continuing Extension Act of 2010’.”</w:t>
      </w:r>
    </w:p>
    <w:p w14:paraId="48198CD5" w14:textId="0FE6746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111–153, § 1, Mar. 31, 2010, 124 Stat. 1084, provided that:</w:t>
      </w:r>
    </w:p>
    <w:p w14:paraId="173CAD95" w14:textId="4DF5583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44302, 44303, 47104, 47107, 47115, 47141, 48101 to 48103, and 49108 of Title 49, Transportation, enacting provisions set out as notes under sections 4081 and 9502 of this title and section 40117 of Title 49, and amending provisions set out as a note under section 47109 of Title 49] may be cited as the ‘Federal Aviation Administration Extension Act of 2010’.”</w:t>
      </w:r>
    </w:p>
    <w:p w14:paraId="0DDBFDAE" w14:textId="4E3A600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111–147, § 1(a), Mar. 18, 2010, 124 Stat. 71, provided that:</w:t>
      </w:r>
    </w:p>
    <w:p w14:paraId="4B9FB9CD" w14:textId="0F4A88D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chapter 4 and section 6038D of this title, amending sections 51, 54F, 149, 163, 165, 179, 643, 679, 864, 871, 881, 1287, 1291, 1298, 3111, 3221, 4701, 6011, 6048, 6229, 6414, 6431, 6501, 6513, 6611, 6662, 6677, 6724, and 9502 to 9504 of this title, section 777c of Title 16, Conservation, sections 405 and 410 of Title 23, Highways, section 3121 of Title 31, Money and Finance, and sections 5305, 5307, 5309, 5311, 5337, 5338, 31104, and 31144 of Title 49, Transportation, enacting provisions set out as notes under sections 38, 51, 54F, 149, 179, 643, 679, 864, 871, 1291, 6011, 6038D, 6048, 6229, 6431, 6655, 6662, 6677, 9502, and 9503 of this title and section 101 of Title 23, and amending provisions set out as notes under section 901 of Title 2, The Congress, sections 402, 403, and 405 of Title 23, and sections 5309, 5310, 5338, 14710, 31100, 31301, and 31309 of Title 49] may be cited as the ‘Hiring Incentives to Restore Employment Act’.”</w:t>
      </w:r>
    </w:p>
    <w:p w14:paraId="49A7D326" w14:textId="69BB4EC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111–144, § 1, Mar. 2, 2010, 124 Stat. 42, provided that:</w:t>
      </w:r>
    </w:p>
    <w:p w14:paraId="465C454D" w14:textId="3CB4F51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[amending sections 35, 139C, 6432, and 6720C of this title, section 119 of Title 17, Copyrights, sections 1395</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 and 1395w–4 of Title 42, The Public Health and Welfare, and section 325 of Title 47, Telecommunications, enacting provisions set out as a note under section 6432 of this title, and amending provisions set out as notes under sections 3304 and 6432 of this title and section 119 of Title 17] may be cited as the ‘Temporary Extension Act of 2010’.”</w:t>
      </w:r>
    </w:p>
    <w:p w14:paraId="5CDB756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2009 Amendment</w:t>
      </w:r>
    </w:p>
    <w:p w14:paraId="6A342033" w14:textId="180FF0A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111–116, § 1, Dec. 16, 2009, 123 Stat. 3031, provided that:</w:t>
      </w:r>
    </w:p>
    <w:p w14:paraId="6CC4234F" w14:textId="5DCBB1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44302, 44303, 47104, 47107, 47115, 47141, 48101 to 48103, and 49108 of Title 49, Transportation, enacting provisions set out as notes under sections 4081 and 9502 of this title and section 40117 of Title 49, and amending provisions set out as a note under section 47109 of Title 49] may be cited as the ‘Fiscal Year 2010 Federal Aviation Administration Extension Act, Part II’.”</w:t>
      </w:r>
    </w:p>
    <w:p w14:paraId="3B8B8549" w14:textId="4E3ED50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111–92, § 1, Nov. 6, 2009, 123 Stat. 2984, provided that:</w:t>
      </w:r>
    </w:p>
    <w:p w14:paraId="72851776" w14:textId="71B9237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36, 56, 132, 172, 810, 864, 1400C, 3301, 6011, 6213, 6698, and 6699 of this title, section 1103 of Title 42, The Public Health and Welfare, and section 352 of Title 45, Railroads, enacting provisions set out as notes under sections 36, 56, 132, 172, 864, 3301, 3304, 6011, 6213, 6655, and 6698 of this title and section 1103 of Title 42, and amending provisions set out as a note under section 3304 of this title] may be cited as the ‘Worker, Homeownership, and Business Assistance Act of 2009’.”</w:t>
      </w:r>
    </w:p>
    <w:p w14:paraId="76E1F0D1" w14:textId="137CA3E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111–69, § 1, Oct. 1, 2009, 123 Stat. 2054, provided that:</w:t>
      </w:r>
    </w:p>
    <w:p w14:paraId="54E071F1" w14:textId="0876788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41743, 44302, 44303, 47104, 47107, 47115, 47141, 48101 to 48103, and 49108 of Title 49, Transportation, enacting provisions set out as notes under sections 4081 and 9502 of this title and section 40117 of Title 49, and amending provisions set out as notes under sections 41731 and 47109 of Title 49] may be cited as the ‘Fiscal Year 2010 Federal Aviation Administration Extension Act’.”</w:t>
      </w:r>
    </w:p>
    <w:p w14:paraId="418019AB" w14:textId="148CDBC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111–42, title II, § 201, July 28, 2009, 123 Stat. 1964, provided that:</w:t>
      </w:r>
    </w:p>
    <w:p w14:paraId="6A659D45" w14:textId="1FE3AEB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provisions set out as a note under section 6655 of this title] may be cited as the ‘Corporate Estimated Tax Shift Act of 2009’.”</w:t>
      </w:r>
    </w:p>
    <w:p w14:paraId="574F4C56" w14:textId="5EA9138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111–12, § 1, Mar. 30, 2009, 123 Stat. 1457, provided that:</w:t>
      </w:r>
    </w:p>
    <w:p w14:paraId="18306B24" w14:textId="42F95E4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“This Act [amending sections 4081, 4261, 4271, and 9502 of this title and sections 106, 40117, 44302, 44303, 47104, 47107, 47115, 47141, 48101 to 48103, and 49108 of Title 49, Transportation, enacting provisions set out as </w:t>
      </w:r>
      <w:r w:rsidRPr="008B3051">
        <w:rPr>
          <w:rFonts w:ascii="Verdana" w:eastAsia="Times New Roman" w:hAnsi="Verdana" w:cs="Times New Roman"/>
          <w:sz w:val="24"/>
          <w:szCs w:val="24"/>
        </w:rPr>
        <w:lastRenderedPageBreak/>
        <w:t>notes under sections 4081 and 9502 of this title and section 40117 of Title 49, and amending provisions set out as a note under section 47109 of Title 49] may be cited as the ‘Federal Aviation Administration Extension Act of 2009’.”</w:t>
      </w:r>
    </w:p>
    <w:p w14:paraId="148B0D23" w14:textId="6948E90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111–5, § 1, Feb. 17, 2009, 123 Stat. 115, provided that:</w:t>
      </w:r>
    </w:p>
    <w:p w14:paraId="3583AF03" w14:textId="4BA0DB3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‘American Recovery and Reinvestment Act of 2009’.”</w:t>
      </w:r>
    </w:p>
    <w:p w14:paraId="17DDE1E1" w14:textId="54C9088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111–5, div. B, title I, § 1000(a), Feb. 17, 2009, 123 Stat. 306, provided that:</w:t>
      </w:r>
    </w:p>
    <w:p w14:paraId="362F3BC5" w14:textId="1907906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‘American Recovery and Reinvestment Tax Act of 2009’.”</w:t>
      </w:r>
    </w:p>
    <w:p w14:paraId="4D14D5E6" w14:textId="3027EEF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111–5, div. B, title I, § 1899, Feb. 17, 2009, 123 Stat. 423, provided that:</w:t>
      </w:r>
    </w:p>
    <w:p w14:paraId="335EB086" w14:textId="642AE9F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part [part VI (§§ 1899–1899L) of subtitle I of title I of div. B of Pub. L. 111–5, amending sections 35, 4980B, 7527, and 9801 of this title, sections 1162, 1181, 2918, and 2919 of Title 29, Labor, and sections 300bb–2 and 300gg of Title 42, The Public Health and Welfare, and enacting provisions set out as notes under sections 35, 4980B, 7527, and 9801 of this title] may be cited as the ‘TAA Health Coverage Improvement Act of 2009’.”</w:t>
      </w:r>
    </w:p>
    <w:p w14:paraId="52A6C198" w14:textId="1E86F71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111–5, div. B, title II, § 2000(a), Feb. 17, 2009, 123 Stat. 436, provided that:</w:t>
      </w:r>
    </w:p>
    <w:p w14:paraId="625DD7E8" w14:textId="6A6AFDF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603, 604, 607, 1103, 1308, and 1322 of Title 42, The Public Health and Welfare, and section 352 of Title 45, Railroads, enacting provisions set out as notes under sections 3304 and 6428 of this title and sections 603, 607, 655, 1103, and 1308 of Title 42, and amending provisions set out as notes under section 3304 of this title] may be cited as the ‘Assistance for Unemployed Workers and Struggling Families Act’.”</w:t>
      </w:r>
    </w:p>
    <w:p w14:paraId="4530CA8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2008 Amendment</w:t>
      </w:r>
    </w:p>
    <w:p w14:paraId="7BD58DED" w14:textId="426EF39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110–449, § 1, Nov. 21, 2008, 122 Stat. 5014, provided that:</w:t>
      </w:r>
    </w:p>
    <w:p w14:paraId="4AB2BFD9" w14:textId="5E81420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and amending provisions set out as notes under section 3304 of this title] may be cited as the ‘Unemployment Compensation Extension Act of 2008’.”</w:t>
      </w:r>
    </w:p>
    <w:p w14:paraId="4676C053" w14:textId="49E89D4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110–428, § 1, Oct. 15, 2008, 122 Stat. 4839, provided that:</w:t>
      </w:r>
    </w:p>
    <w:p w14:paraId="54BCF77C" w14:textId="1CE319E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6103 and 7803 of this title and section 376 of Title 28, Judiciary and Judicial Procedure, and enacting provisions set out as notes under sections 6103 and 7207 of this title and section 376 of Title 28] may be cited as the ‘Inmate Tax Fraud Prevention Act of 2008’.”</w:t>
      </w:r>
    </w:p>
    <w:p w14:paraId="706F26E3" w14:textId="42ED0DF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110–343, div. B, § 1(a), Oct. 3, 2008, 122 Stat. 3807, provided that:</w:t>
      </w:r>
    </w:p>
    <w:p w14:paraId="7333C04F" w14:textId="312469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division [see Tables for classification] may be cited as the ‘Energy Improvement and Extension Act of 2008’.”</w:t>
      </w:r>
    </w:p>
    <w:p w14:paraId="23657BA1" w14:textId="08C821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110–343, div. C, § 1(a), Oct. 3, 2008, 122 Stat. 3861, provided that:</w:t>
      </w:r>
    </w:p>
    <w:p w14:paraId="07449CBE" w14:textId="72A5AAD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‘Tax Extenders and Alternative Minimum Tax Relief Act of 2008’.”</w:t>
      </w:r>
    </w:p>
    <w:p w14:paraId="6E3DE2E9" w14:textId="69F1E0D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110–343, div. C, title VII, § 701, Oct. 3, 2008, 122 Stat. 3912, provided that:</w:t>
      </w:r>
    </w:p>
    <w:p w14:paraId="57370632" w14:textId="33A7B7E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A (§§ 701–704) of title VII of div. C of Pub. L. 110–343, amending section 6033 of this titleand enacting provisions set out as a note under section 6033 of this title] may be cited as the ‘Heartland Disaster Tax Relief Act of 2008’.”</w:t>
      </w:r>
    </w:p>
    <w:p w14:paraId="74F5883F" w14:textId="74B0DBC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110–330, § 1, Sept. 30, 2008, 122 Stat. 3717, provided that:</w:t>
      </w:r>
    </w:p>
    <w:p w14:paraId="0A78E229" w14:textId="5378B1A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106, 40117, 41743, 44302, 44303, 47104, 47107, 47115, 47141, 48101 to 48103, and 49108 of Title 49, Transportation, enacting provisions set out as notes under sections 4081 and 9502 of this title and section 40117 of Title 49, and amending provisions set out as notes under sections 41731 and 47109 of Title 49] may be cited as the ‘Federal Aviation Administration Extension Act of 2008, Part II’.”</w:t>
      </w:r>
    </w:p>
    <w:p w14:paraId="5A88E961" w14:textId="75832D1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110–289, div. C, § 3000(a), July 30, 2008, 122 Stat. 2877, provided that:</w:t>
      </w:r>
    </w:p>
    <w:p w14:paraId="516E07B4" w14:textId="1D74F06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‘Housing Assistance Tax Act of 2008’.”</w:t>
      </w:r>
    </w:p>
    <w:p w14:paraId="052A5997" w14:textId="6D1890E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110–253, § 1, June 30, 2008, 122 Stat. 2417, provided that:</w:t>
      </w:r>
    </w:p>
    <w:p w14:paraId="44BB9720" w14:textId="512D4CF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40117, 44302, 44303, 47104, 47115, 47141, and 48103 of Title 49, Transportation, enacting provisions set out as notes under sections 4081and 9502 of this title and section 47104 of Title 49, and amending provisions set out as a note under section 47109 of Title 49] may be cited as the ‘Federal Aviation Administration Extension Act of 2008’.”</w:t>
      </w:r>
    </w:p>
    <w:p w14:paraId="6BA172F9" w14:textId="3A076BD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110–245, § 1(a), June 17, 2008, 122 Stat. 1624, provided that:</w:t>
      </w:r>
    </w:p>
    <w:p w14:paraId="2BC4BE2F" w14:textId="61006E7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chapter 15 and sections 45P and 877A of this title, amending sections 32, 38, 72, 121, 125, 134, 143, 219, 280C, 401, 403, 404, 408A, 414, 457, 530, 877, 3121, 3306, 3401, 6039G, 6103, 6428, 6511, 6651, 7701, and 9812 of this title, section 1185a of Title 29, Labor, and sections 300gg–5, 409, 410, 1382a, and 1382b of Title 42, The Public Health and Welfare, and enacting provisions set out as notes under sections 32, 38, 72, 121, 125, 134, 143, 219, 401, 408A, 414, 3121, 3401, 6103, 6428, 6511, and 6651 of this title and section 1382a of Title 42] may be cited as the ‘Heroes Earnings Assistance and Relief Tax Act of 2008’.”</w:t>
      </w:r>
    </w:p>
    <w:p w14:paraId="35C0D124" w14:textId="29CA781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110–234, title XV, § 15001(a), May 22, 2008, 122 Stat. 1484, and Pub. L. 110–246, § 4(a), title XV, § 15001(a), June 18, 2008, 122 Stat. 1664, 2246, provided that:</w:t>
      </w:r>
    </w:p>
    <w:p w14:paraId="4124112B" w14:textId="731718F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‘Heartland, Habitat, Harvest, and Horticulture Act of 2008’.”</w:t>
      </w:r>
    </w:p>
    <w:p w14:paraId="1FB37637" w14:textId="400FB41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110–234 and Pub. L. 110–246 enacted identical provisions. Pub. L. 110–234 was repealed by section 4(a) of Pub. L. 110–246, set out as a note under section 8701 of Title 7, Agriculture.]</w:t>
      </w:r>
    </w:p>
    <w:p w14:paraId="42CADC6B" w14:textId="3533A34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110–190, § 1, Feb. 28, 2008, 122 Stat. 643, provided that:</w:t>
      </w:r>
    </w:p>
    <w:p w14:paraId="7B76D6CD" w14:textId="6905FCA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4081, 4261, 4271, and 9502 of this title and sections 47104 and 48103 of Title 49, Transportation, enacting provisions set out as notes under sections 4081 and 9502 of this title and section 41731 of Title 49, and amending provisions set out as notes under sections 41731 and 47109 of Title 49] may be cited as the ‘Airport and Airway Extension Act of 2008’.”</w:t>
      </w:r>
    </w:p>
    <w:p w14:paraId="191B5FD3" w14:textId="4A4C2E0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110–185, § 1(a), Feb. 13, 2008, 122 Stat. 613, provided that:</w:t>
      </w:r>
    </w:p>
    <w:p w14:paraId="4A37E41D" w14:textId="30A8E81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this section, sections 168, 179, 1400L, 1400N, 6211, 6213, and 6428 of this title, and section 1324 of Title 31, Money and Finance, and enacting provisions set out as notes under sections 168, 179, and 6428 of this title] may be cited as the ‘Economic Stimulus Act of 2008’.”</w:t>
      </w:r>
    </w:p>
    <w:p w14:paraId="5D370AC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2007 Amendment</w:t>
      </w:r>
    </w:p>
    <w:p w14:paraId="23A5FAEB" w14:textId="61E9B48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110–172, § 1(a), Dec. 29, 2007, 121 Stat. 2473, provided that:</w:t>
      </w:r>
    </w:p>
    <w:p w14:paraId="3197D5CD" w14:textId="5B3BE7A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Technical Corrections Act of 2007’.”</w:t>
      </w:r>
    </w:p>
    <w:p w14:paraId="28F1D771" w14:textId="3760E7D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110–166, § 1, Dec. 26, 2007, 121 Stat. 2461, provided that:</w:t>
      </w:r>
    </w:p>
    <w:p w14:paraId="60E2C5D8" w14:textId="7FB71E0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26 and 55 of this title and enacting provisions set out as notes under sections 26and 55 of this title] may be cited as the ‘Tax Increase Prevention Act of 2007’.”</w:t>
      </w:r>
    </w:p>
    <w:p w14:paraId="76CCC75B" w14:textId="2035901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110–142, § 1, Dec. 20, 2007, 121 Stat. 1803, provided that:</w:t>
      </w:r>
    </w:p>
    <w:p w14:paraId="2908F0BC" w14:textId="6B968E1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139B and 6699 of this title, amending sections 42, 108, 121, 163, 216, 6103, and 6698 of this title, and enacting provisions set out as notes under sections 42, 108, 121, 139B, 163, 216, 6103, 6655, 6698, and 6699 of this title] may be cited as the ‘Mortgage Forgiveness Debt Relief Act of 2007’.”</w:t>
      </w:r>
    </w:p>
    <w:p w14:paraId="57082DBE" w14:textId="78CCAE8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110–28, title VIII, § 8201(a), May 25, 2007, 121 Stat. 190, provided that:</w:t>
      </w:r>
    </w:p>
    <w:p w14:paraId="6FCFBCDE" w14:textId="6776C24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B (§§ 8201–8248) of title VIII of Pub. L. 110–28, enacting section 6676 of this title, amending this section, sections 38, 45B, 51, 179, 641, 761, 1361, 1362, 1368, 1400N, 1402, 6060,</w:t>
      </w:r>
      <w:r w:rsidRPr="008B3051">
        <w:rPr>
          <w:rFonts w:ascii="Verdana" w:eastAsia="Times New Roman" w:hAnsi="Verdana" w:cs="Times New Roman"/>
          <w:sz w:val="24"/>
          <w:szCs w:val="24"/>
        </w:rPr>
        <w:lastRenderedPageBreak/>
        <w:t> 6103, 6107, 6l09, 6330, 6404, 6503, 6657, 6694 to 6696, 7407, 7427, 7528, and 7701 of this title, and section 411 of Title 42, The Public Health and Welfare, enacting provisions set out as notes under this section and sections 38, 45B, 51, 179, 641, 761, 1361, 1362, 6060, 6330, 6404, 6657, and 6676 of this title, and amending provisions set out as a note under section 6655 of this title] may be cited as the ‘Small Business and Work Opportunity Tax Act of 2007’.”</w:t>
      </w:r>
    </w:p>
    <w:p w14:paraId="0F8D919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2006 Amendment</w:t>
      </w:r>
    </w:p>
    <w:p w14:paraId="45178BA6" w14:textId="02A336D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109–432, § 1(a), Dec. 20, 2006, 120 Stat. 2922, provided that:</w:t>
      </w:r>
    </w:p>
    <w:p w14:paraId="33553CD1" w14:textId="296902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Relief and Health Care Act of 2006’.”</w:t>
      </w:r>
    </w:p>
    <w:p w14:paraId="680AEBC6" w14:textId="338E07A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109–432, div. A, title III, § 301, Dec. 20, 2006, 120 Stat. 2948, provided that:</w:t>
      </w:r>
    </w:p>
    <w:p w14:paraId="06040092" w14:textId="19ED604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106, 223, 408, and 4980G of this title and enacting provisions set out as notes under sections 106, 223, and 4980G of this title] may be cited as the ‘Health Opportunity Patient Empowerment Act of 2006’.”</w:t>
      </w:r>
    </w:p>
    <w:p w14:paraId="62969B42" w14:textId="51FF9B3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109–227, § 1, May 29, 2006, 120 Stat. 385, provided that:</w:t>
      </w:r>
    </w:p>
    <w:p w14:paraId="46CF11FC" w14:textId="51EF411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219 of this title and enacting provisions set out as notes under section 219 of this title] may be cited as the ‘Heroes Earned Retirement Opportunities Act’.”</w:t>
      </w:r>
    </w:p>
    <w:p w14:paraId="10F1D6AD" w14:textId="0C92B45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109–222, § 1(a), May 17, 2006, 120 Stat. 345, provided that:</w:t>
      </w:r>
    </w:p>
    <w:p w14:paraId="28C5746E" w14:textId="72CD026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4965 of this title, amending this section and sections 26, 54, 55, 142 to 144, 148, 149, 163, 167, 170, 179, 199, 355, 408A, 468B, 852, 871, 897, 911, 953, 954, 1221, 1355, 1445, 3402, 6011, 6033, 6049, 6159, 6652, 7122, and 7872 of this title, enacting provisions set out as notes under this section and sections 26, 54 to 56, 142, 143, 163, 167, 170, 199, 355, 408A, 468B, 852, 897, 911, 954, 1355, 3402, 4965, 6049, 6159, and 6655 of this title, and amending provisions set out as notes under this section and sections 56and 114 of this title] may be cited as the ‘Tax Increase Prevention and Reconciliation Act of 2005’.”</w:t>
      </w:r>
    </w:p>
    <w:p w14:paraId="3A1061A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2005 Amendment</w:t>
      </w:r>
    </w:p>
    <w:p w14:paraId="217FE8CA" w14:textId="2EE42E6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109–135, § 1(a), Dec. 21, 2005, 119 Stat. 2577, provided that:</w:t>
      </w:r>
    </w:p>
    <w:p w14:paraId="4312570A" w14:textId="74E44CB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‘Gulf Opportunity Zone Act of 2005’.”</w:t>
      </w:r>
    </w:p>
    <w:p w14:paraId="31A1E351" w14:textId="4A241F7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109–135, title IV, § 401, Dec. 21, 2005, 119 Stat. 2610, provided that:</w:t>
      </w:r>
    </w:p>
    <w:p w14:paraId="2A9A553F" w14:textId="6E6AB05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A (§§ 401–413) of title IV of Pub. L. 109–135, see Tables for classification] may be cited as the ‘Tax Technical Corrections Act of 2005’.”</w:t>
      </w:r>
    </w:p>
    <w:p w14:paraId="7DC51BEA" w14:textId="54EAE34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109–73, § 1(a), Sept. 23, 2005, 119 Stat. 2016, provided that:</w:t>
      </w:r>
    </w:p>
    <w:p w14:paraId="0DCCCB89" w14:textId="6093FD0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170 and 7508 of this title and enacting provisions set out as notes under sections 170 and 7508 of this title] may be cited as the ‘Katrina Emergency Tax Relief Act of 2005’.”</w:t>
      </w:r>
    </w:p>
    <w:p w14:paraId="04A8ED10" w14:textId="6127DF1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109–58, title XIII, § 1300(a), Aug. 8, 2005, 119 Stat. 986, provided that:</w:t>
      </w:r>
    </w:p>
    <w:p w14:paraId="5F9B2B51" w14:textId="0DC9EA3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‘Energy Tax Incentives Act of 2005’.”</w:t>
      </w:r>
    </w:p>
    <w:p w14:paraId="5ED9BE9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2004 Amendment</w:t>
      </w:r>
    </w:p>
    <w:p w14:paraId="62713324" w14:textId="3BC311F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108–357, § 1(a), Oct. 22, 2004, 118 Stat. 1418, provided that:</w:t>
      </w:r>
    </w:p>
    <w:p w14:paraId="2BC3E431" w14:textId="3467C56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‘American Jobs Creation Act of 2004’.”</w:t>
      </w:r>
    </w:p>
    <w:p w14:paraId="1515E5CC" w14:textId="38D31E1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108–311, § 1(a), Oct. 4, 2004, 118 Stat. 1166, provided that:</w:t>
      </w:r>
    </w:p>
    <w:p w14:paraId="041D8D38" w14:textId="35C35A0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‘Working Families Tax Relief Act of 2004’.”</w:t>
      </w:r>
    </w:p>
    <w:p w14:paraId="7CBF431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2003 Amendment</w:t>
      </w:r>
    </w:p>
    <w:p w14:paraId="507E51A0" w14:textId="2E4662C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108–121, § 1(a), Nov. 11, 2003, 117 Stat. 1335, provided that:</w:t>
      </w:r>
    </w:p>
    <w:p w14:paraId="190E59D8" w14:textId="04C4AA7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5, 62, 101, 121, 132, 134, 162, 501, 530, 692, 2201, 3121, 3306, 3401, 6013, and 7508 of this title, section 1478 of Title 10, Armed Forces, and section 58c of Title 19, Customs Duties, and enacting provisions set out as notes under sections 5, 62, 101, 121, 132, 134, 501, 530, 2201, and 7508 of this title and section 1478 of Title 10] may be cited as the ‘Military Family Tax Relief Act of 2003’.”</w:t>
      </w:r>
    </w:p>
    <w:p w14:paraId="56996A77" w14:textId="03A2381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 1(a), May 28, 2003, 117 Stat. 752, provided that:</w:t>
      </w:r>
    </w:p>
    <w:p w14:paraId="56963D82" w14:textId="728CCA7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6429 of this title and section 801 of Title 42, The Public Health and Welfare, amending this section, sections 24, 55, 57, 63, 163, 168, 179, 301, 306, 338, 467, 531, 541, 584, 702, 854, 857, 1255, 1257, 1400L, 1445, and 7518 of this title, and section 1177 of Title 46, Appendix, Shipping, repealing section 341 of this title, enacting provisions set out as notes under this section, sections 24, 55, 63, 168, and 179 of this title, and section 1396d of Title 42, and amending provisions set out as notes under this section] may be cited as the ‘Jobs and Growth Tax Relief Reconciliation Act of 2003’.”</w:t>
      </w:r>
    </w:p>
    <w:p w14:paraId="5CC27BBE" w14:textId="3C00BCE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108–26, § 1, May 28, 2003, 117 Stat. 751, provided that:</w:t>
      </w:r>
    </w:p>
    <w:p w14:paraId="2C1207DC" w14:textId="3FD2A93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and amending provisions set out as notes under section 3304 of this title] may be cited as the ‘Unemployment Compensation Amendments of 2003’.”</w:t>
      </w:r>
    </w:p>
    <w:p w14:paraId="4AC4429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2002 Amendment</w:t>
      </w:r>
    </w:p>
    <w:p w14:paraId="663C43A5" w14:textId="6CE241D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107–358, § 1, Dec. 17, 2002, 116 Stat. 3015, provided that:</w:t>
      </w:r>
    </w:p>
    <w:p w14:paraId="30FBFD24" w14:textId="357C367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[amending provisions set out as a note under this section] may be cited as the ‘Holocaust Restitution Tax Fairness Act of 2002’.”</w:t>
      </w:r>
    </w:p>
    <w:p w14:paraId="4E2B0CA5" w14:textId="6CF80F1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107–181, § 1, May 20, 2002, 116 Stat. 583, provided that:</w:t>
      </w:r>
    </w:p>
    <w:p w14:paraId="6490E31E" w14:textId="7811BD9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107 of this title and enacting provisions set out as a note under section 107 of this title] may be cited as the ‘Clergy Housing Allowance Clarification Act of 2002’.”</w:t>
      </w:r>
    </w:p>
    <w:p w14:paraId="2565D330" w14:textId="09D36D3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107–147, § 1(a), Mar. 9, 2002, 116 Stat. 21, provided that:</w:t>
      </w:r>
    </w:p>
    <w:p w14:paraId="4E639162" w14:textId="0E8AD73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‘Job Creation and Worker Assistance Act of 2002’.”</w:t>
      </w:r>
    </w:p>
    <w:p w14:paraId="5CCD383D" w14:textId="65F3495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107–134, § 1(a), Jan. 23, 2002, 115 Stat. 2427, provided that: This Act [enacting sections 139 and 5891of this title and section 1148 of Title 29, Labor, amending sections 5, 101, 104, 140, 642, 692, 2011, 2053, 2201, 6013, 6081, 6103, 6105, 6161, 6404, 7213, 7508, and 7508A of this title and section 1302 of Title 29, enacting provisions set out as notes under sections 101, 108, 139, 501, 642, 692, 2011, 5891, 6081, and 6103 of this title, section 401 of Title 42, The Public Health and Welfare, and section 40101 of Title 49, Transportation, and amending provisions set out as a note under section 40101 of Title 49] may be cited as the ‘Victims of Terrorism Tax Relief Act of 2001’.”</w:t>
      </w:r>
    </w:p>
    <w:p w14:paraId="47F35B9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2001 Amendment</w:t>
      </w:r>
    </w:p>
    <w:p w14:paraId="5E0EA5F9" w14:textId="43E901F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107–16, § 1(a), June 7, 2001, 115 Stat. 38, provided that:</w:t>
      </w:r>
    </w:p>
    <w:p w14:paraId="730218AC" w14:textId="46B2F27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‘Economic Growth and Tax Relief Reconciliation Act of 2001’.”</w:t>
      </w:r>
    </w:p>
    <w:p w14:paraId="327968CF" w14:textId="52EC721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107–15, § 1, June 5, 2001, 115 Stat. 37, provided that:</w:t>
      </w:r>
    </w:p>
    <w:p w14:paraId="76B69D72" w14:textId="0B18BC9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provisions set out as a note under section 101 of this title] may be cited as the ‘Fallen Hero Survivor Benefit Fairness Act of 2001’.”</w:t>
      </w:r>
    </w:p>
    <w:p w14:paraId="56C30CD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2000 Amendment</w:t>
      </w:r>
    </w:p>
    <w:p w14:paraId="13D123E0" w14:textId="2D71227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106–573, § 1, Dec. 28, 2000, 114 Stat. 3061, provided that:</w:t>
      </w:r>
    </w:p>
    <w:p w14:paraId="5959F495" w14:textId="7E5DF98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453 of this title and enacting provisions set out as a note under section 453 of this title] may be cited as the ‘Installment Tax Correction Act of 2000’.”</w:t>
      </w:r>
    </w:p>
    <w:p w14:paraId="6B08D869" w14:textId="4796EE9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106–554, § 1(a)(7) [§ 1(a)], Dec. 21, 2000, 114 Stat. 2763, 2763A–587, provided that:</w:t>
      </w:r>
    </w:p>
    <w:p w14:paraId="4D631DA5" w14:textId="2581492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[H.R. 5662, as enacted by section 1(a)(7) of Pub. L. 106–554, see Tables for classification] may be cited as the ‘Community Renewal Tax Relief Act of 2000’.”</w:t>
      </w:r>
    </w:p>
    <w:p w14:paraId="6E751330" w14:textId="4068B38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106–519, § 1(a), Nov. 15, 2000, 114 Stat. 2423, provided that:</w:t>
      </w:r>
    </w:p>
    <w:p w14:paraId="1C6E06E2" w14:textId="2022371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[enacting sections 114 and 941 to 943 of this title, amending sections 56, 275, 864, 903 and 999 of this title, and repealing sections 921 to 927 of this title] may be cited as the ‘FSC Repeal and Extraterritorial Income Exclusion Act of 2000’.”</w:t>
      </w:r>
    </w:p>
    <w:p w14:paraId="440ADC0D" w14:textId="4B65DC0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106–476, title IV, § 4001, Nov. 9, 2000, 114 Stat. 2176, provided that:</w:t>
      </w:r>
    </w:p>
    <w:p w14:paraId="6FA8B14B" w14:textId="571ACF8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1681 to 1681b of Title 19, Customs Duties, amending sections 5704, 5754, and 5761 of this title, and enacting provisions set out as notes under sections 5704 and 5761 of this title and section 1681 of Title 19] may be cited as the ‘Imported Cigarette Compliance Act of 2000’.”</w:t>
      </w:r>
    </w:p>
    <w:p w14:paraId="35A66A8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1999 Amendment</w:t>
      </w:r>
    </w:p>
    <w:p w14:paraId="4C51A69E" w14:textId="68CBF6D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106–170, title V, § 500, Dec. 17, 1999, 113 Stat. 1918, provided that:</w:t>
      </w:r>
    </w:p>
    <w:p w14:paraId="7371D29D" w14:textId="785A75C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‘Tax Relief Extension Act of 1999’.”</w:t>
      </w:r>
    </w:p>
    <w:p w14:paraId="70A9BB5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1998 Amendment</w:t>
      </w:r>
    </w:p>
    <w:p w14:paraId="3A8588AC" w14:textId="16E9528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 1000(a), Oct. 21, 1998, 112 Stat. 2681–886, provided that:</w:t>
      </w:r>
    </w:p>
    <w:p w14:paraId="2FD8F6A4" w14:textId="1C8E66F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 1000–5301, see Tables for classification] may be cited as the ‘Tax and Trade Relief Extension Act of 1998’.”</w:t>
      </w:r>
    </w:p>
    <w:p w14:paraId="317AC859" w14:textId="3D955BB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C, title XV, § 1501, Oct. 21, 1998, 112 Stat. 2681–741, provided that:</w:t>
      </w:r>
    </w:p>
    <w:p w14:paraId="4E64BED8" w14:textId="18ACDF9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4132 and 9510 of this title and section 300aa–11 of Title 42, The Public Health and Welfare, and enacting provisions set out as notes under sections 4132 and 9510 of this title] may be cited as the ‘Vaccine Injury Compensation Program Modification Act’.”</w:t>
      </w:r>
    </w:p>
    <w:p w14:paraId="09FA4D5F" w14:textId="31D7BD1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 1(a), July 22, 1998, 112 Stat. 685, provided that:</w:t>
      </w:r>
    </w:p>
    <w:p w14:paraId="6276F460" w14:textId="297A23B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‘Internal Revenue Service Restructuring and Reform Act of 1998’.”</w:t>
      </w:r>
    </w:p>
    <w:p w14:paraId="0889EFEE" w14:textId="7DE52F1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title III, § 3000, July 22, 1998, 112 Stat. 726, provided that:</w:t>
      </w:r>
    </w:p>
    <w:p w14:paraId="2EC623E7" w14:textId="58524DA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‘Taxpayer Bill of Rights 3’.”</w:t>
      </w:r>
    </w:p>
    <w:p w14:paraId="025C0F5E" w14:textId="555B863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title VI, § 6001(a), July 22, 1998, 112 Stat. 790, provided that:</w:t>
      </w:r>
    </w:p>
    <w:p w14:paraId="20C63057" w14:textId="601F8D5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‘Tax Technical Corrections Act of 1998’.”</w:t>
      </w:r>
    </w:p>
    <w:p w14:paraId="6E392D02" w14:textId="7EDBF21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105–178, title IX, § 9001(a), June 9, 1998, 112 Stat. 499, provided that:</w:t>
      </w:r>
    </w:p>
    <w:p w14:paraId="2280876F" w14:textId="1F39EE9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title [amending sections 40, 132, 4041, 4051, 4071, 4081, 4091, 4221, 4481 to 4483, 6156, 6412, 6421, 6427, 9503, and 9504 of this title and section 460</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–11 of Title 16, Conservation, repealing section 9511 of this title, enacting provisions set out as notes under sections 40, 132, 172, 4041, 6421, and 9503 of this title, and amending provisions set out as a note under section 172 of this title] may be cited as the ‘Surface Transportation Revenue Act of 1998’.”</w:t>
      </w:r>
    </w:p>
    <w:p w14:paraId="37D881C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1997 Amendment</w:t>
      </w:r>
    </w:p>
    <w:p w14:paraId="07F7313F" w14:textId="05DF416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105–35, § 1, Aug. 5, 1997, 111 Stat. 1104, provided that:</w:t>
      </w:r>
    </w:p>
    <w:p w14:paraId="3128E6B9" w14:textId="35FF6B4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7213A of this title, amending sections 7213 and 7431 of this title, and enacting provisions set out as notes under sections 7213 and 7431 of this title] may be cited as the ‘Taxpayer Browsing Protection Act’.”</w:t>
      </w:r>
    </w:p>
    <w:p w14:paraId="092820D3" w14:textId="465FB8C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105–34, § 1(a), Aug. 5, 1997, 111 Stat. 788, provided that:</w:t>
      </w:r>
    </w:p>
    <w:p w14:paraId="637FFB6B" w14:textId="4DD336C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‘Taxpayer Relief Act of 1997’.”</w:t>
      </w:r>
    </w:p>
    <w:p w14:paraId="3FDD1DA0" w14:textId="03FC658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 § 1(a), Feb. 28, 1997, 111 Stat. 4, provided that:</w:t>
      </w:r>
    </w:p>
    <w:p w14:paraId="20C6503A" w14:textId="03E7E4D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4041, 4081, 4091, 4261, 4271, and 9502 of this title and enacting provisions set out as notes under sections 4041, 4081, and 4261 of this title] may be cited as the ‘Airport and Airway Trust Fund Tax Reinstatement Act of 1997’.”</w:t>
      </w:r>
    </w:p>
    <w:p w14:paraId="7300976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1996 Amendment</w:t>
      </w:r>
    </w:p>
    <w:p w14:paraId="78BC9464" w14:textId="60A64E3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104–188, § 1(a), Aug. 20, 1996, 110 Stat. 1755, provided that:</w:t>
      </w:r>
    </w:p>
    <w:p w14:paraId="7595C207" w14:textId="22F9C69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‘Small Business Job Protection Act of 1996’.”</w:t>
      </w:r>
    </w:p>
    <w:p w14:paraId="0D417092" w14:textId="76FEA64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104–168, § 1(a), July 30, 1996, 110 Stat. 1452, provided that:</w:t>
      </w:r>
    </w:p>
    <w:p w14:paraId="2288456B" w14:textId="4042511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4958, 7434, 7435, and 7524 of this title, amending sections 501, 4955, 4963, 6013, 6033, 6041 to 6042, 6044, 6045, 6049, 6050B, 6050H to 6050K, 6050N, 6103, 6104, 6159, 6201, 6213, 6323, 6334, 6343, 6404, 6503, 6601, 6651, 6652, 6656, 6672, 6685, 7122, 7213, 7422, 7430, 7433, 7454, 7502, 7608, 7609, 7623, 7802, 7805, and 7811 of this title, renumbering sections 7434 and 7435 as sections 7435 and 7436 of this title, enacting provisions set out as notes under sections 501, 4955, 6013, 6033, 6041, 6103, 6104, 6159, 6201, 6311, 6323, 6334, 6404, 6503, 6601, 6651, 6652, 6656, 6672, 7122, 7430, 7433 to 7435, 7524, 7608, 7609, 7623, 7802, 7803, 7805, and 7811 of this title, and amending provisions set out as a note under section 7608 of this title] may be cited as the ‘Taxpayer Bill of Rights 2’.”</w:t>
      </w:r>
    </w:p>
    <w:p w14:paraId="60DBCC1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1994 Amendment</w:t>
      </w:r>
    </w:p>
    <w:p w14:paraId="6B30C333" w14:textId="393BE15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103–465, title VII, § 750, Dec. 8, 1994, 108 Stat. 5012, provided that:</w:t>
      </w:r>
    </w:p>
    <w:p w14:paraId="48BD749C" w14:textId="69195EE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F (§§ 750–781) of title VII of Pub. L. 103–465, enacting sections 1310, 1311, and 1350 of Title 29, Labor, amending sections 401, 404, 411, 412, 415, 417, 4971, and 4972 of this title and sections 1053to 1056, 1082, 1132, 1301, 1303, 1305, 1306, 1322, 1341, 1342, and 1343 of Title 29, and enacting provisions set out as notes under sections 401, 411, 412, and 4972 of this title and sections 1056, 1082, 1303, 1306, 1310, 1311, 1322, 1341, and 1342 of Title 29] may be cited as the ‘Retirement Protection Act of 1994’.”</w:t>
      </w:r>
    </w:p>
    <w:p w14:paraId="272F72E5" w14:textId="7A9051A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103–387, § 1, Oct. 22, 1994, 108 Stat. 4071, provided that:</w:t>
      </w:r>
    </w:p>
    <w:p w14:paraId="62577615" w14:textId="5B95454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3510 of this title, amending sections 3102 and 3121 of this title, section 3701 of Title 31, Money and Finance, and sections 401, 402, 404, 409, 410, and 1383 of Title 42, The Public Health and Welfare, and enacting provisions set out as notes under sections 3102 and 3510 of this title, section 3701 of Title 31, and sections 401, 402, and 1383 of Title 42] may be cited as the ‘Social Security Domestic Employment Reform Act of 1994’.”</w:t>
      </w:r>
    </w:p>
    <w:p w14:paraId="5059FAF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1993 Amendment</w:t>
      </w:r>
    </w:p>
    <w:p w14:paraId="26FEA350" w14:textId="1CB3E45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103–152, § 1, Nov. 24, 1993, 107 Stat. 1516, provided that:</w:t>
      </w:r>
    </w:p>
    <w:p w14:paraId="11CC0104" w14:textId="403299B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503, 504, 1105, 1108, and 1382j of Title 42, The Public Health and Welfare, enacting provisions set out as notes under section 3304 of this title and sections 503 and 1382j of Title 42, amending provisions set out as notes under section 3304 of this title and section 352 of Title 45, Railroads, and repealing provisions set out as a note under section 3304 of this title] may be cited as the ‘Unemployment Compensation Amendments of 1993’.”</w:t>
      </w:r>
    </w:p>
    <w:p w14:paraId="5A4FBED5" w14:textId="767035A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103–66, title XIII, § 13001(a), Aug. 10, 1993, 107 Stat. 416, provided that:</w:t>
      </w:r>
    </w:p>
    <w:p w14:paraId="4058DD0D" w14:textId="1ED5CF3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chapter [chapter 1 (§§ 13001–13444) of title XIII of Pub. L. 103–66, see Tables for classification] may be cited as the ‘Revenue Reconciliation Act of 1993’.”</w:t>
      </w:r>
    </w:p>
    <w:p w14:paraId="2C25163D" w14:textId="6A3C185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 § 1, Mar. 4, 1993, 107 Stat. 33, provided that:</w:t>
      </w:r>
    </w:p>
    <w:p w14:paraId="25D2E5D3" w14:textId="576C5EC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provisions set out as notes under section 3304 of this title, section 31 of Title 2, The Congress, and section 352 of Title 45, Railroads, and amending provisions set out as notes under section 3304 of this title and section 352 of Title 45] may be cited as the ‘Emergency Unemployment Compensation Amendments of 1993’.”</w:t>
      </w:r>
    </w:p>
    <w:p w14:paraId="26C783F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1992 Amendment</w:t>
      </w:r>
    </w:p>
    <w:p w14:paraId="4F1DF93D" w14:textId="2CA138A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102–486, title XIX, § 19141, Oct. 24, 1992, 106 Stat. 3036, provided that:</w:t>
      </w:r>
    </w:p>
    <w:p w14:paraId="4BEF6B95" w14:textId="4852681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subtitle [subtitle C (§§ 19141–19143) of title XIX of Pub. L. 102–486, enacting sections 9701 to 9722 of this title, amending sections 1231 and 1232 of Title 30, Mineral Lands and Mining, and enacting provisions set out as a note under section 9701 of this title] may be cited as the ‘Coal Industry Retiree Health Benefit Act of 1992’.”</w:t>
      </w:r>
    </w:p>
    <w:p w14:paraId="3AFF057A" w14:textId="345E9F2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102–318, § 1, July 3, 1992, 106 Stat. 290, provided that:</w:t>
      </w:r>
    </w:p>
    <w:p w14:paraId="6481E4B2" w14:textId="52BDF26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1110 of Title 42, The Public Health and Welfare, amending sections 55, 62, 72, 151, 219, 401 to 404, 406 to 408, 411, 414, 415, 457, 691, 871, 877, 1441, 3121, 3304, 3306, 3402, 3405, 4973, 4980A, 6047, 6652, 6655, and 7701 of this title, section 8509 of Title 5, Government Organization and Employees, section 2291 of Title 19, Customs Duties, and sections 502, 503, 1101, 1102, 1104, and 1105 of Title 42, enacting provisions set out as notes under sections 401, 402, 3302, 3304, and 6655 of this title, section 8509 of Title 5, section 2291 of Title 19, and sections 502, 666, 1102, and 1108 of Title 42, and amending provisions set out as notes under section 3304 of this title, sections 502 and 666 of Title 42, and section 352 of Title 45, Railroads] may be cited as the ‘Unemployment Compensation Amendments of 1992’.”</w:t>
      </w:r>
    </w:p>
    <w:p w14:paraId="662F768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1991 Amendment</w:t>
      </w:r>
    </w:p>
    <w:p w14:paraId="45E2E82B" w14:textId="09675ED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102–240, title VIII, § 8001(a), Dec. 18, 1991, 105 Stat. 2203, provided that:</w:t>
      </w:r>
    </w:p>
    <w:p w14:paraId="2CF18C45" w14:textId="1EBCFB0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 9511 of this title, amending sections 4041, 4051, 4071, 4081, 4091, 4221, 4481, 4482, 4483, 6156, 6412, 6420, 6421, 6427, 9503, and 9504 of this title and section 460</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–11 of Title 16, Conservation, and enacting provisions set out as notes under section 9503 of this title, section 101 of Title 23, Highways, and section 1601 of former Title 49, Transportation] may be cited as the ‘Surface Transportation Revenue Act of 1991’.”</w:t>
      </w:r>
    </w:p>
    <w:p w14:paraId="499EF3F4" w14:textId="4EA8D48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102–227, § 1(a), Dec. 11, 1991, 105 Stat. 1686, provided that:</w:t>
      </w:r>
    </w:p>
    <w:p w14:paraId="7201BD04" w14:textId="3E1FC3E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25, 28, 41, 42, 48, 51, 57, 120, 127, 143, 144, 162, 864, and 6655 of this title and enacting provisions set out as notes under sections 25, 28, 42, 51, 120, 127, 143, 144, 162, 864, and 6655 of this title] may be cited as the ‘Tax Extension Act of 1991’.”</w:t>
      </w:r>
    </w:p>
    <w:p w14:paraId="47BD397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1990 Amendment</w:t>
      </w:r>
    </w:p>
    <w:p w14:paraId="4151689C" w14:textId="161898E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title XI, § 11001(a), Nov. 5, 1990, 104 Stat. 1388–400, provided that:</w:t>
      </w:r>
    </w:p>
    <w:p w14:paraId="6B270A3A" w14:textId="452B8B7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‘Revenue Reconciliation Act of 1990’.”</w:t>
      </w:r>
    </w:p>
    <w:p w14:paraId="53C03FF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1989 Amendment</w:t>
      </w:r>
    </w:p>
    <w:p w14:paraId="1161D78C" w14:textId="57E9B50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101–239, title VII, § 7001(a), Dec. 19, 1989, 103 Stat. 2301, provided that:</w:t>
      </w:r>
    </w:p>
    <w:p w14:paraId="7196C4E9" w14:textId="2B2DF38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‘Revenue Reconciliation Act of 1989’.”</w:t>
      </w:r>
    </w:p>
    <w:p w14:paraId="400D218B" w14:textId="24F0A34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101–239, title VII, § 7701, Dec. 19, 1989, 103 Stat. 2388, provided that:</w:t>
      </w:r>
    </w:p>
    <w:p w14:paraId="52CCB7EC" w14:textId="4D1333D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G (§§ 7701–7743) of title VII of Pub. L. 101–239, see Tables for classification] may be cited as the ‘Improved Penalty Administration and Compliance Tax Act’.”</w:t>
      </w:r>
    </w:p>
    <w:p w14:paraId="12B8BE3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1988 Amendment</w:t>
      </w:r>
    </w:p>
    <w:p w14:paraId="54650F07" w14:textId="6EE3965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100–647, § 1(a), Nov. 10, 1988, 102 Stat. 3342, provided that:</w:t>
      </w:r>
    </w:p>
    <w:p w14:paraId="43FE6658" w14:textId="7377AEE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‘Technical and Miscellaneous Revenue Act of 1988’.”</w:t>
      </w:r>
    </w:p>
    <w:p w14:paraId="11A91FE7" w14:textId="196E88C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100–647, title VI, § 6226, Nov. 10, 1988, 102 Stat. 3730, provided that:</w:t>
      </w:r>
    </w:p>
    <w:p w14:paraId="2039A3E8" w14:textId="1B9BBEC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J (§§ 6226–6247) of title VI of Pub. L. 100–647, enacting sections 6159, 6326, 6712, 7430, 7432, 7433, 7520, 7521, and 7811 of this title, amending sections 6213, 6214, 6331, 6332, 6334, 6335, 6343, 6404, 6512, 6601, 6673, 6863, 7216, 7429, 7481, 7482, 7802, and 7805 of this title and section 504 of Title 5, Government Organization and Employees, renumbering section 6326 as 6327, 7432 as 7433, and 7433 as 7434 of this title, and enacting provisions set out as notes under this section and sections 6159, 6213, 6214, 6326, 6331, 6404, 6512, 6673, 6712, 6863, 7429, 7430, 7432, 7520, 7521, 7605, 7801 to 7803, 7805, and 7811 of this title] may be cited as the ‘Omnibus Taxpayer Bill of Rights’.”</w:t>
      </w:r>
    </w:p>
    <w:p w14:paraId="5E51BD9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1987 Amendment</w:t>
      </w:r>
    </w:p>
    <w:p w14:paraId="00E3408C" w14:textId="3D0187A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100–223, title IV, § 401, Dec. 30, 1987, 101 Stat. 1532, provided that:</w:t>
      </w:r>
    </w:p>
    <w:p w14:paraId="292FE38C" w14:textId="3B8EA5D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 4283 of this title, amending sections 4041, 4261, 4271, 6427, and 9502 of this title, and enacting provisions set out as notes under sections 4041 and 4261 of this title] may be cited as the ‘Airport and Airway Revenue Act of 1987’.”</w:t>
      </w:r>
    </w:p>
    <w:p w14:paraId="2D393D8A" w14:textId="0F3D364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100–203, title IX, § 9302(a), Dec. 22, 1987, 101 Stat. 1330–333, provided that:</w:t>
      </w:r>
    </w:p>
    <w:p w14:paraId="07FAA7A6" w14:textId="488E3D4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“This part [part II (§§ 9302–9346) of subtitle D of part II of Pub. L. 100–203, enacting sections 1085b and 1371of Title 29, Labor, amending sections 401, 404, 411, 412, 414, and 4971 of this title and sections 1021, 1023, 1024, 1054, 1082 to 1084, 1085a, 1086, 1103, 1107, 1113, 1132, 1201, 1301, 1305 to 1307, 1322, 1341, 1342, 1344, 1349, 1362, 1364, 1367, and 1368 of Title 29, repealing section 1349 of Title 29, and </w:t>
      </w:r>
      <w:r w:rsidRPr="008B3051">
        <w:rPr>
          <w:rFonts w:ascii="Verdana" w:eastAsia="Times New Roman" w:hAnsi="Verdana" w:cs="Times New Roman"/>
          <w:sz w:val="24"/>
          <w:szCs w:val="24"/>
        </w:rPr>
        <w:lastRenderedPageBreak/>
        <w:t>enacting provisions set out as notes under sections 401, 404, 412, and 4971 of this title and sections 1054, 1107, 1132, 1301, 1305, 1322, and 1344 of Title 29] may be cited as the ‘Pension Protection Act’.”</w:t>
      </w:r>
    </w:p>
    <w:p w14:paraId="35FE323B" w14:textId="599D4D1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100–203, title X, § 10000(a), Dec. 22, 1987, 101 Stat. 1330–382, provided that:</w:t>
      </w:r>
    </w:p>
    <w:p w14:paraId="73D9D5FD" w14:textId="3B078CE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‘Revenue Act of 1987’.”</w:t>
      </w:r>
    </w:p>
    <w:p w14:paraId="06F33743" w14:textId="689ED6A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100–17, title V, § 501, Apr. 2, 1987, 101 Stat. 256, provided that:</w:t>
      </w:r>
    </w:p>
    <w:p w14:paraId="3B9BABA1" w14:textId="448957D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4041, 4051, 4052, 4071, 4081, 4221, 4481, 4482, 4483, 6156, 6412, 6420, 6421, 6427, and 9503 of this title and section 460</w:t>
      </w:r>
      <w:r w:rsidRPr="008B3051">
        <w:rPr>
          <w:rFonts w:ascii="Verdana" w:eastAsia="Times New Roman" w:hAnsi="Verdana" w:cs="Times New Roman"/>
          <w:i/>
          <w:iCs/>
          <w:sz w:val="24"/>
          <w:szCs w:val="24"/>
        </w:rPr>
        <w:t>l</w:t>
      </w:r>
      <w:r w:rsidRPr="008B3051">
        <w:rPr>
          <w:rFonts w:ascii="Verdana" w:eastAsia="Times New Roman" w:hAnsi="Verdana" w:cs="Times New Roman"/>
          <w:sz w:val="24"/>
          <w:szCs w:val="24"/>
        </w:rPr>
        <w:t>–11 of Title 16, Conservation, and enacting provisions set out as notes under sections 4052 and 4481 of this title] may be cited as the ‘Highway Revenue Act of 1987’.”</w:t>
      </w:r>
    </w:p>
    <w:p w14:paraId="5E14125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1986 Amendment</w:t>
      </w:r>
    </w:p>
    <w:p w14:paraId="43112937" w14:textId="58A60CD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99–662, title XIV, § 1401, Nov. 17, 1986, 100 Stat. 4266, provided that:</w:t>
      </w:r>
    </w:p>
    <w:p w14:paraId="0466FC00" w14:textId="0DFCA1F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4461, 4462, 9505, and 9506 of this title and section 988a of Title 33, Navigation and Navigable Waters, amending section 4042 of this title and sections 984 and 1804 of Title 33, repealing sections 1801 and 1802 of Title 33, and enacting provisions set out as notes under sections 4042, 4461, 9505, and 9506of this title and sections 984 and 988 of Title 33] may be cited as the ‘Harbor Maintenance Revenue Act of 1986’.”</w:t>
      </w:r>
    </w:p>
    <w:p w14:paraId="7DDE3761" w14:textId="2D1CCF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99–514, § 1(a), Oct. 22, 1986, 100 Stat. 2085, provided that:</w:t>
      </w:r>
    </w:p>
    <w:p w14:paraId="50FF8AF5" w14:textId="0934C22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Reform Act of 1986’.”</w:t>
      </w:r>
    </w:p>
    <w:p w14:paraId="7682C99E" w14:textId="6670F10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99–499, title V, § 501, Oct. 17, 1986, 100 Stat. 1760, provided that:</w:t>
      </w:r>
    </w:p>
    <w:p w14:paraId="127DB2D4" w14:textId="7BB8C2A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59A, 4671, 4672, 9507, and 9508 of this title, amending sections 26, 164, 275, 936, 1561, 4041, 4042, 4081, 4221, 4611, 4612, 4661, 4662, 6154, 6416, 6420, 6421, 6425, 6427, 6655, 9502, 9503, and 9506 of this title and section 9601 of Title 42, The Public Health and Welfare, repealing sections 4681and 4682 of this title and sections 9631 to 9633, 9641, and 9653 of Title 42, and enacting provisions set out as notes under this section and sections 26, 4041, 4611, 4661, 4671, 4681, 9507, and 9508 of this title] may be cited as the ‘Superfund Revenue Act of 1986’.”</w:t>
      </w:r>
    </w:p>
    <w:p w14:paraId="7B422F6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1984 Amendment</w:t>
      </w:r>
    </w:p>
    <w:p w14:paraId="35207734" w14:textId="74CA1E8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98–369, § 1(a), July 18, 1984, 98 Stat. 494, provided that:</w:t>
      </w:r>
    </w:p>
    <w:p w14:paraId="3989CD26" w14:textId="44C324D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[see Tables for classification] may be cited as the ‘Deficit Reduction Act of 1984’.”</w:t>
      </w:r>
    </w:p>
    <w:p w14:paraId="768FFAAD" w14:textId="32C46B4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98–369, div. A (§§ 5–1082), § 5(a), July 18, 1984, 98 Stat. 494, provided that:</w:t>
      </w:r>
    </w:p>
    <w:p w14:paraId="0C90B0D1" w14:textId="5878B82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division [see Tables for classification] may be cited as the ‘Tax Reform Act of 1984’.”</w:t>
      </w:r>
    </w:p>
    <w:p w14:paraId="25DC000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1983 Amendment</w:t>
      </w:r>
    </w:p>
    <w:p w14:paraId="03FA6FBB" w14:textId="7D4CE6F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98–135, § 1, Oct. 24, 1983, 97 Stat. 857, provided that:</w:t>
      </w:r>
    </w:p>
    <w:p w14:paraId="399D0238" w14:textId="18A07F8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3306 of this title and sections 1323 and 1397b of Title 42, The Public Health and Welfare, enacting provisions set out as notes under sections 3304 and 3306 of this title and section 1323 of Title 42, and amending provisions set out as notes under section 3304 of this title] may be cited as the ‘Federal Supplemental Compensation Amendments of 1983’.”</w:t>
      </w:r>
    </w:p>
    <w:p w14:paraId="576AFB67" w14:textId="6127424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98–76, title II, § 201, Aug. 12, 1983, 97 Stat. 419, provided that:</w:t>
      </w:r>
    </w:p>
    <w:p w14:paraId="3E3B8F2F" w14:textId="4F4F843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3321 to 3323 and 6050G of this title, amending sections 72, 86, 105, 3201, 3202, 3211, 3221, 3231, 6157, 6201, 6317, 6513, and 6601 of this title and section 430 of Title 42, The Public Health and Welfare, and enacting provisions set out as notes under sections 72, 105, 3201, 3321, and 6302 of this title and section 231n of Title 45, Railroads] may be cited as the ‘Railroad Retirement Revenue Act of 1983’.”</w:t>
      </w:r>
    </w:p>
    <w:p w14:paraId="0DF0E614" w14:textId="604624B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98–67, title I, § 101(a), Aug. 5, 1983, 97 Stat. 369, provided that:</w:t>
      </w:r>
    </w:p>
    <w:p w14:paraId="6DB7453C" w14:textId="559A451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3406 and 6705 of this title, amending sections 31, 274, 275, 643, 661, 3402, 3403, 3502, 3507, 6011, 6013, 6015, 6042, 6044, 6049, 6051, 6365, 6401, 6413, 6652, 6653, 6654, 6676, 6678, 6682, 7205, 7215, 7431, 7654, and 7701 of this title, repealing sections 3451 to 3456 of this title, enacting provisions set out as notes under sections 31, 3451, and 6011 of this title, and repealing provisions set out as a note under section 3451 of this title] may be cited as the ‘Interest and Dividend Tax Compliance Act of 1983’.”</w:t>
      </w:r>
    </w:p>
    <w:p w14:paraId="2AE802F0" w14:textId="294BF56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97–473, title II, § 201, Jan. 14, 1983, 96 Stat. 2607, provided that:</w:t>
      </w:r>
    </w:p>
    <w:p w14:paraId="21C579A5" w14:textId="0480CDB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 7871 of this title, amending sections 41, 103, 164, 170, 2055, 2106, 2522, 4227, 4484, 6420, 6421, 6424, 6427, and 7701 of this title, and enacting provisions set out as a note under section 7871 of this title] may be cited as the ‘Indian Tribal Governmental Tax Status Act of 1982’.”</w:t>
      </w:r>
    </w:p>
    <w:p w14:paraId="2FD87B38" w14:textId="6DA1228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97–448, § 1(a), Jan. 12, 1983, 96 Stat. 2365, provided that:</w:t>
      </w:r>
    </w:p>
    <w:p w14:paraId="1EFBE9BD" w14:textId="5CF96DB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‘Technical Corrections Act of 1982’.”</w:t>
      </w:r>
    </w:p>
    <w:p w14:paraId="4142BBB2" w14:textId="115B863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97–424, title V, § 501(a), Jan. 6, 1983, 96 Stat. 2168, provided that:</w:t>
      </w:r>
    </w:p>
    <w:p w14:paraId="382772CE" w14:textId="71A1676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title [see Tables for classification] may be cited as the ‘Highway Revenue Act of 1982’.”</w:t>
      </w:r>
    </w:p>
    <w:p w14:paraId="5C6C2C3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1982 Amendment</w:t>
      </w:r>
    </w:p>
    <w:p w14:paraId="3CE82818" w14:textId="301F8FD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97–362, § 1(a), Oct. 25, 1982, 96 Stat. 1726, provided that:</w:t>
      </w:r>
    </w:p>
    <w:p w14:paraId="315707D2" w14:textId="5A562AE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8509 and 8521 of Title 5, Government Organization and Employees, sections 48, 172, 4401, 4411, 6051, 7447, 7448, 7456, 7459, and 7463 of this title, and section 601 of former Title 46, Shipping, enacting provisions set out as notes under sections 8509 and 8521 of Title 5 and sections 48, 172, 336, 4401, 4411, 6051, 7448, and 7463 of this title, and amending provisions set out as notes under section 2291 of Title 19, Customs Duties, and section 3306 of this title] may be cited as the ‘Miscellaneous Revenue Act of 1982’.”</w:t>
      </w:r>
    </w:p>
    <w:p w14:paraId="72D3DABA" w14:textId="1B1E8BB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97–354, § 1(a), Oct. 19, 1982, 96 Stat. 1669, provided that:</w:t>
      </w:r>
    </w:p>
    <w:p w14:paraId="447B10CC" w14:textId="4356CED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1361 to 1363, 1366 to 1368, 1371 to 1375, 1377 to 1379, and 6241 to 6245 of this title, amending sections 29, 31, 40, 41, 46, 48, 50A, 50B, 52, 53, 55, 57, 58, 62, 108, 163, 168, 170, 172, 179, 183, 189, 194, 267, 280, 280A, 291, 447, 464, 465, 613A, 992, 1016, 1101, 1212, 1251, 1254, 1256, 3453, 3454, 4992, 4996, 6037, 6042, 6362, and 6661 of this title and section 1108 of Title 29, Labor, omitting section 1376 of this title, and enacting provisions set out as a note under section 1361 of this title] may be cited as the ‘Subchapter S Revision Act of 1982’.”</w:t>
      </w:r>
    </w:p>
    <w:p w14:paraId="40404C6F" w14:textId="1A6ED54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97–248, § 1(a), Sept. 3, 1982, 96 Stat. 324, provided that:</w:t>
      </w:r>
    </w:p>
    <w:p w14:paraId="7DC10E7E" w14:textId="64527E3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Equity and Fiscal Responsibility Act of 1982’.”</w:t>
      </w:r>
    </w:p>
    <w:p w14:paraId="7256059C" w14:textId="7617721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97–248, title IV, § 401, Sept. 3, 1982, 96 Stat. 648, provided that:</w:t>
      </w:r>
    </w:p>
    <w:p w14:paraId="69222C07" w14:textId="5F60E20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6046A and 6221 to 6232 of this title and section 1508 of Title 28, Judiciary and Judicial Procedure, amending sections 702, 6031, 6213, 6216, 6422, 6501, 6504, 6511, 6512, 6515, 6679, 7422, 7451, 7456, 7459, 7482, and 7485 of this title and section 1346 of Title 28, and enacting provisions set out as notes under sections 6031, 6046A, 6221, and 6231 of this title] may be cited as the ‘Tax Treatment of Partnership Items Act of 1982’.”</w:t>
      </w:r>
    </w:p>
    <w:p w14:paraId="5EFFFA3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1981 Amendment</w:t>
      </w:r>
    </w:p>
    <w:p w14:paraId="1D2EB226" w14:textId="7189886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97–119, title I, § 101(a), Dec. 29, 1981, 95 Stat. 1635, provided that:</w:t>
      </w:r>
    </w:p>
    <w:p w14:paraId="23752F0D" w14:textId="25F5E04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“This subtitle [subtitle A (§§ 101–104) of title I of Pub. L. 97–119, enacting sections 9500, 9501, 9601, and 9602of this title, amending sections 501 and 4121 of this title and sections 902, 925, 932, and 934 of </w:t>
      </w:r>
      <w:r w:rsidRPr="008B3051">
        <w:rPr>
          <w:rFonts w:ascii="Verdana" w:eastAsia="Times New Roman" w:hAnsi="Verdana" w:cs="Times New Roman"/>
          <w:sz w:val="24"/>
          <w:szCs w:val="24"/>
        </w:rPr>
        <w:lastRenderedPageBreak/>
        <w:t>Title 30, Mineral Lands and Mining, repealing section 934a of Title 30, and enacting provisions set out as notes under sections 4121 and 9501 of this title and section 934 of Title 30] may be cited as the ‘Black Lung Benefits Revenue Act of 1981’.”</w:t>
      </w:r>
    </w:p>
    <w:p w14:paraId="619AD7FE" w14:textId="4B9605A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97–34, § 1(a), Aug. 13, 1981, 95 Stat. 172, provided that:</w:t>
      </w:r>
    </w:p>
    <w:p w14:paraId="0C5D160D" w14:textId="361511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‘Economic Recovery Tax Act of 1981’.”</w:t>
      </w:r>
    </w:p>
    <w:p w14:paraId="6A239DF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1980 Amendment</w:t>
      </w:r>
    </w:p>
    <w:p w14:paraId="737074EE" w14:textId="2637E0B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96–605, § 1(a), Dec. 28, 1980, 94 Stat. 3521, provided that:</w:t>
      </w:r>
    </w:p>
    <w:p w14:paraId="3C42CAFE" w14:textId="5DC54F5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66 and 195 of this title, amending sections 48, 105, 125, 274, 401, 408, 409A, 410, 414, 415, 501, 513, 514, 528, 861, 871, and 2055 of this title, and enacting provisions set out as notes under sections 48, 66, 119, 125, 195, 274, 401, 409A, 414, 415, 501, 513, 514, 528, 861, 871, 2055, 3121, and 7701of this title] may be cited as the ‘Miscellaneous Revenue Act of 1980’.”</w:t>
      </w:r>
    </w:p>
    <w:p w14:paraId="697247EA" w14:textId="0B7B97F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96–589, § 1(a), Dec. 24, 1980, 94 Stat. 3389, provided that:</w:t>
      </w:r>
    </w:p>
    <w:p w14:paraId="603DCD73" w14:textId="1A9D4B1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370, 1398, 1399, 6658, and 7464 of this title, redesignating former section 7464 of this title as 7465, amending sections 108, 111, 118, 128, 302, 312, 337, 351, 354, 355, 357, 368, 381, 382, 422, 443, 542, 703, 1017, 1023, 1371, 3302, 6012, 6036, 6103, 6155, 6161, 6212, 6213, 6216, 6326, 6404, 6503, 6512, 6532, 6871, 6872, 6873, 7430, and 7508 of this title, repealing section 1018 of this title, and enacting provisions set out as a note under section 108 of this title] may be cited as the ‘Bankruptcy Tax Act of 1980’.”</w:t>
      </w:r>
    </w:p>
    <w:p w14:paraId="3DFF8EC4" w14:textId="0577C33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96–510, title II, § 201(a), Dec. 11, 1980, 94 Stat. 2796, provided that:</w:t>
      </w:r>
    </w:p>
    <w:p w14:paraId="1014D4D1" w14:textId="0F671A2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chapter 38 of this title, sections 9631 to 9641 of Title 42, The Public Health and Welfare, and provisions set out as a note under section 4611 of this title] may be cited as the ‘Hazardous Substance Response Revenue Act of 1980’.”</w:t>
      </w:r>
    </w:p>
    <w:p w14:paraId="0A3500B7" w14:textId="213ACE8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96–499, title XI, § 1100, Dec. 5, 1980, 94 Stat. 2660, provided:</w:t>
      </w:r>
    </w:p>
    <w:p w14:paraId="2E691518" w14:textId="43D1CB2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103A, 280D, 897, 6039C, and 6429 of this title, amending sections 103, 861, 871, 882, 3121, 3306, 4251, 6652, and 6655 of this title and section 409 of Title 42, The Public Health and Welfare, and enacting provisions set out as notes under sections 1, 103A, 280D, 897, 3121, and 6655 of this title] may be cited as the ‘Revenue Adjustments Act of 1980’.”</w:t>
      </w:r>
    </w:p>
    <w:p w14:paraId="105AFE6E" w14:textId="667FB75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96–499, title XI, subtitle A (§§ 1101–1104), § 1101, Dec. 5, 1980, 94 Stat. 2660, provided:</w:t>
      </w:r>
    </w:p>
    <w:p w14:paraId="0DDF8B18" w14:textId="5F07905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subtitle [enacting section 103A of this title, amending section 103 of this title, and enacting provisions set out as a note under section 103A of this title] may be cited as the ‘Mortgage Subsidy Bond Tax Act of 1980’.”</w:t>
      </w:r>
    </w:p>
    <w:p w14:paraId="53E7D5FC" w14:textId="76D8C44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96–499, title XI, § 1121, Dec. 5, 1980, 94 Stat. 2682, provided:</w:t>
      </w:r>
    </w:p>
    <w:p w14:paraId="0008FC38" w14:textId="0125452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C (§§ 1121–1125) of title XI of Pub. L. 96–499, enacting sections 897 and 6039C of this title, amending sections 861, 871, 882, and 6652 of this title, and enacting provisions set out as notes under section 897 of this title] may be cited as the ‘Foreign Investment in Real Property Tax Act of 1980’.”</w:t>
      </w:r>
    </w:p>
    <w:p w14:paraId="73C09162" w14:textId="2217420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96–471, § 1(a), Oct. 19, 1980, 94 Stat. 2247, provided:</w:t>
      </w:r>
    </w:p>
    <w:p w14:paraId="3D9660C7" w14:textId="546A779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453 to 453B of this title, amending sections 311, 336, 337, 381, former section 453, sections 453B, 481, 644, 691, 1038, 1239, and 1255 of this title, and enacting provisions set out as notes under sections 453, 691, and 1038 of this title] may be cited as the ‘Installment Sales Revision Act of 1980’.”</w:t>
      </w:r>
    </w:p>
    <w:p w14:paraId="4D0B8371" w14:textId="3ADB514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96–283, title IV, § 401, June 28, 1980, 94 Stat. 582, provided that:</w:t>
      </w:r>
    </w:p>
    <w:p w14:paraId="4DBE5506" w14:textId="2B60DD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4495 to 4498 of this title and sections 1472, 1473 of Title 30, Mineral Lands and Mining, and enacting provision set out as a note under section 4495 of this title] may be cited as the ‘Deep Seabed Hard Mineral Removal Tax Act of 1979’.”</w:t>
      </w:r>
    </w:p>
    <w:p w14:paraId="19D0B241" w14:textId="4B008A4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96–223, § 1(a) Apr. 2, 1980, 94 Stat. 229, provided that:</w:t>
      </w:r>
    </w:p>
    <w:p w14:paraId="765330BE" w14:textId="19466CC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‘Crude Oil Windfall Profit Tax Act of 1980’.”</w:t>
      </w:r>
    </w:p>
    <w:p w14:paraId="7081CDA6" w14:textId="03ED674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96–222, § 1(a), Apr. 1, 1980, 94 Stat. 194, provided that:</w:t>
      </w:r>
    </w:p>
    <w:p w14:paraId="3EBB5769" w14:textId="07864EF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‘Technical Corrections Act of 1979’.”</w:t>
      </w:r>
    </w:p>
    <w:p w14:paraId="3415259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1979 Amendment</w:t>
      </w:r>
    </w:p>
    <w:p w14:paraId="2A5018E1" w14:textId="741A2A9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96–39, title VIII, § 801(a), July 26, 1979, 93 Stat. 273, provided that:</w:t>
      </w:r>
    </w:p>
    <w:p w14:paraId="5DD72F5A" w14:textId="11EC981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subtitle [subtitle A (§§ 801–810) of title VIII of Pub. L. 96–39, amending sections 5001, 5002 to 5008, 5043, 5061, 5064, 5066, 5116, 5171 to 5173, 5175 to 5178, 5180, 5181, 5201 to 5205, 5207, 5211 to 5215, 5221 to 5223, 5231, 5232, 5235, 5241, 5273, 5291, 5301, 5352, 5361 to 5363, 5365, 5381, 5391, 5551, 5601, 5604, 5610, 5612, 5615, 5663, 5681, 5682, and 5691 of this title, repealing sections 5009, 5021 to 5026, 5081to 5084, 5174, 5233, 5234, 5251, 5252, 5364, and 5521 to 5523 of this title, and enacting provisions set out as notes under sections 5001, 5061, 5171, and 5173 of this title] may be cited as the ‘Distilled Spirits Tax Revision Act of 1979’.”</w:t>
      </w:r>
    </w:p>
    <w:p w14:paraId="234071B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1978 Amendment</w:t>
      </w:r>
    </w:p>
    <w:p w14:paraId="7A56D057" w14:textId="040EC57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Pub. L. 95–618, § 1(a), Nov. 9, 1978, 92 Stat. 3174, provided that:</w:t>
      </w:r>
    </w:p>
    <w:p w14:paraId="6F83A485" w14:textId="4E45263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44C, 124, and 4064 of this title, amending sections 39, 46 to 48, 56, 57, 167, 263, 465, 613, 613A, 614, 751, 1016, 1254, 4041, 4063, 4081, 4092, 4093, 4217, 4221, 4222, 4293, 4483, 6096, 6401, 6412, 6416, 6421, 6424, 6427, 6504, and 6675 of this title, redesignating section 124 of this title as section 125, enacting provisions set out as notes under sections 39, 44C, 48, 124, 167, 263, 613, 613A, 4041, 4063, 4064, 4081, 4093, and 4221 of this title, and amending provisions set out as notes under section 57 of this title and section 120 of Title 23, Highways] may be cited as the ‘Energy Tax Act of 1978’.”</w:t>
      </w:r>
    </w:p>
    <w:p w14:paraId="284B7987" w14:textId="256192E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95–615, § 1, Nov. 8, 1978, 92 Stat. 3097, provided that:</w:t>
      </w:r>
    </w:p>
    <w:p w14:paraId="72820994" w14:textId="7DD9DB0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[probably meaning sections 1 to 8 of Pub. L. 95–615, amending section 167 of this title, enacting provisions set out as notes under sections 61, 62, and 911 of this title, and amending provisions set out as notes under sections 117, 167, 382, 401, and 911 of this title] may be cited as the ‘Tax Treatment Extension Act of 1977’.”</w:t>
      </w:r>
    </w:p>
    <w:p w14:paraId="01B6754B" w14:textId="5CEBA2E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95–615, § 201(a), Nov. 8, 1978, 92 Stat. 3098, provided that:</w:t>
      </w:r>
    </w:p>
    <w:p w14:paraId="4FBE81E8" w14:textId="49D3025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[probably meaning sections 201 to 210 of Pub. L. 95–615, enacting section 913 of this title, amending sections 43, 62, 119, 217, 911, 1034, 1302, 1304, 1402, 3401, 6011, 6012, and 6091 of this title, and enacting provisions set out as notes under sections 61, 401, and 911 of this title] may be cited as the ‘Foreign Earned Income Act of 1978’.”</w:t>
      </w:r>
    </w:p>
    <w:p w14:paraId="5A8A7BF2" w14:textId="34AB4B0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95–600, § 1(a), Nov. 6, 1978, 92 Stat. 2763, provided that:</w:t>
      </w:r>
    </w:p>
    <w:p w14:paraId="0DC1DB84" w14:textId="3B34306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‘Revenue Act of 1978’.”</w:t>
      </w:r>
    </w:p>
    <w:p w14:paraId="610F204E" w14:textId="031ED57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95–502, title II, § 201, Oct. 21, 1978, 92 Stat. 1696, provided that:</w:t>
      </w:r>
    </w:p>
    <w:p w14:paraId="1C5749DF" w14:textId="74B7249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 4042 of this title and sections 1801 to 1804 of Title 33, Navigation and Navigable Waters, amending section 4293 of this title, and enacting provisions set out as notes under section 4042 of this title] may be cited as the ‘Inland Waterways Revenue Act of 1978’.”</w:t>
      </w:r>
    </w:p>
    <w:p w14:paraId="5BB9BB50" w14:textId="01840AD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95–227, § 1, Feb. 10, 1978, 92 Stat. 11, provided that:</w:t>
      </w:r>
    </w:p>
    <w:p w14:paraId="7F53DAF4" w14:textId="214B136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192, 4121, and 4951 to 4953 of this title and section 934a of Title 30, Mineral Lands and Mining, amended sections 501, 4218, 4221, 4293, 4946, 6104, 6213, 6405, 6416, 6501, 6503, and 7454 of this title and section 934 of Title 30 and enacted provisions set out as notes under sections 192 and 4121 of this title and section 934 of Title 30] may be cited as the ‘Black Lung Benefits Revenue Act of 1977’.”</w:t>
      </w:r>
    </w:p>
    <w:p w14:paraId="4F03BC4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1977 Amendment</w:t>
      </w:r>
    </w:p>
    <w:p w14:paraId="5D59B598" w14:textId="1CB0499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95–30, § 1(a), May 23, 1977, 91 Stat. 126, provided that:</w:t>
      </w:r>
    </w:p>
    <w:p w14:paraId="559879F5" w14:textId="75A4CD1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“This Act [see Tables for classification] may be cited as the ‘Tax Reduction and Simplification Act of 1977’.”</w:t>
      </w:r>
    </w:p>
    <w:p w14:paraId="558BA1DD" w14:textId="2163B0C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95–19, § 1, Apr. 12, 1977, 91 Stat. 39, provided that:</w:t>
      </w:r>
    </w:p>
    <w:p w14:paraId="68CD90C5" w14:textId="4031741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 3304 of this title, enacting provisions set out as notes under sections 3302, 3304, and 3309 of this title, and amending provisions set out as notes under sections 3302, 3304, and 3309 of this title and sections 359 and 360 of Title 2, The Congress] may be cited as the ‘Emergency Unemployment Compensation Extension Act of 1977’.”</w:t>
      </w:r>
    </w:p>
    <w:p w14:paraId="3137CE9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1976 Amendment</w:t>
      </w:r>
    </w:p>
    <w:p w14:paraId="44FCC4A7" w14:textId="5525F99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94–455, title I, § 101, Oct. 4, 1976, 90 Stat. 1525, provided that:</w:t>
      </w:r>
    </w:p>
    <w:p w14:paraId="3011200C" w14:textId="35BFA2C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Reform Act of 1976’.”</w:t>
      </w:r>
    </w:p>
    <w:p w14:paraId="1C073CFC" w14:textId="7C0A1CB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94–452, § 1, Oct. 2, 1976, 90 Stat. 1503, provided that:</w:t>
      </w:r>
    </w:p>
    <w:p w14:paraId="5CBB541B" w14:textId="6B0D38F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 6158 of this title, amending sections 311, 1101, 1102, 1103, 6151, 6503, and 6601 of this title, and enacting provisions set out as notes under sections 311, 1101, and 6158 of this title] may be cited as the ‘Bank Holding Company Tax Act of 1976’.”</w:t>
      </w:r>
    </w:p>
    <w:p w14:paraId="1996715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1975 Amendment</w:t>
      </w:r>
    </w:p>
    <w:p w14:paraId="3B87E9A8" w14:textId="028510C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94–164, § 1, Dec. 23, 1975, 89 Stat. 970, provided that:</w:t>
      </w:r>
    </w:p>
    <w:p w14:paraId="681BA8F2" w14:textId="46D4B9C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sections 11, 21, 42, 43, 103, 141, 883, 962, 1561, 3402, 6012, 6153, and 6154 of this title and provisions set out as notes under sections 42, 43, and 3402 of this title, and enacting provisions set out as notes under this section and sections 3, 11, 43, 103, and 883 of this title] may be cited as the ‘Revenue Adjustment Act of 1975’.”</w:t>
      </w:r>
    </w:p>
    <w:p w14:paraId="082D40BB" w14:textId="7E18DE6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94–12, § 1(a), Mar. 29, 1975, 89 Stat. 26, provided that:</w:t>
      </w:r>
    </w:p>
    <w:p w14:paraId="4B19003A" w14:textId="0F4D45C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42, 43, 44, 613A, 907, 955, and 6428 of this title, amending sections 3, 11, 12, 21, 46, 47, 48, 50A, 50B, 56, 141, 214, 535, 613, 703, 851, 901, 902, 951, 954, 962, 993, 1034, 1561, 3304 note, 3402, 6012, 6096, 6201, and 6401 of this title, repealing sections 955 and 963 of this title, and enacting provisions set out as notes under sections 3, 11, 43, 44, 46, 48, 50A, 214, 410, 535, 613A, 907, 955, 993, 3304, 3402, 6428, and 6611 of this title and section 402 of Title 42, The Public Health and Welfare] may be cited as the ‘Tax Reduction Act of 1975’.”</w:t>
      </w:r>
    </w:p>
    <w:p w14:paraId="192A970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1973 Amendment</w:t>
      </w:r>
    </w:p>
    <w:p w14:paraId="11F1895E" w14:textId="333897A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93–69, title I, § 110, July 10, 1973, 87 Stat. 166, provided that:</w:t>
      </w:r>
    </w:p>
    <w:p w14:paraId="7A2FA519" w14:textId="7DB544B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3201, 3202, 3211, and 3221 of this title and sections 228b, 228c, and 228e of Title 45, Railroads, enacting provisions set out as notes under section 3201 of this title and sections 228b, 228c, 228f, and 228</w:t>
      </w:r>
      <w:r w:rsidRPr="008B3051">
        <w:rPr>
          <w:rFonts w:ascii="Verdana" w:eastAsia="Times New Roman" w:hAnsi="Verdana" w:cs="Times New Roman"/>
          <w:i/>
          <w:iCs/>
          <w:sz w:val="24"/>
          <w:szCs w:val="24"/>
        </w:rPr>
        <w:t>o</w:t>
      </w:r>
      <w:r w:rsidRPr="008B3051">
        <w:rPr>
          <w:rFonts w:ascii="Verdana" w:eastAsia="Times New Roman" w:hAnsi="Verdana" w:cs="Times New Roman"/>
          <w:sz w:val="24"/>
          <w:szCs w:val="24"/>
        </w:rPr>
        <w:t xml:space="preserve"> of Title 45, and amending provisions set out as notes </w:t>
      </w:r>
      <w:r w:rsidRPr="008B3051">
        <w:rPr>
          <w:rFonts w:ascii="Verdana" w:eastAsia="Times New Roman" w:hAnsi="Verdana" w:cs="Times New Roman"/>
          <w:sz w:val="24"/>
          <w:szCs w:val="24"/>
        </w:rPr>
        <w:lastRenderedPageBreak/>
        <w:t>under section 228c of Title 45] may be cited as the ‘Railroad Retirement Amendments of 1973’.”</w:t>
      </w:r>
    </w:p>
    <w:p w14:paraId="10DDBB01" w14:textId="63F213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Pub. L. 93–17 as the “Interest Equalization Tax Extension Act of 1973”, see section 1(a) of Pub. L. 93–17, set out as a note under section 2104 of this title.</w:t>
      </w:r>
    </w:p>
    <w:p w14:paraId="255BBFD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1972 Amendment</w:t>
      </w:r>
    </w:p>
    <w:p w14:paraId="4BDBC14C" w14:textId="768A0AD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92–512, title II, § 201, Oct. 20, 1972, 86 Stat. 936, provided that:</w:t>
      </w:r>
    </w:p>
    <w:p w14:paraId="489355CD" w14:textId="4D4EF3D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[enacting sections 6361 to 6363 of this title, amending sections 6405 and 7463 of this title, and enacting provisions set out as a note under section 7463 of this title] may be cited as the ‘Federal-State Tax Collection Act of 1972’.”</w:t>
      </w:r>
    </w:p>
    <w:p w14:paraId="574F877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1971 Amendment</w:t>
      </w:r>
    </w:p>
    <w:p w14:paraId="210CD2F3" w14:textId="3BDA46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92–178, § 1(a), Dec. 10, 1971, 85 Stat. 497, provided that:</w:t>
      </w:r>
    </w:p>
    <w:p w14:paraId="04056B47" w14:textId="28D1AD5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‘Revenue Act of 1971’.”</w:t>
      </w:r>
    </w:p>
    <w:p w14:paraId="5EF142B5" w14:textId="4B8EF11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Pub. L. 92–9 as the “Interest Equalization Tax Extension Act of 1971”, see section 1(a) of Pub. L. 92–9, set out as a note under section 861 of this title.</w:t>
      </w:r>
    </w:p>
    <w:p w14:paraId="6898F14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1970 Amendment</w:t>
      </w:r>
    </w:p>
    <w:p w14:paraId="4E6CC3E6" w14:textId="339C289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Pub. L. 91–614 as the “Excise, Estate, and Gift Tax Adjustment Act of 1970”, see section 1 of Pub. L. 91–614, set out as a Short Title note under section 2001 of this title.</w:t>
      </w:r>
    </w:p>
    <w:p w14:paraId="3DA4349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1969 Amendment</w:t>
      </w:r>
    </w:p>
    <w:p w14:paraId="5F830748" w14:textId="650FDA7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91–172, § 1(a), Dec. 30, 1969, 83 Stat. 487, provided that:</w:t>
      </w:r>
    </w:p>
    <w:p w14:paraId="40BB415A" w14:textId="09F8C2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‘Tax Reform Act of 1969’.”</w:t>
      </w:r>
    </w:p>
    <w:p w14:paraId="6AC6FE9F" w14:textId="773A4B8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Pub. L. 91–128 as the “Interest Equalization Tax Extension Act of 1969”, see section 1(a) of Pub. L. 91–128, set out as a note under section 4182 of this title.</w:t>
      </w:r>
    </w:p>
    <w:p w14:paraId="6F230D4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1968 Amendment</w:t>
      </w:r>
    </w:p>
    <w:p w14:paraId="2EC22069" w14:textId="7CC429F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90–364, § 1(a), June 28, 1968, 82 Stat. 251, provided that:</w:t>
      </w:r>
    </w:p>
    <w:p w14:paraId="68622319" w14:textId="7310C16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[enacting sections 51 and 6425 of this title, amending sections 103, 243, 276, 501, 963, 3402, 4061, 4251, 6020, 6154, 6412, 6651, 6655, 7203, 7502, and 7701 of this title and sections 603, 607, and 1396b of Title 42, The Public Health and Welfare, repealing sections 6016, 6074, and 4251 to 4254 of this title, enacting provisions set out as notes under sections 51, 103, 276, 501, 4061, 6154, and 7502 of this title, section 3101 of Title 5, Government Organization and Employees, sections 11 and 757b of former Title 31, Money and Finance, and section 1396b of Title 42, and amending notes under section 1396b of Title 42,] may be cited as the ‘Revenue and Expenditure Control Act of 1968’.”</w:t>
      </w:r>
    </w:p>
    <w:p w14:paraId="17E976D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1967 Amendment</w:t>
      </w:r>
    </w:p>
    <w:p w14:paraId="727FBF49" w14:textId="7BFA3FD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For short title of Pub. L. 90–59 as the “Interest Equalization Tax Extension Act of 1967”, see section 1(a) of Pub. L. 90–59, set out as a note under section 6011 of this title.</w:t>
      </w:r>
    </w:p>
    <w:p w14:paraId="29DA366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1966 Amendment</w:t>
      </w:r>
    </w:p>
    <w:p w14:paraId="3366C472" w14:textId="7AB0867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title I of Pub. L. 89–809 as the “Foreign Investors Tax Act of 1966”, see section 101 of Pub. L. 89–809, set out as a note under section 861 of this title.</w:t>
      </w:r>
    </w:p>
    <w:p w14:paraId="088B22E2" w14:textId="66E62B7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title III of Pub. L. 89–809 as the “Presidential Election Campaign Fund Act of 1966”, see section 301 of Pub. L. 89–809, set out as a Short Title note under section 6096 of this title.</w:t>
      </w:r>
    </w:p>
    <w:p w14:paraId="5CC5E6EE" w14:textId="47D8CDC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Pub. L. 89–719 as the “Federal Tax Lien Act of 1966”, see section 1(a) of Pub. L. 89–719, set out as a Short Title note under section 6321 of this title.</w:t>
      </w:r>
    </w:p>
    <w:p w14:paraId="2F39267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1965 Amendment</w:t>
      </w:r>
    </w:p>
    <w:p w14:paraId="3E8522DB" w14:textId="1BB20B6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89–44, § 1(a), June 21, 1965, 79 Stat. 136, provided that:</w:t>
      </w:r>
    </w:p>
    <w:p w14:paraId="149708EC" w14:textId="2D57CFC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‘Excise Tax Reduction Act of 1965’.”</w:t>
      </w:r>
    </w:p>
    <w:p w14:paraId="013E05A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1964 Amendment</w:t>
      </w:r>
    </w:p>
    <w:p w14:paraId="436B88D2" w14:textId="6BEDD63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88–348, § 1, June 30, 1964, 78 Stat. 237, provided:</w:t>
      </w:r>
    </w:p>
    <w:p w14:paraId="0F6CC020" w14:textId="72FFB10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165, 4061, 4251, 4261, 5001, 5022, 5041, 5051, 5063, 5701, 5707, and 6412of this title, and provisions set out as notes under sections 165, 4261, and 5701 of this title] may be cited as the ‘Excise-Tax Rate Extension Act of 1964’.”</w:t>
      </w:r>
    </w:p>
    <w:p w14:paraId="5A1356C7" w14:textId="1E5B46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88–272, § 2(a), Feb. 26, 1964, 78 Stat 19, provided that:</w:t>
      </w:r>
    </w:p>
    <w:p w14:paraId="32F4F140" w14:textId="5FBC773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‘Revenue Act of 1964’.”</w:t>
      </w:r>
    </w:p>
    <w:p w14:paraId="79D7FFB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1963 Amendment</w:t>
      </w:r>
    </w:p>
    <w:p w14:paraId="6E7AC72E" w14:textId="75D5A78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88–52, § 1, June 29, 1963, 77 Stat. 72, provided:</w:t>
      </w:r>
    </w:p>
    <w:p w14:paraId="77382186" w14:textId="408081F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4251, 4261, 5001, 5022, 5041, 5051, 5063, 5701, 5707, 6412of this title and provisions set out as notes under sections 4261 and 5701 of this title] may be cited as the ‘Tax Rate Extension Act of 1963’.”</w:t>
      </w:r>
    </w:p>
    <w:p w14:paraId="3F6B0E9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1962 Amendment</w:t>
      </w:r>
    </w:p>
    <w:p w14:paraId="091B628B" w14:textId="318E2FD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87–834, § 1(a), Oct. 16, 1962, 76 Stat. 960, provided that:</w:t>
      </w:r>
    </w:p>
    <w:p w14:paraId="7AA01DFF" w14:textId="4AE1AF6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[see Tables for classification] may be cited as the ‘Revenue Act of 1962’.”</w:t>
      </w:r>
    </w:p>
    <w:p w14:paraId="6BABC5FB" w14:textId="62C63DE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For short title of Pub. L. 87–792 as the “Self-Employed Individuals Tax Retirement Act of 1962”, see section 1 of Pub. L. 87–792, set out as a note under section 401 of this title.</w:t>
      </w:r>
    </w:p>
    <w:p w14:paraId="37D72240" w14:textId="498C0F4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87–508, § 1, June 28, 1962, 76 Stat. 114, provided:</w:t>
      </w:r>
    </w:p>
    <w:p w14:paraId="5349B2A9" w14:textId="025BB91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4251 to 4253, 4261 to 4264, 5001, 5002, 5041, 5051, 5063, 5701, 6707, 6412, 6416, and 6421 of this title, enacting provisions set out as notes under section 4261, 6416, and 6421 of this title, and amending provisions set out as a note under section 5701 of this title] may be cited as the ‘Tax Rate Extension Act of 1962’.”</w:t>
      </w:r>
    </w:p>
    <w:p w14:paraId="4D57ED3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1961 Amendment</w:t>
      </w:r>
    </w:p>
    <w:p w14:paraId="41332494" w14:textId="31379A0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87–72, § 1, June 30, 1961, 75 Stat. 193, provided:</w:t>
      </w:r>
    </w:p>
    <w:p w14:paraId="620F08F2" w14:textId="1C3B6FD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4251, 4261, 5001, 5022, 5041, 5051, 5063, 5701, 5707, and 6412 of this title and provisions set out as a note under section 5701 of this title] may be cited as the ‘Tax Rate Extension Act of 1961’.”</w:t>
      </w:r>
    </w:p>
    <w:p w14:paraId="75D71B2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1959 Amendment</w:t>
      </w:r>
    </w:p>
    <w:p w14:paraId="583AA9CC" w14:textId="55A2AEF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86–75, § 1, June 30, 1959, 73 Stat. 157, provided:</w:t>
      </w:r>
    </w:p>
    <w:p w14:paraId="5D90DB23" w14:textId="1F5CCB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4251, 4261, 5001, 5022, 5041, 5051, 5063, 5701, 5707 and 6412 of this title and provisions set out as a note under section 5701 of this title] may be cited as the ‘Tax Rate Extension Act of 1959’.”</w:t>
      </w:r>
    </w:p>
    <w:p w14:paraId="1933BA5D" w14:textId="449474E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86–69, § 1, June 25, 1959, 73 Stat. 112, provided that:</w:t>
      </w:r>
    </w:p>
    <w:p w14:paraId="708143CB" w14:textId="41D4533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Act [amending former part I of subchapter L of this chapter and sections 116, 381, 841, 842, 891, 1016, 1201, 1232, 1504, 4371, and 6501 of this title and enacting provisions set out as notes under sections 801, 6072, and 6655 of this title] may be cited as the ‘Life Insurance Company Income Tax Act of 1959’.”</w:t>
      </w:r>
    </w:p>
    <w:p w14:paraId="2A12C3E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1958 Amendment</w:t>
      </w:r>
    </w:p>
    <w:p w14:paraId="2CF31445" w14:textId="225A7C2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85–866, title I, § 1(a), Sept. 2, 1958, 72 Stat. 1606, provided that:</w:t>
      </w:r>
    </w:p>
    <w:p w14:paraId="045D6540" w14:textId="22755ED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[see Tables for classification] may be cited as the ‘Technical Amendments Act of 1958’.”</w:t>
      </w:r>
    </w:p>
    <w:p w14:paraId="0E01F4FC" w14:textId="2232616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85–866, title II, § 201, Sept. 2, 1958, 72 Stat. 1676, provided that:</w:t>
      </w:r>
    </w:p>
    <w:p w14:paraId="7C202BE1" w14:textId="57A1FCB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title [amending sections 165, 172, 179, 535, 1244, 1551, 6161, 6166, 6503, and 6601 of this title and enacting provisions set out as notes under sections 172, 179, 535, 6161 of this title] may be cited as the ‘Small Business Tax Revision Act of 1958’.”</w:t>
      </w:r>
    </w:p>
    <w:p w14:paraId="794049C0" w14:textId="78CB96D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For short title of Pub. L. 85–859 as the “Excise Tax Technical Changes Act of 1958”, see section 1(a) of Pub. L. 85–859, set out as a Short Title note under section 5001 of this title.</w:t>
      </w:r>
    </w:p>
    <w:p w14:paraId="325A440F" w14:textId="5717A05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85–475, § 1, June 30, 1958, 72 Stat. 259, provided:</w:t>
      </w:r>
    </w:p>
    <w:p w14:paraId="4BF1D049" w14:textId="662EFA1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4292, 5001, 5022, 5041, 5051, 5063, 5134, 5701, 5707, 6412, 6415, 6416, 7012, and 7272 of this title and repealing sections 4271 to 4273 and 4281 to 4283 of this title] may be cited as the ‘Tax Rate Extension Act of 1958’.”</w:t>
      </w:r>
    </w:p>
    <w:p w14:paraId="16D05C6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1957 Amendment</w:t>
      </w:r>
    </w:p>
    <w:p w14:paraId="5274E99A" w14:textId="505BBCF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85–12, § 1, Mar. 29, 1957, 71 Stat. 9, provided:</w:t>
      </w:r>
    </w:p>
    <w:p w14:paraId="6A329627" w14:textId="696E777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[amending sections 11, 821, 4061, 5001, 5022, 5041, 5051, 5063, 5134, 5701, 5707, and 6412 of this title] may be cited as the ‘Tax Rate Extension Act of 1957’.”</w:t>
      </w:r>
    </w:p>
    <w:p w14:paraId="31B754D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1956 Amendment</w:t>
      </w:r>
    </w:p>
    <w:p w14:paraId="613FCEC5" w14:textId="15F1A23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title II of act June 29, 1956 as the “Highway Revenue Act of 1956”, see section 201(a) of act June 29, 1956, set out as a note under section 4041 of this title.</w:t>
      </w:r>
    </w:p>
    <w:p w14:paraId="67EC3AA6" w14:textId="41112006"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act Mar. 29, 1956 as the “Tax Rate Extension Act of 1956”, see section 1 of act Mar. 29, 1956, set out as a note under section 4041 of this title.</w:t>
      </w:r>
    </w:p>
    <w:p w14:paraId="6C92DF66" w14:textId="054E700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Act Mar. 13, 1956, ch. 83, § 1, 70 Stat. 36, provided:</w:t>
      </w:r>
    </w:p>
    <w:p w14:paraId="599137E0" w14:textId="3571CA7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this Act [enacting section 843 of this title and amending sections 316, 501, 594, 801 to 805, 811 to 813, 816 to 818, 821, 822, 832, 841, 842, 891, 1201, 1504, and 4371 of this title] be cited as the ‘Life Insurance Company Tax Act for 1955’.”</w:t>
      </w:r>
    </w:p>
    <w:p w14:paraId="331974E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Short Title of 1955 Amendment</w:t>
      </w:r>
    </w:p>
    <w:p w14:paraId="72A6844D" w14:textId="23FB317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short title of act Mar. 30, 1955 as the “Tax Rate Extension Act of 1955”, see section 1 of act Mar. 30, 1955, set out as a note under section 4041 of this title.</w:t>
      </w:r>
    </w:p>
    <w:p w14:paraId="792E7BA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Purposes and Principles</w:t>
      </w:r>
    </w:p>
    <w:p w14:paraId="07499A7F" w14:textId="3FA1993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111–5, § 3, Feb. 17, 2009, 123 Stat. 115, provided that:</w:t>
      </w:r>
    </w:p>
    <w:p w14:paraId="2DB8A6DF" w14:textId="6EC5F42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mallCaps/>
          <w:sz w:val="24"/>
          <w:szCs w:val="24"/>
        </w:rPr>
        <w:t>Statement of Purposes.—</w:t>
      </w:r>
      <w:r w:rsidRPr="008B3051">
        <w:rPr>
          <w:rFonts w:ascii="Verdana" w:eastAsia="Times New Roman" w:hAnsi="Verdana" w:cs="Times New Roman"/>
          <w:sz w:val="24"/>
          <w:szCs w:val="24"/>
        </w:rPr>
        <w:t>The purposes of this Act [see Tables for classification] include the following:</w:t>
      </w:r>
    </w:p>
    <w:p w14:paraId="1FE67D5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p>
    <w:p w14:paraId="68638BFB"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To preserve and create jobs and promote economic recovery.</w:t>
      </w:r>
    </w:p>
    <w:p w14:paraId="4DFE156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27887FAA"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To assist those most impacted by the recession.</w:t>
      </w:r>
    </w:p>
    <w:p w14:paraId="3A9675C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p>
    <w:p w14:paraId="3930FEAD"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To provide investments needed to increase economic efficiency by spurring technological advances in science and health.</w:t>
      </w:r>
    </w:p>
    <w:p w14:paraId="27A7133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w:t>
      </w:r>
    </w:p>
    <w:p w14:paraId="4F98A25B"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To invest in transportation, environmental protection, and other infrastructure that will provide long-term economic benefits.</w:t>
      </w:r>
    </w:p>
    <w:p w14:paraId="2D996F8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“(5)</w:t>
      </w:r>
    </w:p>
    <w:p w14:paraId="72593CAD" w14:textId="6CAC0B5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To stabilize State and local government budgets, in order to minimize and avoid reductions in essential services and counterproductive state and local tax increases.</w:t>
      </w:r>
    </w:p>
    <w:p w14:paraId="6479AB7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mallCaps/>
          <w:sz w:val="24"/>
          <w:szCs w:val="24"/>
        </w:rPr>
        <w:t>General Principles Concerning Use of Funds.—</w:t>
      </w:r>
    </w:p>
    <w:p w14:paraId="2AB4B0F4" w14:textId="5D6128B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President and the heads of Federal departments and agencies shall manage and expend the funds made available in this Act so as to achieve the purposes specified in subsection (a), including commencing expenditures and activities as quickly as possible consistent with prudent management.”</w:t>
      </w:r>
    </w:p>
    <w:p w14:paraId="70F5529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Transitional Rules for Taxable Years Which Include May 6, 2003</w:t>
      </w:r>
    </w:p>
    <w:p w14:paraId="0E6F1FF0" w14:textId="3EF6252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108–27, title III, § 301(c), May 28, 2003, 117 Stat. 759, provided that:</w:t>
      </w:r>
    </w:p>
    <w:p w14:paraId="5828F801" w14:textId="4CDD72E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section 1(h) of the Internal Revenue Code of 1986 in the case of a taxable year which includes May 6, 2003—</w:t>
      </w:r>
    </w:p>
    <w:p w14:paraId="36BF1295" w14:textId="47A5A44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“(1)The amount of tax determined under subparagraph (B) of section 1(h)(1) of such Code shall be the sum of—</w:t>
      </w:r>
    </w:p>
    <w:p w14:paraId="5B38BE4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“(A)5 percent of the lesser of—</w:t>
      </w:r>
    </w:p>
    <w:p w14:paraId="2AE7EBE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1E51D569" w14:textId="2A262D8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net capital gain determined by taking into account only gain or loss properly taken into account for the portion of the taxable year on or after May 6, 2003 (determined without regard to collectibles gain or loss, gain described in section 1(h)(6)(A)(i) of such Code, and section 1202 gain), or</w:t>
      </w:r>
    </w:p>
    <w:p w14:paraId="4474E47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536DF329" w14:textId="408AAB2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such subparagraph (without regard to this subsection),</w:t>
      </w:r>
    </w:p>
    <w:p w14:paraId="3C1659B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“(B)8 percent of the lesser of—</w:t>
      </w:r>
    </w:p>
    <w:p w14:paraId="407D8C7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2B818A4B" w14:textId="00CD0A8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qualified 5-yeargain (as defined in section 1(h)(9) of the Internal Revenue Code of 1986, as in effect on the day before the date of the enactment of this Act [May 28, 2003]) properly taken into account for the portion of the taxable year before May 6, 2003, or</w:t>
      </w:r>
    </w:p>
    <w:p w14:paraId="23A31E6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“(ii)the excess (if any) of—</w:t>
      </w:r>
    </w:p>
    <w:p w14:paraId="43D280B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Arial" w:eastAsia="Times New Roman" w:hAnsi="Arial" w:cs="Arial"/>
          <w:sz w:val="24"/>
          <w:szCs w:val="24"/>
        </w:rPr>
        <w:t>     </w:t>
      </w:r>
      <w:r w:rsidRPr="008B3051">
        <w:rPr>
          <w:rFonts w:ascii="Verdana" w:eastAsia="Times New Roman" w:hAnsi="Verdana" w:cs="Verdana"/>
          <w:sz w:val="24"/>
          <w:szCs w:val="24"/>
        </w:rPr>
        <w:t>“</w:t>
      </w:r>
      <w:r w:rsidRPr="008B3051">
        <w:rPr>
          <w:rFonts w:ascii="Verdana" w:eastAsia="Times New Roman" w:hAnsi="Verdana" w:cs="Times New Roman"/>
          <w:sz w:val="24"/>
          <w:szCs w:val="24"/>
        </w:rPr>
        <w:t>(I)</w:t>
      </w:r>
    </w:p>
    <w:p w14:paraId="7DA05C11" w14:textId="29A6F8B1"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such subparagraph (without regard to this subsection), over</w:t>
      </w:r>
    </w:p>
    <w:p w14:paraId="0BF900D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Arial" w:eastAsia="Times New Roman" w:hAnsi="Arial" w:cs="Arial"/>
          <w:sz w:val="24"/>
          <w:szCs w:val="24"/>
        </w:rPr>
        <w:lastRenderedPageBreak/>
        <w:t>     </w:t>
      </w:r>
      <w:r w:rsidRPr="008B3051">
        <w:rPr>
          <w:rFonts w:ascii="Verdana" w:eastAsia="Times New Roman" w:hAnsi="Verdana" w:cs="Verdana"/>
          <w:sz w:val="24"/>
          <w:szCs w:val="24"/>
        </w:rPr>
        <w:t>“</w:t>
      </w:r>
      <w:r w:rsidRPr="008B3051">
        <w:rPr>
          <w:rFonts w:ascii="Verdana" w:eastAsia="Times New Roman" w:hAnsi="Verdana" w:cs="Times New Roman"/>
          <w:sz w:val="24"/>
          <w:szCs w:val="24"/>
        </w:rPr>
        <w:t>(II)</w:t>
      </w:r>
    </w:p>
    <w:p w14:paraId="6AA2444B" w14:textId="7A4E1ED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subparagraph (A), plus</w:t>
      </w:r>
    </w:p>
    <w:p w14:paraId="6E22EBA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“(C)10 percent of the excess (if any) of—</w:t>
      </w:r>
    </w:p>
    <w:p w14:paraId="4CB8446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54252DA9" w14:textId="76AF84A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such subparagraph (without regard to this subsection), over</w:t>
      </w:r>
    </w:p>
    <w:p w14:paraId="31558B1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39C65510" w14:textId="346C349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sum of the amounts on which a tax is determined under subparagraphs (A) and (B).</w:t>
      </w:r>
    </w:p>
    <w:p w14:paraId="08BA20E1" w14:textId="73BDEE1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“(2)The amount of tax determined under [former] subparagraph (C) of section (1)(h)(1) of such Code shall be the sum of—</w:t>
      </w:r>
    </w:p>
    <w:p w14:paraId="678C17F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“(A)15 percent of the lesser of—</w:t>
      </w:r>
    </w:p>
    <w:p w14:paraId="047FB8A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32DC4779" w14:textId="60BE0F5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excess (if any) of the amount of net capital gain determined under subparagraph (A)(i) of paragraph (1) of this subsection over the amount on which a tax is determined under subparagraph (A) of paragraph (1) of this subsection, or</w:t>
      </w:r>
    </w:p>
    <w:p w14:paraId="47AEAE2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135B9C55" w14:textId="1AD78DA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such subparagraph (C) (without regard to this subsection), plus</w:t>
      </w:r>
    </w:p>
    <w:p w14:paraId="3C89290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“(B)20 percent of the excess (if any) of—</w:t>
      </w:r>
    </w:p>
    <w:p w14:paraId="74F76AD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52CBE6D8" w14:textId="31A7DD6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such subparagraph (C) (without regard to this subsection), over</w:t>
      </w:r>
    </w:p>
    <w:p w14:paraId="7363D3C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57C0FF17" w14:textId="2065897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amount on which a tax is determined under subparagraph (A) of this paragraph.</w:t>
      </w:r>
    </w:p>
    <w:p w14:paraId="2207085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p>
    <w:p w14:paraId="02D8F763"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section 55(b)(3) of such Code, rules similar to the rules of paragraphs (1) and (2) of this subsection shall apply.</w:t>
      </w:r>
    </w:p>
    <w:p w14:paraId="5897406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w:t>
      </w:r>
    </w:p>
    <w:p w14:paraId="3D8E3BB6" w14:textId="64FA973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applying this subsection with respect to any pass-thru entity, the determination of when gains and losses are properly taken into account shall be made at the entity level.</w:t>
      </w:r>
    </w:p>
    <w:p w14:paraId="1495778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“(5)</w:t>
      </w:r>
    </w:p>
    <w:p w14:paraId="45166728" w14:textId="0E271BB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section 1(h)(11) of such Code, as added by section 302 of this Act, to this subsection, dividends which are qualified dividend income shall be treated as gain properly taken into account for the portion of the taxable year on or after May 6, 2003.</w:t>
      </w:r>
    </w:p>
    <w:p w14:paraId="0780347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“(6)</w:t>
      </w:r>
    </w:p>
    <w:p w14:paraId="5C695EEB"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Terms used in this subsection which are also used in section 1(h) of such Code shall have the respective meanings that such terms have in such section.”</w:t>
      </w:r>
    </w:p>
    <w:p w14:paraId="516B453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Coordination of Provisions in Amendatory Acts</w:t>
      </w:r>
    </w:p>
    <w:p w14:paraId="1B4B6C1C" w14:textId="7A2BC7A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title IV, § 4001(b), Oct. 21, 1998, 112 Stat. 2681–906, provided that:</w:t>
      </w:r>
    </w:p>
    <w:p w14:paraId="377F1DD4" w14:textId="026A49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title of this division [§§ 1000–5301, see Tables for classification] other than this title [see Definitions note set out below for classification], the provisions of this title shall be treated as having been enacted immediately before the provisions of such other titles.”</w:t>
      </w:r>
    </w:p>
    <w:p w14:paraId="22A81593" w14:textId="2684385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105–206, title VI, § 6001(b), July 22, 1998, 112 Stat. 790, provided that:</w:t>
      </w:r>
    </w:p>
    <w:p w14:paraId="25506DCA" w14:textId="2EC2A77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title of this Act other than this title, the provisions of this title [see Tables for classification] shall be treated as having been enacted immediately before the provisions of such other titles.”</w:t>
      </w:r>
    </w:p>
    <w:p w14:paraId="19909981" w14:textId="5A6850B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105–34, title XVI, § 1600, Aug. 5, 1997, 111 Stat. 1086, provided that:</w:t>
      </w:r>
    </w:p>
    <w:p w14:paraId="5B5DA967" w14:textId="638BBAA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title of this Act other than this title, the provisions of this title [see Tables for classification] shall be treated as having been enacted immediately before the provisions of such other titles.”</w:t>
      </w:r>
    </w:p>
    <w:p w14:paraId="3338AF75" w14:textId="164CEBA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104–188, title I, § 1701, Aug. 20, 1996, 110 Stat. 1868, provided that:</w:t>
      </w:r>
    </w:p>
    <w:p w14:paraId="20AFE995" w14:textId="62A30AD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subtitle [subtitle A to F (§§ 1111–1621) and H to J (§§ 1801–1954) of title I of Pub. L. 104–188, see Tables for classification] of this title other than this subtitle [subtitle G (§§ 1701–1704) of title I of Pub. L. 104–188, see Tables for classification], the provisions of this subtitle shall be treated as having been enacted immediately before the provisions of such other subtitles.”</w:t>
      </w:r>
    </w:p>
    <w:p w14:paraId="17A0B6F3" w14:textId="18F15F8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101–508, title XI, § 11700, Nov. 5, 1990, 104 Stat. 1388–505, provided that:</w:t>
      </w:r>
    </w:p>
    <w:p w14:paraId="0B973623" w14:textId="7043C35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subtitle [subtitles A to F (§§ 11101–11622) and H and I (§§ 11801–11901) of title XI of Pub. L. 101–508, see Tables for classification] of this title other than this subtitle [subtitle G (§§ 11700–11704) of title XI of Pub. L. 101–508, see Tables for classification], the provisions of this subtitle shall be treated as having been enacted immediately before the provisions of such other subtitles.”</w:t>
      </w:r>
    </w:p>
    <w:p w14:paraId="4304967C" w14:textId="6434825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101–239, title VII, § 7801(b), Dec. 19, 1989, 103 Stat. 2406, provided that:</w:t>
      </w:r>
    </w:p>
    <w:p w14:paraId="220DEE9D" w14:textId="57B5A9D3"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“For purposes of applying the amendments made by any subtitle [subtitles A to G (§§ 7101–7743) of title VII of Pub. L. 101–239, see Tables for classification] of this title other than this subtitle [subtitle H (§§ 7801–7894) of title VII of Pub. L. 101–239, see Tables for classification], the provisions of this subtitle shall be treated as having been enacted immediately before the provisions of such other subtitles.”</w:t>
      </w:r>
    </w:p>
    <w:p w14:paraId="0B87AF2A" w14:textId="410D648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99–514, title XVIII, § 1800, Oct. 22, 1986, 100 Stat. 2784, provided that:</w:t>
      </w:r>
    </w:p>
    <w:p w14:paraId="6F57A596" w14:textId="1FAF6DC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applying the amendments made by any title of this Act other than this title, the provisions of this title [see Tables for classification] shall be treated as having been enacted immediately before the provisions of such other titles.”</w:t>
      </w:r>
    </w:p>
    <w:p w14:paraId="107868B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Adjustments for Consumer Price Index Error</w:t>
      </w:r>
    </w:p>
    <w:p w14:paraId="76556295" w14:textId="3AB663F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106–554, § 1(a)(7) [title III, § 308], Dec. 21, 2000, 114 Stat. 2763, 2763A–636, provided that:</w:t>
      </w:r>
    </w:p>
    <w:p w14:paraId="44B3D9E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mallCaps/>
          <w:sz w:val="24"/>
          <w:szCs w:val="24"/>
        </w:rPr>
        <w:t>Determinations by OMB.—</w:t>
      </w:r>
      <w:r w:rsidRPr="008B3051">
        <w:rPr>
          <w:rFonts w:ascii="Verdana" w:eastAsia="Times New Roman" w:hAnsi="Verdana" w:cs="Times New Roman"/>
          <w:sz w:val="24"/>
          <w:szCs w:val="24"/>
        </w:rPr>
        <w:t>As soon as practicable after the date of the enactment of this Act [Dec. 21, 2000], the Director of the Office of Management and Budget shall determine with respect to each applicable Federal benefit program whether the CPI computation error for 1999 has or will result in a shortfall in payments to beneficiaries under such program (as compared to payments that would have been made if the error had not occurred). As soon as practicable after the date of the enactment of this Act, but not later than 60 days after such date, the Director shall direct the head of the Federal agency which administers such program to make a payment or payments that, insofar as the Director finds practicable and feasible—</w:t>
      </w:r>
    </w:p>
    <w:p w14:paraId="42BA480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p>
    <w:p w14:paraId="7F694233"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are targeted to the amount of the shortfall experienced by individual beneficiaries, and</w:t>
      </w:r>
    </w:p>
    <w:p w14:paraId="041D97B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7E5109D5"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compensate for the shortfall.</w:t>
      </w:r>
    </w:p>
    <w:p w14:paraId="05F33AD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mallCaps/>
          <w:sz w:val="24"/>
          <w:szCs w:val="24"/>
        </w:rPr>
        <w:t>Coordination with Federal Agencies.—</w:t>
      </w:r>
    </w:p>
    <w:p w14:paraId="5F256415"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As soon as practicable after the date of the enactment of this Act [Dec. 21, 2000], each Federal agency that administers an applicable Federal benefit program shall, in accordance with such guidelines as are issued by the Director pursuant to this section, make an initial determination of whether, and the extent to which, the CPI computation error for 1999 has or will result in a shortfall in payments to beneficiaries of an applicable Federal benefit program administered by such agency. Not later than 30 days after such date, the head of such agency shall submit a report to the Director and to each House of the Congress of such determination, together with a complete description of the nature of the shortfall.</w:t>
      </w:r>
    </w:p>
    <w:p w14:paraId="387D5DE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w:t>
      </w:r>
      <w:r w:rsidRPr="008B3051">
        <w:rPr>
          <w:rFonts w:ascii="Verdana" w:eastAsia="Times New Roman" w:hAnsi="Verdana" w:cs="Times New Roman"/>
          <w:b/>
          <w:bCs/>
          <w:smallCaps/>
          <w:sz w:val="24"/>
          <w:szCs w:val="24"/>
        </w:rPr>
        <w:t>Implementation Pursuant to Agency Reports.—</w:t>
      </w:r>
    </w:p>
    <w:p w14:paraId="3C87824A" w14:textId="73539C2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Upon receipt of the report submitted by a Federal agency pursuant to subsection (b), the Director shall review the initial determination of the agency, the agency’s description of the nature of the shortfall, and the compensation payments proposed by the agency. Prior to directing payment of such payments pursuant to subsection (a), the Director shall make appropriate adjustments (if any) in the compensation payments proposed by the agency that the Director determines are necessary to comply with the requirements of subsection (a) and transmit to the agency a summary report of the review, indicating any adjustments made by the Director. The agency shall make the compensation payments as directed by the Director pursuant to subsection (a) in accordance with the Director’s summary report.</w:t>
      </w:r>
    </w:p>
    <w:p w14:paraId="359E2CE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w:t>
      </w:r>
      <w:r w:rsidRPr="008B3051">
        <w:rPr>
          <w:rFonts w:ascii="Verdana" w:eastAsia="Times New Roman" w:hAnsi="Verdana" w:cs="Times New Roman"/>
          <w:b/>
          <w:bCs/>
          <w:smallCaps/>
          <w:sz w:val="24"/>
          <w:szCs w:val="24"/>
        </w:rPr>
        <w:t>Income Disregard Under Federal Means-Tested Benefit Programs.—</w:t>
      </w:r>
    </w:p>
    <w:p w14:paraId="102D2922" w14:textId="291906F1"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payment made under this section to compensate for a shortfall in benefits shall, in accordance with guidelines issued by the Director pursuant to this section, be disregarded in determining income under title VIII of the Social Security Act [42 U.S.C. 1001 et seq.] or any applicable Federal benefit program that is means-tested.</w:t>
      </w:r>
    </w:p>
    <w:p w14:paraId="2F8FABF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w:t>
      </w:r>
      <w:r w:rsidRPr="008B3051">
        <w:rPr>
          <w:rFonts w:ascii="Verdana" w:eastAsia="Times New Roman" w:hAnsi="Verdana" w:cs="Times New Roman"/>
          <w:b/>
          <w:bCs/>
          <w:smallCaps/>
          <w:sz w:val="24"/>
          <w:szCs w:val="24"/>
        </w:rPr>
        <w:t>Funding.—</w:t>
      </w:r>
    </w:p>
    <w:p w14:paraId="35C4AF18" w14:textId="38A13076"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Funds otherwise available under each applicable Federal benefit program for making benefit payments under such program are hereby made available for making compensation payments under this section in connection with such program.</w:t>
      </w:r>
    </w:p>
    <w:p w14:paraId="557E046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w:t>
      </w:r>
      <w:r w:rsidRPr="008B3051">
        <w:rPr>
          <w:rFonts w:ascii="Verdana" w:eastAsia="Times New Roman" w:hAnsi="Verdana" w:cs="Times New Roman"/>
          <w:b/>
          <w:bCs/>
          <w:smallCaps/>
          <w:sz w:val="24"/>
          <w:szCs w:val="24"/>
        </w:rPr>
        <w:t>No Judicial Review.—</w:t>
      </w:r>
    </w:p>
    <w:p w14:paraId="5E7CF28F"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 action taken pursuant to this section shall be subject to judicial review.</w:t>
      </w:r>
    </w:p>
    <w:p w14:paraId="7A7248C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“(g)</w:t>
      </w:r>
      <w:r w:rsidRPr="008B3051">
        <w:rPr>
          <w:rFonts w:ascii="Verdana" w:eastAsia="Times New Roman" w:hAnsi="Verdana" w:cs="Times New Roman"/>
          <w:b/>
          <w:bCs/>
          <w:smallCaps/>
          <w:sz w:val="24"/>
          <w:szCs w:val="24"/>
        </w:rPr>
        <w:t>Director’s Report.—</w:t>
      </w:r>
    </w:p>
    <w:p w14:paraId="0D5F5C5B"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Not later than April 1, 2001, the Director shall submit to each House of the Congress a report on the activities performed by the Director pursuant to this section.</w:t>
      </w:r>
    </w:p>
    <w:p w14:paraId="1E66C2F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“(h)</w:t>
      </w:r>
      <w:r w:rsidRPr="008B3051">
        <w:rPr>
          <w:rFonts w:ascii="Verdana" w:eastAsia="Times New Roman" w:hAnsi="Verdana" w:cs="Times New Roman"/>
          <w:b/>
          <w:bCs/>
          <w:smallCaps/>
          <w:sz w:val="24"/>
          <w:szCs w:val="24"/>
        </w:rPr>
        <w:t>Definitions.—</w:t>
      </w:r>
      <w:r w:rsidRPr="008B3051">
        <w:rPr>
          <w:rFonts w:ascii="Verdana" w:eastAsia="Times New Roman" w:hAnsi="Verdana" w:cs="Times New Roman"/>
          <w:sz w:val="24"/>
          <w:szCs w:val="24"/>
        </w:rPr>
        <w:t>For purposes of this section:</w:t>
      </w:r>
    </w:p>
    <w:p w14:paraId="675312A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Applicable federal benefit program.—</w:t>
      </w:r>
    </w:p>
    <w:p w14:paraId="78FFEAC8" w14:textId="1175A3F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‘applicable Federal benefit program’ means any program of the Government of the United Statesproviding for regular or periodic payments or cash assistance paid directly to individual beneficiaries, as determined by the Director of the Office of Management and Budget.</w:t>
      </w:r>
    </w:p>
    <w:p w14:paraId="0CDEF17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Federal agency.—</w:t>
      </w:r>
    </w:p>
    <w:p w14:paraId="5FE34BE8" w14:textId="5A7914A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‘Federal agency’ means a department, agency, or instrumentality of the Government of the United States.</w:t>
      </w:r>
    </w:p>
    <w:p w14:paraId="2DE3FB0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r w:rsidRPr="008B3051">
        <w:rPr>
          <w:rFonts w:ascii="Verdana" w:eastAsia="Times New Roman" w:hAnsi="Verdana" w:cs="Times New Roman"/>
          <w:b/>
          <w:bCs/>
          <w:smallCaps/>
          <w:sz w:val="24"/>
          <w:szCs w:val="24"/>
        </w:rPr>
        <w:t>CPI computation error for 1999.—</w:t>
      </w:r>
    </w:p>
    <w:p w14:paraId="1E21AC56"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‘CPI computation error for 1999’ means the error in the computation of the Consumer Price Index announced by the Bureau of Labor Statistics on September 28, 2000.</w:t>
      </w:r>
    </w:p>
    <w:p w14:paraId="0CDD1797" w14:textId="65EFB0D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“(i)</w:t>
      </w:r>
      <w:r w:rsidRPr="008B3051">
        <w:rPr>
          <w:rFonts w:ascii="Verdana" w:eastAsia="Times New Roman" w:hAnsi="Verdana" w:cs="Times New Roman"/>
          <w:b/>
          <w:bCs/>
          <w:smallCaps/>
          <w:sz w:val="24"/>
          <w:szCs w:val="24"/>
        </w:rPr>
        <w:t>Tax Provisions.—</w:t>
      </w:r>
      <w:r w:rsidRPr="008B3051">
        <w:rPr>
          <w:rFonts w:ascii="Verdana" w:eastAsia="Times New Roman" w:hAnsi="Verdana" w:cs="Times New Roman"/>
          <w:sz w:val="24"/>
          <w:szCs w:val="24"/>
        </w:rPr>
        <w:t>In the case of taxable years (and other periods) beginning after December 31, 2000, if any Consumer Price Index (as defined in section 1(f)(5) of the Internal Revenue Code of 1986) reflects the CPI computation error for 1999—</w:t>
      </w:r>
    </w:p>
    <w:p w14:paraId="18DEC61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p>
    <w:p w14:paraId="3562FA3D" w14:textId="35995FC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correct amount of such Index shall (in such manner and to such extent as the Secretary of the Treasury determines to be appropriate) be taken into account for purposes of such Code, and</w:t>
      </w:r>
    </w:p>
    <w:p w14:paraId="3126B66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352F4DE7"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tables prescribed under section 1(f) of such Code to reflect such correct amount shall apply in lieu of any tables that were prescribed based on the erroneous amount.”</w:t>
      </w:r>
    </w:p>
    <w:p w14:paraId="72CC664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Application of Special Rules for Maximum Capital Gains Rate</w:t>
      </w:r>
    </w:p>
    <w:p w14:paraId="267C2642" w14:textId="39AA228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title IV, § 4002(i)(2), Oct. 21, 1998, 112 Stat. 2681–907, provided that:</w:t>
      </w:r>
    </w:p>
    <w:p w14:paraId="03D466A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0672E2B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(A)Subparagraphs (A)(i)(II), (A)(ii)(II), and (B)(ii) of section 1(h)(13) of the 1986 Code shall not apply to any distribution after December 31, 1997, by a regulated investment company or a real estate investment trust with respect to—</w:t>
      </w:r>
    </w:p>
    <w:p w14:paraId="0071773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1BF6DA1D" w14:textId="3A0857C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gains and losses recognized directly by such company or trust, and</w:t>
      </w:r>
    </w:p>
    <w:p w14:paraId="681A444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52BB4B66" w14:textId="51D02FB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amounts properly taken into account by such company or trust by reason of holding (directly or indirectly) an interest in another such company or trust to the extent that such subparagraphs did not apply to such other company or trust with respect to such amounts.</w:t>
      </w:r>
    </w:p>
    <w:p w14:paraId="76486F2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53DD28F9"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Subparagraph (A) shall not apply to any distribution which is treated under section 852(b)(7) or 857(b)(8) of the 1986 Code as received on December 31, 1997.</w:t>
      </w:r>
    </w:p>
    <w:p w14:paraId="6679B16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w:t>
      </w:r>
    </w:p>
    <w:p w14:paraId="659760D5" w14:textId="4114550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subparagraph (A), any amount which is includible in gross income of its shareholders under section 852(b)(3)(D) or 857(b)(3)(D) of the 1986 Code after December 31, 1997, shall be treated as distributed after such date.</w:t>
      </w:r>
    </w:p>
    <w:p w14:paraId="7B6AAFD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w:t>
      </w:r>
    </w:p>
    <w:p w14:paraId="46E954A7" w14:textId="4B8692C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(i)For purposes of subparagraph (A), in the case of a qualified partnership with respect to which a regulated investment company meets the holding requirement of clause (iii)—</w:t>
      </w:r>
    </w:p>
    <w:p w14:paraId="00615A5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31D2B27D" w14:textId="48302AD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subparagraphs referred to in subparagraph (A) shall not apply to gains and losses recognized directly by such partnership for purposes of determining such company’s distributive share of such gains and losses, and</w:t>
      </w:r>
    </w:p>
    <w:p w14:paraId="7B162FD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1D3534F4" w14:textId="3DC090B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such company’s distributive share of such gains and losses (as so determined) shall be treated as recognized directly by such company.</w:t>
      </w:r>
    </w:p>
    <w:p w14:paraId="1D3D27D2" w14:textId="0B709C6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preceding sentence shall apply only if the qualified partnership provides the company with written documentation of such distributive share as so determined.</w:t>
      </w:r>
    </w:p>
    <w:p w14:paraId="4E2D5916" w14:textId="617CF09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“(ii)For purposes of clause (i), the term ‘qualified partnership’ means, with respect to a regulated investment company, any partnership if—</w:t>
      </w:r>
    </w:p>
    <w:p w14:paraId="3CBF8AD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1B3F3361" w14:textId="4121369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partnership is an investment company registered under the Investment Company Act of 1940 [15 U.S.C. 80a–1 et seq.],</w:t>
      </w:r>
    </w:p>
    <w:p w14:paraId="62A2C3B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193B1528" w14:textId="65EA25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regulated investment company is permitted to invest in such partnership by reason of section 12(d)(1)(E) of such Act [15 U.S.C. 80a–12(d)(1)(E)] or an exemptive order of the Securities and Exchange Commission under such section, and</w:t>
      </w:r>
    </w:p>
    <w:p w14:paraId="0AA7529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w:t>
      </w:r>
    </w:p>
    <w:p w14:paraId="5017062C" w14:textId="648634B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regulated investment company and the partnership have the same taxable year.</w:t>
      </w:r>
    </w:p>
    <w:p w14:paraId="1E54B81A" w14:textId="34D1E939"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“(iii)A regulated investment company meets the holding requirement of this clause with respect to a qualified partnership if (as of January 1, 1998)—</w:t>
      </w:r>
    </w:p>
    <w:p w14:paraId="3327896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0ECFD51F" w14:textId="616D0B0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value of the interests of the regulated investment company in such partnership is 35 percent or more of the value of such company’s total assets, or</w:t>
      </w:r>
    </w:p>
    <w:p w14:paraId="562FB46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7F294283" w14:textId="664FC70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value of the interests of the regulated investment company in such partnership and all other qualified partnerships is 90 percent or more of the value of such company’s total assets.”</w:t>
      </w:r>
    </w:p>
    <w:p w14:paraId="6CE98D0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Capital Gain Distribution by Trust</w:t>
      </w:r>
    </w:p>
    <w:p w14:paraId="56D4460B" w14:textId="6EDFF1C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title IV, § 4003(b), Oct. 21, 1998, 112 Stat. 2681–909, as amended by Pub. L. 106–554, § 1(a)(7) [title III, § 312(b)], Dec. 21, 2000, 114 Stat. 2763, 2763A–640, provided that:</w:t>
      </w:r>
    </w:p>
    <w:p w14:paraId="2890019E" w14:textId="4FA0943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any capital gain distribution made after 1997 by a trust to which section 664 of the 1986 Code applies with respect to amounts properly taken into account by such trust during 1997, paragraphs (5)(A)(i)(I), (5)(A)(ii)(I), (7)(A)(i)(II), and (13)(A) of section 1(h) of the 1986 Code (as in effect for taxable years ending on December 31, 1997) shall not apply.”</w:t>
      </w:r>
    </w:p>
    <w:p w14:paraId="379ADA4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lastRenderedPageBreak/>
        <w:t>Election To Recognize Gain on Assets Held on January 1, 2001</w:t>
      </w:r>
    </w:p>
    <w:p w14:paraId="4AB47B08" w14:textId="709B554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105–34, title III, § 311(e), Aug. 5, 1997, 111 Stat. 835, as amended by Pub. L. 106–554, § 1(a)(7) [title III, § 314(c)], Dec. 21, 2000, 114 Stat. 2763, 2763A–643; Pub. L. 107–147, title IV, § 414(a), Mar. 9, 2002, 116 Stat. 54, provided that:</w:t>
      </w:r>
    </w:p>
    <w:p w14:paraId="08E0C650" w14:textId="2015DB3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the Internal Revenue Code of 1986—</w:t>
      </w:r>
    </w:p>
    <w:p w14:paraId="3224ADD3" w14:textId="0D7D4A7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A taxpayer other than a corporation may elect to treat—</w:t>
      </w:r>
    </w:p>
    <w:p w14:paraId="442D4B6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p>
    <w:p w14:paraId="18B34AEC" w14:textId="4631260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readily tradable stock (which is a capital asset) held by such taxpayer on January 1, 2001, and not sold before the next business day after such date, as having been sold on such next business day for an amount equal to its closing market price on such next business day (and as having been reacquired on such next business day for an amount equal to such closing market price), and</w:t>
      </w:r>
    </w:p>
    <w:p w14:paraId="314E0DA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1A6EE2A4" w14:textId="38AA5FA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other capital asset or property used in the trade or business (as defined in section 1231(b) of the Internal Revenue Code of 1986) held by the taxpayer on January 1, 2001, as having been sold on such date for an amount equal to its fair market value on such date (and as having been reacquired on such date for an amount equal to such fair market value).</w:t>
      </w:r>
    </w:p>
    <w:p w14:paraId="2AF963A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Treatment of gain or loss.—</w:t>
      </w:r>
    </w:p>
    <w:p w14:paraId="3C71C33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p>
    <w:p w14:paraId="735B9109" w14:textId="3B7F580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gain resulting from an election under paragraph (1) shall be treated as received or accrued on the date the asset is treated as sold under paragraph (1) and shall be included in gross incomenotwithstanding any provision of the Internal Revenue Code of 1986.</w:t>
      </w:r>
    </w:p>
    <w:p w14:paraId="1AD807F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6CB69F1D" w14:textId="380225B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loss resulting from an election under paragraph (1) shall not be allowed for any taxable year.</w:t>
      </w:r>
    </w:p>
    <w:p w14:paraId="35031C9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r w:rsidRPr="008B3051">
        <w:rPr>
          <w:rFonts w:ascii="Verdana" w:eastAsia="Times New Roman" w:hAnsi="Verdana" w:cs="Times New Roman"/>
          <w:b/>
          <w:bCs/>
          <w:smallCaps/>
          <w:sz w:val="24"/>
          <w:szCs w:val="24"/>
        </w:rPr>
        <w:t>Election.—</w:t>
      </w:r>
    </w:p>
    <w:p w14:paraId="536B920F" w14:textId="0495625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election under paragraph (1) shall be made in such manner as the Secretary of the Treasury or his delegate may prescribe and shall specify the assets for which such election is made. Such an election, once made with respect to any asset, shall be irrevocable. Such an election shall not apply to any asset which is disposed of (in a transaction in which gain or loss is recognized in whole or in part) before the close of the 1-year period beginning on the date that the asset would have been treated as sold under such election.</w:t>
      </w:r>
    </w:p>
    <w:p w14:paraId="60CF29C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w:t>
      </w:r>
      <w:r w:rsidRPr="008B3051">
        <w:rPr>
          <w:rFonts w:ascii="Verdana" w:eastAsia="Times New Roman" w:hAnsi="Verdana" w:cs="Times New Roman"/>
          <w:b/>
          <w:bCs/>
          <w:smallCaps/>
          <w:sz w:val="24"/>
          <w:szCs w:val="24"/>
        </w:rPr>
        <w:t>Readily tradable stock.—</w:t>
      </w:r>
    </w:p>
    <w:p w14:paraId="0683B44F" w14:textId="0A96936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subsection, the term ‘readily tradable stock’ means any stock which, as of January 1, 2001, is readily tradable on an established securities market or otherwise.</w:t>
      </w:r>
    </w:p>
    <w:p w14:paraId="05A8E07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“(5)</w:t>
      </w:r>
      <w:r w:rsidRPr="008B3051">
        <w:rPr>
          <w:rFonts w:ascii="Verdana" w:eastAsia="Times New Roman" w:hAnsi="Verdana" w:cs="Times New Roman"/>
          <w:b/>
          <w:bCs/>
          <w:smallCaps/>
          <w:sz w:val="24"/>
          <w:szCs w:val="24"/>
        </w:rPr>
        <w:t>Disposition of interest in passive activity.—</w:t>
      </w:r>
    </w:p>
    <w:p w14:paraId="3AB7FDB0" w14:textId="1BB310A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Section 469(g)(1)(A) of the Internal Revenue Code of 1986 shall not apply by reason of an election made under paragraph (1).”</w:t>
      </w:r>
    </w:p>
    <w:p w14:paraId="3F8C1537" w14:textId="649DD2F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107–147, title IV, § 414(b), Mar. 9, 2002, 116 Stat. 54, provided that:</w:t>
      </w:r>
    </w:p>
    <w:p w14:paraId="7C16B55F" w14:textId="50F5E69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section 311(e) of Pub. L. 105–34, set out above] shall take effect as if included in section 311 of the Taxpayer Relief Act of 1997 [Pub. L. 105–34].”</w:t>
      </w:r>
    </w:p>
    <w:p w14:paraId="0E38E7E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w:t>
      </w:r>
    </w:p>
    <w:p w14:paraId="3825ACC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Election To Pay Additional 1993 Taxes in Installments</w:t>
      </w:r>
    </w:p>
    <w:p w14:paraId="18627E61" w14:textId="5EF3FE8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103–66, title XIII, § 13201(d), Aug. 10, 1993, 107 Stat. 459, provided that:</w:t>
      </w:r>
    </w:p>
    <w:p w14:paraId="1596FD2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In general.—</w:t>
      </w:r>
    </w:p>
    <w:p w14:paraId="5C7B41B9" w14:textId="5B1AA84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At the election of the taxpayer, the additional 1993 taxes may be paid in 3 equal installments.</w:t>
      </w:r>
    </w:p>
    <w:p w14:paraId="7F952DA5" w14:textId="7D26ED46"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Dates for paying installments.—</w:t>
      </w:r>
      <w:r w:rsidRPr="008B3051">
        <w:rPr>
          <w:rFonts w:ascii="Verdana" w:eastAsia="Times New Roman" w:hAnsi="Verdana" w:cs="Times New Roman"/>
          <w:sz w:val="24"/>
          <w:szCs w:val="24"/>
        </w:rPr>
        <w:t>In the case of any tax payable in installments by reason of paragraph (1)—</w:t>
      </w:r>
    </w:p>
    <w:p w14:paraId="1905122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p>
    <w:p w14:paraId="7296E5F1" w14:textId="69A796F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first installment shall be paid on or before the due date for the taxpayer’s taxable year beginning in calendar year 1993,</w:t>
      </w:r>
    </w:p>
    <w:p w14:paraId="2200451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7F67449D" w14:textId="3FB4052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second installment shall be paid on or before the date 1 year after the date determined under subparagraph (A), and</w:t>
      </w:r>
    </w:p>
    <w:p w14:paraId="37C0434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w:t>
      </w:r>
    </w:p>
    <w:p w14:paraId="65E0F724" w14:textId="7D058D1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third installment shall be paid on or before the date 2 years after the date determined under subparagraph (A).</w:t>
      </w:r>
    </w:p>
    <w:p w14:paraId="02761AD1" w14:textId="70F74D1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the preceding sentence, the term ‘due date’ means the date prescribed for filing the taxpayer’s return determined without regard to extensions.</w:t>
      </w:r>
    </w:p>
    <w:p w14:paraId="07EF654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r w:rsidRPr="008B3051">
        <w:rPr>
          <w:rFonts w:ascii="Verdana" w:eastAsia="Times New Roman" w:hAnsi="Verdana" w:cs="Times New Roman"/>
          <w:b/>
          <w:bCs/>
          <w:smallCaps/>
          <w:sz w:val="24"/>
          <w:szCs w:val="24"/>
        </w:rPr>
        <w:t>Extension without interest.—</w:t>
      </w:r>
    </w:p>
    <w:p w14:paraId="060CDB65" w14:textId="2D2019B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section 6601 of the Internal Revenue Code of 1986, the date prescribed for the payment of any tax payable in installments under paragraph (1) shall be determined with regard to the extension under paragraph (1).</w:t>
      </w:r>
    </w:p>
    <w:p w14:paraId="3649553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w:t>
      </w:r>
      <w:r w:rsidRPr="008B3051">
        <w:rPr>
          <w:rFonts w:ascii="Verdana" w:eastAsia="Times New Roman" w:hAnsi="Verdana" w:cs="Times New Roman"/>
          <w:b/>
          <w:bCs/>
          <w:smallCaps/>
          <w:sz w:val="24"/>
          <w:szCs w:val="24"/>
        </w:rPr>
        <w:t>Additional 1993 taxes.—</w:t>
      </w:r>
    </w:p>
    <w:p w14:paraId="365653DB" w14:textId="3054FE8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z w:val="24"/>
          <w:szCs w:val="24"/>
        </w:rPr>
        <w:t>In general.—</w:t>
      </w:r>
      <w:r w:rsidRPr="008B3051">
        <w:rPr>
          <w:rFonts w:ascii="Verdana" w:eastAsia="Times New Roman" w:hAnsi="Verdana" w:cs="Times New Roman"/>
          <w:sz w:val="24"/>
          <w:szCs w:val="24"/>
        </w:rPr>
        <w:t>For purposes of this subsection, the term ‘additional 1993 taxes’ means the excess of—</w:t>
      </w:r>
    </w:p>
    <w:p w14:paraId="28DBD2B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142EE436" w14:textId="61DC30B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taxpayer’s net chapter 1 liability as shown on the taxpayer’s return for the taxpayer’s taxable year beginning in calendar year 1993, over</w:t>
      </w:r>
    </w:p>
    <w:p w14:paraId="65F5B48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1E1B4868" w14:textId="70EE71A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amount which would have been the taxpayer’s net chapter 1 liability for such taxable year if such liability had been determined using the rates which would have been in effect under section 1 of the Internal Revenue Code of 1986 for taxable years beginning in calendar year 1993 but for the amendments made by this section [amending this section and sections 41, 63, 68, 132, 151, 453A, 513, 531, and 541 of this title] and section 13202 [amending this section and sections 531 and 541 of this title] and such liability had otherwise been determined on the basis of the amounts shown on the taxpayer’s return.</w:t>
      </w:r>
    </w:p>
    <w:p w14:paraId="17B57B73" w14:textId="24CF126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z w:val="24"/>
          <w:szCs w:val="24"/>
        </w:rPr>
        <w:t>Net chapter 1 liability.—</w:t>
      </w:r>
      <w:r w:rsidRPr="008B3051">
        <w:rPr>
          <w:rFonts w:ascii="Verdana" w:eastAsia="Times New Roman" w:hAnsi="Verdana" w:cs="Times New Roman"/>
          <w:sz w:val="24"/>
          <w:szCs w:val="24"/>
        </w:rPr>
        <w:t>For purposes of subparagraph (A), the term ‘net chapter 1 liability’ means the liability for tax under chapter 1 of the Internal Revenue Code of 1986 determined—</w:t>
      </w:r>
    </w:p>
    <w:p w14:paraId="284DB11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w:t>
      </w:r>
    </w:p>
    <w:p w14:paraId="478E74D3" w14:textId="30C892B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after the application of any credit against such tax other than the credits under sections 31 and 34, and</w:t>
      </w:r>
    </w:p>
    <w:p w14:paraId="3F249D7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w:t>
      </w:r>
    </w:p>
    <w:p w14:paraId="7AB9BDC3" w14:textId="0DB043D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before crediting any payment of estimated tax for the taxable year.</w:t>
      </w:r>
    </w:p>
    <w:p w14:paraId="42B1D26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“(5)</w:t>
      </w:r>
      <w:r w:rsidRPr="008B3051">
        <w:rPr>
          <w:rFonts w:ascii="Verdana" w:eastAsia="Times New Roman" w:hAnsi="Verdana" w:cs="Times New Roman"/>
          <w:b/>
          <w:bCs/>
          <w:smallCaps/>
          <w:sz w:val="24"/>
          <w:szCs w:val="24"/>
        </w:rPr>
        <w:t>Acceleration of payments.—</w:t>
      </w:r>
    </w:p>
    <w:p w14:paraId="3AE0CCD9" w14:textId="5F77FC0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the taxpayer does not pay any installment under this section on or before the date prescribed for its payment or if the Secretary of the Treasury or his delegate believes that the collection of any amount payable in installments under this section is in jeopardy, the Secretary shall immediately terminate the extension under paragraph (1) and the whole of the unpaid tax shall be paid on notice and demand from the Secretary.</w:t>
      </w:r>
    </w:p>
    <w:p w14:paraId="5D1F731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“(6)</w:t>
      </w:r>
      <w:r w:rsidRPr="008B3051">
        <w:rPr>
          <w:rFonts w:ascii="Verdana" w:eastAsia="Times New Roman" w:hAnsi="Verdana" w:cs="Times New Roman"/>
          <w:b/>
          <w:bCs/>
          <w:smallCaps/>
          <w:sz w:val="24"/>
          <w:szCs w:val="24"/>
        </w:rPr>
        <w:t>Election on return.—</w:t>
      </w:r>
    </w:p>
    <w:p w14:paraId="1A8F9739" w14:textId="4AEB955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election under paragraph (1) shall be made on the taxpayer’s return for the taxpayer’s taxable yearbeginning in calendar year 1993.</w:t>
      </w:r>
    </w:p>
    <w:p w14:paraId="11A912F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“(7)</w:t>
      </w:r>
      <w:r w:rsidRPr="008B3051">
        <w:rPr>
          <w:rFonts w:ascii="Verdana" w:eastAsia="Times New Roman" w:hAnsi="Verdana" w:cs="Times New Roman"/>
          <w:b/>
          <w:bCs/>
          <w:smallCaps/>
          <w:sz w:val="24"/>
          <w:szCs w:val="24"/>
        </w:rPr>
        <w:t>Exception for estates and trusts.—</w:t>
      </w:r>
    </w:p>
    <w:p w14:paraId="1E495C7C" w14:textId="5E526F41"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This subsection shall not apply in the case of an estate or trust.”</w:t>
      </w:r>
    </w:p>
    <w:p w14:paraId="7F6DB0D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Transitional Rule for Maximum Capital Gains Rate</w:t>
      </w:r>
    </w:p>
    <w:p w14:paraId="2E2670B1" w14:textId="79B6D80D"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99–514, title III, § 302(c), Oct. 22, 1986, 100 Stat. 2218, which related to long-term capital gain on rights to royalties paid under particular leases and assignments, was repealed by Pub. L. 100–647, title I, § 1003(b)(1), Nov. 10, 1988, 102 Stat. 3382.</w:t>
      </w:r>
    </w:p>
    <w:p w14:paraId="13BDF38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Coordination With Other Provisions</w:t>
      </w:r>
    </w:p>
    <w:p w14:paraId="7933F826" w14:textId="11C2CA2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99–509, title VIII, § 8081, Oct. 21, 1986, 100 Stat. 1965, provided that:</w:t>
      </w:r>
    </w:p>
    <w:p w14:paraId="59C3CAE8" w14:textId="0659104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“Nothing in any provision of this Act [see Tables for classifications] (other than this title) shall be construed as—</w:t>
      </w:r>
    </w:p>
    <w:p w14:paraId="474BFEE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p>
    <w:p w14:paraId="497F7901" w14:textId="2EC833C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imposing any tax (or exempting any person or property from any tax),</w:t>
      </w:r>
    </w:p>
    <w:p w14:paraId="3A51E9F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p>
    <w:p w14:paraId="738970F5" w14:textId="0E5DC89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establishing any trust fund, or</w:t>
      </w:r>
    </w:p>
    <w:p w14:paraId="7ABF6B1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p>
    <w:p w14:paraId="1C7CA747" w14:textId="2498490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authorizing amounts to be expended from any trust fund.”</w:t>
      </w:r>
    </w:p>
    <w:p w14:paraId="752A18BF" w14:textId="002B7BE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[S.Con.Res. 174, agreed to Oct. 18, 1986, provided: “That, in the enrollment of the bill (H.R. 5300) to provide for reconciliation pursuant to section 2 of the concurrent resolution on the budget for fiscal year 1987, the Clerk of the House of Representatives shall insert at the end of section 8081 of the bill the following: Paragraph (3) shall not apply to any authorization made by title IX of this Act.” As a result of clerical error, the sentence was inserted at the end of section 8101 of the bill, and appears at the end of section 8101 of Pub. L. 99–509, 100 Stat. 1967.]</w:t>
      </w:r>
    </w:p>
    <w:p w14:paraId="6B043BF0" w14:textId="752BE8F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99–499, title V, § 531, Oct. 17, 1986, 100 Stat. 1782, provided that:</w:t>
      </w:r>
    </w:p>
    <w:p w14:paraId="1C7C5D67" w14:textId="1B992B6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“Notwithstanding any provision of this Act [see Tables for classifications] not contained in this title [see Short Title of 1986 Amendment note above], any provision of this Act (not contained in this title) which—</w:t>
      </w:r>
    </w:p>
    <w:p w14:paraId="6A17EB9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“(1)</w:t>
      </w:r>
    </w:p>
    <w:p w14:paraId="32B60262" w14:textId="431936C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imposes any tax, premium, or fee,</w:t>
      </w:r>
    </w:p>
    <w:p w14:paraId="0B862D1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“(2)</w:t>
      </w:r>
    </w:p>
    <w:p w14:paraId="357D7E43" w14:textId="074BA09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establishes any trust fund, or</w:t>
      </w:r>
    </w:p>
    <w:p w14:paraId="2A61AA2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“(3)</w:t>
      </w:r>
    </w:p>
    <w:p w14:paraId="7FCA7861" w14:textId="13E7A68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authorizes amounts to be expended from any trust fund,</w:t>
      </w:r>
    </w:p>
    <w:p w14:paraId="157920FE"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shall have no force or effect.”</w:t>
      </w:r>
    </w:p>
    <w:p w14:paraId="62F37E9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Elimination of 50-Cent Rounding Errors</w:t>
      </w:r>
    </w:p>
    <w:p w14:paraId="324BA020" w14:textId="69981E3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97–448, title I, § 101(a)(3), Jan. 12, 1983, 96 Stat. 2366, as amended by Pub. L. 99–514, § 2, Oct. 22, 1986, 100 Stat. 2095, provided that:</w:t>
      </w:r>
    </w:p>
    <w:p w14:paraId="1A4AB37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any figure in any table—</w:t>
      </w:r>
    </w:p>
    <w:p w14:paraId="3ED456F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w:t>
      </w:r>
    </w:p>
    <w:p w14:paraId="73182C8C" w14:textId="6EBD1BA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which is set forth in section 1 of the Internal Revenue Code of 1986 [formerly I.R.C. 1954] (as amended by section 101 of the Economic Recovery Tax Act of 1981 [Pub. L. 97–34, title I, § 101, Aug. 13, 1981, 95 Stat. 176], and</w:t>
      </w:r>
    </w:p>
    <w:p w14:paraId="0171DE4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“(B)</w:t>
      </w:r>
    </w:p>
    <w:p w14:paraId="08687D4B" w14:textId="0414D09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which applies to married individuals filing separately or to estates and trusts,</w:t>
      </w:r>
    </w:p>
    <w:p w14:paraId="2B9B6EA1" w14:textId="71D993D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differs by not more than 50 cents from the correct amount under the formula used in constructing such table, such figure is hereby corrected to the correct amount.” [See 1982 Amendment note above.]</w:t>
      </w:r>
    </w:p>
    <w:p w14:paraId="04EFE74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Policy With Respect to Additional Tax Reductions</w:t>
      </w:r>
    </w:p>
    <w:p w14:paraId="028937C6" w14:textId="2D49179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95–600, § 3, Nov. 6, 1978, 92 Stat. 2767, provided that:</w:t>
      </w:r>
    </w:p>
    <w:p w14:paraId="652D6B00" w14:textId="4B192CC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“As a matter of national policy the rate of growth in Federal outlays, adjusted for inflation, should not exceed 1 percent per year between fiscal year 1979 and fiscal year 1983; Federal outlays as a percentage of gross national product should decline to below 21 percent in fiscal year 1980, 20.5 percent in fiscal year 1981, 20 percent in fiscal year 1982 and 19.5 percent in fiscal year 1983; and the Federal budget should be balanced in fiscal years1982 and 1983. If these conditions are met, it is the intention that the tax-writing committees of Congress will report legislation providing significant tax reductions for individuals to the extent that these tax reductions are justified in the light of prevailing and expected economic conditions.”</w:t>
      </w:r>
    </w:p>
    <w:p w14:paraId="1A6ECCD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Certain Definitions and Designations</w:t>
      </w:r>
    </w:p>
    <w:p w14:paraId="27B40647" w14:textId="005974B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94–455, title XIX, § 1908, Oct. 4, 1976, 90 Stat. 1836, provided that:</w:t>
      </w:r>
    </w:p>
    <w:p w14:paraId="4061ACE8" w14:textId="12FF782C"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any amendment made by any provision of this Act [see Tables for classification] (other than this title)—</w:t>
      </w:r>
    </w:p>
    <w:p w14:paraId="7E33155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“(1)</w:t>
      </w:r>
    </w:p>
    <w:p w14:paraId="08C5F137"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which contains a term the meaning of which is defined in or modified by any provision of this title, and</w:t>
      </w:r>
    </w:p>
    <w:p w14:paraId="2CC3795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“(2)</w:t>
      </w:r>
    </w:p>
    <w:p w14:paraId="6213A8F8"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which has an effective date earlier than the effective date of the provision of this title defining or modifying such term,</w:t>
      </w:r>
    </w:p>
    <w:p w14:paraId="2746172D" w14:textId="35B2DD06"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that definition or modification shall be considered to take effect as of such earlier effective date.”</w:t>
      </w:r>
    </w:p>
    <w:p w14:paraId="46F3CE1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Congressional Declaration Relating to 1975 Amendment</w:t>
      </w:r>
    </w:p>
    <w:p w14:paraId="12366A21" w14:textId="770B618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94–164, § 1A, Dec. 23, 1975, 89 Stat. 970, provided that:</w:t>
      </w:r>
    </w:p>
    <w:p w14:paraId="4C922DA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p>
    <w:p w14:paraId="1EEF672C" w14:textId="04404BC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Congress is determined to continue the tax reduction for the first 6 months of 1976 in order to assure continued economic recovery.</w:t>
      </w:r>
    </w:p>
    <w:p w14:paraId="6155B93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p>
    <w:p w14:paraId="30AFF9C1" w14:textId="4EAF923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Congress is also determined to continue to control spending levels in order to reduce the national deficit.</w:t>
      </w:r>
    </w:p>
    <w:p w14:paraId="6A0D3B7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w:t>
      </w:r>
    </w:p>
    <w:p w14:paraId="18AF9369" w14:textId="1EDC355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Congress reaffirms its commitments to the procedures established by the Congressional Budget and Impoundment Control Act of 1974 [see Tables for classification of Pub. L. 93–344, July 12, 1974, 88 Stat. 297] under which it has already established a binding spending ceiling for the fiscal year 1976.</w:t>
      </w:r>
    </w:p>
    <w:p w14:paraId="22B6DFB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“(d)</w:t>
      </w:r>
    </w:p>
    <w:p w14:paraId="5CB033C9" w14:textId="2360B88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 xml:space="preserve">If the Congress adopts a continuation of the tax reduction provided by this Act [see Short Title of 1975 Amendment note above] beyond June 30, 1976, and if economic conditions warrant doing so, Congress shall provide, through the procedures in the Budget Act [Pub. L. 93–344], for reductions in the </w:t>
      </w:r>
      <w:r w:rsidRPr="008B3051">
        <w:rPr>
          <w:rFonts w:ascii="Verdana" w:eastAsia="Times New Roman" w:hAnsi="Verdana" w:cs="Times New Roman"/>
          <w:sz w:val="24"/>
          <w:szCs w:val="24"/>
        </w:rPr>
        <w:lastRenderedPageBreak/>
        <w:t>level of spending in the fiscal year 1977 below what would otherwise occur, equal to any additional reduction in taxes (from the 1974 tax rate levels) provided for the fiscal year 1977: Provided, however, That nothing shall preclude the right of the Congress to pass a budget resolution containing a higher or lower expenditure figure if the Congress concludes that this is warranted by economic conditions or unforeseen circumstances.”</w:t>
      </w:r>
    </w:p>
    <w:p w14:paraId="6EBF7F7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Congressional Declaration Relating to 1964 Amendment</w:t>
      </w:r>
    </w:p>
    <w:p w14:paraId="438A8D3E" w14:textId="1A7B194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88–272, § 1, Feb. 26, 1964, 78 Stat. 19, provided that:</w:t>
      </w:r>
    </w:p>
    <w:p w14:paraId="35594B3B" w14:textId="12DC589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“It is the sense of Congress that the tax reduction provided by this Act [see Short Title of 1964 Amendment note above] through stimulation of the economy, will, after a brief transitional period, raise (rather than lower) revenues and that such revenue increases should first be used to eliminate the deficits in the administrative budgets and then to reduce the public debt. To further the objective of obtaining balanced budgets in the near future, Congress by this action, recognizes the importance of taking all reasonable means to restrain Government spending and urges the President to declare his accord with this objective.”</w:t>
      </w:r>
    </w:p>
    <w:p w14:paraId="3DA7E9C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Inflation Adjusted Items for Certain Years</w:t>
      </w:r>
    </w:p>
    <w:p w14:paraId="6DBF6A5A" w14:textId="3A29ACA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Provisions relating to inflation adjustment of items in sections 1, 23, 24, 25A, 25B, 32, 36B, 42, 45R, 55, 59, 62, 63, 68, 125, 132, 135, 137, 146, 147, 148, 151, 179, 213, 219, 220, 221, 223, 408A, 512, 513, 685, 831, 877, 877A, 911, 2010, 2032A, 2503, 2523, 2631, 4001, 4003, 4161, 4261, 5000A, 6012, 6013, 6033, 6039F, 6323, 6334, 6601, 6651, 6652, 6695, 6698, 6699, 6721, 6722, 7345, 7430, 7702B, and 9831 of this title for certain years were contained in the following:</w:t>
      </w:r>
    </w:p>
    <w:p w14:paraId="635FE558"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2018—Revenue Procedure 2017–58.</w:t>
      </w:r>
    </w:p>
    <w:p w14:paraId="70EE5B79" w14:textId="31486C4E"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2017—Revenue Procedure 2016–55.</w:t>
      </w:r>
    </w:p>
    <w:p w14:paraId="0338307D" w14:textId="1B1466F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2016—Revenue Procedure 2015–53, as modified by Revenue Procedure 2016–11.</w:t>
      </w:r>
    </w:p>
    <w:p w14:paraId="1DA8E4E2" w14:textId="11A701A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2015—Revenue Procedures 2014–61 and 2016–11.</w:t>
      </w:r>
    </w:p>
    <w:p w14:paraId="736171C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2014—Revenue Procedure 2013–35.</w:t>
      </w:r>
    </w:p>
    <w:p w14:paraId="7C57525B"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2013—Revenue Procedures 2012–41 and 2013–15.</w:t>
      </w:r>
    </w:p>
    <w:p w14:paraId="3CFF768D"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2012—Revenue Procedure 2011–52, as modified by Revenue Procedure 2013–15.</w:t>
      </w:r>
    </w:p>
    <w:p w14:paraId="2F73E50D"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2011—Revenue Procedures 2010–40 and 2011–12.</w:t>
      </w:r>
    </w:p>
    <w:p w14:paraId="0C26F7CC"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2010—Revenue Procedures 2009–50, 2010–24, and 2010–35.</w:t>
      </w:r>
    </w:p>
    <w:p w14:paraId="4DFCF8F1"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2009—Revenue Procedure 2008–66.</w:t>
      </w:r>
    </w:p>
    <w:p w14:paraId="7CE7195A" w14:textId="5ACE7ED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2008—Revenue Procedure 2007–66.</w:t>
      </w:r>
    </w:p>
    <w:p w14:paraId="48C48FCD" w14:textId="0D4CEF4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2007—Revenue Procedures 2006–53 and 2007–36.</w:t>
      </w:r>
    </w:p>
    <w:p w14:paraId="37CD79EC"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2006—Revenue Procedure 2005–70.</w:t>
      </w:r>
    </w:p>
    <w:p w14:paraId="60CB3364"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2005—Revenue Procedure 2004–71.</w:t>
      </w:r>
    </w:p>
    <w:p w14:paraId="6E7F694E"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2004—Revenue Procedure 2003–85.</w:t>
      </w:r>
    </w:p>
    <w:p w14:paraId="28F7B758"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2003—Revenue Procedure 2002–70.</w:t>
      </w:r>
    </w:p>
    <w:p w14:paraId="424174EC"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2002—Revenue Procedure 2001–59.</w:t>
      </w:r>
    </w:p>
    <w:p w14:paraId="642F6649"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2001—Revenue Procedure 2001–13.</w:t>
      </w:r>
    </w:p>
    <w:p w14:paraId="0973F596"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2000—Revenue Procedure 99–42.</w:t>
      </w:r>
    </w:p>
    <w:p w14:paraId="40A120A8"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1999—Revenue Procedure 98–61.</w:t>
      </w:r>
    </w:p>
    <w:p w14:paraId="006EAA79"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1998—Revenue Procedure 97–57.</w:t>
      </w:r>
    </w:p>
    <w:p w14:paraId="308E847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1997—Revenue Procedure 96–59.</w:t>
      </w:r>
    </w:p>
    <w:p w14:paraId="667D0FB7"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1996—Revenue Procedure 95–53.</w:t>
      </w:r>
    </w:p>
    <w:p w14:paraId="66D0CB30"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1995—Revenue Procedure 94–72.</w:t>
      </w:r>
    </w:p>
    <w:p w14:paraId="730FE194"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1994—Revenue Procedure 93–49.</w:t>
      </w:r>
    </w:p>
    <w:p w14:paraId="434DCF3F"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1993—Revenue Procedure 92–102.</w:t>
      </w:r>
    </w:p>
    <w:p w14:paraId="1B146DB2"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1992—Revenue Procedure 91–65.</w:t>
      </w:r>
    </w:p>
    <w:p w14:paraId="79C0F5E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1991—Revenue Procedure 90–64.</w:t>
      </w:r>
    </w:p>
    <w:p w14:paraId="7AA7114F"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1990—Revenue Procedure 90–7.</w:t>
      </w:r>
    </w:p>
    <w:p w14:paraId="764FF4EA"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1989—Revenue Procedure 88–56.</w:t>
      </w:r>
    </w:p>
    <w:p w14:paraId="7473A087"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1986—Revenue Procedure 85–55.</w:t>
      </w:r>
    </w:p>
    <w:p w14:paraId="12E24E1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1985—Revenue Procedure 84–79.</w:t>
      </w:r>
    </w:p>
    <w:p w14:paraId="0ED9686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Definitions</w:t>
      </w:r>
    </w:p>
    <w:p w14:paraId="4586C774" w14:textId="307FE41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Pub. L. 105–277, div. J, title IV, § 4001(a), Oct. 21, 1998, 112 Stat. 2681–906, provided that:</w:t>
      </w:r>
    </w:p>
    <w:p w14:paraId="5E9E8208" w14:textId="671247E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title [amending this section, sections 51, 56, 67, 68, 86, 135, 137, 163, 172, 219, 221, 264, 351, 368, 408A, 469, 873, 954, 2001, 2031, 6015, 6103, 6159, 6311, 6404, 6693, 7421, 7443A, 7491, 9503, and 9510 of this title, and sections 401 and 407 of Title 42, The Public Health and Welfare, enacting provisions set out as notes under this section, sections 51, 67, 68, 86, 172, 833, 6103, and 9503 of this title, and section 401 of Title 42, and amending provisions set out as notes under sections 6601 and 7508A of this title]—</w:t>
      </w:r>
    </w:p>
    <w:p w14:paraId="01EF656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w:t>
      </w:r>
      <w:r w:rsidRPr="008B3051">
        <w:rPr>
          <w:rFonts w:ascii="Verdana" w:eastAsia="Times New Roman" w:hAnsi="Verdana" w:cs="Times New Roman"/>
          <w:b/>
          <w:bCs/>
          <w:smallCaps/>
          <w:sz w:val="24"/>
          <w:szCs w:val="24"/>
        </w:rPr>
        <w:t>1986 code.—</w:t>
      </w:r>
    </w:p>
    <w:p w14:paraId="58118A2A" w14:textId="054925D1"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The term ‘1986 Code’ means the Internal Revenue Code of 1986.</w:t>
      </w:r>
    </w:p>
    <w:p w14:paraId="33EE492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w:t>
      </w:r>
      <w:r w:rsidRPr="008B3051">
        <w:rPr>
          <w:rFonts w:ascii="Verdana" w:eastAsia="Times New Roman" w:hAnsi="Verdana" w:cs="Times New Roman"/>
          <w:b/>
          <w:bCs/>
          <w:smallCaps/>
          <w:sz w:val="24"/>
          <w:szCs w:val="24"/>
        </w:rPr>
        <w:t>1998 act.—</w:t>
      </w:r>
    </w:p>
    <w:p w14:paraId="57780F44" w14:textId="1B5D46C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‘1998 Act’ means the Internal Revenue Service Restructuring and Reform Act of 1998 (Public Law 105–206) [see Tables for classification].</w:t>
      </w:r>
    </w:p>
    <w:p w14:paraId="33EE77D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w:t>
      </w:r>
      <w:r w:rsidRPr="008B3051">
        <w:rPr>
          <w:rFonts w:ascii="Verdana" w:eastAsia="Times New Roman" w:hAnsi="Verdana" w:cs="Times New Roman"/>
          <w:b/>
          <w:bCs/>
          <w:smallCaps/>
          <w:sz w:val="24"/>
          <w:szCs w:val="24"/>
        </w:rPr>
        <w:t>1997 act.—</w:t>
      </w:r>
    </w:p>
    <w:p w14:paraId="5E7898FF" w14:textId="5D34247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term ‘1997 Act’ means the Taxpayer Relief Act of 1997 (Public Law 105–34) [see Tables for classification].”</w:t>
      </w:r>
    </w:p>
    <w:p w14:paraId="4F25AAB3" w14:textId="77777777" w:rsidR="00EF5FE1" w:rsidRPr="008B3051" w:rsidRDefault="00EF5FE1" w:rsidP="005B3BD3">
      <w:pPr>
        <w:shd w:val="clear" w:color="auto" w:fill="FFFFFF"/>
        <w:spacing w:after="60" w:line="240" w:lineRule="auto"/>
        <w:ind w:left="720"/>
        <w:rPr>
          <w:rFonts w:ascii="Verdana" w:eastAsia="Times New Roman" w:hAnsi="Verdana" w:cs="Times New Roman"/>
          <w:sz w:val="24"/>
          <w:szCs w:val="24"/>
        </w:rPr>
      </w:pPr>
    </w:p>
    <w:p w14:paraId="084BC229" w14:textId="5A80B4EC" w:rsidR="005B3BD3" w:rsidRPr="008B3051" w:rsidRDefault="005B3BD3" w:rsidP="005B3BD3">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 2 - Definitions and special rules</w:t>
      </w:r>
    </w:p>
    <w:p w14:paraId="16A9B7F9" w14:textId="08039710" w:rsidR="005B3BD3" w:rsidRPr="008B3051" w:rsidRDefault="005B3BD3" w:rsidP="005B3BD3">
      <w:pPr>
        <w:shd w:val="clear" w:color="auto" w:fill="FFFFFF"/>
        <w:spacing w:after="60" w:line="240" w:lineRule="auto"/>
        <w:ind w:left="720"/>
        <w:rPr>
          <w:rFonts w:ascii="Verdana" w:eastAsia="Times New Roman" w:hAnsi="Verdana" w:cs="Times New Roman"/>
          <w:sz w:val="24"/>
          <w:szCs w:val="24"/>
        </w:rPr>
      </w:pPr>
    </w:p>
    <w:p w14:paraId="72518A2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w:t>
      </w:r>
      <w:r w:rsidRPr="008B3051">
        <w:rPr>
          <w:rFonts w:ascii="Verdana" w:eastAsia="Times New Roman" w:hAnsi="Verdana" w:cs="Times New Roman"/>
          <w:b/>
          <w:bCs/>
          <w:smallCaps/>
          <w:sz w:val="24"/>
          <w:szCs w:val="24"/>
        </w:rPr>
        <w:t>Definition of surviving spouse</w:t>
      </w:r>
    </w:p>
    <w:p w14:paraId="3D2D74B3" w14:textId="67E72B1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For purposes of section 1, the term “</w:t>
      </w:r>
      <w:r w:rsidRPr="008B3051">
        <w:rPr>
          <w:rFonts w:ascii="Verdana" w:eastAsia="Times New Roman" w:hAnsi="Verdana" w:cs="Times New Roman"/>
          <w:sz w:val="24"/>
          <w:szCs w:val="24"/>
          <w:u w:val="single"/>
        </w:rPr>
        <w:t>surviving spouse</w:t>
      </w:r>
      <w:r w:rsidRPr="008B3051">
        <w:rPr>
          <w:rFonts w:ascii="Verdana" w:eastAsia="Times New Roman" w:hAnsi="Verdana" w:cs="Times New Roman"/>
          <w:sz w:val="24"/>
          <w:szCs w:val="24"/>
        </w:rPr>
        <w:t>” means a taxpayer—</w:t>
      </w:r>
    </w:p>
    <w:p w14:paraId="13E2C6F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1" w:name="a_1_A"/>
      <w:bookmarkEnd w:id="251"/>
      <w:r w:rsidRPr="008B3051">
        <w:rPr>
          <w:rFonts w:ascii="Verdana" w:eastAsia="Times New Roman" w:hAnsi="Verdana" w:cs="Times New Roman"/>
          <w:b/>
          <w:bCs/>
          <w:sz w:val="24"/>
          <w:szCs w:val="24"/>
        </w:rPr>
        <w:t>(A)</w:t>
      </w:r>
    </w:p>
    <w:p w14:paraId="7DF83763" w14:textId="087F0A4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whose spouse died during either of his two </w:t>
      </w:r>
      <w:r w:rsidRPr="008B3051">
        <w:rPr>
          <w:rFonts w:ascii="Verdana" w:eastAsia="Times New Roman" w:hAnsi="Verdana" w:cs="Times New Roman"/>
          <w:sz w:val="24"/>
          <w:szCs w:val="24"/>
          <w:u w:val="single"/>
        </w:rPr>
        <w:t>taxable years</w:t>
      </w:r>
      <w:r w:rsidRPr="008B3051">
        <w:rPr>
          <w:rFonts w:ascii="Verdana" w:eastAsia="Times New Roman" w:hAnsi="Verdana" w:cs="Times New Roman"/>
          <w:sz w:val="24"/>
          <w:szCs w:val="24"/>
        </w:rPr>
        <w:t> immediately preceding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and</w:t>
      </w:r>
    </w:p>
    <w:p w14:paraId="3671D79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2" w:name="a_1_B"/>
      <w:bookmarkEnd w:id="252"/>
      <w:r w:rsidRPr="008B3051">
        <w:rPr>
          <w:rFonts w:ascii="Verdana" w:eastAsia="Times New Roman" w:hAnsi="Verdana" w:cs="Times New Roman"/>
          <w:b/>
          <w:bCs/>
          <w:sz w:val="24"/>
          <w:szCs w:val="24"/>
        </w:rPr>
        <w:t>(B)</w:t>
      </w:r>
    </w:p>
    <w:p w14:paraId="4869653F" w14:textId="6EAD39D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who maintains as his home a household which constitutes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the principal place of abode (as a member of such household) of a dependent (i) who (within the meaning of section 152, determined without regard to subsections (b)(1), (b)(2), and (d)(1)(B) thereof) is a son, stepson, daughter, or stepdaughter of the taxpayer, and (ii) with respect to whom the taxpayer is entitled to a deduction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under section 151.</w:t>
      </w:r>
    </w:p>
    <w:p w14:paraId="0E5DF91B" w14:textId="4F310E4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paragraph, an individual shall be considered as maintaining a household only if over half of the cost of maintaining the household during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is furnished by such individual.</w:t>
      </w:r>
    </w:p>
    <w:p w14:paraId="462A44C5" w14:textId="4F9AC6B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Limitations</w:t>
      </w:r>
      <w:r w:rsidRPr="008B3051">
        <w:rPr>
          <w:rFonts w:ascii="Verdana" w:eastAsia="Times New Roman" w:hAnsi="Verdana" w:cs="Times New Roman"/>
          <w:sz w:val="24"/>
          <w:szCs w:val="24"/>
        </w:rPr>
        <w:t>Notwithstanding paragraph (1), for purposes of section 1 a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 shall not be considered to be a </w:t>
      </w:r>
      <w:r w:rsidRPr="008B3051">
        <w:rPr>
          <w:rFonts w:ascii="Verdana" w:eastAsia="Times New Roman" w:hAnsi="Verdana" w:cs="Times New Roman"/>
          <w:sz w:val="24"/>
          <w:szCs w:val="24"/>
          <w:u w:val="single"/>
        </w:rPr>
        <w:t>surviving spouse</w:t>
      </w:r>
      <w:r w:rsidRPr="008B3051">
        <w:rPr>
          <w:rFonts w:ascii="Verdana" w:eastAsia="Times New Roman" w:hAnsi="Verdana" w:cs="Times New Roman"/>
          <w:sz w:val="24"/>
          <w:szCs w:val="24"/>
        </w:rPr>
        <w:t>—</w:t>
      </w:r>
    </w:p>
    <w:p w14:paraId="5E9D09B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3" w:name="a_2_A"/>
      <w:bookmarkEnd w:id="253"/>
      <w:r w:rsidRPr="008B3051">
        <w:rPr>
          <w:rFonts w:ascii="Verdana" w:eastAsia="Times New Roman" w:hAnsi="Verdana" w:cs="Times New Roman"/>
          <w:b/>
          <w:bCs/>
          <w:sz w:val="24"/>
          <w:szCs w:val="24"/>
        </w:rPr>
        <w:t>(A)</w:t>
      </w:r>
    </w:p>
    <w:p w14:paraId="498B7F23" w14:textId="1145F48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the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 has remarried at any time before the close of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or</w:t>
      </w:r>
    </w:p>
    <w:p w14:paraId="079935A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4" w:name="a_2_B"/>
      <w:bookmarkEnd w:id="254"/>
      <w:r w:rsidRPr="008B3051">
        <w:rPr>
          <w:rFonts w:ascii="Verdana" w:eastAsia="Times New Roman" w:hAnsi="Verdana" w:cs="Times New Roman"/>
          <w:b/>
          <w:bCs/>
          <w:sz w:val="24"/>
          <w:szCs w:val="24"/>
        </w:rPr>
        <w:t>(B)</w:t>
      </w:r>
    </w:p>
    <w:p w14:paraId="1BAB727A" w14:textId="5FFDE6E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unless, for the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’s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during which his spouse died, a joint return could have been made under the provisions of </w:t>
      </w:r>
      <w:r w:rsidRPr="008B3051">
        <w:rPr>
          <w:rFonts w:ascii="Verdana" w:eastAsia="Times New Roman" w:hAnsi="Verdana" w:cs="Times New Roman"/>
          <w:sz w:val="24"/>
          <w:szCs w:val="24"/>
          <w:u w:val="single"/>
        </w:rPr>
        <w:t>section 6013</w:t>
      </w:r>
      <w:r w:rsidRPr="008B3051">
        <w:rPr>
          <w:rFonts w:ascii="Verdana" w:eastAsia="Times New Roman" w:hAnsi="Verdana" w:cs="Times New Roman"/>
          <w:sz w:val="24"/>
          <w:szCs w:val="24"/>
        </w:rPr>
        <w:t> (without regard to subsection (a)(3) thereof).</w:t>
      </w:r>
    </w:p>
    <w:p w14:paraId="1B53780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5" w:name="a_3"/>
      <w:bookmarkEnd w:id="255"/>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Special rule where deceased spouse was in missing status</w:t>
      </w:r>
      <w:r w:rsidRPr="008B3051">
        <w:rPr>
          <w:rFonts w:ascii="Verdana" w:eastAsia="Times New Roman" w:hAnsi="Verdana" w:cs="Times New Roman"/>
          <w:sz w:val="24"/>
          <w:szCs w:val="24"/>
        </w:rPr>
        <w:t xml:space="preserve">If an individual was in a missing status (within the meaning of section 6013(f)(3)) as a result of service in a combat zone (as determined for purposes of section 112) and if such individual remains in such status until the date referred to in subparagraph (A) or (B), then, for purposes of paragraph (1)(A), the date on which such individual died shall be treated as the earlier </w:t>
      </w:r>
      <w:r w:rsidRPr="008B3051">
        <w:rPr>
          <w:rFonts w:ascii="Verdana" w:eastAsia="Times New Roman" w:hAnsi="Verdana" w:cs="Times New Roman"/>
          <w:sz w:val="24"/>
          <w:szCs w:val="24"/>
        </w:rPr>
        <w:lastRenderedPageBreak/>
        <w:t>of the date determined under subparagraph (A) or the date determined under subparagraph (B):</w:t>
      </w:r>
    </w:p>
    <w:p w14:paraId="6C2F955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6" w:name="a_3_A"/>
      <w:bookmarkEnd w:id="256"/>
      <w:r w:rsidRPr="008B3051">
        <w:rPr>
          <w:rFonts w:ascii="Verdana" w:eastAsia="Times New Roman" w:hAnsi="Verdana" w:cs="Times New Roman"/>
          <w:b/>
          <w:bCs/>
          <w:sz w:val="24"/>
          <w:szCs w:val="24"/>
        </w:rPr>
        <w:t>(A)</w:t>
      </w:r>
    </w:p>
    <w:p w14:paraId="78819979" w14:textId="0907EC4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date on which the </w:t>
      </w:r>
      <w:r w:rsidRPr="008B3051">
        <w:rPr>
          <w:rFonts w:ascii="Verdana" w:eastAsia="Times New Roman" w:hAnsi="Verdana" w:cs="Times New Roman"/>
          <w:sz w:val="24"/>
          <w:szCs w:val="24"/>
          <w:u w:val="single"/>
        </w:rPr>
        <w:t>determination</w:t>
      </w:r>
      <w:r w:rsidRPr="008B3051">
        <w:rPr>
          <w:rFonts w:ascii="Verdana" w:eastAsia="Times New Roman" w:hAnsi="Verdana" w:cs="Times New Roman"/>
          <w:sz w:val="24"/>
          <w:szCs w:val="24"/>
        </w:rPr>
        <w:t> is made under </w:t>
      </w:r>
      <w:r w:rsidRPr="008B3051">
        <w:rPr>
          <w:rFonts w:ascii="Verdana" w:eastAsia="Times New Roman" w:hAnsi="Verdana" w:cs="Times New Roman"/>
          <w:sz w:val="24"/>
          <w:szCs w:val="24"/>
          <w:u w:val="single"/>
        </w:rPr>
        <w:t>section 556 of title 37</w:t>
      </w:r>
      <w:r w:rsidRPr="008B3051">
        <w:rPr>
          <w:rFonts w:ascii="Verdana" w:eastAsia="Times New Roman" w:hAnsi="Verdana" w:cs="Times New Roman"/>
          <w:sz w:val="24"/>
          <w:szCs w:val="24"/>
        </w:rPr>
        <w:t> of the United States Code or under </w:t>
      </w:r>
      <w:r w:rsidRPr="008B3051">
        <w:rPr>
          <w:rFonts w:ascii="Verdana" w:eastAsia="Times New Roman" w:hAnsi="Verdana" w:cs="Times New Roman"/>
          <w:sz w:val="24"/>
          <w:szCs w:val="24"/>
          <w:u w:val="single"/>
        </w:rPr>
        <w:t>section 5566 of title 5</w:t>
      </w:r>
      <w:r w:rsidRPr="008B3051">
        <w:rPr>
          <w:rFonts w:ascii="Verdana" w:eastAsia="Times New Roman" w:hAnsi="Verdana" w:cs="Times New Roman"/>
          <w:sz w:val="24"/>
          <w:szCs w:val="24"/>
        </w:rPr>
        <w:t> of such Code (whichever is applicable) that such individual died while in such missing status, or</w:t>
      </w:r>
    </w:p>
    <w:p w14:paraId="1EE9B9D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7" w:name="a_3_B"/>
      <w:bookmarkEnd w:id="257"/>
      <w:r w:rsidRPr="008B3051">
        <w:rPr>
          <w:rFonts w:ascii="Verdana" w:eastAsia="Times New Roman" w:hAnsi="Verdana" w:cs="Times New Roman"/>
          <w:b/>
          <w:bCs/>
          <w:sz w:val="24"/>
          <w:szCs w:val="24"/>
        </w:rPr>
        <w:t>(B)</w:t>
      </w:r>
    </w:p>
    <w:p w14:paraId="078BECFD" w14:textId="4E80EA5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in the case of the combat zone designated for purposes of the Vietnam conflict, the date which is 2 </w:t>
      </w:r>
      <w:r w:rsidRPr="008B3051">
        <w:rPr>
          <w:rFonts w:ascii="Verdana" w:eastAsia="Times New Roman" w:hAnsi="Verdana" w:cs="Times New Roman"/>
          <w:sz w:val="24"/>
          <w:szCs w:val="24"/>
          <w:u w:val="single"/>
        </w:rPr>
        <w:t>years</w:t>
      </w:r>
      <w:r w:rsidRPr="008B3051">
        <w:rPr>
          <w:rFonts w:ascii="Verdana" w:eastAsia="Times New Roman" w:hAnsi="Verdana" w:cs="Times New Roman"/>
          <w:sz w:val="24"/>
          <w:szCs w:val="24"/>
        </w:rPr>
        <w:t> after the date designated under </w:t>
      </w:r>
      <w:r w:rsidRPr="008B3051">
        <w:rPr>
          <w:rFonts w:ascii="Verdana" w:eastAsia="Times New Roman" w:hAnsi="Verdana" w:cs="Times New Roman"/>
          <w:sz w:val="24"/>
          <w:szCs w:val="24"/>
          <w:u w:val="single"/>
        </w:rPr>
        <w:t>section 112</w:t>
      </w:r>
      <w:r w:rsidRPr="008B3051">
        <w:rPr>
          <w:rFonts w:ascii="Verdana" w:eastAsia="Times New Roman" w:hAnsi="Verdana" w:cs="Times New Roman"/>
          <w:sz w:val="24"/>
          <w:szCs w:val="24"/>
        </w:rPr>
        <w:t> as the date of termination of combatant activities in that zone.</w:t>
      </w:r>
    </w:p>
    <w:p w14:paraId="1E0F650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(b)</w:t>
      </w:r>
      <w:r w:rsidRPr="008B3051">
        <w:rPr>
          <w:rFonts w:ascii="Verdana" w:eastAsia="Times New Roman" w:hAnsi="Verdana" w:cs="Times New Roman"/>
          <w:b/>
          <w:bCs/>
          <w:smallCaps/>
          <w:sz w:val="24"/>
          <w:szCs w:val="24"/>
        </w:rPr>
        <w:t>Definition of head of household</w:t>
      </w:r>
    </w:p>
    <w:p w14:paraId="4FA28897" w14:textId="611A4B52"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8" w:name="b_1"/>
      <w:bookmarkEnd w:id="258"/>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For purposes of this subtitle, an individual shall be considered a head of a household if, and only if, such individual is not married at the close of his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is not a </w:t>
      </w:r>
      <w:r w:rsidRPr="008B3051">
        <w:rPr>
          <w:rFonts w:ascii="Verdana" w:eastAsia="Times New Roman" w:hAnsi="Verdana" w:cs="Times New Roman"/>
          <w:sz w:val="24"/>
          <w:szCs w:val="24"/>
          <w:u w:val="single"/>
        </w:rPr>
        <w:t>surviving spouse</w:t>
      </w:r>
      <w:r w:rsidRPr="008B3051">
        <w:rPr>
          <w:rFonts w:ascii="Verdana" w:eastAsia="Times New Roman" w:hAnsi="Verdana" w:cs="Times New Roman"/>
          <w:sz w:val="24"/>
          <w:szCs w:val="24"/>
        </w:rPr>
        <w:t> (as defined in subsection (a)), and either—</w:t>
      </w:r>
    </w:p>
    <w:p w14:paraId="295EEFA9" w14:textId="75B9A286"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59" w:name="b_1_A"/>
      <w:bookmarkEnd w:id="259"/>
      <w:r w:rsidRPr="008B3051">
        <w:rPr>
          <w:rFonts w:ascii="Verdana" w:eastAsia="Times New Roman" w:hAnsi="Verdana" w:cs="Times New Roman"/>
          <w:b/>
          <w:bCs/>
          <w:sz w:val="24"/>
          <w:szCs w:val="24"/>
        </w:rPr>
        <w:t>(A)</w:t>
      </w:r>
      <w:r w:rsidRPr="008B3051">
        <w:rPr>
          <w:rFonts w:ascii="Verdana" w:eastAsia="Times New Roman" w:hAnsi="Verdana" w:cs="Times New Roman"/>
          <w:sz w:val="24"/>
          <w:szCs w:val="24"/>
        </w:rPr>
        <w:t>maintains as his home a household which constitutes for more than one-half of such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the principal place of abode, as a member of such household, of—</w:t>
      </w:r>
    </w:p>
    <w:p w14:paraId="3A1CE1F7" w14:textId="10887305"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0" w:name="b_1_A_i"/>
      <w:bookmarkEnd w:id="260"/>
      <w:r w:rsidRPr="008B3051">
        <w:rPr>
          <w:rFonts w:ascii="Verdana" w:eastAsia="Times New Roman" w:hAnsi="Verdana" w:cs="Times New Roman"/>
          <w:b/>
          <w:bCs/>
          <w:sz w:val="24"/>
          <w:szCs w:val="24"/>
        </w:rPr>
        <w:t>(i)</w:t>
      </w:r>
      <w:r w:rsidRPr="008B3051">
        <w:rPr>
          <w:rFonts w:ascii="Verdana" w:eastAsia="Times New Roman" w:hAnsi="Verdana" w:cs="Times New Roman"/>
          <w:sz w:val="24"/>
          <w:szCs w:val="24"/>
        </w:rPr>
        <w:t>a qualifying child of the individual (as defined in section 152(c), determined without regard to </w:t>
      </w:r>
      <w:r w:rsidRPr="008B3051">
        <w:rPr>
          <w:rFonts w:ascii="Verdana" w:eastAsia="Times New Roman" w:hAnsi="Verdana" w:cs="Times New Roman"/>
          <w:sz w:val="24"/>
          <w:szCs w:val="24"/>
          <w:u w:val="single"/>
        </w:rPr>
        <w:t>section 152(e)</w:t>
      </w:r>
      <w:r w:rsidRPr="008B3051">
        <w:rPr>
          <w:rFonts w:ascii="Verdana" w:eastAsia="Times New Roman" w:hAnsi="Verdana" w:cs="Times New Roman"/>
          <w:sz w:val="24"/>
          <w:szCs w:val="24"/>
        </w:rPr>
        <w:t>), but not if such child—</w:t>
      </w:r>
    </w:p>
    <w:p w14:paraId="011583B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1" w:name="b_1_A_i_I"/>
      <w:bookmarkEnd w:id="261"/>
      <w:r w:rsidRPr="008B3051">
        <w:rPr>
          <w:rFonts w:ascii="Verdana" w:eastAsia="Times New Roman" w:hAnsi="Verdana" w:cs="Times New Roman"/>
          <w:b/>
          <w:bCs/>
          <w:sz w:val="24"/>
          <w:szCs w:val="24"/>
        </w:rPr>
        <w:t>(I)</w:t>
      </w:r>
    </w:p>
    <w:p w14:paraId="316AEC28" w14:textId="1A82792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is married at the close of the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’s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and</w:t>
      </w:r>
    </w:p>
    <w:p w14:paraId="6DF28AD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2" w:name="b_1_A_i_II"/>
      <w:bookmarkEnd w:id="262"/>
      <w:r w:rsidRPr="008B3051">
        <w:rPr>
          <w:rFonts w:ascii="Verdana" w:eastAsia="Times New Roman" w:hAnsi="Verdana" w:cs="Times New Roman"/>
          <w:b/>
          <w:bCs/>
          <w:sz w:val="24"/>
          <w:szCs w:val="24"/>
        </w:rPr>
        <w:t>(II)</w:t>
      </w:r>
    </w:p>
    <w:p w14:paraId="0CC5CE1D" w14:textId="74BEFC6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is not a </w:t>
      </w:r>
      <w:r w:rsidRPr="008B3051">
        <w:rPr>
          <w:rFonts w:ascii="Verdana" w:eastAsia="Times New Roman" w:hAnsi="Verdana" w:cs="Times New Roman"/>
          <w:sz w:val="24"/>
          <w:szCs w:val="24"/>
          <w:u w:val="single"/>
        </w:rPr>
        <w:t>dependent</w:t>
      </w:r>
      <w:r w:rsidRPr="008B3051">
        <w:rPr>
          <w:rFonts w:ascii="Verdana" w:eastAsia="Times New Roman" w:hAnsi="Verdana" w:cs="Times New Roman"/>
          <w:sz w:val="24"/>
          <w:szCs w:val="24"/>
        </w:rPr>
        <w:t> of such individual by reason of </w:t>
      </w:r>
      <w:r w:rsidRPr="008B3051">
        <w:rPr>
          <w:rFonts w:ascii="Verdana" w:eastAsia="Times New Roman" w:hAnsi="Verdana" w:cs="Times New Roman"/>
          <w:sz w:val="24"/>
          <w:szCs w:val="24"/>
          <w:u w:val="single"/>
        </w:rPr>
        <w:t>section 152(b)(2)</w:t>
      </w:r>
      <w:r w:rsidRPr="008B3051">
        <w:rPr>
          <w:rFonts w:ascii="Verdana" w:eastAsia="Times New Roman" w:hAnsi="Verdana" w:cs="Times New Roman"/>
          <w:sz w:val="24"/>
          <w:szCs w:val="24"/>
        </w:rPr>
        <w:t> or 152(b)(3), or both, or</w:t>
      </w:r>
    </w:p>
    <w:p w14:paraId="1B80E29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3" w:name="b_1_A_ii"/>
      <w:bookmarkEnd w:id="263"/>
      <w:r w:rsidRPr="008B3051">
        <w:rPr>
          <w:rFonts w:ascii="Verdana" w:eastAsia="Times New Roman" w:hAnsi="Verdana" w:cs="Times New Roman"/>
          <w:b/>
          <w:bCs/>
          <w:sz w:val="24"/>
          <w:szCs w:val="24"/>
        </w:rPr>
        <w:t>(ii)</w:t>
      </w:r>
    </w:p>
    <w:p w14:paraId="3A825DBA" w14:textId="5A9B59B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any other </w:t>
      </w:r>
      <w:r w:rsidRPr="008B3051">
        <w:rPr>
          <w:rFonts w:ascii="Verdana" w:eastAsia="Times New Roman" w:hAnsi="Verdana" w:cs="Times New Roman"/>
          <w:sz w:val="24"/>
          <w:szCs w:val="24"/>
          <w:u w:val="single"/>
        </w:rPr>
        <w:t>person</w:t>
      </w:r>
      <w:r w:rsidRPr="008B3051">
        <w:rPr>
          <w:rFonts w:ascii="Verdana" w:eastAsia="Times New Roman" w:hAnsi="Verdana" w:cs="Times New Roman"/>
          <w:sz w:val="24"/>
          <w:szCs w:val="24"/>
        </w:rPr>
        <w:t> who is a </w:t>
      </w:r>
      <w:r w:rsidRPr="008B3051">
        <w:rPr>
          <w:rFonts w:ascii="Verdana" w:eastAsia="Times New Roman" w:hAnsi="Verdana" w:cs="Times New Roman"/>
          <w:sz w:val="24"/>
          <w:szCs w:val="24"/>
          <w:u w:val="single"/>
        </w:rPr>
        <w:t>dependent</w:t>
      </w:r>
      <w:r w:rsidRPr="008B3051">
        <w:rPr>
          <w:rFonts w:ascii="Verdana" w:eastAsia="Times New Roman" w:hAnsi="Verdana" w:cs="Times New Roman"/>
          <w:sz w:val="24"/>
          <w:szCs w:val="24"/>
        </w:rPr>
        <w:t> of the taxpayer, if the taxpayer is entitled to a deduction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for such person under section 151, or</w:t>
      </w:r>
    </w:p>
    <w:p w14:paraId="3652875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4" w:name="b_1_B"/>
      <w:bookmarkEnd w:id="264"/>
      <w:r w:rsidRPr="008B3051">
        <w:rPr>
          <w:rFonts w:ascii="Verdana" w:eastAsia="Times New Roman" w:hAnsi="Verdana" w:cs="Times New Roman"/>
          <w:b/>
          <w:bCs/>
          <w:sz w:val="24"/>
          <w:szCs w:val="24"/>
        </w:rPr>
        <w:t>(B)</w:t>
      </w:r>
    </w:p>
    <w:p w14:paraId="171F7F49" w14:textId="2EE01BE1"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maintains a household which constitutes for such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the principal place of abode of the father or mother of the taxpayer, if the taxpayer is entitled to a deduction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for such father or mother under section 151.</w:t>
      </w:r>
    </w:p>
    <w:p w14:paraId="2E62C31A" w14:textId="620C68C9"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paragraph, an individual shall be considered as maintaining a household only if over half of the cost of maintaining the household during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is furnished by such individual.</w:t>
      </w:r>
    </w:p>
    <w:p w14:paraId="1DE37D0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5" w:name="b_2"/>
      <w:bookmarkEnd w:id="265"/>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Determination of status</w:t>
      </w:r>
      <w:r w:rsidRPr="008B3051">
        <w:rPr>
          <w:rFonts w:ascii="Verdana" w:eastAsia="Times New Roman" w:hAnsi="Verdana" w:cs="Times New Roman"/>
          <w:sz w:val="24"/>
          <w:szCs w:val="24"/>
        </w:rPr>
        <w:t>For purposes of this subsection—</w:t>
      </w:r>
    </w:p>
    <w:p w14:paraId="3B408BC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6" w:name="b_2_A"/>
      <w:bookmarkEnd w:id="266"/>
      <w:r w:rsidRPr="008B3051">
        <w:rPr>
          <w:rFonts w:ascii="Verdana" w:eastAsia="Times New Roman" w:hAnsi="Verdana" w:cs="Times New Roman"/>
          <w:b/>
          <w:bCs/>
          <w:sz w:val="24"/>
          <w:szCs w:val="24"/>
        </w:rPr>
        <w:t>(A)</w:t>
      </w:r>
    </w:p>
    <w:p w14:paraId="363F0C0A"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an individual who is legally separated from his spouse under a decree of divorce or of separate maintenance shall not be considered as married;</w:t>
      </w:r>
    </w:p>
    <w:p w14:paraId="2BBD9EB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7" w:name="b_2_B"/>
      <w:bookmarkEnd w:id="267"/>
      <w:r w:rsidRPr="008B3051">
        <w:rPr>
          <w:rFonts w:ascii="Verdana" w:eastAsia="Times New Roman" w:hAnsi="Verdana" w:cs="Times New Roman"/>
          <w:b/>
          <w:bCs/>
          <w:sz w:val="24"/>
          <w:szCs w:val="24"/>
        </w:rPr>
        <w:t>(B)</w:t>
      </w:r>
    </w:p>
    <w:p w14:paraId="247DDBF2" w14:textId="0B5917FF"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 shall be considered as not married at the close of his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if at any time during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his spouse is a nonresident alien; and</w:t>
      </w:r>
    </w:p>
    <w:p w14:paraId="0B6B9F1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8" w:name="b_2_C"/>
      <w:bookmarkEnd w:id="268"/>
      <w:r w:rsidRPr="008B3051">
        <w:rPr>
          <w:rFonts w:ascii="Verdana" w:eastAsia="Times New Roman" w:hAnsi="Verdana" w:cs="Times New Roman"/>
          <w:b/>
          <w:bCs/>
          <w:sz w:val="24"/>
          <w:szCs w:val="24"/>
        </w:rPr>
        <w:t>(C)</w:t>
      </w:r>
    </w:p>
    <w:p w14:paraId="3AC41153" w14:textId="6E9D065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 shall be considered as married at the close of his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if his spouse (other than a spouse described in subparagraph (B)) died during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w:t>
      </w:r>
    </w:p>
    <w:p w14:paraId="0ED96550" w14:textId="1CCF8C9C"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69" w:name="b_3"/>
      <w:bookmarkEnd w:id="269"/>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Limitations</w:t>
      </w:r>
      <w:r w:rsidRPr="008B3051">
        <w:rPr>
          <w:rFonts w:ascii="Verdana" w:eastAsia="Times New Roman" w:hAnsi="Verdana" w:cs="Times New Roman"/>
          <w:sz w:val="24"/>
          <w:szCs w:val="24"/>
        </w:rPr>
        <w:t>Notwithstanding paragraph (1), for purposes of this subtitle a </w:t>
      </w:r>
      <w:r w:rsidRPr="008B3051">
        <w:rPr>
          <w:rFonts w:ascii="Verdana" w:eastAsia="Times New Roman" w:hAnsi="Verdana" w:cs="Times New Roman"/>
          <w:sz w:val="24"/>
          <w:szCs w:val="24"/>
          <w:u w:val="single"/>
        </w:rPr>
        <w:t>taxpayer</w:t>
      </w:r>
      <w:r w:rsidRPr="008B3051">
        <w:rPr>
          <w:rFonts w:ascii="Verdana" w:eastAsia="Times New Roman" w:hAnsi="Verdana" w:cs="Times New Roman"/>
          <w:sz w:val="24"/>
          <w:szCs w:val="24"/>
        </w:rPr>
        <w:t> shall not be considered to be a head of a household—</w:t>
      </w:r>
    </w:p>
    <w:p w14:paraId="45105E7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70" w:name="b_3_A"/>
      <w:bookmarkEnd w:id="270"/>
      <w:r w:rsidRPr="008B3051">
        <w:rPr>
          <w:rFonts w:ascii="Verdana" w:eastAsia="Times New Roman" w:hAnsi="Verdana" w:cs="Times New Roman"/>
          <w:b/>
          <w:bCs/>
          <w:sz w:val="24"/>
          <w:szCs w:val="24"/>
        </w:rPr>
        <w:t>(A)</w:t>
      </w:r>
    </w:p>
    <w:p w14:paraId="2004E21C" w14:textId="62EDEC5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if at any time during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he is a nonresident alien; or</w:t>
      </w:r>
    </w:p>
    <w:p w14:paraId="76630EB5" w14:textId="77D4EAA3"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71" w:name="b_3_B"/>
      <w:bookmarkEnd w:id="271"/>
      <w:r w:rsidRPr="008B3051">
        <w:rPr>
          <w:rFonts w:ascii="Verdana" w:eastAsia="Times New Roman" w:hAnsi="Verdana" w:cs="Times New Roman"/>
          <w:b/>
          <w:bCs/>
          <w:sz w:val="24"/>
          <w:szCs w:val="24"/>
        </w:rPr>
        <w:t>(B)</w:t>
      </w:r>
      <w:r w:rsidRPr="008B3051">
        <w:rPr>
          <w:rFonts w:ascii="Verdana" w:eastAsia="Times New Roman" w:hAnsi="Verdana" w:cs="Times New Roman"/>
          <w:sz w:val="24"/>
          <w:szCs w:val="24"/>
        </w:rPr>
        <w:t>by reason of an individual who would not be a </w:t>
      </w:r>
      <w:r w:rsidRPr="008B3051">
        <w:rPr>
          <w:rFonts w:ascii="Verdana" w:eastAsia="Times New Roman" w:hAnsi="Verdana" w:cs="Times New Roman"/>
          <w:sz w:val="24"/>
          <w:szCs w:val="24"/>
          <w:u w:val="single"/>
        </w:rPr>
        <w:t>dependent</w:t>
      </w:r>
      <w:r w:rsidRPr="008B3051">
        <w:rPr>
          <w:rFonts w:ascii="Verdana" w:eastAsia="Times New Roman" w:hAnsi="Verdana" w:cs="Times New Roman"/>
          <w:sz w:val="24"/>
          <w:szCs w:val="24"/>
        </w:rPr>
        <w:t>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but for—</w:t>
      </w:r>
    </w:p>
    <w:p w14:paraId="51381AF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72" w:name="b_3_B_i"/>
      <w:bookmarkEnd w:id="272"/>
      <w:r w:rsidRPr="008B3051">
        <w:rPr>
          <w:rFonts w:ascii="Verdana" w:eastAsia="Times New Roman" w:hAnsi="Verdana" w:cs="Times New Roman"/>
          <w:b/>
          <w:bCs/>
          <w:sz w:val="24"/>
          <w:szCs w:val="24"/>
        </w:rPr>
        <w:t>(i)</w:t>
      </w:r>
    </w:p>
    <w:p w14:paraId="706FF84E"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subparagraph (H) of section 152(d)(2), or</w:t>
      </w:r>
    </w:p>
    <w:p w14:paraId="1295C27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bookmarkStart w:id="273" w:name="b_3_B_ii"/>
      <w:bookmarkEnd w:id="273"/>
      <w:r w:rsidRPr="008B3051">
        <w:rPr>
          <w:rFonts w:ascii="Verdana" w:eastAsia="Times New Roman" w:hAnsi="Verdana" w:cs="Times New Roman"/>
          <w:b/>
          <w:bCs/>
          <w:sz w:val="24"/>
          <w:szCs w:val="24"/>
        </w:rPr>
        <w:t>(ii)</w:t>
      </w:r>
    </w:p>
    <w:p w14:paraId="1652526F" w14:textId="7777777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paragraph (3) of section 152(d).</w:t>
      </w:r>
    </w:p>
    <w:p w14:paraId="6F3121D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w:t>
      </w:r>
      <w:r w:rsidRPr="008B3051">
        <w:rPr>
          <w:rFonts w:ascii="Verdana" w:eastAsia="Times New Roman" w:hAnsi="Verdana" w:cs="Times New Roman"/>
          <w:b/>
          <w:bCs/>
          <w:smallCaps/>
          <w:sz w:val="24"/>
          <w:szCs w:val="24"/>
        </w:rPr>
        <w:t>Certain married individuals living apart</w:t>
      </w:r>
    </w:p>
    <w:p w14:paraId="4AEB69A7" w14:textId="6F2A5BE4"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part, an individual shall be treated as not married at the close of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if such individual is so treated under the provisions of section 7703(b).</w:t>
      </w:r>
    </w:p>
    <w:p w14:paraId="444108F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(d)</w:t>
      </w:r>
      <w:r w:rsidRPr="008B3051">
        <w:rPr>
          <w:rFonts w:ascii="Verdana" w:eastAsia="Times New Roman" w:hAnsi="Verdana" w:cs="Times New Roman"/>
          <w:b/>
          <w:bCs/>
          <w:smallCaps/>
          <w:sz w:val="24"/>
          <w:szCs w:val="24"/>
        </w:rPr>
        <w:t>Nonresident aliens</w:t>
      </w:r>
    </w:p>
    <w:p w14:paraId="0E0157F4" w14:textId="3978341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In the case of a nonresident alien individual, the </w:t>
      </w:r>
      <w:r w:rsidRPr="008B3051">
        <w:rPr>
          <w:rFonts w:ascii="Verdana" w:eastAsia="Times New Roman" w:hAnsi="Verdana" w:cs="Times New Roman"/>
          <w:sz w:val="24"/>
          <w:szCs w:val="24"/>
          <w:u w:val="single"/>
        </w:rPr>
        <w:t>taxes</w:t>
      </w:r>
      <w:r w:rsidRPr="008B3051">
        <w:rPr>
          <w:rFonts w:ascii="Verdana" w:eastAsia="Times New Roman" w:hAnsi="Verdana" w:cs="Times New Roman"/>
          <w:sz w:val="24"/>
          <w:szCs w:val="24"/>
        </w:rPr>
        <w:t> imposed by sections </w:t>
      </w:r>
      <w:r w:rsidRPr="008B3051">
        <w:rPr>
          <w:rFonts w:ascii="Verdana" w:eastAsia="Times New Roman" w:hAnsi="Verdana" w:cs="Times New Roman"/>
          <w:sz w:val="24"/>
          <w:szCs w:val="24"/>
          <w:u w:val="single"/>
        </w:rPr>
        <w:t>1</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55</w:t>
      </w:r>
      <w:r w:rsidRPr="008B3051">
        <w:rPr>
          <w:rFonts w:ascii="Verdana" w:eastAsia="Times New Roman" w:hAnsi="Verdana" w:cs="Times New Roman"/>
          <w:sz w:val="24"/>
          <w:szCs w:val="24"/>
        </w:rPr>
        <w:t> shall apply only as provided by section 871 or 877.</w:t>
      </w:r>
    </w:p>
    <w:p w14:paraId="6497E0E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w:t>
      </w:r>
      <w:r w:rsidRPr="008B3051">
        <w:rPr>
          <w:rFonts w:ascii="Verdana" w:eastAsia="Times New Roman" w:hAnsi="Verdana" w:cs="Times New Roman"/>
          <w:b/>
          <w:bCs/>
          <w:smallCaps/>
          <w:sz w:val="24"/>
          <w:szCs w:val="24"/>
        </w:rPr>
        <w:t>Cross reference</w:t>
      </w:r>
    </w:p>
    <w:p w14:paraId="319C5078" w14:textId="397A369B"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definition of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 see section 63.</w:t>
      </w:r>
    </w:p>
    <w:p w14:paraId="54C7CECE" w14:textId="17A6B68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(Aug. 16, 1954, ch. 736, </w:t>
      </w:r>
      <w:r w:rsidRPr="008B3051">
        <w:rPr>
          <w:rFonts w:ascii="Verdana" w:eastAsia="Times New Roman" w:hAnsi="Verdana" w:cs="Times New Roman"/>
          <w:sz w:val="24"/>
          <w:szCs w:val="24"/>
          <w:u w:val="single"/>
        </w:rPr>
        <w:t>68A Stat. 8</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88–272, title I</w:t>
      </w:r>
      <w:r w:rsidRPr="008B3051">
        <w:rPr>
          <w:rFonts w:ascii="Verdana" w:eastAsia="Times New Roman" w:hAnsi="Verdana" w:cs="Times New Roman"/>
          <w:sz w:val="24"/>
          <w:szCs w:val="24"/>
        </w:rPr>
        <w:t>, § 112(b), Feb. 26, 1964, </w:t>
      </w:r>
      <w:r w:rsidRPr="008B3051">
        <w:rPr>
          <w:rFonts w:ascii="Verdana" w:eastAsia="Times New Roman" w:hAnsi="Verdana" w:cs="Times New Roman"/>
          <w:sz w:val="24"/>
          <w:szCs w:val="24"/>
          <w:u w:val="single"/>
        </w:rPr>
        <w:t>78 Stat. 24</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91–172, title VIII</w:t>
      </w:r>
      <w:r w:rsidRPr="008B3051">
        <w:rPr>
          <w:rFonts w:ascii="Verdana" w:eastAsia="Times New Roman" w:hAnsi="Verdana" w:cs="Times New Roman"/>
          <w:sz w:val="24"/>
          <w:szCs w:val="24"/>
        </w:rPr>
        <w:t>, § 803(b), Dec. 30, 1969, </w:t>
      </w:r>
      <w:r w:rsidRPr="008B3051">
        <w:rPr>
          <w:rFonts w:ascii="Verdana" w:eastAsia="Times New Roman" w:hAnsi="Verdana" w:cs="Times New Roman"/>
          <w:sz w:val="24"/>
          <w:szCs w:val="24"/>
          <w:u w:val="single"/>
        </w:rPr>
        <w:t>83 Stat. 682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93–597</w:t>
      </w:r>
      <w:r w:rsidRPr="008B3051">
        <w:rPr>
          <w:rFonts w:ascii="Verdana" w:eastAsia="Times New Roman" w:hAnsi="Verdana" w:cs="Times New Roman"/>
          <w:sz w:val="24"/>
          <w:szCs w:val="24"/>
        </w:rPr>
        <w:t>, § 3(b), Jan. 2, 1975, </w:t>
      </w:r>
      <w:r w:rsidRPr="008B3051">
        <w:rPr>
          <w:rFonts w:ascii="Verdana" w:eastAsia="Times New Roman" w:hAnsi="Verdana" w:cs="Times New Roman"/>
          <w:sz w:val="24"/>
          <w:szCs w:val="24"/>
          <w:u w:val="single"/>
        </w:rPr>
        <w:t>88 Stat. 1951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94–455, title XIX</w:t>
      </w:r>
      <w:r w:rsidRPr="008B3051">
        <w:rPr>
          <w:rFonts w:ascii="Verdana" w:eastAsia="Times New Roman" w:hAnsi="Verdana" w:cs="Times New Roman"/>
          <w:sz w:val="24"/>
          <w:szCs w:val="24"/>
        </w:rPr>
        <w:t>, § 1901(a)(1), (b)(9), Oct. 4, 1976, </w:t>
      </w:r>
      <w:r w:rsidRPr="008B3051">
        <w:rPr>
          <w:rFonts w:ascii="Verdana" w:eastAsia="Times New Roman" w:hAnsi="Verdana" w:cs="Times New Roman"/>
          <w:sz w:val="24"/>
          <w:szCs w:val="24"/>
          <w:u w:val="single"/>
        </w:rPr>
        <w:t>90 Stat. 1764</w:t>
      </w:r>
      <w:r w:rsidRPr="008B3051">
        <w:rPr>
          <w:rFonts w:ascii="Verdana" w:eastAsia="Times New Roman" w:hAnsi="Verdana" w:cs="Times New Roman"/>
          <w:sz w:val="24"/>
          <w:szCs w:val="24"/>
        </w:rPr>
        <w:t>, 1795; </w:t>
      </w:r>
      <w:r w:rsidRPr="008B3051">
        <w:rPr>
          <w:rFonts w:ascii="Verdana" w:eastAsia="Times New Roman" w:hAnsi="Verdana" w:cs="Times New Roman"/>
          <w:sz w:val="24"/>
          <w:szCs w:val="24"/>
          <w:u w:val="single"/>
        </w:rPr>
        <w:t>Pub. L. 94–569</w:t>
      </w:r>
      <w:r w:rsidRPr="008B3051">
        <w:rPr>
          <w:rFonts w:ascii="Verdana" w:eastAsia="Times New Roman" w:hAnsi="Verdana" w:cs="Times New Roman"/>
          <w:sz w:val="24"/>
          <w:szCs w:val="24"/>
        </w:rPr>
        <w:t>, § 3(a), Oct. 20, 1976, </w:t>
      </w:r>
      <w:r w:rsidRPr="008B3051">
        <w:rPr>
          <w:rFonts w:ascii="Verdana" w:eastAsia="Times New Roman" w:hAnsi="Verdana" w:cs="Times New Roman"/>
          <w:sz w:val="24"/>
          <w:szCs w:val="24"/>
          <w:u w:val="single"/>
        </w:rPr>
        <w:t>90 Stat. 2699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97–448, title III</w:t>
      </w:r>
      <w:r w:rsidRPr="008B3051">
        <w:rPr>
          <w:rFonts w:ascii="Verdana" w:eastAsia="Times New Roman" w:hAnsi="Verdana" w:cs="Times New Roman"/>
          <w:sz w:val="24"/>
          <w:szCs w:val="24"/>
        </w:rPr>
        <w:t>, § 307(a), Jan. 12, 1983, </w:t>
      </w:r>
      <w:r w:rsidRPr="008B3051">
        <w:rPr>
          <w:rFonts w:ascii="Verdana" w:eastAsia="Times New Roman" w:hAnsi="Verdana" w:cs="Times New Roman"/>
          <w:sz w:val="24"/>
          <w:szCs w:val="24"/>
          <w:u w:val="single"/>
        </w:rPr>
        <w:t>96 Stat. 2407</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98–369, div. A, title IV</w:t>
      </w:r>
      <w:r w:rsidRPr="008B3051">
        <w:rPr>
          <w:rFonts w:ascii="Verdana" w:eastAsia="Times New Roman" w:hAnsi="Verdana" w:cs="Times New Roman"/>
          <w:sz w:val="24"/>
          <w:szCs w:val="24"/>
        </w:rPr>
        <w:t>, § 423(c)(2), July 18, 1984, </w:t>
      </w:r>
      <w:r w:rsidRPr="008B3051">
        <w:rPr>
          <w:rFonts w:ascii="Verdana" w:eastAsia="Times New Roman" w:hAnsi="Verdana" w:cs="Times New Roman"/>
          <w:sz w:val="24"/>
          <w:szCs w:val="24"/>
          <w:u w:val="single"/>
        </w:rPr>
        <w:t>98 Stat. 801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99–514, title XIII</w:t>
      </w:r>
      <w:r w:rsidRPr="008B3051">
        <w:rPr>
          <w:rFonts w:ascii="Verdana" w:eastAsia="Times New Roman" w:hAnsi="Verdana" w:cs="Times New Roman"/>
          <w:sz w:val="24"/>
          <w:szCs w:val="24"/>
        </w:rPr>
        <w:t>, § 1301(j)(10), title XVII, § 1708(a)(1), Oct. 22, 1986, </w:t>
      </w:r>
      <w:r w:rsidRPr="008B3051">
        <w:rPr>
          <w:rFonts w:ascii="Verdana" w:eastAsia="Times New Roman" w:hAnsi="Verdana" w:cs="Times New Roman"/>
          <w:sz w:val="24"/>
          <w:szCs w:val="24"/>
          <w:u w:val="single"/>
        </w:rPr>
        <w:t>100 Stat. 2658</w:t>
      </w:r>
      <w:r w:rsidRPr="008B3051">
        <w:rPr>
          <w:rFonts w:ascii="Verdana" w:eastAsia="Times New Roman" w:hAnsi="Verdana" w:cs="Times New Roman"/>
          <w:sz w:val="24"/>
          <w:szCs w:val="24"/>
        </w:rPr>
        <w:t>, 2782; </w:t>
      </w:r>
      <w:r w:rsidRPr="008B3051">
        <w:rPr>
          <w:rFonts w:ascii="Verdana" w:eastAsia="Times New Roman" w:hAnsi="Verdana" w:cs="Times New Roman"/>
          <w:sz w:val="24"/>
          <w:szCs w:val="24"/>
          <w:u w:val="single"/>
        </w:rPr>
        <w:t>Pub. L. 100–647, title I</w:t>
      </w:r>
      <w:r w:rsidRPr="008B3051">
        <w:rPr>
          <w:rFonts w:ascii="Verdana" w:eastAsia="Times New Roman" w:hAnsi="Verdana" w:cs="Times New Roman"/>
          <w:sz w:val="24"/>
          <w:szCs w:val="24"/>
        </w:rPr>
        <w:t>, § 1007(g)(13)(A), Nov. 10, 1988, </w:t>
      </w:r>
      <w:r w:rsidRPr="008B3051">
        <w:rPr>
          <w:rFonts w:ascii="Verdana" w:eastAsia="Times New Roman" w:hAnsi="Verdana" w:cs="Times New Roman"/>
          <w:sz w:val="24"/>
          <w:szCs w:val="24"/>
          <w:u w:val="single"/>
        </w:rPr>
        <w:t>102 Stat. 3436</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108–311, title II</w:t>
      </w:r>
      <w:r w:rsidRPr="008B3051">
        <w:rPr>
          <w:rFonts w:ascii="Verdana" w:eastAsia="Times New Roman" w:hAnsi="Verdana" w:cs="Times New Roman"/>
          <w:sz w:val="24"/>
          <w:szCs w:val="24"/>
        </w:rPr>
        <w:t>, §§ 202, 207(1), Oct. 4, 2004, </w:t>
      </w:r>
      <w:r w:rsidRPr="008B3051">
        <w:rPr>
          <w:rFonts w:ascii="Verdana" w:eastAsia="Times New Roman" w:hAnsi="Verdana" w:cs="Times New Roman"/>
          <w:sz w:val="24"/>
          <w:szCs w:val="24"/>
          <w:u w:val="single"/>
        </w:rPr>
        <w:t>118 Stat. 1175</w:t>
      </w:r>
      <w:r w:rsidRPr="008B3051">
        <w:rPr>
          <w:rFonts w:ascii="Verdana" w:eastAsia="Times New Roman" w:hAnsi="Verdana" w:cs="Times New Roman"/>
          <w:sz w:val="24"/>
          <w:szCs w:val="24"/>
        </w:rPr>
        <w:t>, 1177; </w:t>
      </w:r>
      <w:r w:rsidRPr="008B3051">
        <w:rPr>
          <w:rFonts w:ascii="Verdana" w:eastAsia="Times New Roman" w:hAnsi="Verdana" w:cs="Times New Roman"/>
          <w:sz w:val="24"/>
          <w:szCs w:val="24"/>
          <w:u w:val="single"/>
        </w:rPr>
        <w:t>Pub. L. 109–135, title IV</w:t>
      </w:r>
      <w:r w:rsidRPr="008B3051">
        <w:rPr>
          <w:rFonts w:ascii="Verdana" w:eastAsia="Times New Roman" w:hAnsi="Verdana" w:cs="Times New Roman"/>
          <w:sz w:val="24"/>
          <w:szCs w:val="24"/>
        </w:rPr>
        <w:t>, § 412(a), Dec. 21, 2005, </w:t>
      </w:r>
      <w:r w:rsidRPr="008B3051">
        <w:rPr>
          <w:rFonts w:ascii="Verdana" w:eastAsia="Times New Roman" w:hAnsi="Verdana" w:cs="Times New Roman"/>
          <w:sz w:val="24"/>
          <w:szCs w:val="24"/>
          <w:u w:val="single"/>
        </w:rPr>
        <w:t>119 Stat. 2636</w:t>
      </w:r>
      <w:r w:rsidRPr="008B3051">
        <w:rPr>
          <w:rFonts w:ascii="Verdana" w:eastAsia="Times New Roman" w:hAnsi="Verdana" w:cs="Times New Roman"/>
          <w:sz w:val="24"/>
          <w:szCs w:val="24"/>
        </w:rPr>
        <w:t>.)</w:t>
      </w:r>
    </w:p>
    <w:p w14:paraId="0A11067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Amendments</w:t>
      </w:r>
    </w:p>
    <w:p w14:paraId="4A31907E" w14:textId="14D7A71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2005—Subsec. (b)(2)(C). </w:t>
      </w:r>
      <w:r w:rsidRPr="008B3051">
        <w:rPr>
          <w:rFonts w:ascii="Verdana" w:eastAsia="Times New Roman" w:hAnsi="Verdana" w:cs="Times New Roman"/>
          <w:sz w:val="24"/>
          <w:szCs w:val="24"/>
          <w:u w:val="single"/>
        </w:rPr>
        <w:t>Pub. L. 109–135</w:t>
      </w:r>
      <w:r w:rsidRPr="008B3051">
        <w:rPr>
          <w:rFonts w:ascii="Verdana" w:eastAsia="Times New Roman" w:hAnsi="Verdana" w:cs="Times New Roman"/>
          <w:sz w:val="24"/>
          <w:szCs w:val="24"/>
        </w:rPr>
        <w:t> substituted “subparagraph (B)” for “subparagraph (C)”.</w:t>
      </w:r>
    </w:p>
    <w:p w14:paraId="6A811161" w14:textId="6618C93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2004—Subsec. (a)(1)(B)(i). </w:t>
      </w:r>
      <w:r w:rsidRPr="008B3051">
        <w:rPr>
          <w:rFonts w:ascii="Verdana" w:eastAsia="Times New Roman" w:hAnsi="Verdana" w:cs="Times New Roman"/>
          <w:sz w:val="24"/>
          <w:szCs w:val="24"/>
          <w:u w:val="single"/>
        </w:rPr>
        <w:t>Pub. L. 108–311</w:t>
      </w:r>
      <w:r w:rsidRPr="008B3051">
        <w:rPr>
          <w:rFonts w:ascii="Verdana" w:eastAsia="Times New Roman" w:hAnsi="Verdana" w:cs="Times New Roman"/>
          <w:sz w:val="24"/>
          <w:szCs w:val="24"/>
        </w:rPr>
        <w:t>, § 207(1), inserted “,</w:t>
      </w:r>
      <w:r w:rsidRPr="008B3051">
        <w:rPr>
          <w:rFonts w:ascii="Arial" w:eastAsia="Times New Roman" w:hAnsi="Arial" w:cs="Arial"/>
          <w:sz w:val="24"/>
          <w:szCs w:val="24"/>
        </w:rPr>
        <w:t> </w:t>
      </w:r>
      <w:r w:rsidRPr="008B3051">
        <w:rPr>
          <w:rFonts w:ascii="Verdana" w:eastAsia="Times New Roman" w:hAnsi="Verdana" w:cs="Times New Roman"/>
          <w:sz w:val="24"/>
          <w:szCs w:val="24"/>
        </w:rPr>
        <w:t>determined without regard to subsections (b)(1), (b)(2), and (d)(1)(B) thereof</w:t>
      </w:r>
      <w:r w:rsidRPr="008B3051">
        <w:rPr>
          <w:rFonts w:ascii="Verdana" w:eastAsia="Times New Roman" w:hAnsi="Verdana" w:cs="Verdana"/>
          <w:sz w:val="24"/>
          <w:szCs w:val="24"/>
        </w:rPr>
        <w:t>”</w:t>
      </w:r>
      <w:r w:rsidRPr="008B3051">
        <w:rPr>
          <w:rFonts w:ascii="Verdana" w:eastAsia="Times New Roman" w:hAnsi="Verdana" w:cs="Times New Roman"/>
          <w:sz w:val="24"/>
          <w:szCs w:val="24"/>
        </w:rPr>
        <w:t xml:space="preserve"> after </w:t>
      </w:r>
      <w:r w:rsidRPr="008B3051">
        <w:rPr>
          <w:rFonts w:ascii="Verdana" w:eastAsia="Times New Roman" w:hAnsi="Verdana" w:cs="Verdana"/>
          <w:sz w:val="24"/>
          <w:szCs w:val="24"/>
        </w:rPr>
        <w:t>“</w:t>
      </w:r>
      <w:r w:rsidRPr="008B3051">
        <w:rPr>
          <w:rFonts w:ascii="Verdana" w:eastAsia="Times New Roman" w:hAnsi="Verdana" w:cs="Times New Roman"/>
          <w:sz w:val="24"/>
          <w:szCs w:val="24"/>
        </w:rPr>
        <w:t>section 152</w:t>
      </w:r>
      <w:r w:rsidRPr="008B3051">
        <w:rPr>
          <w:rFonts w:ascii="Verdana" w:eastAsia="Times New Roman" w:hAnsi="Verdana" w:cs="Verdana"/>
          <w:sz w:val="24"/>
          <w:szCs w:val="24"/>
        </w:rPr>
        <w:t>”</w:t>
      </w:r>
      <w:r w:rsidRPr="008B3051">
        <w:rPr>
          <w:rFonts w:ascii="Verdana" w:eastAsia="Times New Roman" w:hAnsi="Verdana" w:cs="Times New Roman"/>
          <w:sz w:val="24"/>
          <w:szCs w:val="24"/>
        </w:rPr>
        <w:t>.</w:t>
      </w:r>
    </w:p>
    <w:p w14:paraId="7484ADBF" w14:textId="143EFFC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(b)(1)(A)(i). </w:t>
      </w:r>
      <w:r w:rsidRPr="008B3051">
        <w:rPr>
          <w:rFonts w:ascii="Verdana" w:eastAsia="Times New Roman" w:hAnsi="Verdana" w:cs="Times New Roman"/>
          <w:sz w:val="24"/>
          <w:szCs w:val="24"/>
          <w:u w:val="single"/>
        </w:rPr>
        <w:t>Pub. L. 108–311</w:t>
      </w:r>
      <w:r w:rsidRPr="008B3051">
        <w:rPr>
          <w:rFonts w:ascii="Verdana" w:eastAsia="Times New Roman" w:hAnsi="Verdana" w:cs="Times New Roman"/>
          <w:sz w:val="24"/>
          <w:szCs w:val="24"/>
        </w:rPr>
        <w:t>, § 202(a), amended cl. (i) generally. Prior to amendment, cl. (i) read as follows: “a son, stepson, daughter, or stepdaughter of the taxpayer, or a descendant of a son or daughter of the taxpayer, but if such son, stepson, daughter, stepdaughter, or descendant is married at the close of the taxpayer’s taxable year, only if the taxpayer is entitled to a deduction for the taxable year for such person under section 151 (or would be so entitled but for paragraph (2) or (4) of section 152(e)), or”.</w:t>
      </w:r>
    </w:p>
    <w:p w14:paraId="210A6DBA" w14:textId="34F0617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(b)(2). </w:t>
      </w:r>
      <w:r w:rsidRPr="008B3051">
        <w:rPr>
          <w:rFonts w:ascii="Verdana" w:eastAsia="Times New Roman" w:hAnsi="Verdana" w:cs="Times New Roman"/>
          <w:sz w:val="24"/>
          <w:szCs w:val="24"/>
          <w:u w:val="single"/>
        </w:rPr>
        <w:t>Pub. L. 108–311</w:t>
      </w:r>
      <w:r w:rsidRPr="008B3051">
        <w:rPr>
          <w:rFonts w:ascii="Verdana" w:eastAsia="Times New Roman" w:hAnsi="Verdana" w:cs="Times New Roman"/>
          <w:sz w:val="24"/>
          <w:szCs w:val="24"/>
        </w:rPr>
        <w:t>, § 202(b)(1), redesignated subpars. (B) to (D) as (A) to (C), respectively, and struck out former subpar. (A) which read as follows: “a legally adopted child of a person shall be considered a child of such person by blood;”.</w:t>
      </w:r>
    </w:p>
    <w:p w14:paraId="28203D6E" w14:textId="7B08501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(b)(3)(B)(i), (ii). </w:t>
      </w:r>
      <w:r w:rsidRPr="008B3051">
        <w:rPr>
          <w:rFonts w:ascii="Verdana" w:eastAsia="Times New Roman" w:hAnsi="Verdana" w:cs="Times New Roman"/>
          <w:sz w:val="24"/>
          <w:szCs w:val="24"/>
          <w:u w:val="single"/>
        </w:rPr>
        <w:t>Pub. L. 108–311</w:t>
      </w:r>
      <w:r w:rsidRPr="008B3051">
        <w:rPr>
          <w:rFonts w:ascii="Verdana" w:eastAsia="Times New Roman" w:hAnsi="Verdana" w:cs="Times New Roman"/>
          <w:sz w:val="24"/>
          <w:szCs w:val="24"/>
        </w:rPr>
        <w:t>, § 202(b)(2), amended cls. (i) and (ii) generally. Prior to amendment, cls. (i) and (ii) read as follows:</w:t>
      </w:r>
    </w:p>
    <w:p w14:paraId="77E17C06"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paragraph (9) of section 152(a), or</w:t>
      </w:r>
    </w:p>
    <w:p w14:paraId="205FF4EF"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subsection (c) of section 152.”</w:t>
      </w:r>
    </w:p>
    <w:p w14:paraId="1C4426F4" w14:textId="06A4F6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1988—Subsec. (d). </w:t>
      </w:r>
      <w:r w:rsidRPr="008B3051">
        <w:rPr>
          <w:rFonts w:ascii="Verdana" w:eastAsia="Times New Roman" w:hAnsi="Verdana" w:cs="Times New Roman"/>
          <w:sz w:val="24"/>
          <w:szCs w:val="24"/>
          <w:u w:val="single"/>
        </w:rPr>
        <w:t>Pub. L. 100–647</w:t>
      </w:r>
      <w:r w:rsidRPr="008B3051">
        <w:rPr>
          <w:rFonts w:ascii="Verdana" w:eastAsia="Times New Roman" w:hAnsi="Verdana" w:cs="Times New Roman"/>
          <w:sz w:val="24"/>
          <w:szCs w:val="24"/>
        </w:rPr>
        <w:t> substituted “the taxes imposed by sections 1 and 55” for “the tax imposed by section 1”.</w:t>
      </w:r>
    </w:p>
    <w:p w14:paraId="7D9725F8" w14:textId="0B98AE9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1986—Subsec. (a)(3)(B).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 1708(a)(1), amended subpar. (B) generally. Prior to amendment, subpar. (B) read as follows: “the date which is—</w:t>
      </w:r>
    </w:p>
    <w:p w14:paraId="2A98984D"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December 31, 1982, in the case of service in the combat zone designated for purposes of the Vietnam conflict, or</w:t>
      </w:r>
    </w:p>
    <w:p w14:paraId="3B178988" w14:textId="640CF97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2 </w:t>
      </w:r>
      <w:r w:rsidRPr="008B3051">
        <w:rPr>
          <w:rFonts w:ascii="Verdana" w:eastAsia="Times New Roman" w:hAnsi="Verdana" w:cs="Times New Roman"/>
          <w:sz w:val="24"/>
          <w:szCs w:val="24"/>
          <w:u w:val="single"/>
        </w:rPr>
        <w:t>years</w:t>
      </w:r>
      <w:r w:rsidRPr="008B3051">
        <w:rPr>
          <w:rFonts w:ascii="Verdana" w:eastAsia="Times New Roman" w:hAnsi="Verdana" w:cs="Times New Roman"/>
          <w:sz w:val="24"/>
          <w:szCs w:val="24"/>
        </w:rPr>
        <w:t> after the date designated under </w:t>
      </w:r>
      <w:r w:rsidRPr="008B3051">
        <w:rPr>
          <w:rFonts w:ascii="Verdana" w:eastAsia="Times New Roman" w:hAnsi="Verdana" w:cs="Times New Roman"/>
          <w:sz w:val="24"/>
          <w:szCs w:val="24"/>
          <w:u w:val="single"/>
        </w:rPr>
        <w:t>section 112</w:t>
      </w:r>
      <w:r w:rsidRPr="008B3051">
        <w:rPr>
          <w:rFonts w:ascii="Verdana" w:eastAsia="Times New Roman" w:hAnsi="Verdana" w:cs="Times New Roman"/>
          <w:sz w:val="24"/>
          <w:szCs w:val="24"/>
        </w:rPr>
        <w:t> as the date of termination of combatant activities in that zone, in the case of any combat zone other than that referred to in clause (i).”</w:t>
      </w:r>
    </w:p>
    <w:p w14:paraId="1103EBCB" w14:textId="1D1283B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(c).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 1301(j)(10), substituted “section 7703(b)” for “section 143(b)”.</w:t>
      </w:r>
    </w:p>
    <w:p w14:paraId="5E7985DD" w14:textId="61B4ADE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1984—Subsec. (b)(1)(A). </w:t>
      </w:r>
      <w:r w:rsidRPr="008B3051">
        <w:rPr>
          <w:rFonts w:ascii="Verdana" w:eastAsia="Times New Roman" w:hAnsi="Verdana" w:cs="Times New Roman"/>
          <w:sz w:val="24"/>
          <w:szCs w:val="24"/>
          <w:u w:val="single"/>
        </w:rPr>
        <w:t>Pub. L. 98–369</w:t>
      </w:r>
      <w:r w:rsidRPr="008B3051">
        <w:rPr>
          <w:rFonts w:ascii="Verdana" w:eastAsia="Times New Roman" w:hAnsi="Verdana" w:cs="Times New Roman"/>
          <w:sz w:val="24"/>
          <w:szCs w:val="24"/>
        </w:rPr>
        <w:t>, § 423(c)(2)(A), substituted “which constitutes for more than one-half of such taxable year” for “which constitutes for such taxable year”.</w:t>
      </w:r>
    </w:p>
    <w:p w14:paraId="7711552F" w14:textId="7F2CCA9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Subsec. (b)(1)(A)(i). </w:t>
      </w:r>
      <w:r w:rsidRPr="008B3051">
        <w:rPr>
          <w:rFonts w:ascii="Verdana" w:eastAsia="Times New Roman" w:hAnsi="Verdana" w:cs="Times New Roman"/>
          <w:sz w:val="24"/>
          <w:szCs w:val="24"/>
          <w:u w:val="single"/>
        </w:rPr>
        <w:t>Pub. L. 98–369</w:t>
      </w:r>
      <w:r w:rsidRPr="008B3051">
        <w:rPr>
          <w:rFonts w:ascii="Verdana" w:eastAsia="Times New Roman" w:hAnsi="Verdana" w:cs="Times New Roman"/>
          <w:sz w:val="24"/>
          <w:szCs w:val="24"/>
        </w:rPr>
        <w:t>, § 423(c)(2)(B), inserted “(or would be so entitled but for paragraph (2) or (4) of section 152(e))”.</w:t>
      </w:r>
    </w:p>
    <w:p w14:paraId="6EFDED79" w14:textId="4375223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1983—Subsec. (a)(3)(B)(i). </w:t>
      </w:r>
      <w:r w:rsidRPr="008B3051">
        <w:rPr>
          <w:rFonts w:ascii="Verdana" w:eastAsia="Times New Roman" w:hAnsi="Verdana" w:cs="Times New Roman"/>
          <w:sz w:val="24"/>
          <w:szCs w:val="24"/>
          <w:u w:val="single"/>
        </w:rPr>
        <w:t>Pub. L. 97–448</w:t>
      </w:r>
      <w:r w:rsidRPr="008B3051">
        <w:rPr>
          <w:rFonts w:ascii="Verdana" w:eastAsia="Times New Roman" w:hAnsi="Verdana" w:cs="Times New Roman"/>
          <w:sz w:val="24"/>
          <w:szCs w:val="24"/>
        </w:rPr>
        <w:t> substituted “December 31, 1982” for “January 2, 1978”.</w:t>
      </w:r>
    </w:p>
    <w:p w14:paraId="1E8C2F79" w14:textId="421995B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1976—Subsec. (a)(3)(B). </w:t>
      </w:r>
      <w:r w:rsidRPr="008B3051">
        <w:rPr>
          <w:rFonts w:ascii="Verdana" w:eastAsia="Times New Roman" w:hAnsi="Verdana" w:cs="Times New Roman"/>
          <w:sz w:val="24"/>
          <w:szCs w:val="24"/>
          <w:u w:val="single"/>
        </w:rPr>
        <w:t>Pub. L. 94–569</w:t>
      </w:r>
      <w:r w:rsidRPr="008B3051">
        <w:rPr>
          <w:rFonts w:ascii="Verdana" w:eastAsia="Times New Roman" w:hAnsi="Verdana" w:cs="Times New Roman"/>
          <w:sz w:val="24"/>
          <w:szCs w:val="24"/>
        </w:rPr>
        <w:t> substituted “the date which is” for “the date which is 2 years after” in provisions preceding cl. (i), substituted “January 2, 1978” for “the date of the enactment of this paragraph” in cl. (i), and substituted “2 years after the date” for “the date” in cl. (ii).</w:t>
      </w:r>
    </w:p>
    <w:p w14:paraId="0305F9D2" w14:textId="14ED7EB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(b)(3)(B)(ii). </w:t>
      </w:r>
      <w:r w:rsidRPr="008B3051">
        <w:rPr>
          <w:rFonts w:ascii="Verdana" w:eastAsia="Times New Roman" w:hAnsi="Verdana" w:cs="Times New Roman"/>
          <w:sz w:val="24"/>
          <w:szCs w:val="24"/>
          <w:u w:val="single"/>
        </w:rPr>
        <w:t>Pub. L. 94–455</w:t>
      </w:r>
      <w:r w:rsidRPr="008B3051">
        <w:rPr>
          <w:rFonts w:ascii="Verdana" w:eastAsia="Times New Roman" w:hAnsi="Verdana" w:cs="Times New Roman"/>
          <w:sz w:val="24"/>
          <w:szCs w:val="24"/>
        </w:rPr>
        <w:t>, § 1901(b)(9), redesignated cl. (iii) as (ii) and struck out former cl. (ii) which provided that an individual who was a dependent solely by reason of par. (10) of section 152(a) would not be considered as a head of a household.</w:t>
      </w:r>
    </w:p>
    <w:p w14:paraId="174D9DFF" w14:textId="4CD6EA6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(c). </w:t>
      </w:r>
      <w:r w:rsidRPr="008B3051">
        <w:rPr>
          <w:rFonts w:ascii="Verdana" w:eastAsia="Times New Roman" w:hAnsi="Verdana" w:cs="Times New Roman"/>
          <w:sz w:val="24"/>
          <w:szCs w:val="24"/>
          <w:u w:val="single"/>
        </w:rPr>
        <w:t>Pub. L. 94–455</w:t>
      </w:r>
      <w:r w:rsidRPr="008B3051">
        <w:rPr>
          <w:rFonts w:ascii="Verdana" w:eastAsia="Times New Roman" w:hAnsi="Verdana" w:cs="Times New Roman"/>
          <w:sz w:val="24"/>
          <w:szCs w:val="24"/>
        </w:rPr>
        <w:t>, § 1901(a)(1), substituted “shall be treated as not married at the close of the taxable year” for “shall not be considered as married”.</w:t>
      </w:r>
    </w:p>
    <w:p w14:paraId="17B2F5AA" w14:textId="31EC0D7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1975—Subsec. (a)(3). </w:t>
      </w:r>
      <w:r w:rsidRPr="008B3051">
        <w:rPr>
          <w:rFonts w:ascii="Verdana" w:eastAsia="Times New Roman" w:hAnsi="Verdana" w:cs="Times New Roman"/>
          <w:sz w:val="24"/>
          <w:szCs w:val="24"/>
          <w:u w:val="single"/>
        </w:rPr>
        <w:t>Pub. L. 93–597</w:t>
      </w:r>
      <w:r w:rsidRPr="008B3051">
        <w:rPr>
          <w:rFonts w:ascii="Verdana" w:eastAsia="Times New Roman" w:hAnsi="Verdana" w:cs="Times New Roman"/>
          <w:sz w:val="24"/>
          <w:szCs w:val="24"/>
        </w:rPr>
        <w:t> added par. (3).</w:t>
      </w:r>
    </w:p>
    <w:p w14:paraId="478743D0" w14:textId="0E3B819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1969—Subsec. (a).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redesignated subsec. (b) as (a). See </w:t>
      </w:r>
      <w:r w:rsidRPr="008B3051">
        <w:rPr>
          <w:rFonts w:ascii="Verdana" w:eastAsia="Times New Roman" w:hAnsi="Verdana" w:cs="Times New Roman"/>
          <w:sz w:val="24"/>
          <w:szCs w:val="24"/>
          <w:u w:val="single"/>
        </w:rPr>
        <w:t>sec. 1(a) of this title</w:t>
      </w:r>
      <w:r w:rsidRPr="008B3051">
        <w:rPr>
          <w:rFonts w:ascii="Verdana" w:eastAsia="Times New Roman" w:hAnsi="Verdana" w:cs="Times New Roman"/>
          <w:sz w:val="24"/>
          <w:szCs w:val="24"/>
        </w:rPr>
        <w:t>.</w:t>
      </w:r>
    </w:p>
    <w:p w14:paraId="2B416039" w14:textId="25F8346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redesignated provisions of former section 1(b)(2) to (4) of this title as subsec. (b). Former subsec. (b) redesignated (a), with minor changes.</w:t>
      </w:r>
    </w:p>
    <w:p w14:paraId="06154680" w14:textId="3586EAF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(c).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added subsec. (c).</w:t>
      </w:r>
    </w:p>
    <w:p w14:paraId="793E3D2A" w14:textId="2288E95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(d).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redesignated as subsec. (d) provisions of former section 1(d) with minor changes.</w:t>
      </w:r>
    </w:p>
    <w:p w14:paraId="63BD7BF3" w14:textId="69C59A6D"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(e).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redesignated as subsec. (e) provisions of former section 1(e).</w:t>
      </w:r>
    </w:p>
    <w:p w14:paraId="774917AE" w14:textId="4F76C2A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1964—Subsec. (a). </w:t>
      </w:r>
      <w:r w:rsidRPr="008B3051">
        <w:rPr>
          <w:rFonts w:ascii="Verdana" w:eastAsia="Times New Roman" w:hAnsi="Verdana" w:cs="Times New Roman"/>
          <w:sz w:val="24"/>
          <w:szCs w:val="24"/>
          <w:u w:val="single"/>
        </w:rPr>
        <w:t>Pub. L. 88–272</w:t>
      </w:r>
      <w:r w:rsidRPr="008B3051">
        <w:rPr>
          <w:rFonts w:ascii="Verdana" w:eastAsia="Times New Roman" w:hAnsi="Verdana" w:cs="Times New Roman"/>
          <w:sz w:val="24"/>
          <w:szCs w:val="24"/>
        </w:rPr>
        <w:t> inserted reference to section 141.</w:t>
      </w:r>
    </w:p>
    <w:p w14:paraId="4A1E587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2004 Amendment</w:t>
      </w:r>
    </w:p>
    <w:p w14:paraId="0934703A" w14:textId="506559E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108–311, title II</w:t>
      </w:r>
      <w:r w:rsidRPr="008B3051">
        <w:rPr>
          <w:rFonts w:ascii="Verdana" w:eastAsia="Times New Roman" w:hAnsi="Verdana" w:cs="Times New Roman"/>
          <w:sz w:val="24"/>
          <w:szCs w:val="24"/>
        </w:rPr>
        <w:t>, § 208, Oct. 4, 2004, </w:t>
      </w:r>
      <w:r w:rsidRPr="008B3051">
        <w:rPr>
          <w:rFonts w:ascii="Verdana" w:eastAsia="Times New Roman" w:hAnsi="Verdana" w:cs="Times New Roman"/>
          <w:sz w:val="24"/>
          <w:szCs w:val="24"/>
          <w:u w:val="single"/>
        </w:rPr>
        <w:t>118 Stat. 1178</w:t>
      </w:r>
      <w:r w:rsidRPr="008B3051">
        <w:rPr>
          <w:rFonts w:ascii="Verdana" w:eastAsia="Times New Roman" w:hAnsi="Verdana" w:cs="Times New Roman"/>
          <w:sz w:val="24"/>
          <w:szCs w:val="24"/>
        </w:rPr>
        <w:t>, provided that:</w:t>
      </w:r>
    </w:p>
    <w:p w14:paraId="3BC20DE1" w14:textId="634E8D4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title [amending this section and sections </w:t>
      </w:r>
      <w:r w:rsidRPr="008B3051">
        <w:rPr>
          <w:rFonts w:ascii="Verdana" w:eastAsia="Times New Roman" w:hAnsi="Verdana" w:cs="Times New Roman"/>
          <w:sz w:val="24"/>
          <w:szCs w:val="24"/>
          <w:u w:val="single"/>
        </w:rPr>
        <w:t>21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24</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25B</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32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42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51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72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105</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120</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125</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129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132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151</w:t>
      </w:r>
      <w:r w:rsidRPr="008B3051">
        <w:rPr>
          <w:rFonts w:ascii="Verdana" w:eastAsia="Times New Roman" w:hAnsi="Verdana" w:cs="Times New Roman"/>
          <w:sz w:val="24"/>
          <w:szCs w:val="24"/>
        </w:rPr>
        <w:t> to </w:t>
      </w:r>
      <w:r w:rsidRPr="008B3051">
        <w:rPr>
          <w:rFonts w:ascii="Verdana" w:eastAsia="Times New Roman" w:hAnsi="Verdana" w:cs="Times New Roman"/>
          <w:sz w:val="24"/>
          <w:szCs w:val="24"/>
          <w:u w:val="single"/>
        </w:rPr>
        <w:t>153</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170</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213</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220</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221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529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2032A</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2057</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7701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7702B</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7703</w:t>
      </w:r>
      <w:r w:rsidRPr="008B3051">
        <w:rPr>
          <w:rFonts w:ascii="Verdana" w:eastAsia="Times New Roman" w:hAnsi="Verdana" w:cs="Times New Roman"/>
          <w:sz w:val="24"/>
          <w:szCs w:val="24"/>
        </w:rPr>
        <w:t> of this title] shall apply to taxable years beginning after December 31, 2004.”</w:t>
      </w:r>
    </w:p>
    <w:p w14:paraId="1E9B3C0B"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1988 Amendment</w:t>
      </w:r>
    </w:p>
    <w:p w14:paraId="445B3A87" w14:textId="4FE6437E"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100–647</w:t>
      </w:r>
      <w:r w:rsidRPr="008B3051">
        <w:rPr>
          <w:rFonts w:ascii="Verdana" w:eastAsia="Times New Roman" w:hAnsi="Verdana" w:cs="Times New Roman"/>
          <w:sz w:val="24"/>
          <w:szCs w:val="24"/>
        </w:rPr>
        <w:t> effective, except as otherwise provided, as if included in the provision of the Tax Reform Act of 1986,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to which such amendment relates, see </w:t>
      </w:r>
      <w:r w:rsidRPr="008B3051">
        <w:rPr>
          <w:rFonts w:ascii="Verdana" w:eastAsia="Times New Roman" w:hAnsi="Verdana" w:cs="Times New Roman"/>
          <w:sz w:val="24"/>
          <w:szCs w:val="24"/>
          <w:u w:val="single"/>
        </w:rPr>
        <w:t>section 1019(a) of Pub. L. 100–647</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7AE1204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lastRenderedPageBreak/>
        <w:t>Effective Date of 1986 Amendment</w:t>
      </w:r>
    </w:p>
    <w:p w14:paraId="29A08928" w14:textId="1A61660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section 1301(j)(10) of Pub. L. 99–514</w:t>
      </w:r>
      <w:r w:rsidRPr="008B3051">
        <w:rPr>
          <w:rFonts w:ascii="Verdana" w:eastAsia="Times New Roman" w:hAnsi="Verdana" w:cs="Times New Roman"/>
          <w:sz w:val="24"/>
          <w:szCs w:val="24"/>
        </w:rPr>
        <w:t> applicable to bonds issued after Aug. 15, 1986, except as otherwise provided, see sections 1311 to 1318 of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set out as an Effective Date; Transitional Rules note under </w:t>
      </w:r>
      <w:r w:rsidRPr="008B3051">
        <w:rPr>
          <w:rFonts w:ascii="Verdana" w:eastAsia="Times New Roman" w:hAnsi="Verdana" w:cs="Times New Roman"/>
          <w:sz w:val="24"/>
          <w:szCs w:val="24"/>
          <w:u w:val="single"/>
        </w:rPr>
        <w:t>section 141 of this title</w:t>
      </w:r>
      <w:r w:rsidRPr="008B3051">
        <w:rPr>
          <w:rFonts w:ascii="Verdana" w:eastAsia="Times New Roman" w:hAnsi="Verdana" w:cs="Times New Roman"/>
          <w:sz w:val="24"/>
          <w:szCs w:val="24"/>
        </w:rPr>
        <w:t>.</w:t>
      </w:r>
    </w:p>
    <w:p w14:paraId="0EBA8818" w14:textId="21CA85F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99–514, title XVII</w:t>
      </w:r>
      <w:r w:rsidRPr="008B3051">
        <w:rPr>
          <w:rFonts w:ascii="Verdana" w:eastAsia="Times New Roman" w:hAnsi="Verdana" w:cs="Times New Roman"/>
          <w:sz w:val="24"/>
          <w:szCs w:val="24"/>
        </w:rPr>
        <w:t>, § 1708(b), Oct. 22, 1986, </w:t>
      </w:r>
      <w:r w:rsidRPr="008B3051">
        <w:rPr>
          <w:rFonts w:ascii="Verdana" w:eastAsia="Times New Roman" w:hAnsi="Verdana" w:cs="Times New Roman"/>
          <w:sz w:val="24"/>
          <w:szCs w:val="24"/>
          <w:u w:val="single"/>
        </w:rPr>
        <w:t>100 Stat. 2783</w:t>
      </w:r>
      <w:r w:rsidRPr="008B3051">
        <w:rPr>
          <w:rFonts w:ascii="Verdana" w:eastAsia="Times New Roman" w:hAnsi="Verdana" w:cs="Times New Roman"/>
          <w:sz w:val="24"/>
          <w:szCs w:val="24"/>
        </w:rPr>
        <w:t>, provided that:</w:t>
      </w:r>
    </w:p>
    <w:p w14:paraId="2503BBEA" w14:textId="4F2BE8F8"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w:t>
      </w:r>
      <w:r w:rsidRPr="008B3051">
        <w:rPr>
          <w:rFonts w:ascii="Verdana" w:eastAsia="Times New Roman" w:hAnsi="Verdana" w:cs="Times New Roman"/>
          <w:sz w:val="24"/>
          <w:szCs w:val="24"/>
          <w:u w:val="single"/>
        </w:rPr>
        <w:t>692</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6013</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7508</w:t>
      </w:r>
      <w:r w:rsidRPr="008B3051">
        <w:rPr>
          <w:rFonts w:ascii="Verdana" w:eastAsia="Times New Roman" w:hAnsi="Verdana" w:cs="Times New Roman"/>
          <w:sz w:val="24"/>
          <w:szCs w:val="24"/>
        </w:rPr>
        <w:t> of this title] shall apply to taxable years beginning after December 31, 1982.”</w:t>
      </w:r>
    </w:p>
    <w:p w14:paraId="1B4CC68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1984 Amendment</w:t>
      </w:r>
    </w:p>
    <w:p w14:paraId="6B688CDE" w14:textId="05BD99B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98–369, div. A, title IV</w:t>
      </w:r>
      <w:r w:rsidRPr="008B3051">
        <w:rPr>
          <w:rFonts w:ascii="Verdana" w:eastAsia="Times New Roman" w:hAnsi="Verdana" w:cs="Times New Roman"/>
          <w:sz w:val="24"/>
          <w:szCs w:val="24"/>
        </w:rPr>
        <w:t>, § 423(d), July 18, 1984, </w:t>
      </w:r>
      <w:r w:rsidRPr="008B3051">
        <w:rPr>
          <w:rFonts w:ascii="Verdana" w:eastAsia="Times New Roman" w:hAnsi="Verdana" w:cs="Times New Roman"/>
          <w:sz w:val="24"/>
          <w:szCs w:val="24"/>
          <w:u w:val="single"/>
        </w:rPr>
        <w:t>98 Stat. 801</w:t>
      </w:r>
      <w:r w:rsidRPr="008B3051">
        <w:rPr>
          <w:rFonts w:ascii="Verdana" w:eastAsia="Times New Roman" w:hAnsi="Verdana" w:cs="Times New Roman"/>
          <w:sz w:val="24"/>
          <w:szCs w:val="24"/>
        </w:rPr>
        <w:t>, provided that:</w:t>
      </w:r>
    </w:p>
    <w:p w14:paraId="24F11577" w14:textId="53466BD2"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w:t>
      </w:r>
      <w:r w:rsidRPr="008B3051">
        <w:rPr>
          <w:rFonts w:ascii="Verdana" w:eastAsia="Times New Roman" w:hAnsi="Verdana" w:cs="Times New Roman"/>
          <w:sz w:val="24"/>
          <w:szCs w:val="24"/>
          <w:u w:val="single"/>
        </w:rPr>
        <w:t>43</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44A</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105</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143</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152</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213</w:t>
      </w:r>
      <w:r w:rsidRPr="008B3051">
        <w:rPr>
          <w:rFonts w:ascii="Verdana" w:eastAsia="Times New Roman" w:hAnsi="Verdana" w:cs="Times New Roman"/>
          <w:sz w:val="24"/>
          <w:szCs w:val="24"/>
        </w:rPr>
        <w:t> of this title] shall apply to taxable years beginning after December 31, 1984.”</w:t>
      </w:r>
    </w:p>
    <w:p w14:paraId="4FD1309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1976 Amendment</w:t>
      </w:r>
    </w:p>
    <w:p w14:paraId="27424A88" w14:textId="5F88241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94–455, title XIX</w:t>
      </w:r>
      <w:r w:rsidRPr="008B3051">
        <w:rPr>
          <w:rFonts w:ascii="Verdana" w:eastAsia="Times New Roman" w:hAnsi="Verdana" w:cs="Times New Roman"/>
          <w:sz w:val="24"/>
          <w:szCs w:val="24"/>
        </w:rPr>
        <w:t>, § 1901(d), Oct. 4, 1976, </w:t>
      </w:r>
      <w:r w:rsidRPr="008B3051">
        <w:rPr>
          <w:rFonts w:ascii="Verdana" w:eastAsia="Times New Roman" w:hAnsi="Verdana" w:cs="Times New Roman"/>
          <w:sz w:val="24"/>
          <w:szCs w:val="24"/>
          <w:u w:val="single"/>
        </w:rPr>
        <w:t>90 Stat. 1803</w:t>
      </w:r>
      <w:r w:rsidRPr="008B3051">
        <w:rPr>
          <w:rFonts w:ascii="Verdana" w:eastAsia="Times New Roman" w:hAnsi="Verdana" w:cs="Times New Roman"/>
          <w:sz w:val="24"/>
          <w:szCs w:val="24"/>
        </w:rPr>
        <w:t>, provided that:</w:t>
      </w:r>
    </w:p>
    <w:p w14:paraId="3531FAEE" w14:textId="3E12EF71"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expressly provided in this section, the amendments made by this section [</w:t>
      </w:r>
      <w:r w:rsidRPr="008B3051">
        <w:rPr>
          <w:rFonts w:ascii="Verdana" w:eastAsia="Times New Roman" w:hAnsi="Verdana" w:cs="Times New Roman"/>
          <w:sz w:val="24"/>
          <w:szCs w:val="24"/>
          <w:u w:val="single"/>
        </w:rPr>
        <w:t>see</w:t>
      </w:r>
      <w:r w:rsidRPr="008B3051">
        <w:rPr>
          <w:rFonts w:ascii="Verdana" w:eastAsia="Times New Roman" w:hAnsi="Verdana" w:cs="Times New Roman"/>
          <w:sz w:val="24"/>
          <w:szCs w:val="24"/>
        </w:rPr>
        <w:t> Tables for classification] shall apply with respect to </w:t>
      </w:r>
      <w:r w:rsidRPr="008B3051">
        <w:rPr>
          <w:rFonts w:ascii="Verdana" w:eastAsia="Times New Roman" w:hAnsi="Verdana" w:cs="Times New Roman"/>
          <w:sz w:val="24"/>
          <w:szCs w:val="24"/>
          <w:u w:val="single"/>
        </w:rPr>
        <w:t>taxable years</w:t>
      </w:r>
      <w:r w:rsidRPr="008B3051">
        <w:rPr>
          <w:rFonts w:ascii="Verdana" w:eastAsia="Times New Roman" w:hAnsi="Verdana" w:cs="Times New Roman"/>
          <w:sz w:val="24"/>
          <w:szCs w:val="24"/>
        </w:rPr>
        <w:t> beginning after December 31, 1976. The amendments made by subsections (a)(29) and (b)(10) shall apply with respect to taxable years ending after the date of the enactment of this Act [Oct. 4, 1976].”</w:t>
      </w:r>
    </w:p>
    <w:p w14:paraId="597446C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1975 Amendment</w:t>
      </w:r>
    </w:p>
    <w:p w14:paraId="5CCC946A" w14:textId="7D978A05"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93–597</w:t>
      </w:r>
      <w:r w:rsidRPr="008B3051">
        <w:rPr>
          <w:rFonts w:ascii="Verdana" w:eastAsia="Times New Roman" w:hAnsi="Verdana" w:cs="Times New Roman"/>
          <w:sz w:val="24"/>
          <w:szCs w:val="24"/>
        </w:rPr>
        <w:t> applicable to taxable years ending on or after Feb. 28, 1961, see </w:t>
      </w:r>
      <w:r w:rsidRPr="008B3051">
        <w:rPr>
          <w:rFonts w:ascii="Verdana" w:eastAsia="Times New Roman" w:hAnsi="Verdana" w:cs="Times New Roman"/>
          <w:sz w:val="24"/>
          <w:szCs w:val="24"/>
          <w:u w:val="single"/>
        </w:rPr>
        <w:t>section 3(c) of Pub. L. 93–597</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6013 of this title</w:t>
      </w:r>
      <w:r w:rsidRPr="008B3051">
        <w:rPr>
          <w:rFonts w:ascii="Verdana" w:eastAsia="Times New Roman" w:hAnsi="Verdana" w:cs="Times New Roman"/>
          <w:sz w:val="24"/>
          <w:szCs w:val="24"/>
        </w:rPr>
        <w:t>.</w:t>
      </w:r>
    </w:p>
    <w:p w14:paraId="2F6688F7"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1969 Amendment</w:t>
      </w:r>
    </w:p>
    <w:p w14:paraId="0BA13923" w14:textId="34442C1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applicable to taxable years beginning after Dec. 31, 1970, except that subsec. (c) is applicable to taxable years beginning after Dec. 31, 1969, see </w:t>
      </w:r>
      <w:r w:rsidRPr="008B3051">
        <w:rPr>
          <w:rFonts w:ascii="Verdana" w:eastAsia="Times New Roman" w:hAnsi="Verdana" w:cs="Times New Roman"/>
          <w:sz w:val="24"/>
          <w:szCs w:val="24"/>
          <w:u w:val="single"/>
        </w:rPr>
        <w:t>section 803(f) of Pub. L. 91–172</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4319992E"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1964 Amendment</w:t>
      </w:r>
    </w:p>
    <w:p w14:paraId="48164CA8" w14:textId="1DA1020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88–272</w:t>
      </w:r>
      <w:r w:rsidRPr="008B3051">
        <w:rPr>
          <w:rFonts w:ascii="Verdana" w:eastAsia="Times New Roman" w:hAnsi="Verdana" w:cs="Times New Roman"/>
          <w:sz w:val="24"/>
          <w:szCs w:val="24"/>
        </w:rPr>
        <w:t>, except for purposes of </w:t>
      </w:r>
      <w:r w:rsidRPr="008B3051">
        <w:rPr>
          <w:rFonts w:ascii="Verdana" w:eastAsia="Times New Roman" w:hAnsi="Verdana" w:cs="Times New Roman"/>
          <w:sz w:val="24"/>
          <w:szCs w:val="24"/>
          <w:u w:val="single"/>
        </w:rPr>
        <w:t>section 21 of this title</w:t>
      </w:r>
      <w:r w:rsidRPr="008B3051">
        <w:rPr>
          <w:rFonts w:ascii="Verdana" w:eastAsia="Times New Roman" w:hAnsi="Verdana" w:cs="Times New Roman"/>
          <w:sz w:val="24"/>
          <w:szCs w:val="24"/>
        </w:rPr>
        <w:t>, effective with respect to taxable years beginning after Dec. 31, 1963, see </w:t>
      </w:r>
      <w:r w:rsidRPr="008B3051">
        <w:rPr>
          <w:rFonts w:ascii="Verdana" w:eastAsia="Times New Roman" w:hAnsi="Verdana" w:cs="Times New Roman"/>
          <w:sz w:val="24"/>
          <w:szCs w:val="24"/>
          <w:u w:val="single"/>
        </w:rPr>
        <w:t>section 131 of Pub. L. 88–272</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0CC6FEDB" w14:textId="1A87A5CC" w:rsidR="005B3BD3" w:rsidRPr="008B3051" w:rsidRDefault="005B3BD3" w:rsidP="005B3BD3">
      <w:pPr>
        <w:shd w:val="clear" w:color="auto" w:fill="FFFFFF"/>
        <w:spacing w:after="60" w:line="240" w:lineRule="auto"/>
        <w:ind w:left="720"/>
        <w:rPr>
          <w:rFonts w:ascii="Verdana" w:eastAsia="Times New Roman" w:hAnsi="Verdana" w:cs="Times New Roman"/>
          <w:sz w:val="24"/>
          <w:szCs w:val="24"/>
        </w:rPr>
      </w:pPr>
    </w:p>
    <w:p w14:paraId="60F031A3" w14:textId="77777777" w:rsidR="00EF5FE1" w:rsidRPr="008B3051" w:rsidRDefault="00EF5FE1" w:rsidP="005B3BD3">
      <w:pPr>
        <w:shd w:val="clear" w:color="auto" w:fill="FFFFFF"/>
        <w:spacing w:after="60" w:line="240" w:lineRule="auto"/>
        <w:ind w:left="720"/>
        <w:rPr>
          <w:rFonts w:ascii="Verdana" w:eastAsia="Times New Roman" w:hAnsi="Verdana" w:cs="Times New Roman"/>
          <w:sz w:val="24"/>
          <w:szCs w:val="24"/>
        </w:rPr>
      </w:pPr>
    </w:p>
    <w:p w14:paraId="5D646001" w14:textId="79AD32B2" w:rsidR="005B3BD3" w:rsidRPr="008B3051" w:rsidRDefault="005B3BD3" w:rsidP="005B3BD3">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 3 - Tax tables for individuals</w:t>
      </w:r>
    </w:p>
    <w:p w14:paraId="047ED9DE" w14:textId="1178CF3A" w:rsidR="00EF5FE1" w:rsidRPr="008B3051" w:rsidRDefault="00EF5FE1" w:rsidP="00EF5FE1">
      <w:pPr>
        <w:shd w:val="clear" w:color="auto" w:fill="FFFFFF"/>
        <w:spacing w:after="60" w:line="240" w:lineRule="auto"/>
        <w:ind w:left="720"/>
        <w:rPr>
          <w:rFonts w:ascii="Verdana" w:eastAsia="Times New Roman" w:hAnsi="Verdana" w:cs="Times New Roman"/>
          <w:sz w:val="24"/>
          <w:szCs w:val="24"/>
        </w:rPr>
      </w:pPr>
    </w:p>
    <w:p w14:paraId="0118D7C1"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w:t>
      </w:r>
      <w:r w:rsidRPr="008B3051">
        <w:rPr>
          <w:rFonts w:ascii="Verdana" w:eastAsia="Times New Roman" w:hAnsi="Verdana" w:cs="Times New Roman"/>
          <w:b/>
          <w:bCs/>
          <w:smallCaps/>
          <w:sz w:val="24"/>
          <w:szCs w:val="24"/>
        </w:rPr>
        <w:t>Imposition of tax table tax</w:t>
      </w:r>
    </w:p>
    <w:p w14:paraId="3119B412" w14:textId="166537D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(1)</w:t>
      </w:r>
      <w:r w:rsidRPr="008B3051">
        <w:rPr>
          <w:rFonts w:ascii="Verdana" w:eastAsia="Times New Roman" w:hAnsi="Verdana" w:cs="Times New Roman"/>
          <w:b/>
          <w:bCs/>
          <w:smallCaps/>
          <w:sz w:val="24"/>
          <w:szCs w:val="24"/>
        </w:rPr>
        <w:t>In general</w:t>
      </w:r>
      <w:r w:rsidRPr="008B3051">
        <w:rPr>
          <w:rFonts w:ascii="Verdana" w:eastAsia="Times New Roman" w:hAnsi="Verdana" w:cs="Times New Roman"/>
          <w:sz w:val="24"/>
          <w:szCs w:val="24"/>
        </w:rPr>
        <w:t>In lieu of the </w:t>
      </w:r>
      <w:r w:rsidRPr="008B3051">
        <w:rPr>
          <w:rFonts w:ascii="Verdana" w:eastAsia="Times New Roman" w:hAnsi="Verdana" w:cs="Times New Roman"/>
          <w:sz w:val="24"/>
          <w:szCs w:val="24"/>
          <w:u w:val="single"/>
        </w:rPr>
        <w:t>tax</w:t>
      </w:r>
      <w:r w:rsidRPr="008B3051">
        <w:rPr>
          <w:rFonts w:ascii="Verdana" w:eastAsia="Times New Roman" w:hAnsi="Verdana" w:cs="Times New Roman"/>
          <w:sz w:val="24"/>
          <w:szCs w:val="24"/>
        </w:rPr>
        <w:t> imposed by section 1, there is hereby imposed for each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on the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 of every individual—</w:t>
      </w:r>
    </w:p>
    <w:p w14:paraId="421DEFC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w:t>
      </w:r>
    </w:p>
    <w:p w14:paraId="11849773" w14:textId="5A701715"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who does not itemize his deductions for the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and</w:t>
      </w:r>
    </w:p>
    <w:p w14:paraId="26B2D306"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(B)</w:t>
      </w:r>
    </w:p>
    <w:p w14:paraId="35564228" w14:textId="4B14D87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whose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 for such taxable year does not exceed the ceiling amount,</w:t>
      </w:r>
    </w:p>
    <w:p w14:paraId="4934BC1E" w14:textId="30E4B7E7"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w:t>
      </w:r>
      <w:r w:rsidRPr="008B3051">
        <w:rPr>
          <w:rFonts w:ascii="Verdana" w:eastAsia="Times New Roman" w:hAnsi="Verdana" w:cs="Times New Roman"/>
          <w:sz w:val="24"/>
          <w:szCs w:val="24"/>
          <w:u w:val="single"/>
        </w:rPr>
        <w:t>tax</w:t>
      </w:r>
      <w:r w:rsidRPr="008B3051">
        <w:rPr>
          <w:rFonts w:ascii="Verdana" w:eastAsia="Times New Roman" w:hAnsi="Verdana" w:cs="Times New Roman"/>
          <w:sz w:val="24"/>
          <w:szCs w:val="24"/>
        </w:rPr>
        <w:t> determined under tables, applicable to such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which shall be prescribed by the Secretary and which shall be in such form as he determines appropriate. In the table so prescribed, the amounts of the tax shall be computed on the basis of the rates prescribed by section 1.</w:t>
      </w:r>
    </w:p>
    <w:p w14:paraId="07219E99"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(2)</w:t>
      </w:r>
      <w:r w:rsidRPr="008B3051">
        <w:rPr>
          <w:rFonts w:ascii="Verdana" w:eastAsia="Times New Roman" w:hAnsi="Verdana" w:cs="Times New Roman"/>
          <w:b/>
          <w:bCs/>
          <w:smallCaps/>
          <w:sz w:val="24"/>
          <w:szCs w:val="24"/>
        </w:rPr>
        <w:t>Ceiling amount defined</w:t>
      </w:r>
    </w:p>
    <w:p w14:paraId="2FCE02F0" w14:textId="035A8ECE"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paragraph (1), the term “</w:t>
      </w:r>
      <w:r w:rsidRPr="008B3051">
        <w:rPr>
          <w:rFonts w:ascii="Verdana" w:eastAsia="Times New Roman" w:hAnsi="Verdana" w:cs="Times New Roman"/>
          <w:sz w:val="24"/>
          <w:szCs w:val="24"/>
          <w:u w:val="single"/>
        </w:rPr>
        <w:t>ceiling amount</w:t>
      </w:r>
      <w:r w:rsidRPr="008B3051">
        <w:rPr>
          <w:rFonts w:ascii="Verdana" w:eastAsia="Times New Roman" w:hAnsi="Verdana" w:cs="Times New Roman"/>
          <w:sz w:val="24"/>
          <w:szCs w:val="24"/>
        </w:rPr>
        <w:t>” means, with respect to any taxpayer, the amount (not less than $20,000) determined by the Secretary for the tax rate category in which such taxpayer falls.</w:t>
      </w:r>
    </w:p>
    <w:p w14:paraId="0D53833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(3)</w:t>
      </w:r>
      <w:r w:rsidRPr="008B3051">
        <w:rPr>
          <w:rFonts w:ascii="Verdana" w:eastAsia="Times New Roman" w:hAnsi="Verdana" w:cs="Times New Roman"/>
          <w:b/>
          <w:bCs/>
          <w:smallCaps/>
          <w:sz w:val="24"/>
          <w:szCs w:val="24"/>
        </w:rPr>
        <w:t>Authority to prescribe tables for taxpayers who itemize deductions</w:t>
      </w:r>
    </w:p>
    <w:p w14:paraId="57DE6AAA" w14:textId="001366D2"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w:t>
      </w:r>
      <w:r w:rsidRPr="008B3051">
        <w:rPr>
          <w:rFonts w:ascii="Verdana" w:eastAsia="Times New Roman" w:hAnsi="Verdana" w:cs="Times New Roman"/>
          <w:sz w:val="24"/>
          <w:szCs w:val="24"/>
          <w:u w:val="single"/>
        </w:rPr>
        <w:t>Secretary</w:t>
      </w:r>
      <w:r w:rsidRPr="008B3051">
        <w:rPr>
          <w:rFonts w:ascii="Verdana" w:eastAsia="Times New Roman" w:hAnsi="Verdana" w:cs="Times New Roman"/>
          <w:sz w:val="24"/>
          <w:szCs w:val="24"/>
        </w:rPr>
        <w:t> may provide that this section shall apply also for any </w:t>
      </w:r>
      <w:r w:rsidRPr="008B3051">
        <w:rPr>
          <w:rFonts w:ascii="Verdana" w:eastAsia="Times New Roman" w:hAnsi="Verdana" w:cs="Times New Roman"/>
          <w:sz w:val="24"/>
          <w:szCs w:val="24"/>
          <w:u w:val="single"/>
        </w:rPr>
        <w:t>taxable year</w:t>
      </w:r>
      <w:r w:rsidRPr="008B3051">
        <w:rPr>
          <w:rFonts w:ascii="Verdana" w:eastAsia="Times New Roman" w:hAnsi="Verdana" w:cs="Times New Roman"/>
          <w:sz w:val="24"/>
          <w:szCs w:val="24"/>
        </w:rPr>
        <w:t> to individuals who itemize their deductions. Any tables prescribed under the preceding sentence shall be on the basis of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w:t>
      </w:r>
    </w:p>
    <w:p w14:paraId="0AAEDBB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(b)</w:t>
      </w:r>
      <w:r w:rsidRPr="008B3051">
        <w:rPr>
          <w:rFonts w:ascii="Verdana" w:eastAsia="Times New Roman" w:hAnsi="Verdana" w:cs="Times New Roman"/>
          <w:b/>
          <w:bCs/>
          <w:smallCaps/>
          <w:sz w:val="24"/>
          <w:szCs w:val="24"/>
        </w:rPr>
        <w:t>Section inapplicable to certain individuals</w:t>
      </w:r>
      <w:r w:rsidRPr="008B3051">
        <w:rPr>
          <w:rFonts w:ascii="Verdana" w:eastAsia="Times New Roman" w:hAnsi="Verdana" w:cs="Times New Roman"/>
          <w:sz w:val="24"/>
          <w:szCs w:val="24"/>
        </w:rPr>
        <w:t>This section shall not apply to—</w:t>
      </w:r>
    </w:p>
    <w:p w14:paraId="7130D5A5"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(1)</w:t>
      </w:r>
    </w:p>
    <w:p w14:paraId="79812209" w14:textId="5C64376D"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individual making a </w:t>
      </w:r>
      <w:r w:rsidRPr="008B3051">
        <w:rPr>
          <w:rFonts w:ascii="Verdana" w:eastAsia="Times New Roman" w:hAnsi="Verdana" w:cs="Times New Roman"/>
          <w:sz w:val="24"/>
          <w:szCs w:val="24"/>
          <w:u w:val="single"/>
        </w:rPr>
        <w:t>return</w:t>
      </w:r>
      <w:r w:rsidRPr="008B3051">
        <w:rPr>
          <w:rFonts w:ascii="Verdana" w:eastAsia="Times New Roman" w:hAnsi="Verdana" w:cs="Times New Roman"/>
          <w:sz w:val="24"/>
          <w:szCs w:val="24"/>
        </w:rPr>
        <w:t> under </w:t>
      </w:r>
      <w:r w:rsidRPr="008B3051">
        <w:rPr>
          <w:rFonts w:ascii="Verdana" w:eastAsia="Times New Roman" w:hAnsi="Verdana" w:cs="Times New Roman"/>
          <w:sz w:val="24"/>
          <w:szCs w:val="24"/>
          <w:u w:val="single"/>
        </w:rPr>
        <w:t>section 443(a)(1)</w:t>
      </w:r>
      <w:r w:rsidRPr="008B3051">
        <w:rPr>
          <w:rFonts w:ascii="Verdana" w:eastAsia="Times New Roman" w:hAnsi="Verdana" w:cs="Times New Roman"/>
          <w:sz w:val="24"/>
          <w:szCs w:val="24"/>
        </w:rPr>
        <w:t> for a period of less than 12 months on account of a change in annual accounting period, and</w:t>
      </w:r>
    </w:p>
    <w:p w14:paraId="6A03A04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(2)</w:t>
      </w:r>
    </w:p>
    <w:p w14:paraId="28291BD0" w14:textId="653BC108"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an estate or </w:t>
      </w:r>
      <w:r w:rsidRPr="008B3051">
        <w:rPr>
          <w:rFonts w:ascii="Verdana" w:eastAsia="Times New Roman" w:hAnsi="Verdana" w:cs="Times New Roman"/>
          <w:sz w:val="24"/>
          <w:szCs w:val="24"/>
          <w:u w:val="single"/>
        </w:rPr>
        <w:t>trust</w:t>
      </w:r>
      <w:r w:rsidRPr="008B3051">
        <w:rPr>
          <w:rFonts w:ascii="Verdana" w:eastAsia="Times New Roman" w:hAnsi="Verdana" w:cs="Times New Roman"/>
          <w:sz w:val="24"/>
          <w:szCs w:val="24"/>
        </w:rPr>
        <w:t>.</w:t>
      </w:r>
    </w:p>
    <w:p w14:paraId="4C1CC7B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(c)</w:t>
      </w:r>
      <w:r w:rsidRPr="008B3051">
        <w:rPr>
          <w:rFonts w:ascii="Verdana" w:eastAsia="Times New Roman" w:hAnsi="Verdana" w:cs="Times New Roman"/>
          <w:b/>
          <w:bCs/>
          <w:smallCaps/>
          <w:sz w:val="24"/>
          <w:szCs w:val="24"/>
        </w:rPr>
        <w:t>Tax treated as imposed by section 1</w:t>
      </w:r>
    </w:p>
    <w:p w14:paraId="07277AF3" w14:textId="16326DE3"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purposes of this title, the </w:t>
      </w:r>
      <w:r w:rsidRPr="008B3051">
        <w:rPr>
          <w:rFonts w:ascii="Verdana" w:eastAsia="Times New Roman" w:hAnsi="Verdana" w:cs="Times New Roman"/>
          <w:sz w:val="24"/>
          <w:szCs w:val="24"/>
          <w:u w:val="single"/>
        </w:rPr>
        <w:t>tax</w:t>
      </w:r>
      <w:r w:rsidRPr="008B3051">
        <w:rPr>
          <w:rFonts w:ascii="Verdana" w:eastAsia="Times New Roman" w:hAnsi="Verdana" w:cs="Times New Roman"/>
          <w:sz w:val="24"/>
          <w:szCs w:val="24"/>
        </w:rPr>
        <w:t> imposed by this section shall be treated as </w:t>
      </w:r>
      <w:r w:rsidRPr="008B3051">
        <w:rPr>
          <w:rFonts w:ascii="Verdana" w:eastAsia="Times New Roman" w:hAnsi="Verdana" w:cs="Times New Roman"/>
          <w:sz w:val="24"/>
          <w:szCs w:val="24"/>
          <w:u w:val="single"/>
        </w:rPr>
        <w:t>tax</w:t>
      </w:r>
      <w:r w:rsidRPr="008B3051">
        <w:rPr>
          <w:rFonts w:ascii="Verdana" w:eastAsia="Times New Roman" w:hAnsi="Verdana" w:cs="Times New Roman"/>
          <w:sz w:val="24"/>
          <w:szCs w:val="24"/>
        </w:rPr>
        <w:t> imposed by section 1.</w:t>
      </w:r>
    </w:p>
    <w:p w14:paraId="10A4753A"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(d)</w:t>
      </w:r>
      <w:r w:rsidRPr="008B3051">
        <w:rPr>
          <w:rFonts w:ascii="Verdana" w:eastAsia="Times New Roman" w:hAnsi="Verdana" w:cs="Times New Roman"/>
          <w:b/>
          <w:bCs/>
          <w:smallCaps/>
          <w:sz w:val="24"/>
          <w:szCs w:val="24"/>
        </w:rPr>
        <w:t>Taxable income</w:t>
      </w:r>
    </w:p>
    <w:p w14:paraId="1031E759" w14:textId="5DC5729C"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Whenever it is necessary to determine the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 of an individual to whom this section applies, the </w:t>
      </w:r>
      <w:r w:rsidRPr="008B3051">
        <w:rPr>
          <w:rFonts w:ascii="Verdana" w:eastAsia="Times New Roman" w:hAnsi="Verdana" w:cs="Times New Roman"/>
          <w:sz w:val="24"/>
          <w:szCs w:val="24"/>
          <w:u w:val="single"/>
        </w:rPr>
        <w:t>taxable income</w:t>
      </w:r>
      <w:r w:rsidRPr="008B3051">
        <w:rPr>
          <w:rFonts w:ascii="Verdana" w:eastAsia="Times New Roman" w:hAnsi="Verdana" w:cs="Times New Roman"/>
          <w:sz w:val="24"/>
          <w:szCs w:val="24"/>
        </w:rPr>
        <w:t> shall be determined under section 63.</w:t>
      </w:r>
    </w:p>
    <w:p w14:paraId="6584FA6D"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w:t>
      </w:r>
      <w:r w:rsidRPr="008B3051">
        <w:rPr>
          <w:rFonts w:ascii="Verdana" w:eastAsia="Times New Roman" w:hAnsi="Verdana" w:cs="Times New Roman"/>
          <w:b/>
          <w:bCs/>
          <w:smallCaps/>
          <w:sz w:val="24"/>
          <w:szCs w:val="24"/>
        </w:rPr>
        <w:t>Cross reference</w:t>
      </w:r>
    </w:p>
    <w:p w14:paraId="3988112C" w14:textId="43E2E7F0"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For computation of </w:t>
      </w:r>
      <w:r w:rsidRPr="008B3051">
        <w:rPr>
          <w:rFonts w:ascii="Verdana" w:eastAsia="Times New Roman" w:hAnsi="Verdana" w:cs="Times New Roman"/>
          <w:sz w:val="24"/>
          <w:szCs w:val="24"/>
          <w:u w:val="single"/>
        </w:rPr>
        <w:t>tax</w:t>
      </w:r>
      <w:r w:rsidRPr="008B3051">
        <w:rPr>
          <w:rFonts w:ascii="Verdana" w:eastAsia="Times New Roman" w:hAnsi="Verdana" w:cs="Times New Roman"/>
          <w:sz w:val="24"/>
          <w:szCs w:val="24"/>
        </w:rPr>
        <w:t> by </w:t>
      </w:r>
      <w:r w:rsidRPr="008B3051">
        <w:rPr>
          <w:rFonts w:ascii="Verdana" w:eastAsia="Times New Roman" w:hAnsi="Verdana" w:cs="Times New Roman"/>
          <w:sz w:val="24"/>
          <w:szCs w:val="24"/>
          <w:u w:val="single"/>
        </w:rPr>
        <w:t>Secretary</w:t>
      </w:r>
      <w:r w:rsidRPr="008B3051">
        <w:rPr>
          <w:rFonts w:ascii="Verdana" w:eastAsia="Times New Roman" w:hAnsi="Verdana" w:cs="Times New Roman"/>
          <w:sz w:val="24"/>
          <w:szCs w:val="24"/>
        </w:rPr>
        <w:t>, see section 6014.</w:t>
      </w:r>
    </w:p>
    <w:p w14:paraId="34079C34" w14:textId="7C4005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(Aug. 16, 1954, ch. 736, </w:t>
      </w:r>
      <w:r w:rsidRPr="008B3051">
        <w:rPr>
          <w:rFonts w:ascii="Verdana" w:eastAsia="Times New Roman" w:hAnsi="Verdana" w:cs="Times New Roman"/>
          <w:sz w:val="24"/>
          <w:szCs w:val="24"/>
          <w:u w:val="single"/>
        </w:rPr>
        <w:t>68A Stat. 8</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88–272, title III</w:t>
      </w:r>
      <w:r w:rsidRPr="008B3051">
        <w:rPr>
          <w:rFonts w:ascii="Verdana" w:eastAsia="Times New Roman" w:hAnsi="Verdana" w:cs="Times New Roman"/>
          <w:sz w:val="24"/>
          <w:szCs w:val="24"/>
        </w:rPr>
        <w:t>, § 301(a), Feb. 26, 1964, </w:t>
      </w:r>
      <w:r w:rsidRPr="008B3051">
        <w:rPr>
          <w:rFonts w:ascii="Verdana" w:eastAsia="Times New Roman" w:hAnsi="Verdana" w:cs="Times New Roman"/>
          <w:sz w:val="24"/>
          <w:szCs w:val="24"/>
          <w:u w:val="single"/>
        </w:rPr>
        <w:t>78 Stat. 129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91–172, title VIII</w:t>
      </w:r>
      <w:r w:rsidRPr="008B3051">
        <w:rPr>
          <w:rFonts w:ascii="Verdana" w:eastAsia="Times New Roman" w:hAnsi="Verdana" w:cs="Times New Roman"/>
          <w:sz w:val="24"/>
          <w:szCs w:val="24"/>
        </w:rPr>
        <w:t>, § 803(c), Dec. 30, 1969, </w:t>
      </w:r>
      <w:r w:rsidRPr="008B3051">
        <w:rPr>
          <w:rFonts w:ascii="Verdana" w:eastAsia="Times New Roman" w:hAnsi="Verdana" w:cs="Times New Roman"/>
          <w:sz w:val="24"/>
          <w:szCs w:val="24"/>
          <w:u w:val="single"/>
        </w:rPr>
        <w:t>83 Stat. 684</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94–12, title II</w:t>
      </w:r>
      <w:r w:rsidRPr="008B3051">
        <w:rPr>
          <w:rFonts w:ascii="Verdana" w:eastAsia="Times New Roman" w:hAnsi="Verdana" w:cs="Times New Roman"/>
          <w:sz w:val="24"/>
          <w:szCs w:val="24"/>
        </w:rPr>
        <w:t>, § 201(c), Mar. 29, 1975, </w:t>
      </w:r>
      <w:r w:rsidRPr="008B3051">
        <w:rPr>
          <w:rFonts w:ascii="Verdana" w:eastAsia="Times New Roman" w:hAnsi="Verdana" w:cs="Times New Roman"/>
          <w:sz w:val="24"/>
          <w:szCs w:val="24"/>
          <w:u w:val="single"/>
        </w:rPr>
        <w:t>89 Stat. 29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94–455, title V</w:t>
      </w:r>
      <w:r w:rsidRPr="008B3051">
        <w:rPr>
          <w:rFonts w:ascii="Verdana" w:eastAsia="Times New Roman" w:hAnsi="Verdana" w:cs="Times New Roman"/>
          <w:sz w:val="24"/>
          <w:szCs w:val="24"/>
        </w:rPr>
        <w:t>, § 501(a), Oct. 4, 1976, </w:t>
      </w:r>
      <w:r w:rsidRPr="008B3051">
        <w:rPr>
          <w:rFonts w:ascii="Verdana" w:eastAsia="Times New Roman" w:hAnsi="Verdana" w:cs="Times New Roman"/>
          <w:sz w:val="24"/>
          <w:szCs w:val="24"/>
          <w:u w:val="single"/>
        </w:rPr>
        <w:t>90 Stat. 1558</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95–30, title I</w:t>
      </w:r>
      <w:r w:rsidRPr="008B3051">
        <w:rPr>
          <w:rFonts w:ascii="Verdana" w:eastAsia="Times New Roman" w:hAnsi="Verdana" w:cs="Times New Roman"/>
          <w:sz w:val="24"/>
          <w:szCs w:val="24"/>
        </w:rPr>
        <w:t>, § 101(b), May 23, 1977, </w:t>
      </w:r>
      <w:r w:rsidRPr="008B3051">
        <w:rPr>
          <w:rFonts w:ascii="Verdana" w:eastAsia="Times New Roman" w:hAnsi="Verdana" w:cs="Times New Roman"/>
          <w:sz w:val="24"/>
          <w:szCs w:val="24"/>
          <w:u w:val="single"/>
        </w:rPr>
        <w:t xml:space="preserve">91 Stat. </w:t>
      </w:r>
      <w:r w:rsidRPr="008B3051">
        <w:rPr>
          <w:rFonts w:ascii="Verdana" w:eastAsia="Times New Roman" w:hAnsi="Verdana" w:cs="Times New Roman"/>
          <w:sz w:val="24"/>
          <w:szCs w:val="24"/>
          <w:u w:val="single"/>
        </w:rPr>
        <w:lastRenderedPageBreak/>
        <w:t>131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95–600, title IV</w:t>
      </w:r>
      <w:r w:rsidRPr="008B3051">
        <w:rPr>
          <w:rFonts w:ascii="Verdana" w:eastAsia="Times New Roman" w:hAnsi="Verdana" w:cs="Times New Roman"/>
          <w:sz w:val="24"/>
          <w:szCs w:val="24"/>
        </w:rPr>
        <w:t>, § 401(b)(1), Nov. 6, 1978, </w:t>
      </w:r>
      <w:r w:rsidRPr="008B3051">
        <w:rPr>
          <w:rFonts w:ascii="Verdana" w:eastAsia="Times New Roman" w:hAnsi="Verdana" w:cs="Times New Roman"/>
          <w:sz w:val="24"/>
          <w:szCs w:val="24"/>
          <w:u w:val="single"/>
        </w:rPr>
        <w:t>92 Stat. 2867</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95–615, title II</w:t>
      </w:r>
      <w:r w:rsidRPr="008B3051">
        <w:rPr>
          <w:rFonts w:ascii="Verdana" w:eastAsia="Times New Roman" w:hAnsi="Verdana" w:cs="Times New Roman"/>
          <w:sz w:val="24"/>
          <w:szCs w:val="24"/>
        </w:rPr>
        <w:t>, § 202(f), as added </w:t>
      </w:r>
      <w:r w:rsidRPr="008B3051">
        <w:rPr>
          <w:rFonts w:ascii="Verdana" w:eastAsia="Times New Roman" w:hAnsi="Verdana" w:cs="Times New Roman"/>
          <w:sz w:val="24"/>
          <w:szCs w:val="24"/>
          <w:u w:val="single"/>
        </w:rPr>
        <w:t>Pub. L. 96–222, title I</w:t>
      </w:r>
      <w:r w:rsidRPr="008B3051">
        <w:rPr>
          <w:rFonts w:ascii="Verdana" w:eastAsia="Times New Roman" w:hAnsi="Verdana" w:cs="Times New Roman"/>
          <w:sz w:val="24"/>
          <w:szCs w:val="24"/>
        </w:rPr>
        <w:t>, § 108(a)(1)(A), Apr. 1, 1980, </w:t>
      </w:r>
      <w:r w:rsidRPr="008B3051">
        <w:rPr>
          <w:rFonts w:ascii="Verdana" w:eastAsia="Times New Roman" w:hAnsi="Verdana" w:cs="Times New Roman"/>
          <w:sz w:val="24"/>
          <w:szCs w:val="24"/>
          <w:u w:val="single"/>
        </w:rPr>
        <w:t>94 Stat. 223</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96–222, title I</w:t>
      </w:r>
      <w:r w:rsidRPr="008B3051">
        <w:rPr>
          <w:rFonts w:ascii="Verdana" w:eastAsia="Times New Roman" w:hAnsi="Verdana" w:cs="Times New Roman"/>
          <w:sz w:val="24"/>
          <w:szCs w:val="24"/>
        </w:rPr>
        <w:t>, § 108(a)(1)(E), Apr. 1, 1980, </w:t>
      </w:r>
      <w:r w:rsidRPr="008B3051">
        <w:rPr>
          <w:rFonts w:ascii="Verdana" w:eastAsia="Times New Roman" w:hAnsi="Verdana" w:cs="Times New Roman"/>
          <w:sz w:val="24"/>
          <w:szCs w:val="24"/>
          <w:u w:val="single"/>
        </w:rPr>
        <w:t>94 Stat. 225</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Pub. L. 97–34, title I</w:t>
      </w:r>
      <w:r w:rsidRPr="008B3051">
        <w:rPr>
          <w:rFonts w:ascii="Verdana" w:eastAsia="Times New Roman" w:hAnsi="Verdana" w:cs="Times New Roman"/>
          <w:sz w:val="24"/>
          <w:szCs w:val="24"/>
        </w:rPr>
        <w:t>, §§ 101(b)(2)(B), (C), (c)(2)(A), 121(c)(3), Aug. 13, 1981, </w:t>
      </w:r>
      <w:r w:rsidRPr="008B3051">
        <w:rPr>
          <w:rFonts w:ascii="Verdana" w:eastAsia="Times New Roman" w:hAnsi="Verdana" w:cs="Times New Roman"/>
          <w:sz w:val="24"/>
          <w:szCs w:val="24"/>
          <w:u w:val="single"/>
        </w:rPr>
        <w:t>95 Stat. 183</w:t>
      </w:r>
      <w:r w:rsidRPr="008B3051">
        <w:rPr>
          <w:rFonts w:ascii="Verdana" w:eastAsia="Times New Roman" w:hAnsi="Verdana" w:cs="Times New Roman"/>
          <w:sz w:val="24"/>
          <w:szCs w:val="24"/>
        </w:rPr>
        <w:t>, 197; </w:t>
      </w:r>
      <w:r w:rsidRPr="008B3051">
        <w:rPr>
          <w:rFonts w:ascii="Verdana" w:eastAsia="Times New Roman" w:hAnsi="Verdana" w:cs="Times New Roman"/>
          <w:sz w:val="24"/>
          <w:szCs w:val="24"/>
          <w:u w:val="single"/>
        </w:rPr>
        <w:t>Pub. L. 99–514, title I</w:t>
      </w:r>
      <w:r w:rsidRPr="008B3051">
        <w:rPr>
          <w:rFonts w:ascii="Verdana" w:eastAsia="Times New Roman" w:hAnsi="Verdana" w:cs="Times New Roman"/>
          <w:sz w:val="24"/>
          <w:szCs w:val="24"/>
        </w:rPr>
        <w:t>, §§ 102(b), 141(b)(1), Oct. 22, 1986, </w:t>
      </w:r>
      <w:r w:rsidRPr="008B3051">
        <w:rPr>
          <w:rFonts w:ascii="Verdana" w:eastAsia="Times New Roman" w:hAnsi="Verdana" w:cs="Times New Roman"/>
          <w:sz w:val="24"/>
          <w:szCs w:val="24"/>
          <w:u w:val="single"/>
        </w:rPr>
        <w:t>100 Stat. 2102</w:t>
      </w:r>
      <w:r w:rsidRPr="008B3051">
        <w:rPr>
          <w:rFonts w:ascii="Verdana" w:eastAsia="Times New Roman" w:hAnsi="Verdana" w:cs="Times New Roman"/>
          <w:sz w:val="24"/>
          <w:szCs w:val="24"/>
        </w:rPr>
        <w:t>, 2117.)</w:t>
      </w:r>
    </w:p>
    <w:p w14:paraId="5B25B40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Amendments</w:t>
      </w:r>
    </w:p>
    <w:p w14:paraId="507786E5" w14:textId="12AA208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1986—Subsec. (a).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 102(b), substituted subsec. (a) for former subsec. (a) which read as follows:</w:t>
      </w:r>
    </w:p>
    <w:p w14:paraId="147ED4B0" w14:textId="6C9CE87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 </w:t>
      </w:r>
      <w:r w:rsidRPr="008B3051">
        <w:rPr>
          <w:rFonts w:ascii="Verdana" w:eastAsia="Times New Roman" w:hAnsi="Verdana" w:cs="Times New Roman"/>
          <w:smallCaps/>
          <w:sz w:val="24"/>
          <w:szCs w:val="24"/>
        </w:rPr>
        <w:t>In general</w:t>
      </w:r>
      <w:r w:rsidRPr="008B3051">
        <w:rPr>
          <w:rFonts w:ascii="Verdana" w:eastAsia="Times New Roman" w:hAnsi="Verdana" w:cs="Times New Roman"/>
          <w:sz w:val="24"/>
          <w:szCs w:val="24"/>
        </w:rPr>
        <w:t>.—In lieu of the</w:t>
      </w:r>
      <w:r w:rsidRPr="008B3051">
        <w:rPr>
          <w:rFonts w:ascii="Verdana" w:eastAsia="Times New Roman" w:hAnsi="Verdana" w:cs="Times New Roman"/>
          <w:sz w:val="24"/>
          <w:szCs w:val="24"/>
          <w:u w:val="single"/>
        </w:rPr>
        <w:t> tax </w:t>
      </w:r>
      <w:r w:rsidRPr="008B3051">
        <w:rPr>
          <w:rFonts w:ascii="Verdana" w:eastAsia="Times New Roman" w:hAnsi="Verdana" w:cs="Times New Roman"/>
          <w:sz w:val="24"/>
          <w:szCs w:val="24"/>
        </w:rPr>
        <w:t>imposed by section 1, there is hereby imposed for each</w:t>
      </w:r>
      <w:r w:rsidRPr="008B3051">
        <w:rPr>
          <w:rFonts w:ascii="Verdana" w:eastAsia="Times New Roman" w:hAnsi="Verdana" w:cs="Times New Roman"/>
          <w:sz w:val="24"/>
          <w:szCs w:val="24"/>
          <w:u w:val="single"/>
        </w:rPr>
        <w:t> taxable year </w:t>
      </w:r>
      <w:r w:rsidRPr="008B3051">
        <w:rPr>
          <w:rFonts w:ascii="Verdana" w:eastAsia="Times New Roman" w:hAnsi="Verdana" w:cs="Times New Roman"/>
          <w:sz w:val="24"/>
          <w:szCs w:val="24"/>
        </w:rPr>
        <w:t>on the tax table income of every individual whose tax table income for such year does not exceed the ceiling amount, a tax determined under tables, applicable to such</w:t>
      </w:r>
      <w:r w:rsidRPr="008B3051">
        <w:rPr>
          <w:rFonts w:ascii="Verdana" w:eastAsia="Times New Roman" w:hAnsi="Verdana" w:cs="Times New Roman"/>
          <w:sz w:val="24"/>
          <w:szCs w:val="24"/>
          <w:u w:val="single"/>
        </w:rPr>
        <w:t> taxable year,</w:t>
      </w:r>
      <w:r w:rsidRPr="008B3051">
        <w:rPr>
          <w:rFonts w:ascii="Verdana" w:eastAsia="Times New Roman" w:hAnsi="Verdana" w:cs="Times New Roman"/>
          <w:sz w:val="24"/>
          <w:szCs w:val="24"/>
        </w:rPr>
        <w:t> which shall be prescribed by the Secretary and which shall be in such form as he determines appropriate. In the tables so prescribed, the amounts of tax shall be computed on the basis of the rates prescribed by section 1.</w:t>
      </w:r>
    </w:p>
    <w:p w14:paraId="60B22114" w14:textId="497C71A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“(2) </w:t>
      </w:r>
      <w:r w:rsidRPr="008B3051">
        <w:rPr>
          <w:rFonts w:ascii="Verdana" w:eastAsia="Times New Roman" w:hAnsi="Verdana" w:cs="Times New Roman"/>
          <w:smallCaps/>
          <w:sz w:val="24"/>
          <w:szCs w:val="24"/>
        </w:rPr>
        <w:t>Ceiling amount defined</w:t>
      </w:r>
      <w:r w:rsidRPr="008B3051">
        <w:rPr>
          <w:rFonts w:ascii="Verdana" w:eastAsia="Times New Roman" w:hAnsi="Verdana" w:cs="Times New Roman"/>
          <w:sz w:val="24"/>
          <w:szCs w:val="24"/>
        </w:rPr>
        <w:t>.—For purposes of paragraph (1), the term “ceiling amount” means, with respect to any</w:t>
      </w:r>
      <w:r w:rsidRPr="008B3051">
        <w:rPr>
          <w:rFonts w:ascii="Verdana" w:eastAsia="Times New Roman" w:hAnsi="Verdana" w:cs="Times New Roman"/>
          <w:sz w:val="24"/>
          <w:szCs w:val="24"/>
          <w:u w:val="single"/>
        </w:rPr>
        <w:t> taxpayer,</w:t>
      </w:r>
      <w:r w:rsidRPr="008B3051">
        <w:rPr>
          <w:rFonts w:ascii="Verdana" w:eastAsia="Times New Roman" w:hAnsi="Verdana" w:cs="Times New Roman"/>
          <w:sz w:val="24"/>
          <w:szCs w:val="24"/>
        </w:rPr>
        <w:t> the amount (not less than $20,000) determined by the</w:t>
      </w:r>
      <w:r w:rsidRPr="008B3051">
        <w:rPr>
          <w:rFonts w:ascii="Verdana" w:eastAsia="Times New Roman" w:hAnsi="Verdana" w:cs="Times New Roman"/>
          <w:sz w:val="24"/>
          <w:szCs w:val="24"/>
          <w:u w:val="single"/>
        </w:rPr>
        <w:t> Secretary </w:t>
      </w:r>
      <w:r w:rsidRPr="008B3051">
        <w:rPr>
          <w:rFonts w:ascii="Verdana" w:eastAsia="Times New Roman" w:hAnsi="Verdana" w:cs="Times New Roman"/>
          <w:sz w:val="24"/>
          <w:szCs w:val="24"/>
        </w:rPr>
        <w:t>for the tax rate category in which such taxpayer falls.</w:t>
      </w:r>
    </w:p>
    <w:p w14:paraId="2CABDE80" w14:textId="46628F2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“(3) </w:t>
      </w:r>
      <w:r w:rsidRPr="008B3051">
        <w:rPr>
          <w:rFonts w:ascii="Verdana" w:eastAsia="Times New Roman" w:hAnsi="Verdana" w:cs="Times New Roman"/>
          <w:smallCaps/>
          <w:sz w:val="24"/>
          <w:szCs w:val="24"/>
        </w:rPr>
        <w:t>Certain </w:t>
      </w:r>
      <w:r w:rsidRPr="008B3051">
        <w:rPr>
          <w:rFonts w:ascii="Verdana" w:eastAsia="Times New Roman" w:hAnsi="Verdana" w:cs="Times New Roman"/>
          <w:smallCaps/>
          <w:sz w:val="24"/>
          <w:szCs w:val="24"/>
          <w:u w:val="single"/>
        </w:rPr>
        <w:t>taxpayers</w:t>
      </w:r>
      <w:r w:rsidRPr="008B3051">
        <w:rPr>
          <w:rFonts w:ascii="Verdana" w:eastAsia="Times New Roman" w:hAnsi="Verdana" w:cs="Times New Roman"/>
          <w:smallCaps/>
          <w:sz w:val="24"/>
          <w:szCs w:val="24"/>
        </w:rPr>
        <w:t> with large number of exemptions</w:t>
      </w:r>
      <w:r w:rsidRPr="008B3051">
        <w:rPr>
          <w:rFonts w:ascii="Verdana" w:eastAsia="Times New Roman" w:hAnsi="Verdana" w:cs="Times New Roman"/>
          <w:sz w:val="24"/>
          <w:szCs w:val="24"/>
        </w:rPr>
        <w:t>.—The</w:t>
      </w:r>
      <w:r w:rsidRPr="008B3051">
        <w:rPr>
          <w:rFonts w:ascii="Verdana" w:eastAsia="Times New Roman" w:hAnsi="Verdana" w:cs="Times New Roman"/>
          <w:sz w:val="24"/>
          <w:szCs w:val="24"/>
          <w:u w:val="single"/>
        </w:rPr>
        <w:t> Secretary </w:t>
      </w:r>
      <w:r w:rsidRPr="008B3051">
        <w:rPr>
          <w:rFonts w:ascii="Verdana" w:eastAsia="Times New Roman" w:hAnsi="Verdana" w:cs="Times New Roman"/>
          <w:sz w:val="24"/>
          <w:szCs w:val="24"/>
        </w:rPr>
        <w:t>may exclude from the application of this section taxpayers in any tax rate category having more than the number of exemptions for that category determined by the</w:t>
      </w:r>
      <w:r w:rsidRPr="008B3051">
        <w:rPr>
          <w:rFonts w:ascii="Verdana" w:eastAsia="Times New Roman" w:hAnsi="Verdana" w:cs="Times New Roman"/>
          <w:sz w:val="24"/>
          <w:szCs w:val="24"/>
          <w:u w:val="single"/>
        </w:rPr>
        <w:t> Secretary.</w:t>
      </w:r>
    </w:p>
    <w:p w14:paraId="58838CFF" w14:textId="7336F19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“(4) </w:t>
      </w:r>
      <w:r w:rsidRPr="008B3051">
        <w:rPr>
          <w:rFonts w:ascii="Verdana" w:eastAsia="Times New Roman" w:hAnsi="Verdana" w:cs="Times New Roman"/>
          <w:smallCaps/>
          <w:sz w:val="24"/>
          <w:szCs w:val="24"/>
        </w:rPr>
        <w:t>Tax table income defined</w:t>
      </w:r>
      <w:r w:rsidRPr="008B3051">
        <w:rPr>
          <w:rFonts w:ascii="Verdana" w:eastAsia="Times New Roman" w:hAnsi="Verdana" w:cs="Times New Roman"/>
          <w:sz w:val="24"/>
          <w:szCs w:val="24"/>
        </w:rPr>
        <w:t>.—For purposes of this section, the term </w:t>
      </w:r>
      <w:r w:rsidRPr="008B3051">
        <w:rPr>
          <w:rFonts w:ascii="Verdana" w:eastAsia="Times New Roman" w:hAnsi="Verdana" w:cs="Times New Roman"/>
          <w:sz w:val="24"/>
          <w:szCs w:val="24"/>
          <w:u w:val="single"/>
        </w:rPr>
        <w:t>‘tax </w:t>
      </w:r>
      <w:r w:rsidRPr="008B3051">
        <w:rPr>
          <w:rFonts w:ascii="Verdana" w:eastAsia="Times New Roman" w:hAnsi="Verdana" w:cs="Times New Roman"/>
          <w:sz w:val="24"/>
          <w:szCs w:val="24"/>
        </w:rPr>
        <w:t>table income’ means</w:t>
      </w:r>
      <w:r w:rsidRPr="008B3051">
        <w:rPr>
          <w:rFonts w:ascii="Verdana" w:eastAsia="Times New Roman" w:hAnsi="Verdana" w:cs="Times New Roman"/>
          <w:sz w:val="24"/>
          <w:szCs w:val="24"/>
          <w:u w:val="single"/>
        </w:rPr>
        <w:t> adjusted gross income—</w:t>
      </w:r>
    </w:p>
    <w:p w14:paraId="49C4EAD4"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 reduced by the sum of—</w:t>
      </w:r>
    </w:p>
    <w:p w14:paraId="227198D7" w14:textId="7857ED7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 the excess </w:t>
      </w:r>
      <w:r w:rsidRPr="008B3051">
        <w:rPr>
          <w:rFonts w:ascii="Verdana" w:eastAsia="Times New Roman" w:hAnsi="Verdana" w:cs="Times New Roman"/>
          <w:sz w:val="24"/>
          <w:szCs w:val="24"/>
          <w:u w:val="single"/>
        </w:rPr>
        <w:t>itemized deductions</w:t>
      </w:r>
      <w:r w:rsidRPr="008B3051">
        <w:rPr>
          <w:rFonts w:ascii="Verdana" w:eastAsia="Times New Roman" w:hAnsi="Verdana" w:cs="Times New Roman"/>
          <w:sz w:val="24"/>
          <w:szCs w:val="24"/>
        </w:rPr>
        <w:t>, and</w:t>
      </w:r>
    </w:p>
    <w:p w14:paraId="7B013111" w14:textId="7777777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“(ii) the direct charitable deduction, and</w:t>
      </w:r>
    </w:p>
    <w:p w14:paraId="77C44585" w14:textId="2C71728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 increased (in the case of an individual to whom </w:t>
      </w:r>
      <w:r w:rsidRPr="008B3051">
        <w:rPr>
          <w:rFonts w:ascii="Verdana" w:eastAsia="Times New Roman" w:hAnsi="Verdana" w:cs="Times New Roman"/>
          <w:sz w:val="24"/>
          <w:szCs w:val="24"/>
          <w:u w:val="single"/>
        </w:rPr>
        <w:t>section 63(e)</w:t>
      </w:r>
      <w:r w:rsidRPr="008B3051">
        <w:rPr>
          <w:rFonts w:ascii="Verdana" w:eastAsia="Times New Roman" w:hAnsi="Verdana" w:cs="Times New Roman"/>
          <w:sz w:val="24"/>
          <w:szCs w:val="24"/>
        </w:rPr>
        <w:t> applies) by the unused zero bracket amount.</w:t>
      </w:r>
    </w:p>
    <w:p w14:paraId="3FABF255" w14:textId="62E96B6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“(5) </w:t>
      </w:r>
      <w:r w:rsidRPr="008B3051">
        <w:rPr>
          <w:rFonts w:ascii="Verdana" w:eastAsia="Times New Roman" w:hAnsi="Verdana" w:cs="Times New Roman"/>
          <w:smallCaps/>
          <w:sz w:val="24"/>
          <w:szCs w:val="24"/>
        </w:rPr>
        <w:t>Section may be applied on the basis of taxable income</w:t>
      </w:r>
      <w:r w:rsidRPr="008B3051">
        <w:rPr>
          <w:rFonts w:ascii="Verdana" w:eastAsia="Times New Roman" w:hAnsi="Verdana" w:cs="Times New Roman"/>
          <w:sz w:val="24"/>
          <w:szCs w:val="24"/>
        </w:rPr>
        <w:t>.—The</w:t>
      </w:r>
      <w:r w:rsidRPr="008B3051">
        <w:rPr>
          <w:rFonts w:ascii="Verdana" w:eastAsia="Times New Roman" w:hAnsi="Verdana" w:cs="Times New Roman"/>
          <w:sz w:val="24"/>
          <w:szCs w:val="24"/>
          <w:u w:val="single"/>
        </w:rPr>
        <w:t> Secretary </w:t>
      </w:r>
      <w:r w:rsidRPr="008B3051">
        <w:rPr>
          <w:rFonts w:ascii="Verdana" w:eastAsia="Times New Roman" w:hAnsi="Verdana" w:cs="Times New Roman"/>
          <w:sz w:val="24"/>
          <w:szCs w:val="24"/>
        </w:rPr>
        <w:t>may provide that this section shall be applied for any</w:t>
      </w:r>
      <w:r w:rsidRPr="008B3051">
        <w:rPr>
          <w:rFonts w:ascii="Verdana" w:eastAsia="Times New Roman" w:hAnsi="Verdana" w:cs="Times New Roman"/>
          <w:sz w:val="24"/>
          <w:szCs w:val="24"/>
          <w:u w:val="single"/>
        </w:rPr>
        <w:t> taxable year </w:t>
      </w:r>
      <w:r w:rsidRPr="008B3051">
        <w:rPr>
          <w:rFonts w:ascii="Verdana" w:eastAsia="Times New Roman" w:hAnsi="Verdana" w:cs="Times New Roman"/>
          <w:sz w:val="24"/>
          <w:szCs w:val="24"/>
        </w:rPr>
        <w:t>on the basis of</w:t>
      </w:r>
      <w:r w:rsidRPr="008B3051">
        <w:rPr>
          <w:rFonts w:ascii="Verdana" w:eastAsia="Times New Roman" w:hAnsi="Verdana" w:cs="Times New Roman"/>
          <w:sz w:val="24"/>
          <w:szCs w:val="24"/>
          <w:u w:val="single"/>
        </w:rPr>
        <w:t> taxable income </w:t>
      </w:r>
      <w:r w:rsidRPr="008B3051">
        <w:rPr>
          <w:rFonts w:ascii="Verdana" w:eastAsia="Times New Roman" w:hAnsi="Verdana" w:cs="Times New Roman"/>
          <w:sz w:val="24"/>
          <w:szCs w:val="24"/>
        </w:rPr>
        <w:t>in lieu of tax table income.”</w:t>
      </w:r>
    </w:p>
    <w:p w14:paraId="427C79D3" w14:textId="34C7C5AB"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 141(b)(1), struck out par. (1) which read: “an individual to whom section 1301 (relating to income averaging) applies for the taxable year,” and redesignated pars. (2) and (3) as (1) and (2), respectively.</w:t>
      </w:r>
    </w:p>
    <w:p w14:paraId="3C5A706A" w14:textId="44A75F0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1981—Subsec. (a)(1). </w:t>
      </w:r>
      <w:r w:rsidRPr="008B3051">
        <w:rPr>
          <w:rFonts w:ascii="Verdana" w:eastAsia="Times New Roman" w:hAnsi="Verdana" w:cs="Times New Roman"/>
          <w:sz w:val="24"/>
          <w:szCs w:val="24"/>
          <w:u w:val="single"/>
        </w:rPr>
        <w:t>Pub. L. 97–34</w:t>
      </w:r>
      <w:r w:rsidRPr="008B3051">
        <w:rPr>
          <w:rFonts w:ascii="Verdana" w:eastAsia="Times New Roman" w:hAnsi="Verdana" w:cs="Times New Roman"/>
          <w:sz w:val="24"/>
          <w:szCs w:val="24"/>
        </w:rPr>
        <w:t>, § 101(b)(2)(B), inserted “and which shall be in such form as he determines appropriate” after “Secretary”.</w:t>
      </w:r>
    </w:p>
    <w:p w14:paraId="74976766" w14:textId="0F277A1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(a)(4)(A). </w:t>
      </w:r>
      <w:r w:rsidRPr="008B3051">
        <w:rPr>
          <w:rFonts w:ascii="Verdana" w:eastAsia="Times New Roman" w:hAnsi="Verdana" w:cs="Times New Roman"/>
          <w:sz w:val="24"/>
          <w:szCs w:val="24"/>
          <w:u w:val="single"/>
        </w:rPr>
        <w:t>Pub. L. 97–34</w:t>
      </w:r>
      <w:r w:rsidRPr="008B3051">
        <w:rPr>
          <w:rFonts w:ascii="Verdana" w:eastAsia="Times New Roman" w:hAnsi="Verdana" w:cs="Times New Roman"/>
          <w:sz w:val="24"/>
          <w:szCs w:val="24"/>
        </w:rPr>
        <w:t>, § 121(c)(3), substituted “reduced by the sum of (i) the excess itemized deductions, and (ii) the direct charitable deduction” for “reduced by the excess itemized deductions”.</w:t>
      </w:r>
    </w:p>
    <w:p w14:paraId="6F66AC89" w14:textId="610F15E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(a)(5). </w:t>
      </w:r>
      <w:r w:rsidRPr="008B3051">
        <w:rPr>
          <w:rFonts w:ascii="Verdana" w:eastAsia="Times New Roman" w:hAnsi="Verdana" w:cs="Times New Roman"/>
          <w:sz w:val="24"/>
          <w:szCs w:val="24"/>
          <w:u w:val="single"/>
        </w:rPr>
        <w:t>Pub. L. 97–34</w:t>
      </w:r>
      <w:r w:rsidRPr="008B3051">
        <w:rPr>
          <w:rFonts w:ascii="Verdana" w:eastAsia="Times New Roman" w:hAnsi="Verdana" w:cs="Times New Roman"/>
          <w:sz w:val="24"/>
          <w:szCs w:val="24"/>
        </w:rPr>
        <w:t>, § 101(b)(2)(C), added par. (5).</w:t>
      </w:r>
    </w:p>
    <w:p w14:paraId="50F606F8" w14:textId="13B13DE9"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(b)(1). </w:t>
      </w:r>
      <w:r w:rsidRPr="008B3051">
        <w:rPr>
          <w:rFonts w:ascii="Verdana" w:eastAsia="Times New Roman" w:hAnsi="Verdana" w:cs="Times New Roman"/>
          <w:sz w:val="24"/>
          <w:szCs w:val="24"/>
          <w:u w:val="single"/>
        </w:rPr>
        <w:t>Pub. L. 97–34</w:t>
      </w:r>
      <w:r w:rsidRPr="008B3051">
        <w:rPr>
          <w:rFonts w:ascii="Verdana" w:eastAsia="Times New Roman" w:hAnsi="Verdana" w:cs="Times New Roman"/>
          <w:sz w:val="24"/>
          <w:szCs w:val="24"/>
        </w:rPr>
        <w:t>, § 101(c)(2)(A), substituted “an individual to whom section 1301 (relating to income averaging) applies for the taxable year” for “an individual to whom (A) section 1301 (relating to income averaging), or (B) section 1348 (relating to maximum rate on personal service income), applies for the taxable year”.</w:t>
      </w:r>
    </w:p>
    <w:p w14:paraId="09763409" w14:textId="03C4175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1980—Subsec. (b)(1). </w:t>
      </w:r>
      <w:r w:rsidRPr="008B3051">
        <w:rPr>
          <w:rFonts w:ascii="Verdana" w:eastAsia="Times New Roman" w:hAnsi="Verdana" w:cs="Times New Roman"/>
          <w:sz w:val="24"/>
          <w:szCs w:val="24"/>
          <w:u w:val="single"/>
        </w:rPr>
        <w:t>Pub. L. 96–222</w:t>
      </w:r>
      <w:r w:rsidRPr="008B3051">
        <w:rPr>
          <w:rFonts w:ascii="Verdana" w:eastAsia="Times New Roman" w:hAnsi="Verdana" w:cs="Times New Roman"/>
          <w:sz w:val="24"/>
          <w:szCs w:val="24"/>
        </w:rPr>
        <w:t>, § 108(a)(1)(E), redesignated subpars. (B) and (C) as (A) and (B), respectively.</w:t>
      </w:r>
    </w:p>
    <w:p w14:paraId="16B6EBE1" w14:textId="52A55B3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95–615</w:t>
      </w:r>
      <w:r w:rsidRPr="008B3051">
        <w:rPr>
          <w:rFonts w:ascii="Verdana" w:eastAsia="Times New Roman" w:hAnsi="Verdana" w:cs="Times New Roman"/>
          <w:sz w:val="24"/>
          <w:szCs w:val="24"/>
        </w:rPr>
        <w:t>, § 202(f), as added by </w:t>
      </w:r>
      <w:r w:rsidRPr="008B3051">
        <w:rPr>
          <w:rFonts w:ascii="Verdana" w:eastAsia="Times New Roman" w:hAnsi="Verdana" w:cs="Times New Roman"/>
          <w:sz w:val="24"/>
          <w:szCs w:val="24"/>
          <w:u w:val="single"/>
        </w:rPr>
        <w:t>Pub. L. 96–222</w:t>
      </w:r>
      <w:r w:rsidRPr="008B3051">
        <w:rPr>
          <w:rFonts w:ascii="Verdana" w:eastAsia="Times New Roman" w:hAnsi="Verdana" w:cs="Times New Roman"/>
          <w:sz w:val="24"/>
          <w:szCs w:val="24"/>
        </w:rPr>
        <w:t>, § 108(a)(1)(A), struck out subpar. (A) which related to earned income from sources without the United States under </w:t>
      </w:r>
      <w:r w:rsidRPr="008B3051">
        <w:rPr>
          <w:rFonts w:ascii="Verdana" w:eastAsia="Times New Roman" w:hAnsi="Verdana" w:cs="Times New Roman"/>
          <w:sz w:val="24"/>
          <w:szCs w:val="24"/>
          <w:u w:val="single"/>
        </w:rPr>
        <w:t>section 911 of this title</w:t>
      </w:r>
      <w:r w:rsidRPr="008B3051">
        <w:rPr>
          <w:rFonts w:ascii="Verdana" w:eastAsia="Times New Roman" w:hAnsi="Verdana" w:cs="Times New Roman"/>
          <w:sz w:val="24"/>
          <w:szCs w:val="24"/>
        </w:rPr>
        <w:t>.</w:t>
      </w:r>
    </w:p>
    <w:p w14:paraId="0283C978" w14:textId="5AC9F8A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1978—Subsec. (b)(1). </w:t>
      </w:r>
      <w:r w:rsidRPr="008B3051">
        <w:rPr>
          <w:rFonts w:ascii="Verdana" w:eastAsia="Times New Roman" w:hAnsi="Verdana" w:cs="Times New Roman"/>
          <w:sz w:val="24"/>
          <w:szCs w:val="24"/>
          <w:u w:val="single"/>
        </w:rPr>
        <w:t>Pub. L. 95–600</w:t>
      </w:r>
      <w:r w:rsidRPr="008B3051">
        <w:rPr>
          <w:rFonts w:ascii="Verdana" w:eastAsia="Times New Roman" w:hAnsi="Verdana" w:cs="Times New Roman"/>
          <w:sz w:val="24"/>
          <w:szCs w:val="24"/>
        </w:rPr>
        <w:t> redesignated subpars. (C) and (D) as (B) and (C), respectively, and struck out former subpar. (B) which related to the alternative capital gains tax under </w:t>
      </w:r>
      <w:r w:rsidRPr="008B3051">
        <w:rPr>
          <w:rFonts w:ascii="Verdana" w:eastAsia="Times New Roman" w:hAnsi="Verdana" w:cs="Times New Roman"/>
          <w:sz w:val="24"/>
          <w:szCs w:val="24"/>
          <w:u w:val="single"/>
        </w:rPr>
        <w:t>section 1201 of this title</w:t>
      </w:r>
      <w:r w:rsidRPr="008B3051">
        <w:rPr>
          <w:rFonts w:ascii="Verdana" w:eastAsia="Times New Roman" w:hAnsi="Verdana" w:cs="Times New Roman"/>
          <w:sz w:val="24"/>
          <w:szCs w:val="24"/>
        </w:rPr>
        <w:t>.</w:t>
      </w:r>
    </w:p>
    <w:p w14:paraId="14D4B2F3" w14:textId="1D1C2261"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1977—</w:t>
      </w:r>
      <w:r w:rsidRPr="008B3051">
        <w:rPr>
          <w:rFonts w:ascii="Verdana" w:eastAsia="Times New Roman" w:hAnsi="Verdana" w:cs="Times New Roman"/>
          <w:sz w:val="24"/>
          <w:szCs w:val="24"/>
          <w:u w:val="single"/>
        </w:rPr>
        <w:t>Pub. L. 95–30</w:t>
      </w:r>
      <w:r w:rsidRPr="008B3051">
        <w:rPr>
          <w:rFonts w:ascii="Verdana" w:eastAsia="Times New Roman" w:hAnsi="Verdana" w:cs="Times New Roman"/>
          <w:sz w:val="24"/>
          <w:szCs w:val="24"/>
        </w:rPr>
        <w:t> struck out “having taxable income of less than $20,000” after “individuals” in section catchline.</w:t>
      </w:r>
    </w:p>
    <w:p w14:paraId="3EE1CA27" w14:textId="4DFC03EA"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 (a). </w:t>
      </w:r>
      <w:r w:rsidRPr="008B3051">
        <w:rPr>
          <w:rFonts w:ascii="Verdana" w:eastAsia="Times New Roman" w:hAnsi="Verdana" w:cs="Times New Roman"/>
          <w:sz w:val="24"/>
          <w:szCs w:val="24"/>
          <w:u w:val="single"/>
        </w:rPr>
        <w:t>Pub. L. 95–30</w:t>
      </w:r>
      <w:r w:rsidRPr="008B3051">
        <w:rPr>
          <w:rFonts w:ascii="Verdana" w:eastAsia="Times New Roman" w:hAnsi="Verdana" w:cs="Times New Roman"/>
          <w:sz w:val="24"/>
          <w:szCs w:val="24"/>
        </w:rPr>
        <w:t> designated existing provisions as par. (1), substituted “tax table income” for “taxable income” and “does not exceed the ceiling amount” for “does not exceed $20,000”, and added pars. (2) to (4).</w:t>
      </w:r>
    </w:p>
    <w:p w14:paraId="77151BA6" w14:textId="58F69633"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Subsecs. (b) to (e). </w:t>
      </w:r>
      <w:r w:rsidRPr="008B3051">
        <w:rPr>
          <w:rFonts w:ascii="Verdana" w:eastAsia="Times New Roman" w:hAnsi="Verdana" w:cs="Times New Roman"/>
          <w:sz w:val="24"/>
          <w:szCs w:val="24"/>
          <w:u w:val="single"/>
        </w:rPr>
        <w:t>Pub. L. 95–30</w:t>
      </w:r>
      <w:r w:rsidRPr="008B3051">
        <w:rPr>
          <w:rFonts w:ascii="Verdana" w:eastAsia="Times New Roman" w:hAnsi="Verdana" w:cs="Times New Roman"/>
          <w:sz w:val="24"/>
          <w:szCs w:val="24"/>
        </w:rPr>
        <w:t> added subsec. (b), redesignated former subsec. (b) as (c), and added subsecs. (d) and (e).</w:t>
      </w:r>
    </w:p>
    <w:p w14:paraId="7FD29534" w14:textId="4F388AA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1976—</w:t>
      </w:r>
      <w:r w:rsidRPr="008B3051">
        <w:rPr>
          <w:rFonts w:ascii="Verdana" w:eastAsia="Times New Roman" w:hAnsi="Verdana" w:cs="Times New Roman"/>
          <w:sz w:val="24"/>
          <w:szCs w:val="24"/>
          <w:u w:val="single"/>
        </w:rPr>
        <w:t>Pub. L. 94–455</w:t>
      </w:r>
      <w:r w:rsidRPr="008B3051">
        <w:rPr>
          <w:rFonts w:ascii="Verdana" w:eastAsia="Times New Roman" w:hAnsi="Verdana" w:cs="Times New Roman"/>
          <w:sz w:val="24"/>
          <w:szCs w:val="24"/>
        </w:rPr>
        <w:t> designated existing provisions as subsec. (a), substituted provision relating to taxable income for such year does not exceed $20,000 for provision relating to adjusted gross income for such year is less than $15,000 and who has elected for such year to pay the tax imposed by this section, struck out “or his delegate” after “Secretary”, “beginning after Dec. 31, 1969” after “each taxable year”, struck out provision requiring computation of taxable income by using standard deduction, and added subsec. (b).</w:t>
      </w:r>
    </w:p>
    <w:p w14:paraId="4CB2ED4B" w14:textId="10CB2E58"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1975—</w:t>
      </w:r>
      <w:r w:rsidRPr="008B3051">
        <w:rPr>
          <w:rFonts w:ascii="Verdana" w:eastAsia="Times New Roman" w:hAnsi="Verdana" w:cs="Times New Roman"/>
          <w:sz w:val="24"/>
          <w:szCs w:val="24"/>
          <w:u w:val="single"/>
        </w:rPr>
        <w:t>Pub. L. 94–12</w:t>
      </w:r>
      <w:r w:rsidRPr="008B3051">
        <w:rPr>
          <w:rFonts w:ascii="Verdana" w:eastAsia="Times New Roman" w:hAnsi="Verdana" w:cs="Times New Roman"/>
          <w:sz w:val="24"/>
          <w:szCs w:val="24"/>
        </w:rPr>
        <w:t> substituted “$15,000” for “$10,000”.</w:t>
      </w:r>
    </w:p>
    <w:p w14:paraId="07462466" w14:textId="7CF46350"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1969—</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xml:space="preserve"> raised the individual gross income limit of $5,000 to $10,000 for exercising the option and substituted provision that the tax has </w:t>
      </w:r>
      <w:r w:rsidRPr="008B3051">
        <w:rPr>
          <w:rFonts w:ascii="Verdana" w:eastAsia="Times New Roman" w:hAnsi="Verdana" w:cs="Times New Roman"/>
          <w:sz w:val="24"/>
          <w:szCs w:val="24"/>
        </w:rPr>
        <w:lastRenderedPageBreak/>
        <w:t>to be determined under tables to be prescribed by the Secretary or his delegate for tables of tax rates for single persons, heads of household, married persons filing joint returns, married persons filing separate returns with 10 per cent standard deduction and married persons filing separate returns with minimum standard deduction.</w:t>
      </w:r>
    </w:p>
    <w:p w14:paraId="28EF21D7" w14:textId="0B35835F"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1964—</w:t>
      </w:r>
      <w:r w:rsidRPr="008B3051">
        <w:rPr>
          <w:rFonts w:ascii="Verdana" w:eastAsia="Times New Roman" w:hAnsi="Verdana" w:cs="Times New Roman"/>
          <w:sz w:val="24"/>
          <w:szCs w:val="24"/>
          <w:u w:val="single"/>
        </w:rPr>
        <w:t>Pub. L. 88–272</w:t>
      </w:r>
      <w:r w:rsidRPr="008B3051">
        <w:rPr>
          <w:rFonts w:ascii="Verdana" w:eastAsia="Times New Roman" w:hAnsi="Verdana" w:cs="Times New Roman"/>
          <w:sz w:val="24"/>
          <w:szCs w:val="24"/>
        </w:rPr>
        <w:t> substituted optional tax tables covering five categories for taxable years beginning on or after Jan. 1, 1964, and before Jan. 1, 1965, and for years beginning after Dec. 31, 1964, for a single general table.</w:t>
      </w:r>
    </w:p>
    <w:p w14:paraId="78F20533"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1986 Amendment</w:t>
      </w:r>
    </w:p>
    <w:p w14:paraId="77BE7C65" w14:textId="67C0593B"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applicable to taxable years beginning after Dec. 31, 1986, see </w:t>
      </w:r>
      <w:r w:rsidRPr="008B3051">
        <w:rPr>
          <w:rFonts w:ascii="Verdana" w:eastAsia="Times New Roman" w:hAnsi="Verdana" w:cs="Times New Roman"/>
          <w:sz w:val="24"/>
          <w:szCs w:val="24"/>
          <w:u w:val="single"/>
        </w:rPr>
        <w:t>section 151(a) of Pub. L. 99–514</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61B72D1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1981 Amendment</w:t>
      </w:r>
    </w:p>
    <w:p w14:paraId="4B49DC0B" w14:textId="02397185"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section 101(c)(2)(A) of Pub. L. 97–34</w:t>
      </w:r>
      <w:r w:rsidRPr="008B3051">
        <w:rPr>
          <w:rFonts w:ascii="Verdana" w:eastAsia="Times New Roman" w:hAnsi="Verdana" w:cs="Times New Roman"/>
          <w:sz w:val="24"/>
          <w:szCs w:val="24"/>
        </w:rPr>
        <w:t> applicable to taxable years beginning after Dec. 31, 1981, see </w:t>
      </w:r>
      <w:r w:rsidRPr="008B3051">
        <w:rPr>
          <w:rFonts w:ascii="Verdana" w:eastAsia="Times New Roman" w:hAnsi="Verdana" w:cs="Times New Roman"/>
          <w:sz w:val="24"/>
          <w:szCs w:val="24"/>
          <w:u w:val="single"/>
        </w:rPr>
        <w:t>section 101(f)(1) of Pub. L. 97–34</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6B8B622B" w14:textId="35CC5194"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section 121(c)(3) of Pub. L. 97–34</w:t>
      </w:r>
      <w:r w:rsidRPr="008B3051">
        <w:rPr>
          <w:rFonts w:ascii="Verdana" w:eastAsia="Times New Roman" w:hAnsi="Verdana" w:cs="Times New Roman"/>
          <w:sz w:val="24"/>
          <w:szCs w:val="24"/>
        </w:rPr>
        <w:t> applicable to contributions made after Dec. 31, 1981, in taxable years beginning after such date, see </w:t>
      </w:r>
      <w:r w:rsidRPr="008B3051">
        <w:rPr>
          <w:rFonts w:ascii="Verdana" w:eastAsia="Times New Roman" w:hAnsi="Verdana" w:cs="Times New Roman"/>
          <w:sz w:val="24"/>
          <w:szCs w:val="24"/>
          <w:u w:val="single"/>
        </w:rPr>
        <w:t>section 121(d) of Pub. L. 97–34</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170 of this title</w:t>
      </w:r>
      <w:r w:rsidRPr="008B3051">
        <w:rPr>
          <w:rFonts w:ascii="Verdana" w:eastAsia="Times New Roman" w:hAnsi="Verdana" w:cs="Times New Roman"/>
          <w:sz w:val="24"/>
          <w:szCs w:val="24"/>
        </w:rPr>
        <w:t>.</w:t>
      </w:r>
    </w:p>
    <w:p w14:paraId="5D41F318"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1980 Amendment</w:t>
      </w:r>
    </w:p>
    <w:p w14:paraId="4617DA14" w14:textId="4870AA6F"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96–222, title I</w:t>
      </w:r>
      <w:r w:rsidRPr="008B3051">
        <w:rPr>
          <w:rFonts w:ascii="Verdana" w:eastAsia="Times New Roman" w:hAnsi="Verdana" w:cs="Times New Roman"/>
          <w:sz w:val="24"/>
          <w:szCs w:val="24"/>
        </w:rPr>
        <w:t>, § 108(a)(2), Apr. 1, 1980, </w:t>
      </w:r>
      <w:r w:rsidRPr="008B3051">
        <w:rPr>
          <w:rFonts w:ascii="Verdana" w:eastAsia="Times New Roman" w:hAnsi="Verdana" w:cs="Times New Roman"/>
          <w:sz w:val="24"/>
          <w:szCs w:val="24"/>
          <w:u w:val="single"/>
        </w:rPr>
        <w:t>94 Stat. 225</w:t>
      </w:r>
      <w:r w:rsidRPr="008B3051">
        <w:rPr>
          <w:rFonts w:ascii="Verdana" w:eastAsia="Times New Roman" w:hAnsi="Verdana" w:cs="Times New Roman"/>
          <w:sz w:val="24"/>
          <w:szCs w:val="24"/>
        </w:rPr>
        <w:t>, provided that:</w:t>
      </w:r>
    </w:p>
    <w:p w14:paraId="1C15FC7F"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w:t>
      </w:r>
      <w:r w:rsidRPr="008B3051">
        <w:rPr>
          <w:rFonts w:ascii="Verdana" w:eastAsia="Times New Roman" w:hAnsi="Verdana" w:cs="Times New Roman"/>
          <w:b/>
          <w:bCs/>
          <w:sz w:val="24"/>
          <w:szCs w:val="24"/>
        </w:rPr>
        <w:t>In general.—</w:t>
      </w:r>
    </w:p>
    <w:p w14:paraId="128455B4" w14:textId="55C8188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provided in subparagraph (B), the amendments made by paragraph (1) [amending this section and sections </w:t>
      </w:r>
      <w:r w:rsidRPr="008B3051">
        <w:rPr>
          <w:rFonts w:ascii="Verdana" w:eastAsia="Times New Roman" w:hAnsi="Verdana" w:cs="Times New Roman"/>
          <w:sz w:val="24"/>
          <w:szCs w:val="24"/>
          <w:u w:val="single"/>
        </w:rPr>
        <w:t>119</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911</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913</w:t>
      </w:r>
      <w:r w:rsidRPr="008B3051">
        <w:rPr>
          <w:rFonts w:ascii="Verdana" w:eastAsia="Times New Roman" w:hAnsi="Verdana" w:cs="Times New Roman"/>
          <w:sz w:val="24"/>
          <w:szCs w:val="24"/>
        </w:rPr>
        <w:t> of this title] shall take effect as if included in the Foreign Earned Income Act of 1978 [</w:t>
      </w:r>
      <w:r w:rsidRPr="008B3051">
        <w:rPr>
          <w:rFonts w:ascii="Verdana" w:eastAsia="Times New Roman" w:hAnsi="Verdana" w:cs="Times New Roman"/>
          <w:sz w:val="24"/>
          <w:szCs w:val="24"/>
          <w:u w:val="single"/>
        </w:rPr>
        <w:t>Pub. L. 95–615</w:t>
      </w:r>
      <w:r w:rsidRPr="008B3051">
        <w:rPr>
          <w:rFonts w:ascii="Verdana" w:eastAsia="Times New Roman" w:hAnsi="Verdana" w:cs="Times New Roman"/>
          <w:sz w:val="24"/>
          <w:szCs w:val="24"/>
        </w:rPr>
        <w:t>].</w:t>
      </w:r>
    </w:p>
    <w:p w14:paraId="79D88B64"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“(B)</w:t>
      </w:r>
      <w:r w:rsidRPr="008B3051">
        <w:rPr>
          <w:rFonts w:ascii="Verdana" w:eastAsia="Times New Roman" w:hAnsi="Verdana" w:cs="Times New Roman"/>
          <w:b/>
          <w:bCs/>
          <w:sz w:val="24"/>
          <w:szCs w:val="24"/>
        </w:rPr>
        <w:t>Paragraph (1)(E).—</w:t>
      </w:r>
    </w:p>
    <w:p w14:paraId="03687398" w14:textId="73AB842A" w:rsidR="00EF5FE1" w:rsidRPr="008B3051" w:rsidRDefault="00EF5FE1" w:rsidP="00EF5FE1">
      <w:p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 made by paragraph (1)(E) [amending this section] shall apply to </w:t>
      </w:r>
      <w:r w:rsidRPr="008B3051">
        <w:rPr>
          <w:rFonts w:ascii="Verdana" w:eastAsia="Times New Roman" w:hAnsi="Verdana" w:cs="Times New Roman"/>
          <w:sz w:val="24"/>
          <w:szCs w:val="24"/>
          <w:u w:val="single"/>
        </w:rPr>
        <w:t>taxable years</w:t>
      </w:r>
      <w:r w:rsidRPr="008B3051">
        <w:rPr>
          <w:rFonts w:ascii="Verdana" w:eastAsia="Times New Roman" w:hAnsi="Verdana" w:cs="Times New Roman"/>
          <w:sz w:val="24"/>
          <w:szCs w:val="24"/>
        </w:rPr>
        <w:t> beginning after December 31, 1978.”</w:t>
      </w:r>
    </w:p>
    <w:p w14:paraId="59272FD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1978 Amendment</w:t>
      </w:r>
    </w:p>
    <w:p w14:paraId="4F63FA1D" w14:textId="02CFDCD7"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95–600, title IV</w:t>
      </w:r>
      <w:r w:rsidRPr="008B3051">
        <w:rPr>
          <w:rFonts w:ascii="Verdana" w:eastAsia="Times New Roman" w:hAnsi="Verdana" w:cs="Times New Roman"/>
          <w:sz w:val="24"/>
          <w:szCs w:val="24"/>
        </w:rPr>
        <w:t>, § 401(c), Nov. 6, 1978, </w:t>
      </w:r>
      <w:r w:rsidRPr="008B3051">
        <w:rPr>
          <w:rFonts w:ascii="Verdana" w:eastAsia="Times New Roman" w:hAnsi="Verdana" w:cs="Times New Roman"/>
          <w:sz w:val="24"/>
          <w:szCs w:val="24"/>
          <w:u w:val="single"/>
        </w:rPr>
        <w:t>92 Stat. 2867</w:t>
      </w:r>
      <w:r w:rsidRPr="008B3051">
        <w:rPr>
          <w:rFonts w:ascii="Verdana" w:eastAsia="Times New Roman" w:hAnsi="Verdana" w:cs="Times New Roman"/>
          <w:sz w:val="24"/>
          <w:szCs w:val="24"/>
        </w:rPr>
        <w:t>, provided that:</w:t>
      </w:r>
    </w:p>
    <w:p w14:paraId="497F19A7" w14:textId="22D8CF6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this section [amending this section and sections </w:t>
      </w:r>
      <w:r w:rsidRPr="008B3051">
        <w:rPr>
          <w:rFonts w:ascii="Verdana" w:eastAsia="Times New Roman" w:hAnsi="Verdana" w:cs="Times New Roman"/>
          <w:sz w:val="24"/>
          <w:szCs w:val="24"/>
          <w:u w:val="single"/>
        </w:rPr>
        <w:t>5</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871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911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1201</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1304</w:t>
      </w:r>
      <w:r w:rsidRPr="008B3051">
        <w:rPr>
          <w:rFonts w:ascii="Verdana" w:eastAsia="Times New Roman" w:hAnsi="Verdana" w:cs="Times New Roman"/>
          <w:sz w:val="24"/>
          <w:szCs w:val="24"/>
        </w:rPr>
        <w:t> of this title] shall apply to taxable years beginning after December 31, 1978.”</w:t>
      </w:r>
    </w:p>
    <w:p w14:paraId="2C0803D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1977 Amendment</w:t>
      </w:r>
    </w:p>
    <w:p w14:paraId="4A875532" w14:textId="364AAF6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lastRenderedPageBreak/>
        <w:t>Amendment by </w:t>
      </w:r>
      <w:r w:rsidRPr="008B3051">
        <w:rPr>
          <w:rFonts w:ascii="Verdana" w:eastAsia="Times New Roman" w:hAnsi="Verdana" w:cs="Times New Roman"/>
          <w:sz w:val="24"/>
          <w:szCs w:val="24"/>
          <w:u w:val="single"/>
        </w:rPr>
        <w:t>Pub. L. 95–30</w:t>
      </w:r>
      <w:r w:rsidRPr="008B3051">
        <w:rPr>
          <w:rFonts w:ascii="Verdana" w:eastAsia="Times New Roman" w:hAnsi="Verdana" w:cs="Times New Roman"/>
          <w:sz w:val="24"/>
          <w:szCs w:val="24"/>
        </w:rPr>
        <w:t> applicable to taxable years beginning after Dec. 31, 1976, see </w:t>
      </w:r>
      <w:r w:rsidRPr="008B3051">
        <w:rPr>
          <w:rFonts w:ascii="Verdana" w:eastAsia="Times New Roman" w:hAnsi="Verdana" w:cs="Times New Roman"/>
          <w:sz w:val="24"/>
          <w:szCs w:val="24"/>
          <w:u w:val="single"/>
        </w:rPr>
        <w:t>section 106(a) of Pub. L. 95–30</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44DC4B10"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1976 Amendment</w:t>
      </w:r>
    </w:p>
    <w:p w14:paraId="52386DDE" w14:textId="12AF7C42"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94–455, title V</w:t>
      </w:r>
      <w:r w:rsidRPr="008B3051">
        <w:rPr>
          <w:rFonts w:ascii="Verdana" w:eastAsia="Times New Roman" w:hAnsi="Verdana" w:cs="Times New Roman"/>
          <w:sz w:val="24"/>
          <w:szCs w:val="24"/>
        </w:rPr>
        <w:t>, § 508, Oct. 4, 1976, </w:t>
      </w:r>
      <w:r w:rsidRPr="008B3051">
        <w:rPr>
          <w:rFonts w:ascii="Verdana" w:eastAsia="Times New Roman" w:hAnsi="Verdana" w:cs="Times New Roman"/>
          <w:sz w:val="24"/>
          <w:szCs w:val="24"/>
          <w:u w:val="single"/>
        </w:rPr>
        <w:t>90 Stat. 1569</w:t>
      </w:r>
      <w:r w:rsidRPr="008B3051">
        <w:rPr>
          <w:rFonts w:ascii="Verdana" w:eastAsia="Times New Roman" w:hAnsi="Verdana" w:cs="Times New Roman"/>
          <w:sz w:val="24"/>
          <w:szCs w:val="24"/>
        </w:rPr>
        <w:t>, provided that:</w:t>
      </w:r>
    </w:p>
    <w:p w14:paraId="59DBBB4F" w14:textId="2E268B5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as otherwise provided, the amendments made by this title [enacting section 44A, amending this section and sections 36, 37, 41, 42, 46, 50A, 104, 144, 213, 217, 904, 1211, 1304, 3402, 6014, and 6096, enacting provisions set out as notes under sections 105, 8022, and repealing sections </w:t>
      </w:r>
      <w:r w:rsidRPr="008B3051">
        <w:rPr>
          <w:rFonts w:ascii="Verdana" w:eastAsia="Times New Roman" w:hAnsi="Verdana" w:cs="Times New Roman"/>
          <w:sz w:val="24"/>
          <w:szCs w:val="24"/>
          <w:u w:val="single"/>
        </w:rPr>
        <w:t>4</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214</w:t>
      </w:r>
      <w:r w:rsidRPr="008B3051">
        <w:rPr>
          <w:rFonts w:ascii="Verdana" w:eastAsia="Times New Roman" w:hAnsi="Verdana" w:cs="Times New Roman"/>
          <w:sz w:val="24"/>
          <w:szCs w:val="24"/>
        </w:rPr>
        <w:t> of this title] shall apply to taxable years beginning after December 31, 1975.”</w:t>
      </w:r>
    </w:p>
    <w:p w14:paraId="5DADA17C"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and Termination Dates of 1975 Amendment</w:t>
      </w:r>
    </w:p>
    <w:p w14:paraId="6918FF71" w14:textId="7BD30E3C"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94–12, title II</w:t>
      </w:r>
      <w:r w:rsidRPr="008B3051">
        <w:rPr>
          <w:rFonts w:ascii="Verdana" w:eastAsia="Times New Roman" w:hAnsi="Verdana" w:cs="Times New Roman"/>
          <w:sz w:val="24"/>
          <w:szCs w:val="24"/>
        </w:rPr>
        <w:t>, § 209(a), Mar. 29, 1975, </w:t>
      </w:r>
      <w:r w:rsidRPr="008B3051">
        <w:rPr>
          <w:rFonts w:ascii="Verdana" w:eastAsia="Times New Roman" w:hAnsi="Verdana" w:cs="Times New Roman"/>
          <w:sz w:val="24"/>
          <w:szCs w:val="24"/>
          <w:u w:val="single"/>
        </w:rPr>
        <w:t>89 Stat. 35</w:t>
      </w:r>
      <w:r w:rsidRPr="008B3051">
        <w:rPr>
          <w:rFonts w:ascii="Verdana" w:eastAsia="Times New Roman" w:hAnsi="Verdana" w:cs="Times New Roman"/>
          <w:sz w:val="24"/>
          <w:szCs w:val="24"/>
        </w:rPr>
        <w:t>, as amended by </w:t>
      </w:r>
      <w:r w:rsidRPr="008B3051">
        <w:rPr>
          <w:rFonts w:ascii="Verdana" w:eastAsia="Times New Roman" w:hAnsi="Verdana" w:cs="Times New Roman"/>
          <w:sz w:val="24"/>
          <w:szCs w:val="24"/>
          <w:u w:val="single"/>
        </w:rPr>
        <w:t>Pub. L. 94–164</w:t>
      </w:r>
      <w:r w:rsidRPr="008B3051">
        <w:rPr>
          <w:rFonts w:ascii="Verdana" w:eastAsia="Times New Roman" w:hAnsi="Verdana" w:cs="Times New Roman"/>
          <w:sz w:val="24"/>
          <w:szCs w:val="24"/>
        </w:rPr>
        <w:t>, § 2(e), Dec. 23, 1975, </w:t>
      </w:r>
      <w:r w:rsidRPr="008B3051">
        <w:rPr>
          <w:rFonts w:ascii="Verdana" w:eastAsia="Times New Roman" w:hAnsi="Verdana" w:cs="Times New Roman"/>
          <w:sz w:val="24"/>
          <w:szCs w:val="24"/>
          <w:u w:val="single"/>
        </w:rPr>
        <w:t>89 Stat. 972</w:t>
      </w:r>
      <w:r w:rsidRPr="008B3051">
        <w:rPr>
          <w:rFonts w:ascii="Verdana" w:eastAsia="Times New Roman" w:hAnsi="Verdana" w:cs="Times New Roman"/>
          <w:sz w:val="24"/>
          <w:szCs w:val="24"/>
        </w:rPr>
        <w:t>, provided that:</w:t>
      </w:r>
    </w:p>
    <w:p w14:paraId="7F0C7361" w14:textId="15E6EBE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“The amendments made by sections </w:t>
      </w:r>
      <w:r w:rsidRPr="008B3051">
        <w:rPr>
          <w:rFonts w:ascii="Verdana" w:eastAsia="Times New Roman" w:hAnsi="Verdana" w:cs="Times New Roman"/>
          <w:sz w:val="24"/>
          <w:szCs w:val="24"/>
          <w:u w:val="single"/>
        </w:rPr>
        <w:t>201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202(a)</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203</w:t>
      </w:r>
      <w:r w:rsidRPr="008B3051">
        <w:rPr>
          <w:rFonts w:ascii="Verdana" w:eastAsia="Times New Roman" w:hAnsi="Verdana" w:cs="Times New Roman"/>
          <w:sz w:val="24"/>
          <w:szCs w:val="24"/>
        </w:rPr>
        <w:t> [enacting </w:t>
      </w:r>
      <w:r w:rsidRPr="008B3051">
        <w:rPr>
          <w:rFonts w:ascii="Verdana" w:eastAsia="Times New Roman" w:hAnsi="Verdana" w:cs="Times New Roman"/>
          <w:sz w:val="24"/>
          <w:szCs w:val="24"/>
          <w:u w:val="single"/>
        </w:rPr>
        <w:t>section 42 of this title</w:t>
      </w:r>
      <w:r w:rsidRPr="008B3051">
        <w:rPr>
          <w:rFonts w:ascii="Verdana" w:eastAsia="Times New Roman" w:hAnsi="Verdana" w:cs="Times New Roman"/>
          <w:sz w:val="24"/>
          <w:szCs w:val="24"/>
        </w:rPr>
        <w:t> and amending this section and sections </w:t>
      </w:r>
      <w:r w:rsidRPr="008B3051">
        <w:rPr>
          <w:rFonts w:ascii="Verdana" w:eastAsia="Times New Roman" w:hAnsi="Verdana" w:cs="Times New Roman"/>
          <w:sz w:val="24"/>
          <w:szCs w:val="24"/>
          <w:u w:val="single"/>
        </w:rPr>
        <w:t>56</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141</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6012</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6096</w:t>
      </w:r>
      <w:r w:rsidRPr="008B3051">
        <w:rPr>
          <w:rFonts w:ascii="Verdana" w:eastAsia="Times New Roman" w:hAnsi="Verdana" w:cs="Times New Roman"/>
          <w:sz w:val="24"/>
          <w:szCs w:val="24"/>
        </w:rPr>
        <w:t> of this title] shall apply to taxable years ending after December 31, 1974. The amendments made by sections 201(a) and 202(a) [amending </w:t>
      </w:r>
      <w:r w:rsidRPr="008B3051">
        <w:rPr>
          <w:rFonts w:ascii="Verdana" w:eastAsia="Times New Roman" w:hAnsi="Verdana" w:cs="Times New Roman"/>
          <w:sz w:val="24"/>
          <w:szCs w:val="24"/>
          <w:u w:val="single"/>
        </w:rPr>
        <w:t>section 141 of this title</w:t>
      </w:r>
      <w:r w:rsidRPr="008B3051">
        <w:rPr>
          <w:rFonts w:ascii="Verdana" w:eastAsia="Times New Roman" w:hAnsi="Verdana" w:cs="Times New Roman"/>
          <w:sz w:val="24"/>
          <w:szCs w:val="24"/>
        </w:rPr>
        <w:t>] shall cease to apply to taxable years ending after December 31, 1975; those made by sections </w:t>
      </w:r>
      <w:r w:rsidRPr="008B3051">
        <w:rPr>
          <w:rFonts w:ascii="Verdana" w:eastAsia="Times New Roman" w:hAnsi="Verdana" w:cs="Times New Roman"/>
          <w:sz w:val="24"/>
          <w:szCs w:val="24"/>
          <w:u w:val="single"/>
        </w:rPr>
        <w:t>201(b)</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201(c)</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203</w:t>
      </w:r>
      <w:r w:rsidRPr="008B3051">
        <w:rPr>
          <w:rFonts w:ascii="Verdana" w:eastAsia="Times New Roman" w:hAnsi="Verdana" w:cs="Times New Roman"/>
          <w:sz w:val="24"/>
          <w:szCs w:val="24"/>
        </w:rPr>
        <w:t>[enacting </w:t>
      </w:r>
      <w:r w:rsidRPr="008B3051">
        <w:rPr>
          <w:rFonts w:ascii="Verdana" w:eastAsia="Times New Roman" w:hAnsi="Verdana" w:cs="Times New Roman"/>
          <w:sz w:val="24"/>
          <w:szCs w:val="24"/>
          <w:u w:val="single"/>
        </w:rPr>
        <w:t>section 42 of this title</w:t>
      </w:r>
      <w:r w:rsidRPr="008B3051">
        <w:rPr>
          <w:rFonts w:ascii="Verdana" w:eastAsia="Times New Roman" w:hAnsi="Verdana" w:cs="Times New Roman"/>
          <w:sz w:val="24"/>
          <w:szCs w:val="24"/>
        </w:rPr>
        <w:t> and amending this section and sections </w:t>
      </w:r>
      <w:r w:rsidRPr="008B3051">
        <w:rPr>
          <w:rFonts w:ascii="Verdana" w:eastAsia="Times New Roman" w:hAnsi="Verdana" w:cs="Times New Roman"/>
          <w:sz w:val="24"/>
          <w:szCs w:val="24"/>
          <w:u w:val="single"/>
        </w:rPr>
        <w:t>56</w:t>
      </w:r>
      <w:r w:rsidRPr="008B3051">
        <w:rPr>
          <w:rFonts w:ascii="Verdana" w:eastAsia="Times New Roman" w:hAnsi="Verdana" w:cs="Times New Roman"/>
          <w:sz w:val="24"/>
          <w:szCs w:val="24"/>
        </w:rPr>
        <w:t>, </w:t>
      </w:r>
      <w:r w:rsidRPr="008B3051">
        <w:rPr>
          <w:rFonts w:ascii="Verdana" w:eastAsia="Times New Roman" w:hAnsi="Verdana" w:cs="Times New Roman"/>
          <w:sz w:val="24"/>
          <w:szCs w:val="24"/>
          <w:u w:val="single"/>
        </w:rPr>
        <w:t>6012</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6096</w:t>
      </w:r>
      <w:r w:rsidRPr="008B3051">
        <w:rPr>
          <w:rFonts w:ascii="Verdana" w:eastAsia="Times New Roman" w:hAnsi="Verdana" w:cs="Times New Roman"/>
          <w:sz w:val="24"/>
          <w:szCs w:val="24"/>
        </w:rPr>
        <w:t> of this title] shall cease to apply to taxable years ending after December 31, 1976.”</w:t>
      </w:r>
    </w:p>
    <w:p w14:paraId="1BB34E9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1969 Amendment</w:t>
      </w:r>
    </w:p>
    <w:p w14:paraId="48D9F41B" w14:textId="46489AAA"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Amendment by </w:t>
      </w:r>
      <w:r w:rsidRPr="008B3051">
        <w:rPr>
          <w:rFonts w:ascii="Verdana" w:eastAsia="Times New Roman" w:hAnsi="Verdana" w:cs="Times New Roman"/>
          <w:sz w:val="24"/>
          <w:szCs w:val="24"/>
          <w:u w:val="single"/>
        </w:rPr>
        <w:t>Pub. L. 91–172</w:t>
      </w:r>
      <w:r w:rsidRPr="008B3051">
        <w:rPr>
          <w:rFonts w:ascii="Verdana" w:eastAsia="Times New Roman" w:hAnsi="Verdana" w:cs="Times New Roman"/>
          <w:sz w:val="24"/>
          <w:szCs w:val="24"/>
        </w:rPr>
        <w:t> applicable to taxable years beginning after Dec. 31, 1969, see </w:t>
      </w:r>
      <w:r w:rsidRPr="008B3051">
        <w:rPr>
          <w:rFonts w:ascii="Verdana" w:eastAsia="Times New Roman" w:hAnsi="Verdana" w:cs="Times New Roman"/>
          <w:sz w:val="24"/>
          <w:szCs w:val="24"/>
          <w:u w:val="single"/>
        </w:rPr>
        <w:t>section 803(f) of Pub. L. 91–172</w:t>
      </w:r>
      <w:r w:rsidRPr="008B3051">
        <w:rPr>
          <w:rFonts w:ascii="Verdana" w:eastAsia="Times New Roman" w:hAnsi="Verdana" w:cs="Times New Roman"/>
          <w:sz w:val="24"/>
          <w:szCs w:val="24"/>
        </w:rPr>
        <w:t>, set out as a note under </w:t>
      </w:r>
      <w:r w:rsidRPr="008B3051">
        <w:rPr>
          <w:rFonts w:ascii="Verdana" w:eastAsia="Times New Roman" w:hAnsi="Verdana" w:cs="Times New Roman"/>
          <w:sz w:val="24"/>
          <w:szCs w:val="24"/>
          <w:u w:val="single"/>
        </w:rPr>
        <w:t>section 1 of this title</w:t>
      </w:r>
      <w:r w:rsidRPr="008B3051">
        <w:rPr>
          <w:rFonts w:ascii="Verdana" w:eastAsia="Times New Roman" w:hAnsi="Verdana" w:cs="Times New Roman"/>
          <w:sz w:val="24"/>
          <w:szCs w:val="24"/>
        </w:rPr>
        <w:t>.</w:t>
      </w:r>
    </w:p>
    <w:p w14:paraId="6C768B12" w14:textId="77777777"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b/>
          <w:bCs/>
          <w:sz w:val="24"/>
          <w:szCs w:val="24"/>
        </w:rPr>
        <w:t>Effective Date of 1964 Amendment</w:t>
      </w:r>
    </w:p>
    <w:p w14:paraId="1AC21486" w14:textId="429F5EB4" w:rsidR="00EF5FE1" w:rsidRPr="008B3051" w:rsidRDefault="00EF5FE1" w:rsidP="00EF5FE1">
      <w:pPr>
        <w:shd w:val="clear" w:color="auto" w:fill="FFFFFF"/>
        <w:spacing w:after="15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Pub. L. 88–272, title III</w:t>
      </w:r>
      <w:r w:rsidRPr="008B3051">
        <w:rPr>
          <w:rFonts w:ascii="Verdana" w:eastAsia="Times New Roman" w:hAnsi="Verdana" w:cs="Times New Roman"/>
          <w:sz w:val="24"/>
          <w:szCs w:val="24"/>
        </w:rPr>
        <w:t>, § 301(c), Feb. 26, 1964, </w:t>
      </w:r>
      <w:r w:rsidRPr="008B3051">
        <w:rPr>
          <w:rFonts w:ascii="Verdana" w:eastAsia="Times New Roman" w:hAnsi="Verdana" w:cs="Times New Roman"/>
          <w:sz w:val="24"/>
          <w:szCs w:val="24"/>
          <w:u w:val="single"/>
        </w:rPr>
        <w:t>78 Stat. 140</w:t>
      </w:r>
      <w:r w:rsidRPr="008B3051">
        <w:rPr>
          <w:rFonts w:ascii="Verdana" w:eastAsia="Times New Roman" w:hAnsi="Verdana" w:cs="Times New Roman"/>
          <w:sz w:val="24"/>
          <w:szCs w:val="24"/>
        </w:rPr>
        <w:t>, as amended by </w:t>
      </w:r>
      <w:r w:rsidRPr="008B3051">
        <w:rPr>
          <w:rFonts w:ascii="Verdana" w:eastAsia="Times New Roman" w:hAnsi="Verdana" w:cs="Times New Roman"/>
          <w:sz w:val="24"/>
          <w:szCs w:val="24"/>
          <w:u w:val="single"/>
        </w:rPr>
        <w:t>Pub. L. 99–514</w:t>
      </w:r>
      <w:r w:rsidRPr="008B3051">
        <w:rPr>
          <w:rFonts w:ascii="Verdana" w:eastAsia="Times New Roman" w:hAnsi="Verdana" w:cs="Times New Roman"/>
          <w:sz w:val="24"/>
          <w:szCs w:val="24"/>
        </w:rPr>
        <w:t>, § 2, Oct. 22, 1986, </w:t>
      </w:r>
      <w:r w:rsidRPr="008B3051">
        <w:rPr>
          <w:rFonts w:ascii="Verdana" w:eastAsia="Times New Roman" w:hAnsi="Verdana" w:cs="Times New Roman"/>
          <w:sz w:val="24"/>
          <w:szCs w:val="24"/>
          <w:u w:val="single"/>
        </w:rPr>
        <w:t>100 Stat. 2095</w:t>
      </w:r>
      <w:r w:rsidRPr="008B3051">
        <w:rPr>
          <w:rFonts w:ascii="Verdana" w:eastAsia="Times New Roman" w:hAnsi="Verdana" w:cs="Times New Roman"/>
          <w:sz w:val="24"/>
          <w:szCs w:val="24"/>
        </w:rPr>
        <w:t>, provided that:</w:t>
      </w:r>
    </w:p>
    <w:p w14:paraId="229A0A36" w14:textId="3CA9A4B0" w:rsidR="00EF5FE1" w:rsidRPr="008B3051" w:rsidRDefault="00EF5FE1" w:rsidP="00EF5FE1">
      <w:pPr>
        <w:shd w:val="clear" w:color="auto" w:fill="FFFFFF"/>
        <w:spacing w:after="0" w:line="240" w:lineRule="auto"/>
        <w:rPr>
          <w:rFonts w:ascii="Verdana" w:eastAsia="Times New Roman" w:hAnsi="Verdana" w:cs="Times New Roman"/>
          <w:sz w:val="24"/>
          <w:szCs w:val="24"/>
        </w:rPr>
      </w:pPr>
      <w:r w:rsidRPr="008B3051">
        <w:rPr>
          <w:rFonts w:ascii="Verdana" w:eastAsia="Times New Roman" w:hAnsi="Verdana" w:cs="Times New Roman"/>
          <w:sz w:val="24"/>
          <w:szCs w:val="24"/>
        </w:rPr>
        <w:t>“Except for purposes of section 21 of the </w:t>
      </w:r>
      <w:r w:rsidRPr="008B3051">
        <w:rPr>
          <w:rFonts w:ascii="Verdana" w:eastAsia="Times New Roman" w:hAnsi="Verdana" w:cs="Times New Roman"/>
          <w:sz w:val="24"/>
          <w:szCs w:val="24"/>
          <w:u w:val="single"/>
        </w:rPr>
        <w:t>Internal Revenue Code of 1986</w:t>
      </w:r>
      <w:r w:rsidRPr="008B3051">
        <w:rPr>
          <w:rFonts w:ascii="Verdana" w:eastAsia="Times New Roman" w:hAnsi="Verdana" w:cs="Times New Roman"/>
          <w:sz w:val="24"/>
          <w:szCs w:val="24"/>
        </w:rPr>
        <w:t> [formerly I.R.C. 1954] (relating to effect of changes in rates during a taxable year), the amendments made by this section [amending this section and sections </w:t>
      </w:r>
      <w:r w:rsidRPr="008B3051">
        <w:rPr>
          <w:rFonts w:ascii="Verdana" w:eastAsia="Times New Roman" w:hAnsi="Verdana" w:cs="Times New Roman"/>
          <w:sz w:val="24"/>
          <w:szCs w:val="24"/>
          <w:u w:val="single"/>
        </w:rPr>
        <w:t>4</w:t>
      </w:r>
      <w:r w:rsidRPr="008B3051">
        <w:rPr>
          <w:rFonts w:ascii="Verdana" w:eastAsia="Times New Roman" w:hAnsi="Verdana" w:cs="Times New Roman"/>
          <w:sz w:val="24"/>
          <w:szCs w:val="24"/>
        </w:rPr>
        <w:t> and </w:t>
      </w:r>
      <w:r w:rsidRPr="008B3051">
        <w:rPr>
          <w:rFonts w:ascii="Verdana" w:eastAsia="Times New Roman" w:hAnsi="Verdana" w:cs="Times New Roman"/>
          <w:sz w:val="24"/>
          <w:szCs w:val="24"/>
          <w:u w:val="single"/>
        </w:rPr>
        <w:t>6014</w:t>
      </w:r>
      <w:r w:rsidRPr="008B3051">
        <w:rPr>
          <w:rFonts w:ascii="Verdana" w:eastAsia="Times New Roman" w:hAnsi="Verdana" w:cs="Times New Roman"/>
          <w:sz w:val="24"/>
          <w:szCs w:val="24"/>
        </w:rPr>
        <w:t> of this title] shall apply to taxable years beginning after December 31, 1963.”</w:t>
      </w:r>
    </w:p>
    <w:p w14:paraId="62B292AD" w14:textId="77777777" w:rsidR="00EF5FE1" w:rsidRPr="008B3051" w:rsidRDefault="00EF5FE1" w:rsidP="00EF5FE1">
      <w:pPr>
        <w:shd w:val="clear" w:color="auto" w:fill="FFFFFF"/>
        <w:spacing w:after="60" w:line="240" w:lineRule="auto"/>
        <w:ind w:left="720"/>
        <w:rPr>
          <w:rFonts w:ascii="Verdana" w:eastAsia="Times New Roman" w:hAnsi="Verdana" w:cs="Times New Roman"/>
          <w:sz w:val="24"/>
          <w:szCs w:val="24"/>
        </w:rPr>
      </w:pPr>
    </w:p>
    <w:p w14:paraId="6EC400A5" w14:textId="6210F3AB" w:rsidR="005B3BD3" w:rsidRPr="008B3051" w:rsidRDefault="005B3BD3" w:rsidP="005B3BD3">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 4 - Repealed. Pub. L. 94–455, title V, § 501(b)(1), Oct. 4, 1976, 90 Stat. 1558]</w:t>
      </w:r>
    </w:p>
    <w:p w14:paraId="3F60DB69" w14:textId="77777777" w:rsidR="004F554A" w:rsidRPr="008B3051" w:rsidRDefault="004F554A" w:rsidP="004F554A">
      <w:pPr>
        <w:shd w:val="clear" w:color="auto" w:fill="FFFFFF"/>
        <w:spacing w:after="60" w:line="240" w:lineRule="auto"/>
        <w:ind w:left="720"/>
        <w:rPr>
          <w:rFonts w:ascii="Verdana" w:eastAsia="Times New Roman" w:hAnsi="Verdana" w:cs="Times New Roman"/>
          <w:sz w:val="24"/>
          <w:szCs w:val="24"/>
        </w:rPr>
      </w:pPr>
    </w:p>
    <w:p w14:paraId="7059A490" w14:textId="561BC45C" w:rsidR="005B3BD3" w:rsidRPr="008B3051" w:rsidRDefault="005B3BD3" w:rsidP="005B3BD3">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 5 - Cross references relating to tax on individuals</w:t>
      </w:r>
    </w:p>
    <w:p w14:paraId="6710EC38" w14:textId="3894A2CF" w:rsidR="00003067" w:rsidRPr="008B3051" w:rsidRDefault="00003067" w:rsidP="00003067">
      <w:pPr>
        <w:shd w:val="clear" w:color="auto" w:fill="FFFFFF"/>
        <w:spacing w:after="60" w:line="240" w:lineRule="auto"/>
        <w:ind w:left="720"/>
        <w:rPr>
          <w:rFonts w:ascii="Verdana" w:eastAsia="Times New Roman" w:hAnsi="Verdana" w:cs="Times New Roman"/>
          <w:sz w:val="24"/>
          <w:szCs w:val="24"/>
        </w:rPr>
      </w:pPr>
    </w:p>
    <w:p w14:paraId="3A5AA658" w14:textId="77777777" w:rsidR="004F554A" w:rsidRPr="008B3051" w:rsidRDefault="004F554A" w:rsidP="004F554A">
      <w:pPr>
        <w:shd w:val="clear" w:color="auto" w:fill="FFFFFF"/>
        <w:rPr>
          <w:rFonts w:ascii="Verdana" w:hAnsi="Verdana"/>
        </w:rPr>
      </w:pPr>
      <w:r w:rsidRPr="008B3051">
        <w:rPr>
          <w:rStyle w:val="num"/>
          <w:rFonts w:ascii="Verdana" w:hAnsi="Verdana"/>
          <w:b/>
          <w:bCs/>
        </w:rPr>
        <w:lastRenderedPageBreak/>
        <w:t>(a)</w:t>
      </w:r>
      <w:r w:rsidRPr="008B3051">
        <w:rPr>
          <w:rStyle w:val="heading"/>
          <w:rFonts w:ascii="Verdana" w:hAnsi="Verdana"/>
          <w:b/>
          <w:bCs/>
          <w:smallCaps/>
        </w:rPr>
        <w:t>Other rates of tax on individuals, etc.</w:t>
      </w:r>
    </w:p>
    <w:p w14:paraId="42AC53D6" w14:textId="77777777" w:rsidR="004F554A" w:rsidRPr="008B3051" w:rsidRDefault="004F554A" w:rsidP="004F554A">
      <w:pPr>
        <w:shd w:val="clear" w:color="auto" w:fill="FFFFFF"/>
        <w:rPr>
          <w:rFonts w:ascii="Verdana" w:hAnsi="Verdana"/>
          <w:sz w:val="20"/>
          <w:szCs w:val="20"/>
        </w:rPr>
      </w:pPr>
      <w:r w:rsidRPr="008B3051">
        <w:rPr>
          <w:rStyle w:val="num"/>
          <w:rFonts w:ascii="Verdana" w:hAnsi="Verdana"/>
          <w:b/>
          <w:bCs/>
          <w:sz w:val="20"/>
          <w:szCs w:val="20"/>
        </w:rPr>
        <w:t>(1)</w:t>
      </w:r>
    </w:p>
    <w:p w14:paraId="681918B9" w14:textId="1EC45C97"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rates of </w:t>
      </w:r>
      <w:r w:rsidRPr="008B3051">
        <w:rPr>
          <w:rStyle w:val="Hyperlink"/>
          <w:rFonts w:ascii="Verdana" w:hAnsi="Verdana"/>
          <w:color w:val="auto"/>
          <w:sz w:val="20"/>
          <w:szCs w:val="20"/>
        </w:rPr>
        <w:t>tax</w:t>
      </w:r>
      <w:r w:rsidRPr="008B3051">
        <w:rPr>
          <w:rFonts w:ascii="Verdana" w:hAnsi="Verdana"/>
          <w:sz w:val="20"/>
          <w:szCs w:val="20"/>
        </w:rPr>
        <w:t> on nonresident aliens, see section 871.</w:t>
      </w:r>
    </w:p>
    <w:p w14:paraId="25D66533" w14:textId="77777777" w:rsidR="004F554A" w:rsidRPr="008B3051" w:rsidRDefault="004F554A" w:rsidP="004F554A">
      <w:pPr>
        <w:shd w:val="clear" w:color="auto" w:fill="FFFFFF"/>
        <w:rPr>
          <w:rFonts w:ascii="Verdana" w:hAnsi="Verdana"/>
          <w:sz w:val="20"/>
          <w:szCs w:val="20"/>
        </w:rPr>
      </w:pPr>
      <w:r w:rsidRPr="008B3051">
        <w:rPr>
          <w:rStyle w:val="num"/>
          <w:rFonts w:ascii="Verdana" w:hAnsi="Verdana"/>
          <w:b/>
          <w:bCs/>
          <w:sz w:val="20"/>
          <w:szCs w:val="20"/>
        </w:rPr>
        <w:t>(2)</w:t>
      </w:r>
    </w:p>
    <w:p w14:paraId="2CF50FE6" w14:textId="22253AE9"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doubling of </w:t>
      </w:r>
      <w:r w:rsidRPr="008B3051">
        <w:rPr>
          <w:rStyle w:val="Hyperlink"/>
          <w:rFonts w:ascii="Verdana" w:hAnsi="Verdana"/>
          <w:color w:val="auto"/>
          <w:sz w:val="20"/>
          <w:szCs w:val="20"/>
        </w:rPr>
        <w:t>tax</w:t>
      </w:r>
      <w:r w:rsidRPr="008B3051">
        <w:rPr>
          <w:rFonts w:ascii="Verdana" w:hAnsi="Verdana"/>
          <w:sz w:val="20"/>
          <w:szCs w:val="20"/>
        </w:rPr>
        <w:t> on citizens of certain </w:t>
      </w:r>
      <w:r w:rsidRPr="008B3051">
        <w:rPr>
          <w:rStyle w:val="Hyperlink"/>
          <w:rFonts w:ascii="Verdana" w:hAnsi="Verdana"/>
          <w:color w:val="auto"/>
          <w:sz w:val="20"/>
          <w:szCs w:val="20"/>
        </w:rPr>
        <w:t>foreign</w:t>
      </w:r>
      <w:r w:rsidRPr="008B3051">
        <w:rPr>
          <w:rFonts w:ascii="Verdana" w:hAnsi="Verdana"/>
          <w:sz w:val="20"/>
          <w:szCs w:val="20"/>
        </w:rPr>
        <w:t> countries, see section 891.</w:t>
      </w:r>
    </w:p>
    <w:p w14:paraId="506FB123" w14:textId="77777777" w:rsidR="004F554A" w:rsidRPr="008B3051" w:rsidRDefault="004F554A" w:rsidP="004F554A">
      <w:pPr>
        <w:shd w:val="clear" w:color="auto" w:fill="FFFFFF"/>
        <w:rPr>
          <w:rFonts w:ascii="Verdana" w:hAnsi="Verdana"/>
          <w:sz w:val="20"/>
          <w:szCs w:val="20"/>
        </w:rPr>
      </w:pPr>
      <w:r w:rsidRPr="008B3051">
        <w:rPr>
          <w:rStyle w:val="num"/>
          <w:rFonts w:ascii="Verdana" w:hAnsi="Verdana"/>
          <w:b/>
          <w:bCs/>
          <w:sz w:val="20"/>
          <w:szCs w:val="20"/>
        </w:rPr>
        <w:t>(3)</w:t>
      </w:r>
    </w:p>
    <w:p w14:paraId="67EB6999" w14:textId="51DEB102"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rate of withholding in the case of nonresident aliens, </w:t>
      </w:r>
      <w:r w:rsidRPr="008B3051">
        <w:rPr>
          <w:rStyle w:val="Hyperlink"/>
          <w:rFonts w:ascii="Verdana" w:hAnsi="Verdana"/>
          <w:color w:val="auto"/>
          <w:sz w:val="20"/>
          <w:szCs w:val="20"/>
        </w:rPr>
        <w:t>see</w:t>
      </w:r>
      <w:r w:rsidRPr="008B3051">
        <w:rPr>
          <w:rFonts w:ascii="Verdana" w:hAnsi="Verdana"/>
          <w:sz w:val="20"/>
          <w:szCs w:val="20"/>
        </w:rPr>
        <w:t> section 1441.</w:t>
      </w:r>
    </w:p>
    <w:p w14:paraId="4D3F0346" w14:textId="77777777" w:rsidR="004F554A" w:rsidRPr="008B3051" w:rsidRDefault="004F554A" w:rsidP="004F554A">
      <w:pPr>
        <w:shd w:val="clear" w:color="auto" w:fill="FFFFFF"/>
        <w:rPr>
          <w:rFonts w:ascii="Verdana" w:hAnsi="Verdana"/>
          <w:sz w:val="20"/>
          <w:szCs w:val="20"/>
        </w:rPr>
      </w:pPr>
      <w:bookmarkStart w:id="274" w:name="a_4"/>
      <w:bookmarkEnd w:id="274"/>
      <w:r w:rsidRPr="008B3051">
        <w:rPr>
          <w:rStyle w:val="num"/>
          <w:rFonts w:ascii="Verdana" w:hAnsi="Verdana"/>
          <w:b/>
          <w:bCs/>
          <w:sz w:val="20"/>
          <w:szCs w:val="20"/>
        </w:rPr>
        <w:t>(4)</w:t>
      </w:r>
    </w:p>
    <w:p w14:paraId="056D7577" w14:textId="6A54FE20"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alternative minimum </w:t>
      </w:r>
      <w:r w:rsidRPr="008B3051">
        <w:rPr>
          <w:rStyle w:val="Hyperlink"/>
          <w:rFonts w:ascii="Verdana" w:hAnsi="Verdana"/>
          <w:color w:val="auto"/>
          <w:sz w:val="20"/>
          <w:szCs w:val="20"/>
        </w:rPr>
        <w:t>tax</w:t>
      </w:r>
      <w:r w:rsidRPr="008B3051">
        <w:rPr>
          <w:rFonts w:ascii="Verdana" w:hAnsi="Verdana"/>
          <w:sz w:val="20"/>
          <w:szCs w:val="20"/>
        </w:rPr>
        <w:t>, see section 55.</w:t>
      </w:r>
    </w:p>
    <w:p w14:paraId="53401252" w14:textId="77777777" w:rsidR="004F554A" w:rsidRPr="008B3051" w:rsidRDefault="004F554A" w:rsidP="004F554A">
      <w:pPr>
        <w:shd w:val="clear" w:color="auto" w:fill="FFFFFF"/>
        <w:rPr>
          <w:rFonts w:ascii="Verdana" w:hAnsi="Verdana"/>
          <w:sz w:val="24"/>
          <w:szCs w:val="24"/>
        </w:rPr>
      </w:pPr>
      <w:r w:rsidRPr="008B3051">
        <w:rPr>
          <w:rStyle w:val="num"/>
          <w:rFonts w:ascii="Verdana" w:hAnsi="Verdana"/>
          <w:b/>
          <w:bCs/>
        </w:rPr>
        <w:t>(b)</w:t>
      </w:r>
      <w:r w:rsidRPr="008B3051">
        <w:rPr>
          <w:rStyle w:val="heading"/>
          <w:rFonts w:ascii="Verdana" w:hAnsi="Verdana"/>
          <w:b/>
          <w:bCs/>
          <w:smallCaps/>
        </w:rPr>
        <w:t>Special limitations on tax</w:t>
      </w:r>
    </w:p>
    <w:p w14:paraId="5C0BC78D" w14:textId="77777777" w:rsidR="004F554A" w:rsidRPr="008B3051" w:rsidRDefault="004F554A" w:rsidP="004F554A">
      <w:pPr>
        <w:shd w:val="clear" w:color="auto" w:fill="FFFFFF"/>
        <w:rPr>
          <w:rFonts w:ascii="Verdana" w:hAnsi="Verdana"/>
          <w:sz w:val="20"/>
          <w:szCs w:val="20"/>
        </w:rPr>
      </w:pPr>
      <w:r w:rsidRPr="008B3051">
        <w:rPr>
          <w:rStyle w:val="num"/>
          <w:rFonts w:ascii="Verdana" w:hAnsi="Verdana"/>
          <w:b/>
          <w:bCs/>
          <w:sz w:val="20"/>
          <w:szCs w:val="20"/>
        </w:rPr>
        <w:t>(1)</w:t>
      </w:r>
    </w:p>
    <w:p w14:paraId="4AF35E6A" w14:textId="14F02FBE"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limitation on </w:t>
      </w:r>
      <w:r w:rsidRPr="008B3051">
        <w:rPr>
          <w:rStyle w:val="Hyperlink"/>
          <w:rFonts w:ascii="Verdana" w:hAnsi="Verdana"/>
          <w:color w:val="auto"/>
          <w:sz w:val="20"/>
          <w:szCs w:val="20"/>
        </w:rPr>
        <w:t>tax</w:t>
      </w:r>
      <w:r w:rsidRPr="008B3051">
        <w:rPr>
          <w:rFonts w:ascii="Verdana" w:hAnsi="Verdana"/>
          <w:sz w:val="20"/>
          <w:szCs w:val="20"/>
        </w:rPr>
        <w:t> in case of income of members of Armed Forces, astronauts, and victims of certain terrorist attacks on death, see section 692.</w:t>
      </w:r>
    </w:p>
    <w:p w14:paraId="7579DB73" w14:textId="77777777" w:rsidR="004F554A" w:rsidRPr="008B3051" w:rsidRDefault="004F554A" w:rsidP="004F554A">
      <w:pPr>
        <w:shd w:val="clear" w:color="auto" w:fill="FFFFFF"/>
        <w:rPr>
          <w:rFonts w:ascii="Verdana" w:hAnsi="Verdana"/>
          <w:sz w:val="20"/>
          <w:szCs w:val="20"/>
        </w:rPr>
      </w:pPr>
      <w:r w:rsidRPr="008B3051">
        <w:rPr>
          <w:rStyle w:val="num"/>
          <w:rFonts w:ascii="Verdana" w:hAnsi="Verdana"/>
          <w:b/>
          <w:bCs/>
          <w:sz w:val="20"/>
          <w:szCs w:val="20"/>
        </w:rPr>
        <w:t>(2)</w:t>
      </w:r>
    </w:p>
    <w:p w14:paraId="5EE4CDE6" w14:textId="7BECF91F" w:rsidR="004F554A" w:rsidRPr="008B3051" w:rsidRDefault="004F554A" w:rsidP="004F554A">
      <w:pPr>
        <w:shd w:val="clear" w:color="auto" w:fill="FFFFFF"/>
        <w:rPr>
          <w:rFonts w:ascii="Verdana" w:hAnsi="Verdana"/>
          <w:sz w:val="20"/>
          <w:szCs w:val="20"/>
        </w:rPr>
      </w:pPr>
      <w:r w:rsidRPr="008B3051">
        <w:rPr>
          <w:rFonts w:ascii="Verdana" w:hAnsi="Verdana"/>
          <w:sz w:val="20"/>
          <w:szCs w:val="20"/>
        </w:rPr>
        <w:t>For computation of </w:t>
      </w:r>
      <w:r w:rsidRPr="008B3051">
        <w:rPr>
          <w:rStyle w:val="Hyperlink"/>
          <w:rFonts w:ascii="Verdana" w:hAnsi="Verdana"/>
          <w:color w:val="auto"/>
          <w:sz w:val="20"/>
          <w:szCs w:val="20"/>
        </w:rPr>
        <w:t>tax</w:t>
      </w:r>
      <w:r w:rsidRPr="008B3051">
        <w:rPr>
          <w:rFonts w:ascii="Verdana" w:hAnsi="Verdana"/>
          <w:sz w:val="20"/>
          <w:szCs w:val="20"/>
        </w:rPr>
        <w:t> where </w:t>
      </w:r>
      <w:r w:rsidRPr="008B3051">
        <w:rPr>
          <w:rStyle w:val="Hyperlink"/>
          <w:rFonts w:ascii="Verdana" w:hAnsi="Verdana"/>
          <w:color w:val="auto"/>
          <w:sz w:val="20"/>
          <w:szCs w:val="20"/>
        </w:rPr>
        <w:t>taxpayer</w:t>
      </w:r>
      <w:r w:rsidRPr="008B3051">
        <w:rPr>
          <w:rFonts w:ascii="Verdana" w:hAnsi="Verdana"/>
          <w:sz w:val="20"/>
          <w:szCs w:val="20"/>
        </w:rPr>
        <w:t> restores substantial amount held under claim of right, see section 1341.</w:t>
      </w:r>
    </w:p>
    <w:p w14:paraId="0ABBEBF7" w14:textId="12F0AACB" w:rsidR="004F554A" w:rsidRPr="008B3051" w:rsidRDefault="004F554A" w:rsidP="004F554A">
      <w:pPr>
        <w:shd w:val="clear" w:color="auto" w:fill="FFFFFF"/>
        <w:rPr>
          <w:rFonts w:ascii="Verdana" w:hAnsi="Verdana"/>
          <w:sz w:val="24"/>
          <w:szCs w:val="24"/>
        </w:rPr>
      </w:pPr>
      <w:r w:rsidRPr="008B3051">
        <w:rPr>
          <w:rFonts w:ascii="Verdana" w:hAnsi="Verdana"/>
        </w:rPr>
        <w:t>(Aug. 16, 1954, ch. 736, </w:t>
      </w:r>
      <w:r w:rsidRPr="008B3051">
        <w:rPr>
          <w:rStyle w:val="Hyperlink"/>
          <w:rFonts w:ascii="Verdana" w:hAnsi="Verdana"/>
          <w:color w:val="auto"/>
        </w:rPr>
        <w:t>68A Stat. 10</w:t>
      </w:r>
      <w:r w:rsidRPr="008B3051">
        <w:rPr>
          <w:rFonts w:ascii="Verdana" w:hAnsi="Verdana"/>
        </w:rPr>
        <w:t>; </w:t>
      </w:r>
      <w:r w:rsidRPr="008B3051">
        <w:rPr>
          <w:rStyle w:val="Hyperlink"/>
          <w:rFonts w:ascii="Verdana" w:hAnsi="Verdana"/>
          <w:color w:val="auto"/>
        </w:rPr>
        <w:t>Pub. L. 88–272, title II</w:t>
      </w:r>
      <w:r w:rsidRPr="008B3051">
        <w:rPr>
          <w:rFonts w:ascii="Verdana" w:hAnsi="Verdana"/>
        </w:rPr>
        <w:t>, § 232(f)(2), </w:t>
      </w:r>
      <w:r w:rsidRPr="008B3051">
        <w:rPr>
          <w:rStyle w:val="Date2"/>
          <w:rFonts w:ascii="Verdana" w:hAnsi="Verdana"/>
        </w:rPr>
        <w:t>Feb. 26, 1964</w:t>
      </w:r>
      <w:r w:rsidRPr="008B3051">
        <w:rPr>
          <w:rFonts w:ascii="Verdana" w:hAnsi="Verdana"/>
        </w:rPr>
        <w:t>, </w:t>
      </w:r>
      <w:r w:rsidRPr="008B3051">
        <w:rPr>
          <w:rStyle w:val="Hyperlink"/>
          <w:rFonts w:ascii="Verdana" w:hAnsi="Verdana"/>
          <w:color w:val="auto"/>
        </w:rPr>
        <w:t>78 Stat. 111</w:t>
      </w:r>
      <w:r w:rsidRPr="008B3051">
        <w:rPr>
          <w:rFonts w:ascii="Verdana" w:hAnsi="Verdana"/>
        </w:rPr>
        <w:t>; </w:t>
      </w:r>
      <w:r w:rsidRPr="008B3051">
        <w:rPr>
          <w:rStyle w:val="Hyperlink"/>
          <w:rFonts w:ascii="Verdana" w:hAnsi="Verdana"/>
          <w:color w:val="auto"/>
        </w:rPr>
        <w:t>Pub. L. 91–172, title III</w:t>
      </w:r>
      <w:r w:rsidRPr="008B3051">
        <w:rPr>
          <w:rFonts w:ascii="Verdana" w:hAnsi="Verdana"/>
        </w:rPr>
        <w:t>, § 301(b)(2), title VIII, § 803(d)(6), </w:t>
      </w:r>
      <w:r w:rsidRPr="008B3051">
        <w:rPr>
          <w:rStyle w:val="Date2"/>
          <w:rFonts w:ascii="Verdana" w:hAnsi="Verdana"/>
        </w:rPr>
        <w:t>Dec. 30, 1969</w:t>
      </w:r>
      <w:r w:rsidRPr="008B3051">
        <w:rPr>
          <w:rFonts w:ascii="Verdana" w:hAnsi="Verdana"/>
        </w:rPr>
        <w:t>, </w:t>
      </w:r>
      <w:r w:rsidRPr="008B3051">
        <w:rPr>
          <w:rStyle w:val="Hyperlink"/>
          <w:rFonts w:ascii="Verdana" w:hAnsi="Verdana"/>
          <w:color w:val="auto"/>
        </w:rPr>
        <w:t>83 Stat. 585</w:t>
      </w:r>
      <w:r w:rsidRPr="008B3051">
        <w:rPr>
          <w:rFonts w:ascii="Verdana" w:hAnsi="Verdana"/>
        </w:rPr>
        <w:t>, 684; </w:t>
      </w:r>
      <w:r w:rsidRPr="008B3051">
        <w:rPr>
          <w:rStyle w:val="Hyperlink"/>
          <w:rFonts w:ascii="Verdana" w:hAnsi="Verdana"/>
          <w:color w:val="auto"/>
        </w:rPr>
        <w:t>Pub. L. 94–455, title XIX</w:t>
      </w:r>
      <w:r w:rsidRPr="008B3051">
        <w:rPr>
          <w:rFonts w:ascii="Verdana" w:hAnsi="Verdana"/>
        </w:rPr>
        <w:t>, §§ 1901(b)(22)(B), 1951(c)(3)(A), </w:t>
      </w:r>
      <w:r w:rsidRPr="008B3051">
        <w:rPr>
          <w:rStyle w:val="Date2"/>
          <w:rFonts w:ascii="Verdana" w:hAnsi="Verdana"/>
        </w:rPr>
        <w:t>Oct. 4, 1976</w:t>
      </w:r>
      <w:r w:rsidRPr="008B3051">
        <w:rPr>
          <w:rFonts w:ascii="Verdana" w:hAnsi="Verdana"/>
        </w:rPr>
        <w:t>, </w:t>
      </w:r>
      <w:r w:rsidRPr="008B3051">
        <w:rPr>
          <w:rStyle w:val="Hyperlink"/>
          <w:rFonts w:ascii="Verdana" w:hAnsi="Verdana"/>
          <w:color w:val="auto"/>
        </w:rPr>
        <w:t>90 Stat. 1798</w:t>
      </w:r>
      <w:r w:rsidRPr="008B3051">
        <w:rPr>
          <w:rFonts w:ascii="Verdana" w:hAnsi="Verdana"/>
        </w:rPr>
        <w:t>, 1841; </w:t>
      </w:r>
      <w:r w:rsidRPr="008B3051">
        <w:rPr>
          <w:rStyle w:val="Hyperlink"/>
          <w:rFonts w:ascii="Verdana" w:hAnsi="Verdana"/>
          <w:color w:val="auto"/>
        </w:rPr>
        <w:t>Pub. L. 95–600, title IV</w:t>
      </w:r>
      <w:r w:rsidRPr="008B3051">
        <w:rPr>
          <w:rFonts w:ascii="Verdana" w:hAnsi="Verdana"/>
        </w:rPr>
        <w:t>, §§ 401(b)(2), 421(e)(1),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2867</w:t>
      </w:r>
      <w:r w:rsidRPr="008B3051">
        <w:rPr>
          <w:rFonts w:ascii="Verdana" w:hAnsi="Verdana"/>
        </w:rPr>
        <w:t>, 2875; </w:t>
      </w:r>
      <w:r w:rsidRPr="008B3051">
        <w:rPr>
          <w:rStyle w:val="Hyperlink"/>
          <w:rFonts w:ascii="Verdana" w:hAnsi="Verdana"/>
          <w:color w:val="auto"/>
        </w:rPr>
        <w:t>Pub. L. 96–222, title I</w:t>
      </w:r>
      <w:r w:rsidRPr="008B3051">
        <w:rPr>
          <w:rFonts w:ascii="Verdana" w:hAnsi="Verdana"/>
        </w:rPr>
        <w:t>, § 104(a)(4)(H)(vii), </w:t>
      </w:r>
      <w:r w:rsidRPr="008B3051">
        <w:rPr>
          <w:rStyle w:val="Date2"/>
          <w:rFonts w:ascii="Verdana" w:hAnsi="Verdana"/>
        </w:rPr>
        <w:t>Apr. 1, 1980</w:t>
      </w:r>
      <w:r w:rsidRPr="008B3051">
        <w:rPr>
          <w:rFonts w:ascii="Verdana" w:hAnsi="Verdana"/>
        </w:rPr>
        <w:t>, </w:t>
      </w:r>
      <w:r w:rsidRPr="008B3051">
        <w:rPr>
          <w:rStyle w:val="Hyperlink"/>
          <w:rFonts w:ascii="Verdana" w:hAnsi="Verdana"/>
          <w:color w:val="auto"/>
        </w:rPr>
        <w:t>94 Stat. 218</w:t>
      </w:r>
      <w:r w:rsidRPr="008B3051">
        <w:rPr>
          <w:rFonts w:ascii="Verdana" w:hAnsi="Verdana"/>
        </w:rPr>
        <w:t>; </w:t>
      </w:r>
      <w:r w:rsidRPr="008B3051">
        <w:rPr>
          <w:rStyle w:val="Hyperlink"/>
          <w:rFonts w:ascii="Verdana" w:hAnsi="Verdana"/>
          <w:color w:val="auto"/>
        </w:rPr>
        <w:t>Pub. L. 97–248, title II</w:t>
      </w:r>
      <w:r w:rsidRPr="008B3051">
        <w:rPr>
          <w:rFonts w:ascii="Verdana" w:hAnsi="Verdana"/>
        </w:rPr>
        <w:t>, § 201(d)(4), formerly § 201(c)(4), </w:t>
      </w:r>
      <w:r w:rsidRPr="008B3051">
        <w:rPr>
          <w:rStyle w:val="Date2"/>
          <w:rFonts w:ascii="Verdana" w:hAnsi="Verdana"/>
        </w:rPr>
        <w:t>Sept. 3, 1982</w:t>
      </w:r>
      <w:r w:rsidRPr="008B3051">
        <w:rPr>
          <w:rFonts w:ascii="Verdana" w:hAnsi="Verdana"/>
        </w:rPr>
        <w:t>, </w:t>
      </w:r>
      <w:r w:rsidRPr="008B3051">
        <w:rPr>
          <w:rStyle w:val="Hyperlink"/>
          <w:rFonts w:ascii="Verdana" w:hAnsi="Verdana"/>
          <w:color w:val="auto"/>
        </w:rPr>
        <w:t>96 Stat. 419</w:t>
      </w:r>
      <w:r w:rsidRPr="008B3051">
        <w:rPr>
          <w:rFonts w:ascii="Verdana" w:hAnsi="Verdana"/>
        </w:rPr>
        <w:t>, renumbered § 201(d)(4), </w:t>
      </w:r>
      <w:r w:rsidRPr="008B3051">
        <w:rPr>
          <w:rStyle w:val="Hyperlink"/>
          <w:rFonts w:ascii="Verdana" w:hAnsi="Verdana"/>
          <w:color w:val="auto"/>
        </w:rPr>
        <w:t>Pub. L. 97–448, title III</w:t>
      </w:r>
      <w:r w:rsidRPr="008B3051">
        <w:rPr>
          <w:rFonts w:ascii="Verdana" w:hAnsi="Verdana"/>
        </w:rPr>
        <w:t>, § 306(a)(1)(A)(i), </w:t>
      </w:r>
      <w:r w:rsidRPr="008B3051">
        <w:rPr>
          <w:rStyle w:val="Date2"/>
          <w:rFonts w:ascii="Verdana" w:hAnsi="Verdana"/>
        </w:rPr>
        <w:t>Jan. 12, 1983</w:t>
      </w:r>
      <w:r w:rsidRPr="008B3051">
        <w:rPr>
          <w:rFonts w:ascii="Verdana" w:hAnsi="Verdana"/>
        </w:rPr>
        <w:t>, </w:t>
      </w:r>
      <w:r w:rsidRPr="008B3051">
        <w:rPr>
          <w:rStyle w:val="Hyperlink"/>
          <w:rFonts w:ascii="Verdana" w:hAnsi="Verdana"/>
          <w:color w:val="auto"/>
        </w:rPr>
        <w:t>96 Stat. 2400</w:t>
      </w:r>
      <w:r w:rsidRPr="008B3051">
        <w:rPr>
          <w:rFonts w:ascii="Verdana" w:hAnsi="Verdana"/>
        </w:rPr>
        <w:t>; </w:t>
      </w:r>
      <w:r w:rsidRPr="008B3051">
        <w:rPr>
          <w:rStyle w:val="Hyperlink"/>
          <w:rFonts w:ascii="Verdana" w:hAnsi="Verdana"/>
          <w:color w:val="auto"/>
        </w:rPr>
        <w:t>Pub. L. 99–514, title I</w:t>
      </w:r>
      <w:r w:rsidRPr="008B3051">
        <w:rPr>
          <w:rFonts w:ascii="Verdana" w:hAnsi="Verdana"/>
        </w:rPr>
        <w:t>, § 141(b)(2), title VII, § 701(e)(4)(A),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2117</w:t>
      </w:r>
      <w:r w:rsidRPr="008B3051">
        <w:rPr>
          <w:rFonts w:ascii="Verdana" w:hAnsi="Verdana"/>
        </w:rPr>
        <w:t>, 2343; </w:t>
      </w:r>
      <w:r w:rsidRPr="008B3051">
        <w:rPr>
          <w:rStyle w:val="Hyperlink"/>
          <w:rFonts w:ascii="Verdana" w:hAnsi="Verdana"/>
          <w:color w:val="auto"/>
        </w:rPr>
        <w:t>Pub. L. 107–134, title I</w:t>
      </w:r>
      <w:r w:rsidRPr="008B3051">
        <w:rPr>
          <w:rFonts w:ascii="Verdana" w:hAnsi="Verdana"/>
        </w:rPr>
        <w:t>, § 101(b)(1), </w:t>
      </w:r>
      <w:r w:rsidRPr="008B3051">
        <w:rPr>
          <w:rStyle w:val="Date2"/>
          <w:rFonts w:ascii="Verdana" w:hAnsi="Verdana"/>
        </w:rPr>
        <w:t>Jan. 23, 2002</w:t>
      </w:r>
      <w:r w:rsidRPr="008B3051">
        <w:rPr>
          <w:rFonts w:ascii="Verdana" w:hAnsi="Verdana"/>
        </w:rPr>
        <w:t>, </w:t>
      </w:r>
      <w:r w:rsidRPr="008B3051">
        <w:rPr>
          <w:rStyle w:val="Hyperlink"/>
          <w:rFonts w:ascii="Verdana" w:hAnsi="Verdana"/>
          <w:color w:val="auto"/>
        </w:rPr>
        <w:t>115 Stat. 2428</w:t>
      </w:r>
      <w:r w:rsidRPr="008B3051">
        <w:rPr>
          <w:rFonts w:ascii="Verdana" w:hAnsi="Verdana"/>
        </w:rPr>
        <w:t>; </w:t>
      </w:r>
      <w:r w:rsidRPr="008B3051">
        <w:rPr>
          <w:rStyle w:val="Hyperlink"/>
          <w:rFonts w:ascii="Verdana" w:hAnsi="Verdana"/>
          <w:color w:val="auto"/>
        </w:rPr>
        <w:t>Pub. L. 108–121, title I</w:t>
      </w:r>
      <w:r w:rsidRPr="008B3051">
        <w:rPr>
          <w:rFonts w:ascii="Verdana" w:hAnsi="Verdana"/>
        </w:rPr>
        <w:t>, § 110(a)(2)(A), </w:t>
      </w:r>
      <w:r w:rsidRPr="008B3051">
        <w:rPr>
          <w:rStyle w:val="Date2"/>
          <w:rFonts w:ascii="Verdana" w:hAnsi="Verdana"/>
        </w:rPr>
        <w:t>Nov. 11, 2003</w:t>
      </w:r>
      <w:r w:rsidRPr="008B3051">
        <w:rPr>
          <w:rFonts w:ascii="Verdana" w:hAnsi="Verdana"/>
        </w:rPr>
        <w:t>, </w:t>
      </w:r>
      <w:r w:rsidRPr="008B3051">
        <w:rPr>
          <w:rStyle w:val="Hyperlink"/>
          <w:rFonts w:ascii="Verdana" w:hAnsi="Verdana"/>
          <w:color w:val="auto"/>
        </w:rPr>
        <w:t>117 Stat. 1342</w:t>
      </w:r>
      <w:r w:rsidRPr="008B3051">
        <w:rPr>
          <w:rFonts w:ascii="Verdana" w:hAnsi="Verdana"/>
        </w:rPr>
        <w:t>.)</w:t>
      </w:r>
    </w:p>
    <w:p w14:paraId="3936A5C8" w14:textId="77777777" w:rsidR="004F554A" w:rsidRPr="008B3051" w:rsidRDefault="004F554A" w:rsidP="00003067">
      <w:pPr>
        <w:shd w:val="clear" w:color="auto" w:fill="FFFFFF"/>
        <w:spacing w:after="60" w:line="240" w:lineRule="auto"/>
        <w:ind w:left="720"/>
        <w:rPr>
          <w:rFonts w:ascii="Verdana" w:eastAsia="Times New Roman" w:hAnsi="Verdana" w:cs="Times New Roman"/>
          <w:sz w:val="24"/>
          <w:szCs w:val="24"/>
        </w:rPr>
      </w:pPr>
    </w:p>
    <w:p w14:paraId="2ACE56C1" w14:textId="0878448B"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II - TAX ON CORPORATIONS (§§ 11 to 12)</w:t>
      </w:r>
    </w:p>
    <w:p w14:paraId="5D475631" w14:textId="4BF6C3A2" w:rsidR="004F554A" w:rsidRPr="008B3051" w:rsidRDefault="004F554A" w:rsidP="004F554A">
      <w:pPr>
        <w:shd w:val="clear" w:color="auto" w:fill="FFFFFF"/>
        <w:spacing w:after="60" w:line="240" w:lineRule="auto"/>
        <w:ind w:left="720"/>
        <w:rPr>
          <w:rFonts w:ascii="Verdana" w:eastAsia="Times New Roman" w:hAnsi="Verdana" w:cs="Times New Roman"/>
          <w:sz w:val="24"/>
          <w:szCs w:val="24"/>
          <w:u w:val="single"/>
        </w:rPr>
      </w:pPr>
      <w:r w:rsidRPr="008B3051">
        <w:rPr>
          <w:rFonts w:ascii="Verdana" w:eastAsia="Times New Roman" w:hAnsi="Verdana" w:cs="Times New Roman"/>
          <w:sz w:val="24"/>
          <w:szCs w:val="24"/>
          <w:u w:val="single"/>
        </w:rPr>
        <w:t>§ 11-Tax Imposed</w:t>
      </w:r>
    </w:p>
    <w:p w14:paraId="54BBEC73" w14:textId="486AE65F" w:rsidR="004F554A" w:rsidRPr="008B3051" w:rsidRDefault="004F554A" w:rsidP="004F554A">
      <w:pPr>
        <w:shd w:val="clear" w:color="auto" w:fill="FFFFFF"/>
        <w:spacing w:after="60" w:line="240" w:lineRule="auto"/>
        <w:ind w:left="720"/>
        <w:rPr>
          <w:rFonts w:ascii="Verdana" w:eastAsia="Times New Roman" w:hAnsi="Verdana" w:cs="Times New Roman"/>
          <w:sz w:val="24"/>
          <w:szCs w:val="24"/>
          <w:u w:val="single"/>
        </w:rPr>
      </w:pPr>
    </w:p>
    <w:p w14:paraId="5DC5D791" w14:textId="77777777" w:rsidR="004F554A" w:rsidRPr="008B3051" w:rsidRDefault="004F554A" w:rsidP="004F554A">
      <w:pPr>
        <w:shd w:val="clear" w:color="auto" w:fill="FFFFFF"/>
        <w:ind w:left="720" w:firstLine="720"/>
        <w:rPr>
          <w:rFonts w:ascii="Verdana" w:hAnsi="Verdana"/>
        </w:rPr>
      </w:pPr>
      <w:r w:rsidRPr="008B3051">
        <w:rPr>
          <w:rStyle w:val="num"/>
          <w:rFonts w:ascii="Verdana" w:hAnsi="Verdana"/>
          <w:b/>
          <w:bCs/>
        </w:rPr>
        <w:t>(a)</w:t>
      </w:r>
      <w:r w:rsidRPr="008B3051">
        <w:rPr>
          <w:rStyle w:val="heading"/>
          <w:rFonts w:ascii="Verdana" w:hAnsi="Verdana"/>
          <w:b/>
          <w:bCs/>
          <w:smallCaps/>
        </w:rPr>
        <w:t>Corporations in general</w:t>
      </w:r>
    </w:p>
    <w:p w14:paraId="09EBCA58" w14:textId="09A997D1" w:rsidR="004F554A" w:rsidRPr="008B3051" w:rsidRDefault="004F554A" w:rsidP="004F554A">
      <w:pPr>
        <w:pStyle w:val="NormalWeb"/>
        <w:shd w:val="clear" w:color="auto" w:fill="FFFFFF"/>
        <w:spacing w:before="0" w:beforeAutospacing="0" w:after="0" w:afterAutospacing="0"/>
        <w:ind w:left="1440"/>
        <w:rPr>
          <w:rFonts w:ascii="Verdana" w:hAnsi="Verdana"/>
        </w:rPr>
      </w:pPr>
      <w:r w:rsidRPr="008B3051">
        <w:rPr>
          <w:rFonts w:ascii="Verdana" w:hAnsi="Verdana"/>
        </w:rPr>
        <w:t>A </w:t>
      </w:r>
      <w:r w:rsidRPr="008B3051">
        <w:rPr>
          <w:rStyle w:val="Hyperlink"/>
          <w:rFonts w:ascii="Verdana" w:hAnsi="Verdana"/>
          <w:color w:val="auto"/>
        </w:rPr>
        <w:t>tax</w:t>
      </w:r>
      <w:r w:rsidRPr="008B3051">
        <w:rPr>
          <w:rFonts w:ascii="Verdana" w:hAnsi="Verdana"/>
        </w:rPr>
        <w:t> is hereby imposed for each </w:t>
      </w:r>
      <w:r w:rsidRPr="008B3051">
        <w:rPr>
          <w:rStyle w:val="Hyperlink"/>
          <w:rFonts w:ascii="Verdana" w:hAnsi="Verdana"/>
          <w:color w:val="auto"/>
        </w:rPr>
        <w:t>taxable year</w:t>
      </w:r>
      <w:r w:rsidRPr="008B3051">
        <w:rPr>
          <w:rFonts w:ascii="Verdana" w:hAnsi="Verdana"/>
        </w:rPr>
        <w:t> on the </w:t>
      </w:r>
      <w:r w:rsidRPr="008B3051">
        <w:rPr>
          <w:rStyle w:val="Hyperlink"/>
          <w:rFonts w:ascii="Verdana" w:hAnsi="Verdana"/>
          <w:color w:val="auto"/>
        </w:rPr>
        <w:t>taxable income</w:t>
      </w:r>
      <w:r w:rsidRPr="008B3051">
        <w:rPr>
          <w:rFonts w:ascii="Verdana" w:hAnsi="Verdana"/>
        </w:rPr>
        <w:t> of every corporation.</w:t>
      </w:r>
    </w:p>
    <w:p w14:paraId="35BE5555" w14:textId="77777777" w:rsidR="004F554A" w:rsidRPr="008B3051" w:rsidRDefault="004F554A" w:rsidP="004F554A">
      <w:pPr>
        <w:shd w:val="clear" w:color="auto" w:fill="FFFFFF"/>
        <w:ind w:left="720" w:firstLine="720"/>
        <w:rPr>
          <w:rFonts w:ascii="Verdana" w:hAnsi="Verdana"/>
        </w:rPr>
      </w:pPr>
      <w:r w:rsidRPr="008B3051">
        <w:rPr>
          <w:rStyle w:val="num"/>
          <w:rFonts w:ascii="Verdana" w:hAnsi="Verdana"/>
          <w:b/>
          <w:bCs/>
        </w:rPr>
        <w:t>(b)</w:t>
      </w:r>
      <w:r w:rsidRPr="008B3051">
        <w:rPr>
          <w:rStyle w:val="heading"/>
          <w:rFonts w:ascii="Verdana" w:hAnsi="Verdana"/>
          <w:b/>
          <w:bCs/>
          <w:smallCaps/>
        </w:rPr>
        <w:t>Amount of tax</w:t>
      </w:r>
    </w:p>
    <w:p w14:paraId="61DC5CAB" w14:textId="654E2EF0" w:rsidR="004F554A" w:rsidRPr="008B3051" w:rsidRDefault="004F554A" w:rsidP="004F554A">
      <w:pPr>
        <w:pStyle w:val="NormalWeb"/>
        <w:shd w:val="clear" w:color="auto" w:fill="FFFFFF"/>
        <w:spacing w:before="0" w:beforeAutospacing="0" w:after="0" w:afterAutospacing="0"/>
        <w:ind w:left="1440"/>
        <w:rPr>
          <w:rFonts w:ascii="Verdana" w:hAnsi="Verdana"/>
        </w:rPr>
      </w:pPr>
      <w:r w:rsidRPr="008B3051">
        <w:rPr>
          <w:rFonts w:ascii="Verdana" w:hAnsi="Verdana"/>
        </w:rPr>
        <w:lastRenderedPageBreak/>
        <w:t>The amount of the </w:t>
      </w:r>
      <w:r w:rsidRPr="008B3051">
        <w:rPr>
          <w:rStyle w:val="Hyperlink"/>
          <w:rFonts w:ascii="Verdana" w:hAnsi="Verdana"/>
          <w:color w:val="auto"/>
        </w:rPr>
        <w:t>tax</w:t>
      </w:r>
      <w:r w:rsidRPr="008B3051">
        <w:rPr>
          <w:rFonts w:ascii="Verdana" w:hAnsi="Verdana"/>
        </w:rPr>
        <w:t> imposed by subsection (a) shall be 21 percent of </w:t>
      </w:r>
      <w:r w:rsidRPr="008B3051">
        <w:rPr>
          <w:rStyle w:val="Hyperlink"/>
          <w:rFonts w:ascii="Verdana" w:hAnsi="Verdana"/>
          <w:color w:val="auto"/>
        </w:rPr>
        <w:t>taxable income</w:t>
      </w:r>
      <w:r w:rsidRPr="008B3051">
        <w:rPr>
          <w:rFonts w:ascii="Verdana" w:hAnsi="Verdana"/>
        </w:rPr>
        <w:t>.</w:t>
      </w:r>
    </w:p>
    <w:p w14:paraId="5DDBEE33" w14:textId="6DDD078E" w:rsidR="004F554A" w:rsidRPr="008B3051" w:rsidRDefault="004F554A" w:rsidP="004F554A">
      <w:pPr>
        <w:shd w:val="clear" w:color="auto" w:fill="FFFFFF"/>
        <w:ind w:left="1440"/>
        <w:rPr>
          <w:rFonts w:ascii="Verdana" w:hAnsi="Verdana"/>
        </w:rPr>
      </w:pPr>
      <w:r w:rsidRPr="008B3051">
        <w:rPr>
          <w:rStyle w:val="num"/>
          <w:rFonts w:ascii="Verdana" w:hAnsi="Verdana"/>
          <w:b/>
          <w:bCs/>
        </w:rPr>
        <w:t xml:space="preserve">(c) </w:t>
      </w:r>
      <w:r w:rsidRPr="008B3051">
        <w:rPr>
          <w:rStyle w:val="heading"/>
          <w:rFonts w:ascii="Verdana" w:hAnsi="Verdana"/>
          <w:b/>
          <w:bCs/>
          <w:smallCaps/>
        </w:rPr>
        <w:t xml:space="preserve">Exceptions </w:t>
      </w:r>
      <w:r w:rsidRPr="008B3051">
        <w:rPr>
          <w:rStyle w:val="chapeau"/>
          <w:rFonts w:ascii="Verdana" w:hAnsi="Verdana"/>
        </w:rPr>
        <w:t>Subsection (a) shall not apply to a </w:t>
      </w:r>
      <w:r w:rsidRPr="008B3051">
        <w:rPr>
          <w:rStyle w:val="Hyperlink"/>
          <w:rFonts w:ascii="Verdana" w:hAnsi="Verdana"/>
          <w:color w:val="auto"/>
        </w:rPr>
        <w:t>corporation</w:t>
      </w:r>
      <w:r w:rsidRPr="008B3051">
        <w:rPr>
          <w:rStyle w:val="chapeau"/>
          <w:rFonts w:ascii="Verdana" w:hAnsi="Verdana"/>
        </w:rPr>
        <w:t> subject to a tax imposed by—</w:t>
      </w:r>
    </w:p>
    <w:p w14:paraId="230E38FF" w14:textId="4A28802B" w:rsidR="004F554A" w:rsidRPr="008B3051" w:rsidRDefault="004F554A" w:rsidP="004F554A">
      <w:pPr>
        <w:shd w:val="clear" w:color="auto" w:fill="FFFFFF"/>
        <w:ind w:left="1440"/>
        <w:rPr>
          <w:rFonts w:ascii="Verdana" w:hAnsi="Verdana"/>
        </w:rPr>
      </w:pPr>
      <w:bookmarkStart w:id="275" w:name="c_1"/>
      <w:bookmarkEnd w:id="275"/>
      <w:r w:rsidRPr="008B3051">
        <w:rPr>
          <w:rStyle w:val="num"/>
          <w:rFonts w:ascii="Verdana" w:hAnsi="Verdana"/>
          <w:b/>
          <w:bCs/>
        </w:rPr>
        <w:t xml:space="preserve">(1) </w:t>
      </w:r>
      <w:r w:rsidRPr="008B3051">
        <w:rPr>
          <w:rFonts w:ascii="Verdana" w:hAnsi="Verdana"/>
        </w:rPr>
        <w:t>section 594 (relating to mutual savings </w:t>
      </w:r>
      <w:r w:rsidRPr="008B3051">
        <w:rPr>
          <w:rStyle w:val="Hyperlink"/>
          <w:rFonts w:ascii="Verdana" w:hAnsi="Verdana"/>
          <w:color w:val="auto"/>
        </w:rPr>
        <w:t>banks</w:t>
      </w:r>
      <w:r w:rsidRPr="008B3051">
        <w:rPr>
          <w:rFonts w:ascii="Verdana" w:hAnsi="Verdana"/>
        </w:rPr>
        <w:t> conducting life </w:t>
      </w:r>
      <w:r w:rsidRPr="008B3051">
        <w:rPr>
          <w:rStyle w:val="Hyperlink"/>
          <w:rFonts w:ascii="Verdana" w:hAnsi="Verdana"/>
          <w:color w:val="auto"/>
        </w:rPr>
        <w:t>insurance business</w:t>
      </w:r>
      <w:r w:rsidRPr="008B3051">
        <w:rPr>
          <w:rFonts w:ascii="Verdana" w:hAnsi="Verdana"/>
        </w:rPr>
        <w:t>),</w:t>
      </w:r>
    </w:p>
    <w:p w14:paraId="5D3D911F" w14:textId="6605FF90" w:rsidR="004F554A" w:rsidRPr="008B3051" w:rsidRDefault="004F554A" w:rsidP="004F554A">
      <w:pPr>
        <w:shd w:val="clear" w:color="auto" w:fill="FFFFFF"/>
        <w:ind w:left="1440"/>
        <w:rPr>
          <w:rFonts w:ascii="Verdana" w:hAnsi="Verdana"/>
        </w:rPr>
      </w:pPr>
      <w:bookmarkStart w:id="276" w:name="c_2"/>
      <w:bookmarkEnd w:id="276"/>
      <w:r w:rsidRPr="008B3051">
        <w:rPr>
          <w:rStyle w:val="num"/>
          <w:rFonts w:ascii="Verdana" w:hAnsi="Verdana"/>
          <w:b/>
          <w:bCs/>
        </w:rPr>
        <w:t xml:space="preserve">(2) </w:t>
      </w:r>
      <w:r w:rsidRPr="008B3051">
        <w:rPr>
          <w:rFonts w:ascii="Verdana" w:hAnsi="Verdana"/>
        </w:rPr>
        <w:t>subchapter L (sec. 801 and following, relating to insurance companies), or</w:t>
      </w:r>
    </w:p>
    <w:p w14:paraId="64DFCE21" w14:textId="22A3A10D" w:rsidR="004F554A" w:rsidRPr="008B3051" w:rsidRDefault="004F554A" w:rsidP="004F554A">
      <w:pPr>
        <w:shd w:val="clear" w:color="auto" w:fill="FFFFFF"/>
        <w:ind w:left="1440"/>
        <w:rPr>
          <w:rFonts w:ascii="Verdana" w:hAnsi="Verdana"/>
        </w:rPr>
      </w:pPr>
      <w:bookmarkStart w:id="277" w:name="c_3"/>
      <w:bookmarkEnd w:id="277"/>
      <w:r w:rsidRPr="008B3051">
        <w:rPr>
          <w:rStyle w:val="num"/>
          <w:rFonts w:ascii="Verdana" w:hAnsi="Verdana"/>
          <w:b/>
          <w:bCs/>
        </w:rPr>
        <w:t xml:space="preserve">(3) </w:t>
      </w:r>
      <w:r w:rsidRPr="008B3051">
        <w:rPr>
          <w:rFonts w:ascii="Verdana" w:hAnsi="Verdana"/>
        </w:rPr>
        <w:t>subchapter M (sec. 851 and following, relating to regulated investment companies and </w:t>
      </w:r>
      <w:r w:rsidRPr="008B3051">
        <w:rPr>
          <w:rStyle w:val="Hyperlink"/>
          <w:rFonts w:ascii="Verdana" w:hAnsi="Verdana"/>
          <w:color w:val="auto"/>
        </w:rPr>
        <w:t>real estate investment trusts</w:t>
      </w:r>
      <w:r w:rsidRPr="008B3051">
        <w:rPr>
          <w:rFonts w:ascii="Verdana" w:hAnsi="Verdana"/>
        </w:rPr>
        <w:t>).</w:t>
      </w:r>
    </w:p>
    <w:p w14:paraId="78F3AC04" w14:textId="77777777" w:rsidR="004F554A" w:rsidRPr="008B3051" w:rsidRDefault="004F554A" w:rsidP="004F554A">
      <w:pPr>
        <w:shd w:val="clear" w:color="auto" w:fill="FFFFFF"/>
        <w:ind w:left="720" w:firstLine="720"/>
        <w:rPr>
          <w:rFonts w:ascii="Verdana" w:hAnsi="Verdana"/>
        </w:rPr>
      </w:pPr>
      <w:r w:rsidRPr="008B3051">
        <w:rPr>
          <w:rStyle w:val="num"/>
          <w:rFonts w:ascii="Verdana" w:hAnsi="Verdana"/>
          <w:b/>
          <w:bCs/>
        </w:rPr>
        <w:t>(d)</w:t>
      </w:r>
      <w:r w:rsidRPr="008B3051">
        <w:rPr>
          <w:rStyle w:val="heading"/>
          <w:rFonts w:ascii="Verdana" w:hAnsi="Verdana"/>
          <w:b/>
          <w:bCs/>
          <w:smallCaps/>
        </w:rPr>
        <w:t>Foreign corporations</w:t>
      </w:r>
    </w:p>
    <w:p w14:paraId="371B021A" w14:textId="4DE185F1" w:rsidR="004F554A" w:rsidRPr="008B3051" w:rsidRDefault="004F554A" w:rsidP="00963B91">
      <w:pPr>
        <w:pStyle w:val="NormalWeb"/>
        <w:shd w:val="clear" w:color="auto" w:fill="FFFFFF"/>
        <w:spacing w:before="0" w:beforeAutospacing="0" w:after="0" w:afterAutospacing="0"/>
        <w:ind w:left="1440"/>
        <w:rPr>
          <w:rFonts w:ascii="Verdana" w:hAnsi="Verdana"/>
        </w:rPr>
      </w:pPr>
      <w:r w:rsidRPr="008B3051">
        <w:rPr>
          <w:rFonts w:ascii="Verdana" w:hAnsi="Verdana"/>
        </w:rPr>
        <w:t>In the case of a foreign</w:t>
      </w:r>
      <w:r w:rsidRPr="008B3051">
        <w:rPr>
          <w:rStyle w:val="Hyperlink"/>
          <w:rFonts w:ascii="Verdana" w:hAnsi="Verdana"/>
          <w:color w:val="auto"/>
        </w:rPr>
        <w:t>corporation</w:t>
      </w:r>
      <w:r w:rsidRPr="008B3051">
        <w:rPr>
          <w:rFonts w:ascii="Verdana" w:hAnsi="Verdana"/>
        </w:rPr>
        <w:t>, the tax imposed by subsection (a) shall apply only as provided by section 882.</w:t>
      </w:r>
    </w:p>
    <w:p w14:paraId="222C619C" w14:textId="2BA4D578" w:rsidR="004F554A" w:rsidRPr="008B3051" w:rsidRDefault="004F554A" w:rsidP="00963B91">
      <w:pPr>
        <w:shd w:val="clear" w:color="auto" w:fill="FFFFFF"/>
        <w:ind w:left="1440"/>
        <w:rPr>
          <w:rFonts w:ascii="Verdana" w:hAnsi="Verdana"/>
        </w:rPr>
      </w:pPr>
      <w:r w:rsidRPr="008B3051">
        <w:rPr>
          <w:rFonts w:ascii="Verdana" w:hAnsi="Verdana"/>
        </w:rPr>
        <w:t>(Aug. 16, 1954, ch. 736, </w:t>
      </w:r>
      <w:r w:rsidRPr="008B3051">
        <w:rPr>
          <w:rStyle w:val="Hyperlink"/>
          <w:rFonts w:ascii="Verdana" w:hAnsi="Verdana"/>
          <w:color w:val="auto"/>
        </w:rPr>
        <w:t>68A Stat. 11</w:t>
      </w:r>
      <w:r w:rsidRPr="008B3051">
        <w:rPr>
          <w:rFonts w:ascii="Verdana" w:hAnsi="Verdana"/>
        </w:rPr>
        <w:t>; Mar. 30, 1955, ch. 18, § 2, </w:t>
      </w:r>
      <w:r w:rsidRPr="008B3051">
        <w:rPr>
          <w:rStyle w:val="Hyperlink"/>
          <w:rFonts w:ascii="Verdana" w:hAnsi="Verdana"/>
          <w:color w:val="auto"/>
        </w:rPr>
        <w:t>69 Stat. 14</w:t>
      </w:r>
      <w:r w:rsidRPr="008B3051">
        <w:rPr>
          <w:rFonts w:ascii="Verdana" w:hAnsi="Verdana"/>
        </w:rPr>
        <w:t>; Mar. 29, 1956, ch. 115, § 2, </w:t>
      </w:r>
      <w:r w:rsidRPr="008B3051">
        <w:rPr>
          <w:rStyle w:val="Hyperlink"/>
          <w:rFonts w:ascii="Verdana" w:hAnsi="Verdana"/>
          <w:color w:val="auto"/>
        </w:rPr>
        <w:t>70 Stat. 66</w:t>
      </w:r>
      <w:r w:rsidRPr="008B3051">
        <w:rPr>
          <w:rFonts w:ascii="Verdana" w:hAnsi="Verdana"/>
        </w:rPr>
        <w:t>; </w:t>
      </w:r>
      <w:r w:rsidRPr="008B3051">
        <w:rPr>
          <w:rStyle w:val="Hyperlink"/>
          <w:rFonts w:ascii="Verdana" w:hAnsi="Verdana"/>
          <w:color w:val="auto"/>
        </w:rPr>
        <w:t>Pub. L. 85–12</w:t>
      </w:r>
      <w:r w:rsidRPr="008B3051">
        <w:rPr>
          <w:rFonts w:ascii="Verdana" w:hAnsi="Verdana"/>
        </w:rPr>
        <w:t>, § 2, </w:t>
      </w:r>
      <w:r w:rsidRPr="008B3051">
        <w:rPr>
          <w:rStyle w:val="Date2"/>
          <w:rFonts w:ascii="Verdana" w:hAnsi="Verdana"/>
        </w:rPr>
        <w:t>Mar. 29, 1957</w:t>
      </w:r>
      <w:r w:rsidRPr="008B3051">
        <w:rPr>
          <w:rFonts w:ascii="Verdana" w:hAnsi="Verdana"/>
        </w:rPr>
        <w:t>, </w:t>
      </w:r>
      <w:r w:rsidRPr="008B3051">
        <w:rPr>
          <w:rStyle w:val="Hyperlink"/>
          <w:rFonts w:ascii="Verdana" w:hAnsi="Verdana"/>
          <w:color w:val="auto"/>
        </w:rPr>
        <w:t>71 Stat. 9</w:t>
      </w:r>
      <w:r w:rsidRPr="008B3051">
        <w:rPr>
          <w:rFonts w:ascii="Verdana" w:hAnsi="Verdana"/>
        </w:rPr>
        <w:t>; </w:t>
      </w:r>
      <w:r w:rsidRPr="008B3051">
        <w:rPr>
          <w:rStyle w:val="Hyperlink"/>
          <w:rFonts w:ascii="Verdana" w:hAnsi="Verdana"/>
          <w:color w:val="auto"/>
        </w:rPr>
        <w:t>Pub. L. 85–475</w:t>
      </w:r>
      <w:r w:rsidRPr="008B3051">
        <w:rPr>
          <w:rFonts w:ascii="Verdana" w:hAnsi="Verdana"/>
        </w:rPr>
        <w:t>, § 2, </w:t>
      </w:r>
      <w:r w:rsidRPr="008B3051">
        <w:rPr>
          <w:rStyle w:val="Date2"/>
          <w:rFonts w:ascii="Verdana" w:hAnsi="Verdana"/>
        </w:rPr>
        <w:t>June 30, 1958</w:t>
      </w:r>
      <w:r w:rsidRPr="008B3051">
        <w:rPr>
          <w:rFonts w:ascii="Verdana" w:hAnsi="Verdana"/>
        </w:rPr>
        <w:t>, </w:t>
      </w:r>
      <w:r w:rsidRPr="008B3051">
        <w:rPr>
          <w:rStyle w:val="Hyperlink"/>
          <w:rFonts w:ascii="Verdana" w:hAnsi="Verdana"/>
          <w:color w:val="auto"/>
        </w:rPr>
        <w:t>72 Stat. 259</w:t>
      </w:r>
      <w:r w:rsidRPr="008B3051">
        <w:rPr>
          <w:rFonts w:ascii="Verdana" w:hAnsi="Verdana"/>
        </w:rPr>
        <w:t>; </w:t>
      </w:r>
      <w:r w:rsidRPr="008B3051">
        <w:rPr>
          <w:rStyle w:val="Hyperlink"/>
          <w:rFonts w:ascii="Verdana" w:hAnsi="Verdana"/>
          <w:color w:val="auto"/>
        </w:rPr>
        <w:t>Pub. L. 86–75</w:t>
      </w:r>
      <w:r w:rsidRPr="008B3051">
        <w:rPr>
          <w:rFonts w:ascii="Verdana" w:hAnsi="Verdana"/>
        </w:rPr>
        <w:t>, § 2, </w:t>
      </w:r>
      <w:r w:rsidRPr="008B3051">
        <w:rPr>
          <w:rStyle w:val="Date2"/>
          <w:rFonts w:ascii="Verdana" w:hAnsi="Verdana"/>
        </w:rPr>
        <w:t>June 30, 1959</w:t>
      </w:r>
      <w:r w:rsidRPr="008B3051">
        <w:rPr>
          <w:rFonts w:ascii="Verdana" w:hAnsi="Verdana"/>
        </w:rPr>
        <w:t>, </w:t>
      </w:r>
      <w:r w:rsidRPr="008B3051">
        <w:rPr>
          <w:rStyle w:val="Hyperlink"/>
          <w:rFonts w:ascii="Verdana" w:hAnsi="Verdana"/>
          <w:color w:val="auto"/>
        </w:rPr>
        <w:t>73 Stat. 157</w:t>
      </w:r>
      <w:r w:rsidRPr="008B3051">
        <w:rPr>
          <w:rFonts w:ascii="Verdana" w:hAnsi="Verdana"/>
        </w:rPr>
        <w:t>; </w:t>
      </w:r>
      <w:r w:rsidRPr="008B3051">
        <w:rPr>
          <w:rStyle w:val="Hyperlink"/>
          <w:rFonts w:ascii="Verdana" w:hAnsi="Verdana"/>
          <w:color w:val="auto"/>
        </w:rPr>
        <w:t>Pub. L. 86–564, title II</w:t>
      </w:r>
      <w:r w:rsidRPr="008B3051">
        <w:rPr>
          <w:rFonts w:ascii="Verdana" w:hAnsi="Verdana"/>
        </w:rPr>
        <w:t>, § 201, </w:t>
      </w:r>
      <w:r w:rsidRPr="008B3051">
        <w:rPr>
          <w:rStyle w:val="Date2"/>
          <w:rFonts w:ascii="Verdana" w:hAnsi="Verdana"/>
        </w:rPr>
        <w:t>June 30, 1960</w:t>
      </w:r>
      <w:r w:rsidRPr="008B3051">
        <w:rPr>
          <w:rFonts w:ascii="Verdana" w:hAnsi="Verdana"/>
        </w:rPr>
        <w:t>, </w:t>
      </w:r>
      <w:r w:rsidRPr="008B3051">
        <w:rPr>
          <w:rStyle w:val="Hyperlink"/>
          <w:rFonts w:ascii="Verdana" w:hAnsi="Verdana"/>
          <w:color w:val="auto"/>
        </w:rPr>
        <w:t>74 Stat. 290</w:t>
      </w:r>
      <w:r w:rsidRPr="008B3051">
        <w:rPr>
          <w:rFonts w:ascii="Verdana" w:hAnsi="Verdana"/>
        </w:rPr>
        <w:t>; </w:t>
      </w:r>
      <w:r w:rsidRPr="008B3051">
        <w:rPr>
          <w:rStyle w:val="Hyperlink"/>
          <w:rFonts w:ascii="Verdana" w:hAnsi="Verdana"/>
          <w:color w:val="auto"/>
        </w:rPr>
        <w:t>Pub. L. 86–779</w:t>
      </w:r>
      <w:r w:rsidRPr="008B3051">
        <w:rPr>
          <w:rFonts w:ascii="Verdana" w:hAnsi="Verdana"/>
        </w:rPr>
        <w:t>, § 10(d), </w:t>
      </w:r>
      <w:r w:rsidRPr="008B3051">
        <w:rPr>
          <w:rStyle w:val="Date2"/>
          <w:rFonts w:ascii="Verdana" w:hAnsi="Verdana"/>
        </w:rPr>
        <w:t>Sept. 14, 1960</w:t>
      </w:r>
      <w:r w:rsidRPr="008B3051">
        <w:rPr>
          <w:rFonts w:ascii="Verdana" w:hAnsi="Verdana"/>
        </w:rPr>
        <w:t>, </w:t>
      </w:r>
      <w:r w:rsidRPr="008B3051">
        <w:rPr>
          <w:rStyle w:val="Hyperlink"/>
          <w:rFonts w:ascii="Verdana" w:hAnsi="Verdana"/>
          <w:color w:val="auto"/>
        </w:rPr>
        <w:t>74 Stat. 1009</w:t>
      </w:r>
      <w:r w:rsidRPr="008B3051">
        <w:rPr>
          <w:rFonts w:ascii="Verdana" w:hAnsi="Verdana"/>
        </w:rPr>
        <w:t>; </w:t>
      </w:r>
      <w:r w:rsidRPr="008B3051">
        <w:rPr>
          <w:rStyle w:val="Hyperlink"/>
          <w:rFonts w:ascii="Verdana" w:hAnsi="Verdana"/>
          <w:color w:val="auto"/>
        </w:rPr>
        <w:t>Pub. L. 87–72</w:t>
      </w:r>
      <w:r w:rsidRPr="008B3051">
        <w:rPr>
          <w:rFonts w:ascii="Verdana" w:hAnsi="Verdana"/>
        </w:rPr>
        <w:t>, § 2, </w:t>
      </w:r>
      <w:r w:rsidRPr="008B3051">
        <w:rPr>
          <w:rStyle w:val="Date2"/>
          <w:rFonts w:ascii="Verdana" w:hAnsi="Verdana"/>
        </w:rPr>
        <w:t>June 30, 1961</w:t>
      </w:r>
      <w:r w:rsidRPr="008B3051">
        <w:rPr>
          <w:rFonts w:ascii="Verdana" w:hAnsi="Verdana"/>
        </w:rPr>
        <w:t>, </w:t>
      </w:r>
      <w:r w:rsidRPr="008B3051">
        <w:rPr>
          <w:rStyle w:val="Hyperlink"/>
          <w:rFonts w:ascii="Verdana" w:hAnsi="Verdana"/>
          <w:color w:val="auto"/>
        </w:rPr>
        <w:t>75 Stat. 193</w:t>
      </w:r>
      <w:r w:rsidRPr="008B3051">
        <w:rPr>
          <w:rFonts w:ascii="Verdana" w:hAnsi="Verdana"/>
        </w:rPr>
        <w:t>; </w:t>
      </w:r>
      <w:r w:rsidRPr="008B3051">
        <w:rPr>
          <w:rStyle w:val="Hyperlink"/>
          <w:rFonts w:ascii="Verdana" w:hAnsi="Verdana"/>
          <w:color w:val="auto"/>
        </w:rPr>
        <w:t>Pub. L. 87–508</w:t>
      </w:r>
      <w:r w:rsidRPr="008B3051">
        <w:rPr>
          <w:rFonts w:ascii="Verdana" w:hAnsi="Verdana"/>
        </w:rPr>
        <w:t>, § 2, </w:t>
      </w:r>
      <w:r w:rsidRPr="008B3051">
        <w:rPr>
          <w:rStyle w:val="Date2"/>
          <w:rFonts w:ascii="Verdana" w:hAnsi="Verdana"/>
        </w:rPr>
        <w:t>June 28, 1962</w:t>
      </w:r>
      <w:r w:rsidRPr="008B3051">
        <w:rPr>
          <w:rFonts w:ascii="Verdana" w:hAnsi="Verdana"/>
        </w:rPr>
        <w:t>, </w:t>
      </w:r>
      <w:r w:rsidRPr="008B3051">
        <w:rPr>
          <w:rStyle w:val="Hyperlink"/>
          <w:rFonts w:ascii="Verdana" w:hAnsi="Verdana"/>
          <w:color w:val="auto"/>
        </w:rPr>
        <w:t>76 Stat. 114</w:t>
      </w:r>
      <w:r w:rsidRPr="008B3051">
        <w:rPr>
          <w:rFonts w:ascii="Verdana" w:hAnsi="Verdana"/>
        </w:rPr>
        <w:t>; </w:t>
      </w:r>
      <w:r w:rsidRPr="008B3051">
        <w:rPr>
          <w:rStyle w:val="Hyperlink"/>
          <w:rFonts w:ascii="Verdana" w:hAnsi="Verdana"/>
          <w:color w:val="auto"/>
        </w:rPr>
        <w:t>Pub. L. 88–52</w:t>
      </w:r>
      <w:r w:rsidRPr="008B3051">
        <w:rPr>
          <w:rFonts w:ascii="Verdana" w:hAnsi="Verdana"/>
        </w:rPr>
        <w:t>, § 2, </w:t>
      </w:r>
      <w:r w:rsidRPr="008B3051">
        <w:rPr>
          <w:rStyle w:val="Date2"/>
          <w:rFonts w:ascii="Verdana" w:hAnsi="Verdana"/>
        </w:rPr>
        <w:t>June 29, 1963</w:t>
      </w:r>
      <w:r w:rsidRPr="008B3051">
        <w:rPr>
          <w:rFonts w:ascii="Verdana" w:hAnsi="Verdana"/>
        </w:rPr>
        <w:t>, </w:t>
      </w:r>
      <w:r w:rsidRPr="008B3051">
        <w:rPr>
          <w:rStyle w:val="Hyperlink"/>
          <w:rFonts w:ascii="Verdana" w:hAnsi="Verdana"/>
          <w:color w:val="auto"/>
        </w:rPr>
        <w:t>77 Stat. 72</w:t>
      </w:r>
      <w:r w:rsidRPr="008B3051">
        <w:rPr>
          <w:rFonts w:ascii="Verdana" w:hAnsi="Verdana"/>
        </w:rPr>
        <w:t>; </w:t>
      </w:r>
      <w:r w:rsidRPr="008B3051">
        <w:rPr>
          <w:rStyle w:val="Hyperlink"/>
          <w:rFonts w:ascii="Verdana" w:hAnsi="Verdana"/>
          <w:color w:val="auto"/>
        </w:rPr>
        <w:t>Pub. L. 88–272, title I</w:t>
      </w:r>
      <w:r w:rsidRPr="008B3051">
        <w:rPr>
          <w:rFonts w:ascii="Verdana" w:hAnsi="Verdana"/>
        </w:rPr>
        <w:t>, § 121, </w:t>
      </w:r>
      <w:r w:rsidRPr="008B3051">
        <w:rPr>
          <w:rStyle w:val="Date2"/>
          <w:rFonts w:ascii="Verdana" w:hAnsi="Verdana"/>
        </w:rPr>
        <w:t>Feb. 26, 1964</w:t>
      </w:r>
      <w:r w:rsidRPr="008B3051">
        <w:rPr>
          <w:rFonts w:ascii="Verdana" w:hAnsi="Verdana"/>
        </w:rPr>
        <w:t>, </w:t>
      </w:r>
      <w:r w:rsidRPr="008B3051">
        <w:rPr>
          <w:rStyle w:val="Hyperlink"/>
          <w:rFonts w:ascii="Verdana" w:hAnsi="Verdana"/>
          <w:color w:val="auto"/>
        </w:rPr>
        <w:t>78 Stat. 25</w:t>
      </w:r>
      <w:r w:rsidRPr="008B3051">
        <w:rPr>
          <w:rFonts w:ascii="Verdana" w:hAnsi="Verdana"/>
        </w:rPr>
        <w:t>; </w:t>
      </w:r>
      <w:r w:rsidRPr="008B3051">
        <w:rPr>
          <w:rStyle w:val="Hyperlink"/>
          <w:rFonts w:ascii="Verdana" w:hAnsi="Verdana"/>
          <w:color w:val="auto"/>
        </w:rPr>
        <w:t>Pub. L. 89–809, title I</w:t>
      </w:r>
      <w:r w:rsidRPr="008B3051">
        <w:rPr>
          <w:rFonts w:ascii="Verdana" w:hAnsi="Verdana"/>
        </w:rPr>
        <w:t>, § 104(b)(2), </w:t>
      </w:r>
      <w:r w:rsidRPr="008B3051">
        <w:rPr>
          <w:rStyle w:val="Date2"/>
          <w:rFonts w:ascii="Verdana" w:hAnsi="Verdana"/>
        </w:rPr>
        <w:t>Nov. 13, 1966</w:t>
      </w:r>
      <w:r w:rsidRPr="008B3051">
        <w:rPr>
          <w:rFonts w:ascii="Verdana" w:hAnsi="Verdana"/>
        </w:rPr>
        <w:t>, </w:t>
      </w:r>
      <w:r w:rsidRPr="008B3051">
        <w:rPr>
          <w:rStyle w:val="Hyperlink"/>
          <w:rFonts w:ascii="Verdana" w:hAnsi="Verdana"/>
          <w:color w:val="auto"/>
        </w:rPr>
        <w:t>80 Stat. 1557</w:t>
      </w:r>
      <w:r w:rsidRPr="008B3051">
        <w:rPr>
          <w:rFonts w:ascii="Verdana" w:hAnsi="Verdana"/>
        </w:rPr>
        <w:t>; </w:t>
      </w:r>
      <w:r w:rsidRPr="008B3051">
        <w:rPr>
          <w:rStyle w:val="Hyperlink"/>
          <w:rFonts w:ascii="Verdana" w:hAnsi="Verdana"/>
          <w:color w:val="auto"/>
        </w:rPr>
        <w:t>Pub. L. 91–172, title IV</w:t>
      </w:r>
      <w:r w:rsidRPr="008B3051">
        <w:rPr>
          <w:rFonts w:ascii="Verdana" w:hAnsi="Verdana"/>
        </w:rPr>
        <w:t>, § 401(b)(2)(B), </w:t>
      </w:r>
      <w:r w:rsidRPr="008B3051">
        <w:rPr>
          <w:rStyle w:val="Date2"/>
          <w:rFonts w:ascii="Verdana" w:hAnsi="Verdana"/>
        </w:rPr>
        <w:t>Dec. 30, 1969</w:t>
      </w:r>
      <w:r w:rsidRPr="008B3051">
        <w:rPr>
          <w:rFonts w:ascii="Verdana" w:hAnsi="Verdana"/>
        </w:rPr>
        <w:t>, </w:t>
      </w:r>
      <w:r w:rsidRPr="008B3051">
        <w:rPr>
          <w:rStyle w:val="Hyperlink"/>
          <w:rFonts w:ascii="Verdana" w:hAnsi="Verdana"/>
          <w:color w:val="auto"/>
        </w:rPr>
        <w:t>83 Stat. 602</w:t>
      </w:r>
      <w:r w:rsidRPr="008B3051">
        <w:rPr>
          <w:rFonts w:ascii="Verdana" w:hAnsi="Verdana"/>
        </w:rPr>
        <w:t>; </w:t>
      </w:r>
      <w:r w:rsidRPr="008B3051">
        <w:rPr>
          <w:rStyle w:val="Hyperlink"/>
          <w:rFonts w:ascii="Verdana" w:hAnsi="Verdana"/>
          <w:color w:val="auto"/>
        </w:rPr>
        <w:t>Pub. L. 94–12, title III</w:t>
      </w:r>
      <w:r w:rsidRPr="008B3051">
        <w:rPr>
          <w:rFonts w:ascii="Verdana" w:hAnsi="Verdana"/>
        </w:rPr>
        <w:t>, § 303(a), (b), </w:t>
      </w:r>
      <w:r w:rsidRPr="008B3051">
        <w:rPr>
          <w:rStyle w:val="Date2"/>
          <w:rFonts w:ascii="Verdana" w:hAnsi="Verdana"/>
        </w:rPr>
        <w:t>Mar. 29, 1975</w:t>
      </w:r>
      <w:r w:rsidRPr="008B3051">
        <w:rPr>
          <w:rFonts w:ascii="Verdana" w:hAnsi="Verdana"/>
        </w:rPr>
        <w:t>, </w:t>
      </w:r>
      <w:r w:rsidRPr="008B3051">
        <w:rPr>
          <w:rStyle w:val="Hyperlink"/>
          <w:rFonts w:ascii="Verdana" w:hAnsi="Verdana"/>
          <w:color w:val="auto"/>
        </w:rPr>
        <w:t>89 Stat. 44</w:t>
      </w:r>
      <w:r w:rsidRPr="008B3051">
        <w:rPr>
          <w:rFonts w:ascii="Verdana" w:hAnsi="Verdana"/>
        </w:rPr>
        <w:t>; </w:t>
      </w:r>
      <w:r w:rsidRPr="008B3051">
        <w:rPr>
          <w:rStyle w:val="Hyperlink"/>
          <w:rFonts w:ascii="Verdana" w:hAnsi="Verdana"/>
          <w:color w:val="auto"/>
        </w:rPr>
        <w:t>Pub. L. 94–164</w:t>
      </w:r>
      <w:r w:rsidRPr="008B3051">
        <w:rPr>
          <w:rFonts w:ascii="Verdana" w:hAnsi="Verdana"/>
        </w:rPr>
        <w:t>, § 4(a)–(c), </w:t>
      </w:r>
      <w:r w:rsidRPr="008B3051">
        <w:rPr>
          <w:rStyle w:val="Date2"/>
          <w:rFonts w:ascii="Verdana" w:hAnsi="Verdana"/>
        </w:rPr>
        <w:t>Dec. 23, 1975</w:t>
      </w:r>
      <w:r w:rsidRPr="008B3051">
        <w:rPr>
          <w:rFonts w:ascii="Verdana" w:hAnsi="Verdana"/>
        </w:rPr>
        <w:t>, </w:t>
      </w:r>
      <w:r w:rsidRPr="008B3051">
        <w:rPr>
          <w:rStyle w:val="Hyperlink"/>
          <w:rFonts w:ascii="Verdana" w:hAnsi="Verdana"/>
          <w:color w:val="auto"/>
        </w:rPr>
        <w:t>89 Stat. 973</w:t>
      </w:r>
      <w:r w:rsidRPr="008B3051">
        <w:rPr>
          <w:rFonts w:ascii="Verdana" w:hAnsi="Verdana"/>
        </w:rPr>
        <w:t>, 974; </w:t>
      </w:r>
      <w:r w:rsidRPr="008B3051">
        <w:rPr>
          <w:rStyle w:val="Hyperlink"/>
          <w:rFonts w:ascii="Verdana" w:hAnsi="Verdana"/>
          <w:color w:val="auto"/>
        </w:rPr>
        <w:t>Pub. L. 94–455, title IX</w:t>
      </w:r>
      <w:r w:rsidRPr="008B3051">
        <w:rPr>
          <w:rFonts w:ascii="Verdana" w:hAnsi="Verdana"/>
        </w:rPr>
        <w:t>, § 901(a), </w:t>
      </w:r>
      <w:r w:rsidRPr="008B3051">
        <w:rPr>
          <w:rStyle w:val="Date2"/>
          <w:rFonts w:ascii="Verdana" w:hAnsi="Verdana"/>
        </w:rPr>
        <w:t>Oct. 4, 1976</w:t>
      </w:r>
      <w:r w:rsidRPr="008B3051">
        <w:rPr>
          <w:rFonts w:ascii="Verdana" w:hAnsi="Verdana"/>
        </w:rPr>
        <w:t>, </w:t>
      </w:r>
      <w:r w:rsidRPr="008B3051">
        <w:rPr>
          <w:rStyle w:val="Hyperlink"/>
          <w:rFonts w:ascii="Verdana" w:hAnsi="Verdana"/>
          <w:color w:val="auto"/>
        </w:rPr>
        <w:t>90 Stat. 1606</w:t>
      </w:r>
      <w:r w:rsidRPr="008B3051">
        <w:rPr>
          <w:rFonts w:ascii="Verdana" w:hAnsi="Verdana"/>
        </w:rPr>
        <w:t>; </w:t>
      </w:r>
      <w:r w:rsidRPr="008B3051">
        <w:rPr>
          <w:rStyle w:val="Hyperlink"/>
          <w:rFonts w:ascii="Verdana" w:hAnsi="Verdana"/>
          <w:color w:val="auto"/>
        </w:rPr>
        <w:t>Pub. L. 95–30, title II</w:t>
      </w:r>
      <w:r w:rsidRPr="008B3051">
        <w:rPr>
          <w:rFonts w:ascii="Verdana" w:hAnsi="Verdana"/>
        </w:rPr>
        <w:t>, § 201(1), (2), </w:t>
      </w:r>
      <w:r w:rsidRPr="008B3051">
        <w:rPr>
          <w:rStyle w:val="Date2"/>
          <w:rFonts w:ascii="Verdana" w:hAnsi="Verdana"/>
        </w:rPr>
        <w:t>May 23, 1977</w:t>
      </w:r>
      <w:r w:rsidRPr="008B3051">
        <w:rPr>
          <w:rFonts w:ascii="Verdana" w:hAnsi="Verdana"/>
        </w:rPr>
        <w:t>, </w:t>
      </w:r>
      <w:r w:rsidRPr="008B3051">
        <w:rPr>
          <w:rStyle w:val="Hyperlink"/>
          <w:rFonts w:ascii="Verdana" w:hAnsi="Verdana"/>
          <w:color w:val="auto"/>
        </w:rPr>
        <w:t>91 Stat. 141</w:t>
      </w:r>
      <w:r w:rsidRPr="008B3051">
        <w:rPr>
          <w:rFonts w:ascii="Verdana" w:hAnsi="Verdana"/>
        </w:rPr>
        <w:t>; </w:t>
      </w:r>
      <w:r w:rsidRPr="008B3051">
        <w:rPr>
          <w:rStyle w:val="Hyperlink"/>
          <w:rFonts w:ascii="Verdana" w:hAnsi="Verdana"/>
          <w:color w:val="auto"/>
        </w:rPr>
        <w:t>Pub. L. 95–600, title III</w:t>
      </w:r>
      <w:r w:rsidRPr="008B3051">
        <w:rPr>
          <w:rFonts w:ascii="Verdana" w:hAnsi="Verdana"/>
        </w:rPr>
        <w:t>, § 301(a),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2820</w:t>
      </w:r>
      <w:r w:rsidRPr="008B3051">
        <w:rPr>
          <w:rFonts w:ascii="Verdana" w:hAnsi="Verdana"/>
        </w:rPr>
        <w:t>; </w:t>
      </w:r>
      <w:r w:rsidRPr="008B3051">
        <w:rPr>
          <w:rStyle w:val="Hyperlink"/>
          <w:rFonts w:ascii="Verdana" w:hAnsi="Verdana"/>
          <w:color w:val="auto"/>
        </w:rPr>
        <w:t>Pub. L. 97–34, title II</w:t>
      </w:r>
      <w:r w:rsidRPr="008B3051">
        <w:rPr>
          <w:rFonts w:ascii="Verdana" w:hAnsi="Verdana"/>
        </w:rPr>
        <w:t>, § 231(a), </w:t>
      </w:r>
      <w:r w:rsidRPr="008B3051">
        <w:rPr>
          <w:rStyle w:val="Date2"/>
          <w:rFonts w:ascii="Verdana" w:hAnsi="Verdana"/>
        </w:rPr>
        <w:t>Aug. 13, 1981</w:t>
      </w:r>
      <w:r w:rsidRPr="008B3051">
        <w:rPr>
          <w:rFonts w:ascii="Verdana" w:hAnsi="Verdana"/>
        </w:rPr>
        <w:t>, </w:t>
      </w:r>
      <w:r w:rsidRPr="008B3051">
        <w:rPr>
          <w:rStyle w:val="Hyperlink"/>
          <w:rFonts w:ascii="Verdana" w:hAnsi="Verdana"/>
          <w:color w:val="auto"/>
        </w:rPr>
        <w:t>95 Stat. 249</w:t>
      </w:r>
      <w:r w:rsidRPr="008B3051">
        <w:rPr>
          <w:rFonts w:ascii="Verdana" w:hAnsi="Verdana"/>
        </w:rPr>
        <w:t>; </w:t>
      </w:r>
      <w:r w:rsidRPr="008B3051">
        <w:rPr>
          <w:rStyle w:val="Hyperlink"/>
          <w:rFonts w:ascii="Verdana" w:hAnsi="Verdana"/>
          <w:color w:val="auto"/>
        </w:rPr>
        <w:t>Pub. L. 98–369, div. A, title I</w:t>
      </w:r>
      <w:r w:rsidRPr="008B3051">
        <w:rPr>
          <w:rFonts w:ascii="Verdana" w:hAnsi="Verdana"/>
        </w:rPr>
        <w:t>, § 66(a),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585</w:t>
      </w:r>
      <w:r w:rsidRPr="008B3051">
        <w:rPr>
          <w:rFonts w:ascii="Verdana" w:hAnsi="Verdana"/>
        </w:rPr>
        <w:t>; </w:t>
      </w:r>
      <w:r w:rsidRPr="008B3051">
        <w:rPr>
          <w:rStyle w:val="Hyperlink"/>
          <w:rFonts w:ascii="Verdana" w:hAnsi="Verdana"/>
          <w:color w:val="auto"/>
        </w:rPr>
        <w:t>Pub. L. 99–514, title VI</w:t>
      </w:r>
      <w:r w:rsidRPr="008B3051">
        <w:rPr>
          <w:rFonts w:ascii="Verdana" w:hAnsi="Verdana"/>
        </w:rPr>
        <w:t>, § 601(a),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2249</w:t>
      </w:r>
      <w:r w:rsidRPr="008B3051">
        <w:rPr>
          <w:rFonts w:ascii="Verdana" w:hAnsi="Verdana"/>
        </w:rPr>
        <w:t>; </w:t>
      </w:r>
      <w:r w:rsidRPr="008B3051">
        <w:rPr>
          <w:rStyle w:val="Hyperlink"/>
          <w:rFonts w:ascii="Verdana" w:hAnsi="Verdana"/>
          <w:color w:val="auto"/>
        </w:rPr>
        <w:t>Pub. L. 100–203, title X</w:t>
      </w:r>
      <w:r w:rsidRPr="008B3051">
        <w:rPr>
          <w:rFonts w:ascii="Verdana" w:hAnsi="Verdana"/>
        </w:rPr>
        <w:t>, § 10224(a), </w:t>
      </w:r>
      <w:r w:rsidRPr="008B3051">
        <w:rPr>
          <w:rStyle w:val="Date2"/>
          <w:rFonts w:ascii="Verdana" w:hAnsi="Verdana"/>
        </w:rPr>
        <w:t>Dec. 22, 1987</w:t>
      </w:r>
      <w:r w:rsidRPr="008B3051">
        <w:rPr>
          <w:rFonts w:ascii="Verdana" w:hAnsi="Verdana"/>
        </w:rPr>
        <w:t>, </w:t>
      </w:r>
      <w:r w:rsidRPr="008B3051">
        <w:rPr>
          <w:rStyle w:val="Hyperlink"/>
          <w:rFonts w:ascii="Verdana" w:hAnsi="Verdana"/>
          <w:color w:val="auto"/>
        </w:rPr>
        <w:t>101 Stat. 1330–412</w:t>
      </w:r>
      <w:r w:rsidRPr="008B3051">
        <w:rPr>
          <w:rFonts w:ascii="Verdana" w:hAnsi="Verdana"/>
        </w:rPr>
        <w:t>; </w:t>
      </w:r>
      <w:r w:rsidRPr="008B3051">
        <w:rPr>
          <w:rStyle w:val="Hyperlink"/>
          <w:rFonts w:ascii="Verdana" w:hAnsi="Verdana"/>
          <w:color w:val="auto"/>
        </w:rPr>
        <w:t>Pub. L. 100–647, title I</w:t>
      </w:r>
      <w:r w:rsidRPr="008B3051">
        <w:rPr>
          <w:rFonts w:ascii="Verdana" w:hAnsi="Verdana"/>
        </w:rPr>
        <w:t>, § 1007(g)(13)(B), </w:t>
      </w:r>
      <w:r w:rsidRPr="008B3051">
        <w:rPr>
          <w:rStyle w:val="Date2"/>
          <w:rFonts w:ascii="Verdana" w:hAnsi="Verdana"/>
        </w:rPr>
        <w:t>Nov. 10, 1988</w:t>
      </w:r>
      <w:r w:rsidRPr="008B3051">
        <w:rPr>
          <w:rFonts w:ascii="Verdana" w:hAnsi="Verdana"/>
        </w:rPr>
        <w:t>, </w:t>
      </w:r>
      <w:r w:rsidRPr="008B3051">
        <w:rPr>
          <w:rStyle w:val="Hyperlink"/>
          <w:rFonts w:ascii="Verdana" w:hAnsi="Verdana"/>
          <w:color w:val="auto"/>
        </w:rPr>
        <w:t>102 Stat. 3436</w:t>
      </w:r>
      <w:r w:rsidRPr="008B3051">
        <w:rPr>
          <w:rFonts w:ascii="Verdana" w:hAnsi="Verdana"/>
        </w:rPr>
        <w:t>; </w:t>
      </w:r>
      <w:r w:rsidRPr="008B3051">
        <w:rPr>
          <w:rStyle w:val="Hyperlink"/>
          <w:rFonts w:ascii="Verdana" w:hAnsi="Verdana"/>
          <w:color w:val="auto"/>
        </w:rPr>
        <w:t>Pub. L. 103–66, title XIII</w:t>
      </w:r>
      <w:r w:rsidRPr="008B3051">
        <w:rPr>
          <w:rFonts w:ascii="Verdana" w:hAnsi="Verdana"/>
        </w:rPr>
        <w:t>, § 13221(a), (b), </w:t>
      </w:r>
      <w:r w:rsidRPr="008B3051">
        <w:rPr>
          <w:rStyle w:val="Date2"/>
          <w:rFonts w:ascii="Verdana" w:hAnsi="Verdana"/>
        </w:rPr>
        <w:t>Aug. 10, 1993</w:t>
      </w:r>
      <w:r w:rsidRPr="008B3051">
        <w:rPr>
          <w:rFonts w:ascii="Verdana" w:hAnsi="Verdana"/>
        </w:rPr>
        <w:t>, </w:t>
      </w:r>
      <w:r w:rsidRPr="008B3051">
        <w:rPr>
          <w:rStyle w:val="Hyperlink"/>
          <w:rFonts w:ascii="Verdana" w:hAnsi="Verdana"/>
          <w:color w:val="auto"/>
        </w:rPr>
        <w:t>107 Stat. 477</w:t>
      </w:r>
      <w:r w:rsidRPr="008B3051">
        <w:rPr>
          <w:rFonts w:ascii="Verdana" w:hAnsi="Verdana"/>
        </w:rPr>
        <w:t>; </w:t>
      </w:r>
      <w:r w:rsidRPr="008B3051">
        <w:rPr>
          <w:rStyle w:val="Hyperlink"/>
          <w:rFonts w:ascii="Verdana" w:hAnsi="Verdana"/>
          <w:color w:val="auto"/>
        </w:rPr>
        <w:t>Pub. L. 115–97, title I</w:t>
      </w:r>
      <w:r w:rsidRPr="008B3051">
        <w:rPr>
          <w:rFonts w:ascii="Verdana" w:hAnsi="Verdana"/>
        </w:rPr>
        <w:t>, §§ 12001(b)(11), 13001(a),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2094</w:t>
      </w:r>
      <w:r w:rsidRPr="008B3051">
        <w:rPr>
          <w:rFonts w:ascii="Verdana" w:hAnsi="Verdana"/>
        </w:rPr>
        <w:t>, 2096.)</w:t>
      </w:r>
    </w:p>
    <w:p w14:paraId="4814A83F" w14:textId="77777777" w:rsidR="004F554A" w:rsidRPr="008B3051" w:rsidRDefault="004F554A" w:rsidP="004F554A">
      <w:pPr>
        <w:shd w:val="clear" w:color="auto" w:fill="FFFFFF"/>
        <w:spacing w:after="60" w:line="240" w:lineRule="auto"/>
        <w:ind w:left="720"/>
        <w:rPr>
          <w:rFonts w:ascii="Verdana" w:eastAsia="Times New Roman" w:hAnsi="Verdana" w:cs="Times New Roman"/>
          <w:sz w:val="24"/>
          <w:szCs w:val="24"/>
          <w:u w:val="single"/>
        </w:rPr>
      </w:pPr>
    </w:p>
    <w:p w14:paraId="02AC1378" w14:textId="3F5962A4" w:rsidR="004F554A" w:rsidRPr="008B3051" w:rsidRDefault="004F554A" w:rsidP="004F554A">
      <w:pPr>
        <w:shd w:val="clear" w:color="auto" w:fill="FFFFFF"/>
        <w:spacing w:after="60" w:line="240" w:lineRule="auto"/>
        <w:ind w:left="720"/>
      </w:pPr>
      <w:r w:rsidRPr="008B3051">
        <w:rPr>
          <w:rFonts w:ascii="Verdana" w:eastAsia="Times New Roman" w:hAnsi="Verdana" w:cs="Times New Roman"/>
          <w:sz w:val="24"/>
          <w:szCs w:val="24"/>
          <w:u w:val="single"/>
        </w:rPr>
        <w:t xml:space="preserve">§ </w:t>
      </w:r>
      <w:r w:rsidRPr="008B3051">
        <w:rPr>
          <w:rStyle w:val="Hyperlink"/>
          <w:rFonts w:ascii="Verdana" w:hAnsi="Verdana"/>
          <w:color w:val="auto"/>
          <w:shd w:val="clear" w:color="auto" w:fill="FFFFFF"/>
        </w:rPr>
        <w:t>12 - Cross references relating to tax on corporations</w:t>
      </w:r>
    </w:p>
    <w:p w14:paraId="0DE2439D" w14:textId="12CF6D78" w:rsidR="00963B91" w:rsidRPr="008B3051" w:rsidRDefault="00963B91" w:rsidP="00963B91">
      <w:pPr>
        <w:pStyle w:val="ListParagraph"/>
        <w:numPr>
          <w:ilvl w:val="1"/>
          <w:numId w:val="1"/>
        </w:numPr>
        <w:shd w:val="clear" w:color="auto" w:fill="FFFFFF"/>
        <w:rPr>
          <w:rFonts w:ascii="Verdana" w:hAnsi="Verdana"/>
          <w:sz w:val="20"/>
          <w:szCs w:val="20"/>
        </w:rPr>
      </w:pPr>
      <w:r w:rsidRPr="008B3051">
        <w:rPr>
          <w:rFonts w:ascii="Verdana" w:hAnsi="Verdana"/>
          <w:sz w:val="20"/>
          <w:szCs w:val="20"/>
        </w:rPr>
        <w:t xml:space="preserve"> For </w:t>
      </w:r>
      <w:r w:rsidRPr="008B3051">
        <w:rPr>
          <w:rStyle w:val="Hyperlink"/>
          <w:rFonts w:ascii="Verdana" w:hAnsi="Verdana"/>
          <w:color w:val="auto"/>
          <w:sz w:val="20"/>
          <w:szCs w:val="20"/>
        </w:rPr>
        <w:t>tax</w:t>
      </w:r>
      <w:r w:rsidRPr="008B3051">
        <w:rPr>
          <w:rFonts w:ascii="Verdana" w:hAnsi="Verdana"/>
          <w:sz w:val="20"/>
          <w:szCs w:val="20"/>
        </w:rPr>
        <w:t> on the </w:t>
      </w:r>
      <w:r w:rsidRPr="008B3051">
        <w:rPr>
          <w:rStyle w:val="Hyperlink"/>
          <w:rFonts w:ascii="Verdana" w:hAnsi="Verdana"/>
          <w:color w:val="auto"/>
          <w:sz w:val="20"/>
          <w:szCs w:val="20"/>
        </w:rPr>
        <w:t>unrelated business income</w:t>
      </w:r>
      <w:r w:rsidRPr="008B3051">
        <w:rPr>
          <w:rFonts w:ascii="Verdana" w:hAnsi="Verdana"/>
          <w:sz w:val="20"/>
          <w:szCs w:val="20"/>
        </w:rPr>
        <w:t> of certain charitable and other corporations exempt from tax under this chapter, see section 511.</w:t>
      </w:r>
    </w:p>
    <w:p w14:paraId="48702FD6" w14:textId="13D4FA2A" w:rsidR="00963B91" w:rsidRPr="008B3051" w:rsidRDefault="00963B91" w:rsidP="00963B91">
      <w:pPr>
        <w:pStyle w:val="ListParagraph"/>
        <w:numPr>
          <w:ilvl w:val="1"/>
          <w:numId w:val="1"/>
        </w:numPr>
        <w:shd w:val="clear" w:color="auto" w:fill="FFFFFF"/>
        <w:rPr>
          <w:rFonts w:ascii="Verdana" w:hAnsi="Verdana"/>
          <w:sz w:val="20"/>
          <w:szCs w:val="20"/>
        </w:rPr>
      </w:pPr>
      <w:bookmarkStart w:id="278" w:name="2"/>
      <w:bookmarkEnd w:id="278"/>
      <w:r w:rsidRPr="008B3051">
        <w:rPr>
          <w:rFonts w:ascii="Verdana" w:hAnsi="Verdana"/>
          <w:sz w:val="20"/>
          <w:szCs w:val="20"/>
        </w:rPr>
        <w:lastRenderedPageBreak/>
        <w:t xml:space="preserve"> For accumulated earnings </w:t>
      </w:r>
      <w:r w:rsidRPr="008B3051">
        <w:rPr>
          <w:rStyle w:val="Hyperlink"/>
          <w:rFonts w:ascii="Verdana" w:hAnsi="Verdana"/>
          <w:color w:val="auto"/>
          <w:sz w:val="20"/>
          <w:szCs w:val="20"/>
        </w:rPr>
        <w:t>tax</w:t>
      </w:r>
      <w:r w:rsidRPr="008B3051">
        <w:rPr>
          <w:rFonts w:ascii="Verdana" w:hAnsi="Verdana"/>
          <w:sz w:val="20"/>
          <w:szCs w:val="20"/>
        </w:rPr>
        <w:t> and </w:t>
      </w:r>
      <w:r w:rsidRPr="008B3051">
        <w:rPr>
          <w:rStyle w:val="Hyperlink"/>
          <w:rFonts w:ascii="Verdana" w:hAnsi="Verdana"/>
          <w:color w:val="auto"/>
          <w:sz w:val="20"/>
          <w:szCs w:val="20"/>
        </w:rPr>
        <w:t>personal holding company</w:t>
      </w:r>
      <w:r w:rsidRPr="008B3051">
        <w:rPr>
          <w:rFonts w:ascii="Verdana" w:hAnsi="Verdana"/>
          <w:sz w:val="20"/>
          <w:szCs w:val="20"/>
        </w:rPr>
        <w:t> tax, see parts I and II of subchapter G (sec. 531 and following).</w:t>
      </w:r>
    </w:p>
    <w:p w14:paraId="6B1B34E8" w14:textId="3DBCD944" w:rsidR="00963B91" w:rsidRPr="008B3051" w:rsidRDefault="00963B91" w:rsidP="00963B91">
      <w:pPr>
        <w:pStyle w:val="ListParagraph"/>
        <w:numPr>
          <w:ilvl w:val="1"/>
          <w:numId w:val="1"/>
        </w:numPr>
        <w:shd w:val="clear" w:color="auto" w:fill="FFFFFF"/>
        <w:rPr>
          <w:rFonts w:ascii="Verdana" w:hAnsi="Verdana"/>
          <w:sz w:val="20"/>
          <w:szCs w:val="20"/>
        </w:rPr>
      </w:pPr>
      <w:bookmarkStart w:id="279" w:name="3"/>
      <w:bookmarkEnd w:id="279"/>
      <w:r w:rsidRPr="008B3051">
        <w:rPr>
          <w:rFonts w:ascii="Verdana" w:hAnsi="Verdana"/>
          <w:sz w:val="20"/>
          <w:szCs w:val="20"/>
        </w:rPr>
        <w:t xml:space="preserve"> For doubling of </w:t>
      </w:r>
      <w:r w:rsidRPr="008B3051">
        <w:rPr>
          <w:rStyle w:val="Hyperlink"/>
          <w:rFonts w:ascii="Verdana" w:hAnsi="Verdana"/>
          <w:color w:val="auto"/>
          <w:sz w:val="20"/>
          <w:szCs w:val="20"/>
        </w:rPr>
        <w:t>tax</w:t>
      </w:r>
      <w:r w:rsidRPr="008B3051">
        <w:rPr>
          <w:rFonts w:ascii="Verdana" w:hAnsi="Verdana"/>
          <w:sz w:val="20"/>
          <w:szCs w:val="20"/>
        </w:rPr>
        <w:t> on </w:t>
      </w:r>
      <w:r w:rsidRPr="008B3051">
        <w:rPr>
          <w:rStyle w:val="Hyperlink"/>
          <w:rFonts w:ascii="Verdana" w:hAnsi="Verdana"/>
          <w:color w:val="auto"/>
          <w:sz w:val="20"/>
          <w:szCs w:val="20"/>
        </w:rPr>
        <w:t>corporations</w:t>
      </w:r>
      <w:r w:rsidRPr="008B3051">
        <w:rPr>
          <w:rFonts w:ascii="Verdana" w:hAnsi="Verdana"/>
          <w:sz w:val="20"/>
          <w:szCs w:val="20"/>
        </w:rPr>
        <w:t> of certain foreign countries, see section 891.</w:t>
      </w:r>
    </w:p>
    <w:p w14:paraId="0C2C108E" w14:textId="05E15676" w:rsidR="00963B91" w:rsidRPr="008B3051" w:rsidRDefault="00963B91" w:rsidP="00963B91">
      <w:pPr>
        <w:pStyle w:val="ListParagraph"/>
        <w:numPr>
          <w:ilvl w:val="1"/>
          <w:numId w:val="1"/>
        </w:numPr>
        <w:shd w:val="clear" w:color="auto" w:fill="FFFFFF"/>
        <w:rPr>
          <w:rFonts w:ascii="Verdana" w:hAnsi="Verdana"/>
          <w:sz w:val="20"/>
          <w:szCs w:val="20"/>
        </w:rPr>
      </w:pPr>
      <w:bookmarkStart w:id="280" w:name="4"/>
      <w:bookmarkEnd w:id="280"/>
      <w:r w:rsidRPr="008B3051">
        <w:rPr>
          <w:rFonts w:ascii="Verdana" w:hAnsi="Verdana"/>
          <w:sz w:val="20"/>
          <w:szCs w:val="20"/>
        </w:rPr>
        <w:t xml:space="preserve"> For rate of withholding in case of foreign</w:t>
      </w:r>
      <w:r w:rsidRPr="008B3051">
        <w:rPr>
          <w:rStyle w:val="Hyperlink"/>
          <w:rFonts w:ascii="Verdana" w:hAnsi="Verdana"/>
          <w:color w:val="auto"/>
          <w:sz w:val="20"/>
          <w:szCs w:val="20"/>
        </w:rPr>
        <w:t>corporations</w:t>
      </w:r>
      <w:r w:rsidRPr="008B3051">
        <w:rPr>
          <w:rFonts w:ascii="Verdana" w:hAnsi="Verdana"/>
          <w:sz w:val="20"/>
          <w:szCs w:val="20"/>
        </w:rPr>
        <w:t>, see section 1442.</w:t>
      </w:r>
    </w:p>
    <w:p w14:paraId="1183C166" w14:textId="578C6FCC" w:rsidR="00963B91" w:rsidRPr="008B3051" w:rsidRDefault="00963B91" w:rsidP="00963B91">
      <w:pPr>
        <w:shd w:val="clear" w:color="auto" w:fill="FFFFFF"/>
        <w:ind w:left="1080"/>
        <w:rPr>
          <w:rFonts w:ascii="Verdana" w:hAnsi="Verdana"/>
          <w:sz w:val="24"/>
          <w:szCs w:val="24"/>
        </w:rPr>
      </w:pPr>
      <w:r w:rsidRPr="008B3051">
        <w:rPr>
          <w:rFonts w:ascii="Verdana" w:hAnsi="Verdana"/>
        </w:rPr>
        <w:t>(Aug. 16, 1954, ch. 736, </w:t>
      </w:r>
      <w:r w:rsidRPr="008B3051">
        <w:rPr>
          <w:rStyle w:val="Hyperlink"/>
          <w:rFonts w:ascii="Verdana" w:hAnsi="Verdana"/>
          <w:color w:val="auto"/>
        </w:rPr>
        <w:t>68A Stat. 11</w:t>
      </w:r>
      <w:r w:rsidRPr="008B3051">
        <w:rPr>
          <w:rFonts w:ascii="Verdana" w:hAnsi="Verdana"/>
        </w:rPr>
        <w:t>; </w:t>
      </w:r>
      <w:r w:rsidRPr="008B3051">
        <w:rPr>
          <w:rStyle w:val="Hyperlink"/>
          <w:rFonts w:ascii="Verdana" w:hAnsi="Verdana"/>
          <w:color w:val="auto"/>
        </w:rPr>
        <w:t>Pub. L. 88–272, title II</w:t>
      </w:r>
      <w:r w:rsidRPr="008B3051">
        <w:rPr>
          <w:rFonts w:ascii="Verdana" w:hAnsi="Verdana"/>
        </w:rPr>
        <w:t>, § 234(b)(4), </w:t>
      </w:r>
      <w:r w:rsidRPr="008B3051">
        <w:rPr>
          <w:rStyle w:val="Date2"/>
          <w:rFonts w:ascii="Verdana" w:hAnsi="Verdana"/>
        </w:rPr>
        <w:t>Feb. 26, 1964</w:t>
      </w:r>
      <w:r w:rsidRPr="008B3051">
        <w:rPr>
          <w:rFonts w:ascii="Verdana" w:hAnsi="Verdana"/>
        </w:rPr>
        <w:t>, </w:t>
      </w:r>
      <w:r w:rsidRPr="008B3051">
        <w:rPr>
          <w:rStyle w:val="Hyperlink"/>
          <w:rFonts w:ascii="Verdana" w:hAnsi="Verdana"/>
          <w:color w:val="auto"/>
        </w:rPr>
        <w:t>78 Stat. 115</w:t>
      </w:r>
      <w:r w:rsidRPr="008B3051">
        <w:rPr>
          <w:rFonts w:ascii="Verdana" w:hAnsi="Verdana"/>
        </w:rPr>
        <w:t>; </w:t>
      </w:r>
      <w:r w:rsidRPr="008B3051">
        <w:rPr>
          <w:rStyle w:val="Hyperlink"/>
          <w:rFonts w:ascii="Verdana" w:hAnsi="Verdana"/>
          <w:color w:val="auto"/>
        </w:rPr>
        <w:t>Pub. L. 91–172, title III</w:t>
      </w:r>
      <w:r w:rsidRPr="008B3051">
        <w:rPr>
          <w:rFonts w:ascii="Verdana" w:hAnsi="Verdana"/>
        </w:rPr>
        <w:t>, § 301(b)(3), </w:t>
      </w:r>
      <w:r w:rsidRPr="008B3051">
        <w:rPr>
          <w:rStyle w:val="Date2"/>
          <w:rFonts w:ascii="Verdana" w:hAnsi="Verdana"/>
        </w:rPr>
        <w:t>Dec. 30, 1969</w:t>
      </w:r>
      <w:r w:rsidRPr="008B3051">
        <w:rPr>
          <w:rFonts w:ascii="Verdana" w:hAnsi="Verdana"/>
        </w:rPr>
        <w:t>, </w:t>
      </w:r>
      <w:r w:rsidRPr="008B3051">
        <w:rPr>
          <w:rStyle w:val="Hyperlink"/>
          <w:rFonts w:ascii="Verdana" w:hAnsi="Verdana"/>
          <w:color w:val="auto"/>
        </w:rPr>
        <w:t>83 Stat. 585</w:t>
      </w:r>
      <w:r w:rsidRPr="008B3051">
        <w:rPr>
          <w:rFonts w:ascii="Verdana" w:hAnsi="Verdana"/>
        </w:rPr>
        <w:t>; </w:t>
      </w:r>
      <w:r w:rsidRPr="008B3051">
        <w:rPr>
          <w:rStyle w:val="Hyperlink"/>
          <w:rFonts w:ascii="Verdana" w:hAnsi="Verdana"/>
          <w:color w:val="auto"/>
        </w:rPr>
        <w:t>Pub. L. 94–12, title III</w:t>
      </w:r>
      <w:r w:rsidRPr="008B3051">
        <w:rPr>
          <w:rFonts w:ascii="Verdana" w:hAnsi="Verdana"/>
        </w:rPr>
        <w:t>, § 303(c)(2), </w:t>
      </w:r>
      <w:r w:rsidRPr="008B3051">
        <w:rPr>
          <w:rStyle w:val="Date2"/>
          <w:rFonts w:ascii="Verdana" w:hAnsi="Verdana"/>
        </w:rPr>
        <w:t>Mar. 29, 1975</w:t>
      </w:r>
      <w:r w:rsidRPr="008B3051">
        <w:rPr>
          <w:rFonts w:ascii="Verdana" w:hAnsi="Verdana"/>
        </w:rPr>
        <w:t>, </w:t>
      </w:r>
      <w:r w:rsidRPr="008B3051">
        <w:rPr>
          <w:rStyle w:val="Hyperlink"/>
          <w:rFonts w:ascii="Verdana" w:hAnsi="Verdana"/>
          <w:color w:val="auto"/>
        </w:rPr>
        <w:t>89 Stat. 44</w:t>
      </w:r>
      <w:r w:rsidRPr="008B3051">
        <w:rPr>
          <w:rFonts w:ascii="Verdana" w:hAnsi="Verdana"/>
        </w:rPr>
        <w:t>; </w:t>
      </w:r>
      <w:r w:rsidRPr="008B3051">
        <w:rPr>
          <w:rStyle w:val="Hyperlink"/>
          <w:rFonts w:ascii="Verdana" w:hAnsi="Verdana"/>
          <w:color w:val="auto"/>
        </w:rPr>
        <w:t>Pub. L. 95–600, title III</w:t>
      </w:r>
      <w:r w:rsidRPr="008B3051">
        <w:rPr>
          <w:rFonts w:ascii="Verdana" w:hAnsi="Verdana"/>
        </w:rPr>
        <w:t>, § 301(b)(1),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2820</w:t>
      </w:r>
      <w:r w:rsidRPr="008B3051">
        <w:rPr>
          <w:rFonts w:ascii="Verdana" w:hAnsi="Verdana"/>
        </w:rPr>
        <w:t>; </w:t>
      </w:r>
      <w:r w:rsidRPr="008B3051">
        <w:rPr>
          <w:rStyle w:val="Hyperlink"/>
          <w:rFonts w:ascii="Verdana" w:hAnsi="Verdana"/>
          <w:color w:val="auto"/>
        </w:rPr>
        <w:t>Pub. L. 98–369, div. A, title IV</w:t>
      </w:r>
      <w:r w:rsidRPr="008B3051">
        <w:rPr>
          <w:rFonts w:ascii="Verdana" w:hAnsi="Verdana"/>
        </w:rPr>
        <w:t>, § 474(r)(29)(E),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844</w:t>
      </w:r>
      <w:r w:rsidRPr="008B3051">
        <w:rPr>
          <w:rFonts w:ascii="Verdana" w:hAnsi="Verdana"/>
        </w:rPr>
        <w:t>; </w:t>
      </w:r>
      <w:r w:rsidRPr="008B3051">
        <w:rPr>
          <w:rStyle w:val="Hyperlink"/>
          <w:rFonts w:ascii="Verdana" w:hAnsi="Verdana"/>
          <w:color w:val="auto"/>
        </w:rPr>
        <w:t>Pub. L. 99–514, title VII</w:t>
      </w:r>
      <w:r w:rsidRPr="008B3051">
        <w:rPr>
          <w:rFonts w:ascii="Verdana" w:hAnsi="Verdana"/>
        </w:rPr>
        <w:t>, § 701(e)(4)(B),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2343</w:t>
      </w:r>
      <w:r w:rsidRPr="008B3051">
        <w:rPr>
          <w:rFonts w:ascii="Verdana" w:hAnsi="Verdana"/>
        </w:rPr>
        <w:t>; </w:t>
      </w:r>
      <w:r w:rsidRPr="008B3051">
        <w:rPr>
          <w:rStyle w:val="Hyperlink"/>
          <w:rFonts w:ascii="Verdana" w:hAnsi="Verdana"/>
          <w:color w:val="auto"/>
        </w:rPr>
        <w:t>Pub. L. 115–97, title I</w:t>
      </w:r>
      <w:r w:rsidRPr="008B3051">
        <w:rPr>
          <w:rFonts w:ascii="Verdana" w:hAnsi="Verdana"/>
        </w:rPr>
        <w:t>, §§ 12001(b)(12), 13001(b)(2)(B),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2094</w:t>
      </w:r>
      <w:r w:rsidRPr="008B3051">
        <w:rPr>
          <w:rFonts w:ascii="Verdana" w:hAnsi="Verdana"/>
        </w:rPr>
        <w:t>, 2096.)</w:t>
      </w:r>
    </w:p>
    <w:p w14:paraId="14B5545D" w14:textId="77777777" w:rsidR="00963B91" w:rsidRPr="008B3051" w:rsidRDefault="00963B91" w:rsidP="004F554A">
      <w:pPr>
        <w:shd w:val="clear" w:color="auto" w:fill="FFFFFF"/>
        <w:spacing w:after="60" w:line="240" w:lineRule="auto"/>
        <w:ind w:left="720"/>
        <w:rPr>
          <w:rFonts w:ascii="Verdana" w:eastAsia="Times New Roman" w:hAnsi="Verdana" w:cs="Times New Roman"/>
          <w:sz w:val="24"/>
          <w:szCs w:val="24"/>
        </w:rPr>
      </w:pPr>
    </w:p>
    <w:p w14:paraId="48E2E934" w14:textId="0EB4083D"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III - CHANGES IN RATES DURING A TAXABLE YEAR (§ 15)</w:t>
      </w:r>
    </w:p>
    <w:p w14:paraId="2CEC4AAC" w14:textId="067D6D06" w:rsidR="00963B91" w:rsidRPr="008B3051" w:rsidRDefault="00963B91" w:rsidP="00963B91">
      <w:pPr>
        <w:pStyle w:val="first"/>
        <w:numPr>
          <w:ilvl w:val="1"/>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15 - Effect of changes</w:t>
      </w:r>
    </w:p>
    <w:p w14:paraId="7773C08F" w14:textId="74C5CD9C"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(a) </w:t>
      </w:r>
      <w:r w:rsidRPr="008B3051">
        <w:rPr>
          <w:rStyle w:val="heading"/>
          <w:rFonts w:ascii="Verdana" w:hAnsi="Verdana"/>
          <w:b/>
          <w:bCs/>
          <w:smallCaps/>
        </w:rPr>
        <w:t xml:space="preserve">General rule: </w:t>
      </w:r>
      <w:r w:rsidRPr="008B3051">
        <w:rPr>
          <w:rStyle w:val="chapeau"/>
          <w:rFonts w:ascii="Verdana" w:hAnsi="Verdana"/>
        </w:rPr>
        <w:t>If any rate of </w:t>
      </w:r>
      <w:r w:rsidRPr="008B3051">
        <w:rPr>
          <w:rStyle w:val="Hyperlink"/>
          <w:rFonts w:ascii="Verdana" w:hAnsi="Verdana"/>
          <w:color w:val="auto"/>
        </w:rPr>
        <w:t>tax</w:t>
      </w:r>
      <w:r w:rsidRPr="008B3051">
        <w:rPr>
          <w:rStyle w:val="chapeau"/>
          <w:rFonts w:ascii="Verdana" w:hAnsi="Verdana"/>
        </w:rPr>
        <w:t> imposed by this chapter changes, and if the </w:t>
      </w:r>
      <w:r w:rsidRPr="008B3051">
        <w:rPr>
          <w:rStyle w:val="Hyperlink"/>
          <w:rFonts w:ascii="Verdana" w:hAnsi="Verdana"/>
          <w:color w:val="auto"/>
        </w:rPr>
        <w:t>taxable year</w:t>
      </w:r>
      <w:r w:rsidRPr="008B3051">
        <w:rPr>
          <w:rStyle w:val="chapeau"/>
          <w:rFonts w:ascii="Verdana" w:hAnsi="Verdana"/>
        </w:rPr>
        <w:t> includes the effective date of the change (unless that date is the first day of the </w:t>
      </w:r>
      <w:r w:rsidRPr="008B3051">
        <w:rPr>
          <w:rStyle w:val="Hyperlink"/>
          <w:rFonts w:ascii="Verdana" w:hAnsi="Verdana"/>
          <w:color w:val="auto"/>
        </w:rPr>
        <w:t>taxable year</w:t>
      </w:r>
      <w:r w:rsidRPr="008B3051">
        <w:rPr>
          <w:rStyle w:val="chapeau"/>
          <w:rFonts w:ascii="Verdana" w:hAnsi="Verdana"/>
        </w:rPr>
        <w:t>), then—</w:t>
      </w:r>
    </w:p>
    <w:p w14:paraId="1236D829" w14:textId="1F44576B"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(1) </w:t>
      </w:r>
      <w:r w:rsidRPr="008B3051">
        <w:rPr>
          <w:rFonts w:ascii="Verdana" w:hAnsi="Verdana"/>
        </w:rPr>
        <w:t>tentative </w:t>
      </w:r>
      <w:r w:rsidRPr="008B3051">
        <w:rPr>
          <w:rStyle w:val="Hyperlink"/>
          <w:rFonts w:ascii="Verdana" w:hAnsi="Verdana"/>
          <w:color w:val="auto"/>
        </w:rPr>
        <w:t>taxes</w:t>
      </w:r>
      <w:r w:rsidRPr="008B3051">
        <w:rPr>
          <w:rFonts w:ascii="Verdana" w:hAnsi="Verdana"/>
        </w:rPr>
        <w:t> shall be computed by applying the rate for the period before the effective date of the change, and the rate for the period on and after such date, to the </w:t>
      </w:r>
      <w:r w:rsidRPr="008B3051">
        <w:rPr>
          <w:rStyle w:val="Hyperlink"/>
          <w:rFonts w:ascii="Verdana" w:hAnsi="Verdana"/>
          <w:color w:val="auto"/>
        </w:rPr>
        <w:t>taxable income</w:t>
      </w:r>
      <w:r w:rsidRPr="008B3051">
        <w:rPr>
          <w:rFonts w:ascii="Verdana" w:hAnsi="Verdana"/>
        </w:rPr>
        <w:t> for the entire taxable year; and</w:t>
      </w:r>
    </w:p>
    <w:p w14:paraId="2DF5D06C" w14:textId="59CCB176"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(2) </w:t>
      </w:r>
      <w:r w:rsidRPr="008B3051">
        <w:rPr>
          <w:rFonts w:ascii="Verdana" w:hAnsi="Verdana"/>
        </w:rPr>
        <w:t>the </w:t>
      </w:r>
      <w:r w:rsidRPr="008B3051">
        <w:rPr>
          <w:rStyle w:val="Hyperlink"/>
          <w:rFonts w:ascii="Verdana" w:hAnsi="Verdana"/>
          <w:color w:val="auto"/>
        </w:rPr>
        <w:t>tax</w:t>
      </w:r>
      <w:r w:rsidRPr="008B3051">
        <w:rPr>
          <w:rFonts w:ascii="Verdana" w:hAnsi="Verdana"/>
        </w:rPr>
        <w:t> for such </w:t>
      </w:r>
      <w:r w:rsidRPr="008B3051">
        <w:rPr>
          <w:rStyle w:val="Hyperlink"/>
          <w:rFonts w:ascii="Verdana" w:hAnsi="Verdana"/>
          <w:color w:val="auto"/>
        </w:rPr>
        <w:t>taxable year</w:t>
      </w:r>
      <w:r w:rsidRPr="008B3051">
        <w:rPr>
          <w:rFonts w:ascii="Verdana" w:hAnsi="Verdana"/>
        </w:rPr>
        <w:t> shall be the sum of that proportion of each tentative tax which the number of days in each period bears to the number of days in the entire </w:t>
      </w:r>
      <w:r w:rsidRPr="008B3051">
        <w:rPr>
          <w:rStyle w:val="Hyperlink"/>
          <w:rFonts w:ascii="Verdana" w:hAnsi="Verdana"/>
          <w:color w:val="auto"/>
        </w:rPr>
        <w:t>taxable year</w:t>
      </w:r>
      <w:r w:rsidRPr="008B3051">
        <w:rPr>
          <w:rFonts w:ascii="Verdana" w:hAnsi="Verdana"/>
        </w:rPr>
        <w:t>.</w:t>
      </w:r>
    </w:p>
    <w:p w14:paraId="4A4977E1" w14:textId="3AE25F98" w:rsidR="00963B91" w:rsidRPr="008B3051" w:rsidRDefault="00963B91" w:rsidP="00963B91">
      <w:pPr>
        <w:shd w:val="clear" w:color="auto" w:fill="FFFFFF"/>
        <w:ind w:left="720" w:firstLine="720"/>
        <w:rPr>
          <w:rFonts w:ascii="Verdana" w:hAnsi="Verdana"/>
        </w:rPr>
      </w:pPr>
      <w:r w:rsidRPr="008B3051">
        <w:rPr>
          <w:rStyle w:val="num"/>
          <w:rFonts w:ascii="Verdana" w:hAnsi="Verdana"/>
          <w:b/>
          <w:bCs/>
        </w:rPr>
        <w:t>(b)</w:t>
      </w:r>
      <w:r w:rsidRPr="008B3051">
        <w:rPr>
          <w:rStyle w:val="heading"/>
          <w:rFonts w:ascii="Verdana" w:hAnsi="Verdana"/>
          <w:b/>
          <w:bCs/>
          <w:smallCaps/>
        </w:rPr>
        <w:t xml:space="preserve">Repeal of tax </w:t>
      </w:r>
      <w:r w:rsidRPr="008B3051">
        <w:rPr>
          <w:rStyle w:val="chapeau"/>
          <w:rFonts w:ascii="Verdana" w:hAnsi="Verdana"/>
        </w:rPr>
        <w:t>For purposes of subsection (a)—</w:t>
      </w:r>
    </w:p>
    <w:p w14:paraId="3FF4863A" w14:textId="5E39AD79"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(1) </w:t>
      </w:r>
      <w:r w:rsidRPr="008B3051">
        <w:rPr>
          <w:rFonts w:ascii="Verdana" w:hAnsi="Verdana"/>
        </w:rPr>
        <w:t>if a </w:t>
      </w:r>
      <w:r w:rsidRPr="008B3051">
        <w:rPr>
          <w:rStyle w:val="Hyperlink"/>
          <w:rFonts w:ascii="Verdana" w:hAnsi="Verdana"/>
          <w:color w:val="auto"/>
        </w:rPr>
        <w:t>tax</w:t>
      </w:r>
      <w:r w:rsidRPr="008B3051">
        <w:rPr>
          <w:rFonts w:ascii="Verdana" w:hAnsi="Verdana"/>
        </w:rPr>
        <w:t> is repealed, the repeal shall be considered a change of rate; and</w:t>
      </w:r>
    </w:p>
    <w:p w14:paraId="5E91FB7C" w14:textId="298BE807" w:rsidR="00963B91" w:rsidRPr="008B3051" w:rsidRDefault="00963B91" w:rsidP="00963B91">
      <w:pPr>
        <w:shd w:val="clear" w:color="auto" w:fill="FFFFFF"/>
        <w:ind w:left="720" w:firstLine="720"/>
        <w:rPr>
          <w:rFonts w:ascii="Verdana" w:hAnsi="Verdana"/>
        </w:rPr>
      </w:pPr>
      <w:r w:rsidRPr="008B3051">
        <w:rPr>
          <w:rStyle w:val="num"/>
          <w:rFonts w:ascii="Verdana" w:hAnsi="Verdana"/>
          <w:b/>
          <w:bCs/>
        </w:rPr>
        <w:t xml:space="preserve">(2) </w:t>
      </w:r>
      <w:r w:rsidRPr="008B3051">
        <w:rPr>
          <w:rFonts w:ascii="Verdana" w:hAnsi="Verdana"/>
        </w:rPr>
        <w:t>the rate for the period after the repeal shall be zero.</w:t>
      </w:r>
    </w:p>
    <w:p w14:paraId="2169ABD3" w14:textId="7C1A890F" w:rsidR="00963B91" w:rsidRPr="008B3051" w:rsidRDefault="00963B91" w:rsidP="00963B91">
      <w:pPr>
        <w:shd w:val="clear" w:color="auto" w:fill="FFFFFF"/>
        <w:ind w:left="720" w:firstLine="720"/>
        <w:rPr>
          <w:rFonts w:ascii="Verdana" w:hAnsi="Verdana"/>
        </w:rPr>
      </w:pPr>
      <w:r w:rsidRPr="008B3051">
        <w:rPr>
          <w:rStyle w:val="num"/>
          <w:rFonts w:ascii="Verdana" w:hAnsi="Verdana"/>
          <w:b/>
          <w:bCs/>
        </w:rPr>
        <w:t xml:space="preserve">(c) </w:t>
      </w:r>
      <w:r w:rsidRPr="008B3051">
        <w:rPr>
          <w:rStyle w:val="heading"/>
          <w:rFonts w:ascii="Verdana" w:hAnsi="Verdana"/>
          <w:b/>
          <w:bCs/>
          <w:smallCaps/>
        </w:rPr>
        <w:t>Effective date of change</w:t>
      </w:r>
      <w:r w:rsidRPr="008B3051">
        <w:rPr>
          <w:rStyle w:val="chapeau"/>
          <w:rFonts w:ascii="Verdana" w:hAnsi="Verdana"/>
        </w:rPr>
        <w:t>For purposes of subsections (a) and (b) —</w:t>
      </w:r>
    </w:p>
    <w:p w14:paraId="65D80AC4" w14:textId="227F64D6"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(1) </w:t>
      </w:r>
      <w:r w:rsidRPr="008B3051">
        <w:rPr>
          <w:rFonts w:ascii="Verdana" w:hAnsi="Verdana"/>
        </w:rPr>
        <w:t>if the rate changes for </w:t>
      </w:r>
      <w:r w:rsidRPr="008B3051">
        <w:rPr>
          <w:rStyle w:val="Hyperlink"/>
          <w:rFonts w:ascii="Verdana" w:hAnsi="Verdana"/>
          <w:color w:val="auto"/>
        </w:rPr>
        <w:t>taxable years</w:t>
      </w:r>
      <w:r w:rsidRPr="008B3051">
        <w:rPr>
          <w:rFonts w:ascii="Verdana" w:hAnsi="Verdana"/>
        </w:rPr>
        <w:t> “beginning after” or “ending after” a certain date, the following day shall be considered the effective date of the change; and</w:t>
      </w:r>
    </w:p>
    <w:p w14:paraId="2CD3E487" w14:textId="129B159E" w:rsidR="00963B91" w:rsidRPr="008B3051" w:rsidRDefault="00963B91" w:rsidP="00963B91">
      <w:pPr>
        <w:shd w:val="clear" w:color="auto" w:fill="FFFFFF"/>
        <w:ind w:left="1440"/>
        <w:rPr>
          <w:rFonts w:ascii="Verdana" w:hAnsi="Verdana"/>
        </w:rPr>
      </w:pPr>
      <w:r w:rsidRPr="008B3051">
        <w:rPr>
          <w:rStyle w:val="num"/>
          <w:rFonts w:ascii="Verdana" w:hAnsi="Verdana"/>
          <w:b/>
          <w:bCs/>
        </w:rPr>
        <w:t xml:space="preserve">(2) </w:t>
      </w:r>
      <w:r w:rsidRPr="008B3051">
        <w:rPr>
          <w:rFonts w:ascii="Verdana" w:hAnsi="Verdana"/>
        </w:rPr>
        <w:t>if a rate changes for </w:t>
      </w:r>
      <w:r w:rsidRPr="008B3051">
        <w:rPr>
          <w:rStyle w:val="Hyperlink"/>
          <w:rFonts w:ascii="Verdana" w:hAnsi="Verdana"/>
          <w:color w:val="auto"/>
        </w:rPr>
        <w:t>taxable years</w:t>
      </w:r>
      <w:r w:rsidRPr="008B3051">
        <w:rPr>
          <w:rFonts w:ascii="Verdana" w:hAnsi="Verdana"/>
        </w:rPr>
        <w:t> “beginning on or after” a certain date, that date shall be considered the effective date of the change.</w:t>
      </w:r>
    </w:p>
    <w:p w14:paraId="57F2DAA5" w14:textId="77777777" w:rsidR="00963B91" w:rsidRPr="008B3051" w:rsidRDefault="00963B91" w:rsidP="00963B91">
      <w:pPr>
        <w:shd w:val="clear" w:color="auto" w:fill="FFFFFF"/>
        <w:ind w:left="1440"/>
        <w:rPr>
          <w:rFonts w:ascii="Verdana" w:hAnsi="Verdana"/>
        </w:rPr>
      </w:pPr>
      <w:r w:rsidRPr="008B3051">
        <w:rPr>
          <w:rStyle w:val="num"/>
          <w:rFonts w:ascii="Verdana" w:hAnsi="Verdana"/>
          <w:b/>
          <w:bCs/>
        </w:rPr>
        <w:lastRenderedPageBreak/>
        <w:t>(d)</w:t>
      </w:r>
      <w:r w:rsidRPr="008B3051">
        <w:rPr>
          <w:rStyle w:val="heading"/>
          <w:rFonts w:ascii="Verdana" w:hAnsi="Verdana"/>
          <w:b/>
          <w:bCs/>
          <w:smallCaps/>
        </w:rPr>
        <w:t>Section not to apply to inflation adjustments</w:t>
      </w:r>
    </w:p>
    <w:p w14:paraId="1ABAD059" w14:textId="4BFA11D5" w:rsidR="00963B91" w:rsidRPr="008B3051" w:rsidRDefault="00963B91" w:rsidP="00963B91">
      <w:pPr>
        <w:pStyle w:val="NormalWeb"/>
        <w:shd w:val="clear" w:color="auto" w:fill="FFFFFF"/>
        <w:spacing w:before="0" w:beforeAutospacing="0" w:after="0" w:afterAutospacing="0"/>
        <w:ind w:left="1440"/>
        <w:rPr>
          <w:rFonts w:ascii="Verdana" w:hAnsi="Verdana"/>
        </w:rPr>
      </w:pPr>
      <w:r w:rsidRPr="008B3051">
        <w:rPr>
          <w:rFonts w:ascii="Verdana" w:hAnsi="Verdana"/>
        </w:rPr>
        <w:t>This section shall not apply to any change in rates under subsection (f) of section 1 (relating to adjustments in </w:t>
      </w:r>
      <w:r w:rsidRPr="008B3051">
        <w:rPr>
          <w:rStyle w:val="Hyperlink"/>
          <w:rFonts w:ascii="Verdana" w:hAnsi="Verdana"/>
          <w:color w:val="auto"/>
        </w:rPr>
        <w:t>tax</w:t>
      </w:r>
      <w:r w:rsidRPr="008B3051">
        <w:rPr>
          <w:rFonts w:ascii="Verdana" w:hAnsi="Verdana"/>
        </w:rPr>
        <w:t> tables so that inflation will not result in </w:t>
      </w:r>
      <w:r w:rsidRPr="008B3051">
        <w:rPr>
          <w:rStyle w:val="Hyperlink"/>
          <w:rFonts w:ascii="Verdana" w:hAnsi="Verdana"/>
          <w:color w:val="auto"/>
        </w:rPr>
        <w:t>tax</w:t>
      </w:r>
      <w:r w:rsidRPr="008B3051">
        <w:rPr>
          <w:rFonts w:ascii="Verdana" w:hAnsi="Verdana"/>
        </w:rPr>
        <w:t> increases).</w:t>
      </w:r>
    </w:p>
    <w:p w14:paraId="0BD7A919" w14:textId="77777777" w:rsidR="00963B91" w:rsidRPr="008B3051" w:rsidRDefault="00963B91" w:rsidP="00963B91">
      <w:pPr>
        <w:shd w:val="clear" w:color="auto" w:fill="FFFFFF"/>
        <w:ind w:left="720" w:firstLine="720"/>
        <w:rPr>
          <w:rFonts w:ascii="Verdana" w:hAnsi="Verdana"/>
        </w:rPr>
      </w:pPr>
      <w:r w:rsidRPr="008B3051">
        <w:rPr>
          <w:rStyle w:val="num"/>
          <w:rFonts w:ascii="Verdana" w:hAnsi="Verdana"/>
          <w:b/>
          <w:bCs/>
        </w:rPr>
        <w:t>(e)</w:t>
      </w:r>
      <w:r w:rsidRPr="008B3051">
        <w:rPr>
          <w:rStyle w:val="heading"/>
          <w:rFonts w:ascii="Verdana" w:hAnsi="Verdana"/>
          <w:b/>
          <w:bCs/>
          <w:smallCaps/>
        </w:rPr>
        <w:t>References to highest rate</w:t>
      </w:r>
    </w:p>
    <w:p w14:paraId="6B7ED17C" w14:textId="59E7395C" w:rsidR="00963B91" w:rsidRPr="008B3051" w:rsidRDefault="00963B91" w:rsidP="00963B91">
      <w:pPr>
        <w:pStyle w:val="NormalWeb"/>
        <w:shd w:val="clear" w:color="auto" w:fill="FFFFFF"/>
        <w:spacing w:before="0" w:beforeAutospacing="0" w:after="0" w:afterAutospacing="0"/>
        <w:ind w:left="1440"/>
        <w:rPr>
          <w:rFonts w:ascii="Verdana" w:hAnsi="Verdana"/>
        </w:rPr>
      </w:pPr>
      <w:r w:rsidRPr="008B3051">
        <w:rPr>
          <w:rFonts w:ascii="Verdana" w:hAnsi="Verdana"/>
        </w:rPr>
        <w:t>If the change referred to in subsection (a) involves a change in the highest rate of </w:t>
      </w:r>
      <w:r w:rsidRPr="008B3051">
        <w:rPr>
          <w:rStyle w:val="Hyperlink"/>
          <w:rFonts w:ascii="Verdana" w:hAnsi="Verdana"/>
          <w:color w:val="auto"/>
        </w:rPr>
        <w:t>tax</w:t>
      </w:r>
      <w:r w:rsidRPr="008B3051">
        <w:rPr>
          <w:rFonts w:ascii="Verdana" w:hAnsi="Verdana"/>
        </w:rPr>
        <w:t> imposed by section 1 or 11(b), any reference in this chapter to such highest rate (other than in a provision imposing a </w:t>
      </w:r>
      <w:r w:rsidRPr="008B3051">
        <w:rPr>
          <w:rStyle w:val="Hyperlink"/>
          <w:rFonts w:ascii="Verdana" w:hAnsi="Verdana"/>
          <w:color w:val="auto"/>
        </w:rPr>
        <w:t>tax</w:t>
      </w:r>
      <w:r w:rsidRPr="008B3051">
        <w:rPr>
          <w:rFonts w:ascii="Verdana" w:hAnsi="Verdana"/>
        </w:rPr>
        <w:t> by reference to such rate) shall be treated as a reference to the weighted average of the highest rates before and after the change determined on the basis of the respective </w:t>
      </w:r>
      <w:r w:rsidRPr="008B3051">
        <w:rPr>
          <w:rStyle w:val="Hyperlink"/>
          <w:rFonts w:ascii="Verdana" w:hAnsi="Verdana"/>
          <w:color w:val="auto"/>
        </w:rPr>
        <w:t>portions</w:t>
      </w:r>
      <w:r w:rsidRPr="008B3051">
        <w:rPr>
          <w:rFonts w:ascii="Verdana" w:hAnsi="Verdana"/>
        </w:rPr>
        <w:t> of the </w:t>
      </w:r>
      <w:r w:rsidRPr="008B3051">
        <w:rPr>
          <w:rStyle w:val="Hyperlink"/>
          <w:rFonts w:ascii="Verdana" w:hAnsi="Verdana"/>
          <w:color w:val="auto"/>
        </w:rPr>
        <w:t>taxable year</w:t>
      </w:r>
      <w:r w:rsidRPr="008B3051">
        <w:rPr>
          <w:rFonts w:ascii="Verdana" w:hAnsi="Verdana"/>
        </w:rPr>
        <w:t> before the date of the change and on or after the date of the change.</w:t>
      </w:r>
    </w:p>
    <w:p w14:paraId="7B378518" w14:textId="77777777" w:rsidR="00963B91" w:rsidRPr="008B3051" w:rsidRDefault="00963B91" w:rsidP="00963B91">
      <w:pPr>
        <w:shd w:val="clear" w:color="auto" w:fill="FFFFFF"/>
        <w:ind w:left="1440"/>
        <w:rPr>
          <w:rFonts w:ascii="Verdana" w:hAnsi="Verdana"/>
        </w:rPr>
      </w:pPr>
      <w:r w:rsidRPr="008B3051">
        <w:rPr>
          <w:rStyle w:val="num"/>
          <w:rFonts w:ascii="Verdana" w:hAnsi="Verdana"/>
          <w:b/>
          <w:bCs/>
        </w:rPr>
        <w:t>(f)</w:t>
      </w:r>
      <w:r w:rsidRPr="008B3051">
        <w:rPr>
          <w:rStyle w:val="heading"/>
          <w:rFonts w:ascii="Verdana" w:hAnsi="Verdana"/>
          <w:b/>
          <w:bCs/>
          <w:smallCaps/>
        </w:rPr>
        <w:t>Rate reductions enacted by Economic Growth and Tax Relief Reconciliation Act of 2001</w:t>
      </w:r>
    </w:p>
    <w:p w14:paraId="1BF9DE16" w14:textId="77777777" w:rsidR="00963B91" w:rsidRPr="008B3051" w:rsidRDefault="00963B91" w:rsidP="00963B91">
      <w:pPr>
        <w:pStyle w:val="NormalWeb"/>
        <w:shd w:val="clear" w:color="auto" w:fill="FFFFFF"/>
        <w:spacing w:before="0" w:beforeAutospacing="0" w:after="0" w:afterAutospacing="0"/>
        <w:ind w:left="1440"/>
        <w:rPr>
          <w:rFonts w:ascii="Verdana" w:hAnsi="Verdana"/>
        </w:rPr>
      </w:pPr>
      <w:r w:rsidRPr="008B3051">
        <w:rPr>
          <w:rFonts w:ascii="Verdana" w:hAnsi="Verdana"/>
        </w:rPr>
        <w:t>This section shall not apply to any change in rates under subsection (i) of section 1 (relating to rate reductions after 2000).</w:t>
      </w:r>
    </w:p>
    <w:p w14:paraId="5BC9A8EA" w14:textId="19D23ADB" w:rsidR="00963B91" w:rsidRPr="008B3051" w:rsidRDefault="00963B91" w:rsidP="00963B91">
      <w:pPr>
        <w:shd w:val="clear" w:color="auto" w:fill="FFFFFF"/>
        <w:ind w:left="1440"/>
        <w:rPr>
          <w:rFonts w:ascii="Verdana" w:hAnsi="Verdana"/>
        </w:rPr>
      </w:pPr>
      <w:r w:rsidRPr="008B3051">
        <w:rPr>
          <w:rFonts w:ascii="Verdana" w:hAnsi="Verdana"/>
        </w:rPr>
        <w:t>(Aug. 16, 1954, ch. 736, </w:t>
      </w:r>
      <w:r w:rsidRPr="008B3051">
        <w:rPr>
          <w:rStyle w:val="Hyperlink"/>
          <w:rFonts w:ascii="Verdana" w:hAnsi="Verdana"/>
          <w:color w:val="auto"/>
        </w:rPr>
        <w:t>68A Stat. 12</w:t>
      </w:r>
      <w:r w:rsidRPr="008B3051">
        <w:rPr>
          <w:rFonts w:ascii="Verdana" w:hAnsi="Verdana"/>
        </w:rPr>
        <w:t>, § 21; </w:t>
      </w:r>
      <w:r w:rsidRPr="008B3051">
        <w:rPr>
          <w:rStyle w:val="Hyperlink"/>
          <w:rFonts w:ascii="Verdana" w:hAnsi="Verdana"/>
          <w:color w:val="auto"/>
        </w:rPr>
        <w:t>Pub. L. 88–272, title I</w:t>
      </w:r>
      <w:r w:rsidRPr="008B3051">
        <w:rPr>
          <w:rFonts w:ascii="Verdana" w:hAnsi="Verdana"/>
        </w:rPr>
        <w:t>, § 132, </w:t>
      </w:r>
      <w:r w:rsidRPr="008B3051">
        <w:rPr>
          <w:rStyle w:val="Date2"/>
          <w:rFonts w:ascii="Verdana" w:hAnsi="Verdana"/>
        </w:rPr>
        <w:t>Feb. 26, 1964</w:t>
      </w:r>
      <w:r w:rsidRPr="008B3051">
        <w:rPr>
          <w:rFonts w:ascii="Verdana" w:hAnsi="Verdana"/>
        </w:rPr>
        <w:t>, </w:t>
      </w:r>
      <w:r w:rsidRPr="008B3051">
        <w:rPr>
          <w:rStyle w:val="Hyperlink"/>
          <w:rFonts w:ascii="Verdana" w:hAnsi="Verdana"/>
          <w:color w:val="auto"/>
        </w:rPr>
        <w:t>78 Stat. 30</w:t>
      </w:r>
      <w:r w:rsidRPr="008B3051">
        <w:rPr>
          <w:rFonts w:ascii="Verdana" w:hAnsi="Verdana"/>
        </w:rPr>
        <w:t>; </w:t>
      </w:r>
      <w:r w:rsidRPr="008B3051">
        <w:rPr>
          <w:rStyle w:val="Hyperlink"/>
          <w:rFonts w:ascii="Verdana" w:hAnsi="Verdana"/>
          <w:color w:val="auto"/>
        </w:rPr>
        <w:t>Pub. L. 91–172, title VIII</w:t>
      </w:r>
      <w:r w:rsidRPr="008B3051">
        <w:rPr>
          <w:rFonts w:ascii="Verdana" w:hAnsi="Verdana"/>
        </w:rPr>
        <w:t>, § 803(e), </w:t>
      </w:r>
      <w:r w:rsidRPr="008B3051">
        <w:rPr>
          <w:rStyle w:val="Date2"/>
          <w:rFonts w:ascii="Verdana" w:hAnsi="Verdana"/>
        </w:rPr>
        <w:t>Dec. 30, 1969</w:t>
      </w:r>
      <w:r w:rsidRPr="008B3051">
        <w:rPr>
          <w:rFonts w:ascii="Verdana" w:hAnsi="Verdana"/>
        </w:rPr>
        <w:t>, </w:t>
      </w:r>
      <w:r w:rsidRPr="008B3051">
        <w:rPr>
          <w:rStyle w:val="Hyperlink"/>
          <w:rFonts w:ascii="Verdana" w:hAnsi="Verdana"/>
          <w:color w:val="auto"/>
        </w:rPr>
        <w:t>83 Stat. 685</w:t>
      </w:r>
      <w:r w:rsidRPr="008B3051">
        <w:rPr>
          <w:rFonts w:ascii="Verdana" w:hAnsi="Verdana"/>
        </w:rPr>
        <w:t>; </w:t>
      </w:r>
      <w:r w:rsidRPr="008B3051">
        <w:rPr>
          <w:rStyle w:val="Hyperlink"/>
          <w:rFonts w:ascii="Verdana" w:hAnsi="Verdana"/>
          <w:color w:val="auto"/>
        </w:rPr>
        <w:t>Pub. L. 92–178, title II</w:t>
      </w:r>
      <w:r w:rsidRPr="008B3051">
        <w:rPr>
          <w:rFonts w:ascii="Verdana" w:hAnsi="Verdana"/>
        </w:rPr>
        <w:t>, § 205, </w:t>
      </w:r>
      <w:r w:rsidRPr="008B3051">
        <w:rPr>
          <w:rStyle w:val="Date2"/>
          <w:rFonts w:ascii="Verdana" w:hAnsi="Verdana"/>
        </w:rPr>
        <w:t>Dec. 10, 1971</w:t>
      </w:r>
      <w:r w:rsidRPr="008B3051">
        <w:rPr>
          <w:rFonts w:ascii="Verdana" w:hAnsi="Verdana"/>
        </w:rPr>
        <w:t>, </w:t>
      </w:r>
      <w:r w:rsidRPr="008B3051">
        <w:rPr>
          <w:rStyle w:val="Hyperlink"/>
          <w:rFonts w:ascii="Verdana" w:hAnsi="Verdana"/>
          <w:color w:val="auto"/>
        </w:rPr>
        <w:t>85 Stat. 511</w:t>
      </w:r>
      <w:r w:rsidRPr="008B3051">
        <w:rPr>
          <w:rFonts w:ascii="Verdana" w:hAnsi="Verdana"/>
        </w:rPr>
        <w:t>; </w:t>
      </w:r>
      <w:r w:rsidRPr="008B3051">
        <w:rPr>
          <w:rStyle w:val="Hyperlink"/>
          <w:rFonts w:ascii="Verdana" w:hAnsi="Verdana"/>
          <w:color w:val="auto"/>
        </w:rPr>
        <w:t>Pub. L. 94–12, title III</w:t>
      </w:r>
      <w:r w:rsidRPr="008B3051">
        <w:rPr>
          <w:rFonts w:ascii="Verdana" w:hAnsi="Verdana"/>
        </w:rPr>
        <w:t>, § 305(b)(2), </w:t>
      </w:r>
      <w:r w:rsidRPr="008B3051">
        <w:rPr>
          <w:rStyle w:val="Date2"/>
          <w:rFonts w:ascii="Verdana" w:hAnsi="Verdana"/>
        </w:rPr>
        <w:t>Mar. 29, 1975</w:t>
      </w:r>
      <w:r w:rsidRPr="008B3051">
        <w:rPr>
          <w:rFonts w:ascii="Verdana" w:hAnsi="Verdana"/>
        </w:rPr>
        <w:t>, </w:t>
      </w:r>
      <w:r w:rsidRPr="008B3051">
        <w:rPr>
          <w:rStyle w:val="Hyperlink"/>
          <w:rFonts w:ascii="Verdana" w:hAnsi="Verdana"/>
          <w:color w:val="auto"/>
        </w:rPr>
        <w:t>89 Stat. 45</w:t>
      </w:r>
      <w:r w:rsidRPr="008B3051">
        <w:rPr>
          <w:rFonts w:ascii="Verdana" w:hAnsi="Verdana"/>
        </w:rPr>
        <w:t>; </w:t>
      </w:r>
      <w:r w:rsidRPr="008B3051">
        <w:rPr>
          <w:rStyle w:val="Hyperlink"/>
          <w:rFonts w:ascii="Verdana" w:hAnsi="Verdana"/>
          <w:color w:val="auto"/>
        </w:rPr>
        <w:t>Pub. L. 94–164</w:t>
      </w:r>
      <w:r w:rsidRPr="008B3051">
        <w:rPr>
          <w:rFonts w:ascii="Verdana" w:hAnsi="Verdana"/>
        </w:rPr>
        <w:t>, § 4(d)(2), </w:t>
      </w:r>
      <w:r w:rsidRPr="008B3051">
        <w:rPr>
          <w:rStyle w:val="Date2"/>
          <w:rFonts w:ascii="Verdana" w:hAnsi="Verdana"/>
        </w:rPr>
        <w:t>Dec. 23, 1975</w:t>
      </w:r>
      <w:r w:rsidRPr="008B3051">
        <w:rPr>
          <w:rFonts w:ascii="Verdana" w:hAnsi="Verdana"/>
        </w:rPr>
        <w:t>, </w:t>
      </w:r>
      <w:r w:rsidRPr="008B3051">
        <w:rPr>
          <w:rStyle w:val="Hyperlink"/>
          <w:rFonts w:ascii="Verdana" w:hAnsi="Verdana"/>
          <w:color w:val="auto"/>
        </w:rPr>
        <w:t>89 Stat. 975</w:t>
      </w:r>
      <w:r w:rsidRPr="008B3051">
        <w:rPr>
          <w:rFonts w:ascii="Verdana" w:hAnsi="Verdana"/>
        </w:rPr>
        <w:t>; </w:t>
      </w:r>
      <w:r w:rsidRPr="008B3051">
        <w:rPr>
          <w:rStyle w:val="Hyperlink"/>
          <w:rFonts w:ascii="Verdana" w:hAnsi="Verdana"/>
          <w:color w:val="auto"/>
        </w:rPr>
        <w:t>Pub. L. 94–455, title IX</w:t>
      </w:r>
      <w:r w:rsidRPr="008B3051">
        <w:rPr>
          <w:rFonts w:ascii="Verdana" w:hAnsi="Verdana"/>
        </w:rPr>
        <w:t>, § 901(c)(2), </w:t>
      </w:r>
      <w:r w:rsidRPr="008B3051">
        <w:rPr>
          <w:rStyle w:val="Date2"/>
          <w:rFonts w:ascii="Verdana" w:hAnsi="Verdana"/>
        </w:rPr>
        <w:t>Oct. 4, 1976</w:t>
      </w:r>
      <w:r w:rsidRPr="008B3051">
        <w:rPr>
          <w:rFonts w:ascii="Verdana" w:hAnsi="Verdana"/>
        </w:rPr>
        <w:t>, </w:t>
      </w:r>
      <w:r w:rsidRPr="008B3051">
        <w:rPr>
          <w:rStyle w:val="Hyperlink"/>
          <w:rFonts w:ascii="Verdana" w:hAnsi="Verdana"/>
          <w:color w:val="auto"/>
        </w:rPr>
        <w:t>90 Stat. 1607</w:t>
      </w:r>
      <w:r w:rsidRPr="008B3051">
        <w:rPr>
          <w:rFonts w:ascii="Verdana" w:hAnsi="Verdana"/>
        </w:rPr>
        <w:t>; </w:t>
      </w:r>
      <w:r w:rsidRPr="008B3051">
        <w:rPr>
          <w:rStyle w:val="Hyperlink"/>
          <w:rFonts w:ascii="Verdana" w:hAnsi="Verdana"/>
          <w:color w:val="auto"/>
        </w:rPr>
        <w:t>Pub. L. 95–30, title I</w:t>
      </w:r>
      <w:r w:rsidRPr="008B3051">
        <w:rPr>
          <w:rFonts w:ascii="Verdana" w:hAnsi="Verdana"/>
        </w:rPr>
        <w:t>, § 101(d)(2), </w:t>
      </w:r>
      <w:r w:rsidRPr="008B3051">
        <w:rPr>
          <w:rStyle w:val="Date2"/>
          <w:rFonts w:ascii="Verdana" w:hAnsi="Verdana"/>
        </w:rPr>
        <w:t>May 23, 1977</w:t>
      </w:r>
      <w:r w:rsidRPr="008B3051">
        <w:rPr>
          <w:rFonts w:ascii="Verdana" w:hAnsi="Verdana"/>
        </w:rPr>
        <w:t>, </w:t>
      </w:r>
      <w:r w:rsidRPr="008B3051">
        <w:rPr>
          <w:rStyle w:val="Hyperlink"/>
          <w:rFonts w:ascii="Verdana" w:hAnsi="Verdana"/>
          <w:color w:val="auto"/>
        </w:rPr>
        <w:t>91 Stat. 133</w:t>
      </w:r>
      <w:r w:rsidRPr="008B3051">
        <w:rPr>
          <w:rFonts w:ascii="Verdana" w:hAnsi="Verdana"/>
        </w:rPr>
        <w:t>; </w:t>
      </w:r>
      <w:r w:rsidRPr="008B3051">
        <w:rPr>
          <w:rStyle w:val="Hyperlink"/>
          <w:rFonts w:ascii="Verdana" w:hAnsi="Verdana"/>
          <w:color w:val="auto"/>
        </w:rPr>
        <w:t>Pub. L. 95–600, title I</w:t>
      </w:r>
      <w:r w:rsidRPr="008B3051">
        <w:rPr>
          <w:rFonts w:ascii="Verdana" w:hAnsi="Verdana"/>
        </w:rPr>
        <w:t>, § 106,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2776</w:t>
      </w:r>
      <w:r w:rsidRPr="008B3051">
        <w:rPr>
          <w:rFonts w:ascii="Verdana" w:hAnsi="Verdana"/>
        </w:rPr>
        <w:t>; </w:t>
      </w:r>
      <w:r w:rsidRPr="008B3051">
        <w:rPr>
          <w:rStyle w:val="Hyperlink"/>
          <w:rFonts w:ascii="Verdana" w:hAnsi="Verdana"/>
          <w:color w:val="auto"/>
        </w:rPr>
        <w:t>Pub. L. 97–34, title I</w:t>
      </w:r>
      <w:r w:rsidRPr="008B3051">
        <w:rPr>
          <w:rFonts w:ascii="Verdana" w:hAnsi="Verdana"/>
        </w:rPr>
        <w:t>, § 101(d)(3), </w:t>
      </w:r>
      <w:r w:rsidRPr="008B3051">
        <w:rPr>
          <w:rStyle w:val="Date2"/>
          <w:rFonts w:ascii="Verdana" w:hAnsi="Verdana"/>
        </w:rPr>
        <w:t>Aug. 13, 1981</w:t>
      </w:r>
      <w:r w:rsidRPr="008B3051">
        <w:rPr>
          <w:rFonts w:ascii="Verdana" w:hAnsi="Verdana"/>
        </w:rPr>
        <w:t>, </w:t>
      </w:r>
      <w:r w:rsidRPr="008B3051">
        <w:rPr>
          <w:rStyle w:val="Hyperlink"/>
          <w:rFonts w:ascii="Verdana" w:hAnsi="Verdana"/>
          <w:color w:val="auto"/>
        </w:rPr>
        <w:t>95 Stat. 184</w:t>
      </w:r>
      <w:r w:rsidRPr="008B3051">
        <w:rPr>
          <w:rFonts w:ascii="Verdana" w:hAnsi="Verdana"/>
        </w:rPr>
        <w:t>; renumbered § 15, </w:t>
      </w:r>
      <w:r w:rsidRPr="008B3051">
        <w:rPr>
          <w:rStyle w:val="Hyperlink"/>
          <w:rFonts w:ascii="Verdana" w:hAnsi="Verdana"/>
          <w:color w:val="auto"/>
        </w:rPr>
        <w:t>Pub. L. 98–369, div. A, title IV</w:t>
      </w:r>
      <w:r w:rsidRPr="008B3051">
        <w:rPr>
          <w:rFonts w:ascii="Verdana" w:hAnsi="Verdana"/>
        </w:rPr>
        <w:t>, § 474(b)(1),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830</w:t>
      </w:r>
      <w:r w:rsidRPr="008B3051">
        <w:rPr>
          <w:rFonts w:ascii="Verdana" w:hAnsi="Verdana"/>
        </w:rPr>
        <w:t>; </w:t>
      </w:r>
      <w:r w:rsidRPr="008B3051">
        <w:rPr>
          <w:rStyle w:val="Hyperlink"/>
          <w:rFonts w:ascii="Verdana" w:hAnsi="Verdana"/>
          <w:color w:val="auto"/>
        </w:rPr>
        <w:t>Pub. L. 99–514, title I</w:t>
      </w:r>
      <w:r w:rsidRPr="008B3051">
        <w:rPr>
          <w:rFonts w:ascii="Verdana" w:hAnsi="Verdana"/>
        </w:rPr>
        <w:t>, § 101(b),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2099</w:t>
      </w:r>
      <w:r w:rsidRPr="008B3051">
        <w:rPr>
          <w:rFonts w:ascii="Verdana" w:hAnsi="Verdana"/>
        </w:rPr>
        <w:t>; </w:t>
      </w:r>
      <w:r w:rsidRPr="008B3051">
        <w:rPr>
          <w:rStyle w:val="Hyperlink"/>
          <w:rFonts w:ascii="Verdana" w:hAnsi="Verdana"/>
          <w:color w:val="auto"/>
        </w:rPr>
        <w:t>Pub. L. 100–647, title I</w:t>
      </w:r>
      <w:r w:rsidRPr="008B3051">
        <w:rPr>
          <w:rFonts w:ascii="Verdana" w:hAnsi="Verdana"/>
        </w:rPr>
        <w:t>, § 1006(a), </w:t>
      </w:r>
      <w:r w:rsidRPr="008B3051">
        <w:rPr>
          <w:rStyle w:val="Date2"/>
          <w:rFonts w:ascii="Verdana" w:hAnsi="Verdana"/>
        </w:rPr>
        <w:t>Nov. 10, 1988</w:t>
      </w:r>
      <w:r w:rsidRPr="008B3051">
        <w:rPr>
          <w:rFonts w:ascii="Verdana" w:hAnsi="Verdana"/>
        </w:rPr>
        <w:t>, </w:t>
      </w:r>
      <w:r w:rsidRPr="008B3051">
        <w:rPr>
          <w:rStyle w:val="Hyperlink"/>
          <w:rFonts w:ascii="Verdana" w:hAnsi="Verdana"/>
          <w:color w:val="auto"/>
        </w:rPr>
        <w:t>102 Stat. 3393</w:t>
      </w:r>
      <w:r w:rsidRPr="008B3051">
        <w:rPr>
          <w:rFonts w:ascii="Verdana" w:hAnsi="Verdana"/>
        </w:rPr>
        <w:t>; </w:t>
      </w:r>
      <w:r w:rsidRPr="008B3051">
        <w:rPr>
          <w:rStyle w:val="Hyperlink"/>
          <w:rFonts w:ascii="Verdana" w:hAnsi="Verdana"/>
          <w:color w:val="auto"/>
        </w:rPr>
        <w:t>Pub. L. 107–16, title I</w:t>
      </w:r>
      <w:r w:rsidRPr="008B3051">
        <w:rPr>
          <w:rFonts w:ascii="Verdana" w:hAnsi="Verdana"/>
        </w:rPr>
        <w:t>, § 101(c)(3),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43</w:t>
      </w:r>
      <w:r w:rsidRPr="008B3051">
        <w:rPr>
          <w:rFonts w:ascii="Verdana" w:hAnsi="Verdana"/>
        </w:rPr>
        <w:t>.)</w:t>
      </w:r>
    </w:p>
    <w:p w14:paraId="3E812B7C" w14:textId="77777777" w:rsidR="00963B91" w:rsidRPr="008B3051" w:rsidRDefault="00963B91" w:rsidP="00963B91">
      <w:pPr>
        <w:shd w:val="clear" w:color="auto" w:fill="FFFFFF"/>
        <w:spacing w:after="60" w:line="240" w:lineRule="auto"/>
        <w:ind w:left="1440"/>
        <w:rPr>
          <w:rFonts w:ascii="Verdana" w:eastAsia="Times New Roman" w:hAnsi="Verdana" w:cs="Times New Roman"/>
          <w:sz w:val="24"/>
          <w:szCs w:val="24"/>
        </w:rPr>
      </w:pPr>
    </w:p>
    <w:p w14:paraId="4419477B" w14:textId="69125BEB"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IV - CREDITS AGAINST TAX (§§ 21 to 54AA)</w:t>
      </w:r>
    </w:p>
    <w:p w14:paraId="005D4454" w14:textId="15130AF5" w:rsidR="00963B91" w:rsidRPr="008B3051" w:rsidRDefault="00963B91" w:rsidP="00963B91">
      <w:pPr>
        <w:shd w:val="clear" w:color="auto" w:fill="FFFFFF"/>
        <w:spacing w:after="60" w:line="240" w:lineRule="auto"/>
        <w:ind w:left="720"/>
        <w:rPr>
          <w:rFonts w:ascii="Verdana" w:eastAsia="Times New Roman" w:hAnsi="Verdana" w:cs="Times New Roman"/>
          <w:sz w:val="24"/>
          <w:szCs w:val="24"/>
        </w:rPr>
      </w:pPr>
    </w:p>
    <w:p w14:paraId="6B35EFA5" w14:textId="5693ADCC" w:rsidR="00963B91" w:rsidRPr="008B3051" w:rsidRDefault="00963B91" w:rsidP="000805FD">
      <w:pPr>
        <w:pStyle w:val="first"/>
        <w:numPr>
          <w:ilvl w:val="0"/>
          <w:numId w:val="3"/>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t>SUBPART A - Nonrefundable Personal Credits (§§ 21 to 26)</w:t>
      </w:r>
    </w:p>
    <w:p w14:paraId="18476EAD" w14:textId="7A44A54C" w:rsidR="00963B91" w:rsidRPr="008B3051" w:rsidRDefault="00963B91"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21 - Expenses for household and dependent care services necessary for gainful employment</w:t>
      </w:r>
    </w:p>
    <w:p w14:paraId="39FAAC67" w14:textId="60B4BB97" w:rsidR="00963B91" w:rsidRPr="008B3051" w:rsidRDefault="00963B91" w:rsidP="00963B91">
      <w:pPr>
        <w:pStyle w:val="first"/>
        <w:shd w:val="clear" w:color="auto" w:fill="FFFFFF"/>
        <w:spacing w:before="0" w:beforeAutospacing="0" w:after="60" w:afterAutospacing="0"/>
        <w:ind w:left="720"/>
        <w:rPr>
          <w:rFonts w:ascii="Verdana" w:hAnsi="Verdana"/>
        </w:rPr>
      </w:pPr>
    </w:p>
    <w:p w14:paraId="668F19D2" w14:textId="77777777" w:rsidR="00963B91" w:rsidRPr="008B3051" w:rsidRDefault="00963B91" w:rsidP="00963B91">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1ADE6DA6" w14:textId="77777777" w:rsidR="00963B91" w:rsidRPr="008B3051" w:rsidRDefault="00963B91" w:rsidP="00963B91">
      <w:pPr>
        <w:shd w:val="clear" w:color="auto" w:fill="FFFFFF"/>
        <w:rPr>
          <w:rFonts w:ascii="Verdana" w:hAnsi="Verdana"/>
        </w:rPr>
      </w:pPr>
      <w:r w:rsidRPr="008B3051">
        <w:rPr>
          <w:rStyle w:val="num"/>
          <w:rFonts w:ascii="Verdana" w:hAnsi="Verdana"/>
          <w:b/>
          <w:bCs/>
        </w:rPr>
        <w:lastRenderedPageBreak/>
        <w:t>(1)</w:t>
      </w:r>
      <w:r w:rsidRPr="008B3051">
        <w:rPr>
          <w:rStyle w:val="heading"/>
          <w:rFonts w:ascii="Verdana" w:hAnsi="Verdana"/>
          <w:b/>
          <w:bCs/>
          <w:smallCaps/>
        </w:rPr>
        <w:t>In general</w:t>
      </w:r>
    </w:p>
    <w:p w14:paraId="62214368" w14:textId="2BAF09C4"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In the case of an individual for which there are 1 or more </w:t>
      </w:r>
      <w:r w:rsidRPr="008B3051">
        <w:rPr>
          <w:rStyle w:val="Hyperlink"/>
          <w:rFonts w:ascii="Verdana" w:hAnsi="Verdana"/>
          <w:color w:val="auto"/>
        </w:rPr>
        <w:t>qualifying individuals</w:t>
      </w:r>
      <w:r w:rsidRPr="008B3051">
        <w:rPr>
          <w:rFonts w:ascii="Verdana" w:hAnsi="Verdana"/>
        </w:rPr>
        <w:t> (as defined in subsection (b)(1)) with respect to such individual, there shall be allowed as a credit against the tax imposed by this chapter for the taxable year an amount equal to the applicable percentage of the </w:t>
      </w:r>
      <w:r w:rsidRPr="008B3051">
        <w:rPr>
          <w:rStyle w:val="Hyperlink"/>
          <w:rFonts w:ascii="Verdana" w:hAnsi="Verdana"/>
          <w:color w:val="auto"/>
        </w:rPr>
        <w:t>employment-related expenses</w:t>
      </w:r>
      <w:r w:rsidRPr="008B3051">
        <w:rPr>
          <w:rFonts w:ascii="Verdana" w:hAnsi="Verdana"/>
        </w:rPr>
        <w:t> (as defined in subsection (b)(2)) paid by such individual during the taxable year.</w:t>
      </w:r>
    </w:p>
    <w:p w14:paraId="3123DF46"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Applicable percentage defined</w:t>
      </w:r>
    </w:p>
    <w:p w14:paraId="483948E3" w14:textId="0D12DF5A"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For purposes of paragraph (1), the term “</w:t>
      </w:r>
      <w:r w:rsidRPr="008B3051">
        <w:rPr>
          <w:rStyle w:val="Hyperlink"/>
          <w:rFonts w:ascii="Verdana" w:hAnsi="Verdana"/>
          <w:color w:val="auto"/>
        </w:rPr>
        <w:t>applicable percentage</w:t>
      </w:r>
      <w:r w:rsidRPr="008B3051">
        <w:rPr>
          <w:rFonts w:ascii="Verdana" w:hAnsi="Verdana"/>
        </w:rPr>
        <w:t>” means 35 percent reduced (but not below 20 percent) by 1 percentage point for each $2,000 (or fraction thereof) by which the taxpayer’s adjusted gross income for the taxable year exceeds $15,000.</w:t>
      </w:r>
    </w:p>
    <w:p w14:paraId="58ADF8BE" w14:textId="77777777" w:rsidR="00963B91" w:rsidRPr="008B3051" w:rsidRDefault="00963B91" w:rsidP="00963B91">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Definitions of qualifying individual and employment-related expenses</w:t>
      </w:r>
      <w:r w:rsidRPr="008B3051">
        <w:rPr>
          <w:rStyle w:val="chapeau"/>
          <w:rFonts w:ascii="Verdana" w:hAnsi="Verdana"/>
        </w:rPr>
        <w:t>For purposes of this section—</w:t>
      </w:r>
    </w:p>
    <w:p w14:paraId="252C676B" w14:textId="64539D9F" w:rsidR="00963B91" w:rsidRPr="008B3051" w:rsidRDefault="00963B91" w:rsidP="00963B91">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Qualifying individual</w:t>
      </w:r>
      <w:r w:rsidRPr="008B3051">
        <w:rPr>
          <w:rStyle w:val="chapeau"/>
          <w:rFonts w:ascii="Verdana" w:hAnsi="Verdana"/>
        </w:rPr>
        <w:t>The term “</w:t>
      </w:r>
      <w:r w:rsidRPr="008B3051">
        <w:rPr>
          <w:rStyle w:val="Hyperlink"/>
          <w:rFonts w:ascii="Verdana" w:hAnsi="Verdana"/>
          <w:color w:val="auto"/>
        </w:rPr>
        <w:t>qualifying individual</w:t>
      </w:r>
      <w:r w:rsidRPr="008B3051">
        <w:rPr>
          <w:rStyle w:val="chapeau"/>
          <w:rFonts w:ascii="Verdana" w:hAnsi="Verdana"/>
        </w:rPr>
        <w:t>” means—</w:t>
      </w:r>
    </w:p>
    <w:p w14:paraId="338837E8" w14:textId="77777777" w:rsidR="00963B91" w:rsidRPr="008B3051" w:rsidRDefault="00963B91" w:rsidP="00963B91">
      <w:pPr>
        <w:shd w:val="clear" w:color="auto" w:fill="FFFFFF"/>
        <w:rPr>
          <w:rFonts w:ascii="Verdana" w:hAnsi="Verdana"/>
        </w:rPr>
      </w:pPr>
      <w:r w:rsidRPr="008B3051">
        <w:rPr>
          <w:rStyle w:val="num"/>
          <w:rFonts w:ascii="Verdana" w:hAnsi="Verdana"/>
          <w:b/>
          <w:bCs/>
        </w:rPr>
        <w:t>(A)</w:t>
      </w:r>
    </w:p>
    <w:p w14:paraId="0BD5966D" w14:textId="1300E11C" w:rsidR="00963B91" w:rsidRPr="008B3051" w:rsidRDefault="00963B91" w:rsidP="00963B91">
      <w:pPr>
        <w:shd w:val="clear" w:color="auto" w:fill="FFFFFF"/>
        <w:rPr>
          <w:rFonts w:ascii="Verdana" w:hAnsi="Verdana"/>
        </w:rPr>
      </w:pPr>
      <w:r w:rsidRPr="008B3051">
        <w:rPr>
          <w:rFonts w:ascii="Verdana" w:hAnsi="Verdana"/>
        </w:rPr>
        <w:t>a </w:t>
      </w:r>
      <w:r w:rsidRPr="008B3051">
        <w:rPr>
          <w:rStyle w:val="Hyperlink"/>
          <w:rFonts w:ascii="Verdana" w:hAnsi="Verdana"/>
          <w:color w:val="auto"/>
        </w:rPr>
        <w:t>dependent</w:t>
      </w:r>
      <w:r w:rsidRPr="008B3051">
        <w:rPr>
          <w:rFonts w:ascii="Verdana" w:hAnsi="Verdana"/>
        </w:rPr>
        <w:t> of the taxpayer (as defined in </w:t>
      </w:r>
      <w:r w:rsidRPr="008B3051">
        <w:rPr>
          <w:rStyle w:val="Hyperlink"/>
          <w:rFonts w:ascii="Verdana" w:hAnsi="Verdana"/>
          <w:color w:val="auto"/>
        </w:rPr>
        <w:t>section 152(a)(1)</w:t>
      </w:r>
      <w:r w:rsidRPr="008B3051">
        <w:rPr>
          <w:rFonts w:ascii="Verdana" w:hAnsi="Verdana"/>
        </w:rPr>
        <w:t>) who has not attained age 13,</w:t>
      </w:r>
    </w:p>
    <w:p w14:paraId="1BF89098" w14:textId="77777777" w:rsidR="00963B91" w:rsidRPr="008B3051" w:rsidRDefault="00963B91" w:rsidP="00963B91">
      <w:pPr>
        <w:shd w:val="clear" w:color="auto" w:fill="FFFFFF"/>
        <w:rPr>
          <w:rFonts w:ascii="Verdana" w:hAnsi="Verdana"/>
        </w:rPr>
      </w:pPr>
      <w:r w:rsidRPr="008B3051">
        <w:rPr>
          <w:rStyle w:val="num"/>
          <w:rFonts w:ascii="Verdana" w:hAnsi="Verdana"/>
          <w:b/>
          <w:bCs/>
        </w:rPr>
        <w:t>(B)</w:t>
      </w:r>
    </w:p>
    <w:p w14:paraId="29CFC527" w14:textId="2128D8D9" w:rsidR="00963B91" w:rsidRPr="008B3051" w:rsidRDefault="00963B91" w:rsidP="00963B91">
      <w:pPr>
        <w:shd w:val="clear" w:color="auto" w:fill="FFFFFF"/>
        <w:rPr>
          <w:rFonts w:ascii="Verdana" w:hAnsi="Verdana"/>
        </w:rPr>
      </w:pPr>
      <w:r w:rsidRPr="008B3051">
        <w:rPr>
          <w:rFonts w:ascii="Verdana" w:hAnsi="Verdana"/>
        </w:rPr>
        <w:t>a </w:t>
      </w:r>
      <w:r w:rsidRPr="008B3051">
        <w:rPr>
          <w:rStyle w:val="Hyperlink"/>
          <w:rFonts w:ascii="Verdana" w:hAnsi="Verdana"/>
          <w:color w:val="auto"/>
        </w:rPr>
        <w:t>dependent</w:t>
      </w:r>
      <w:r w:rsidRPr="008B3051">
        <w:rPr>
          <w:rFonts w:ascii="Verdana" w:hAnsi="Verdana"/>
        </w:rPr>
        <w:t> of the taxpayer (as defined in section 152, determined without regard to subsections (b)(1), (b)(2), and (d)(1)(B)) who is physically or mentally incapable of caring for himself or herself and who has the same principal place of abode as the taxpayer for more than one-half of such </w:t>
      </w:r>
      <w:r w:rsidRPr="008B3051">
        <w:rPr>
          <w:rStyle w:val="Hyperlink"/>
          <w:rFonts w:ascii="Verdana" w:hAnsi="Verdana"/>
          <w:color w:val="auto"/>
        </w:rPr>
        <w:t>taxable year</w:t>
      </w:r>
      <w:r w:rsidRPr="008B3051">
        <w:rPr>
          <w:rFonts w:ascii="Verdana" w:hAnsi="Verdana"/>
        </w:rPr>
        <w:t>, or</w:t>
      </w:r>
    </w:p>
    <w:p w14:paraId="22CB29E8" w14:textId="77777777" w:rsidR="00963B91" w:rsidRPr="008B3051" w:rsidRDefault="00963B91" w:rsidP="00963B91">
      <w:pPr>
        <w:shd w:val="clear" w:color="auto" w:fill="FFFFFF"/>
        <w:rPr>
          <w:rFonts w:ascii="Verdana" w:hAnsi="Verdana"/>
        </w:rPr>
      </w:pPr>
      <w:bookmarkStart w:id="281" w:name="b_1_C"/>
      <w:bookmarkEnd w:id="281"/>
      <w:r w:rsidRPr="008B3051">
        <w:rPr>
          <w:rStyle w:val="num"/>
          <w:rFonts w:ascii="Verdana" w:hAnsi="Verdana"/>
          <w:b/>
          <w:bCs/>
        </w:rPr>
        <w:t>(C)</w:t>
      </w:r>
    </w:p>
    <w:p w14:paraId="671380B8" w14:textId="164EBAC7" w:rsidR="00963B91" w:rsidRPr="008B3051" w:rsidRDefault="00963B91" w:rsidP="00963B91">
      <w:pPr>
        <w:shd w:val="clear" w:color="auto" w:fill="FFFFFF"/>
        <w:rPr>
          <w:rFonts w:ascii="Verdana" w:hAnsi="Verdana"/>
        </w:rPr>
      </w:pPr>
      <w:r w:rsidRPr="008B3051">
        <w:rPr>
          <w:rFonts w:ascii="Verdana" w:hAnsi="Verdana"/>
        </w:rPr>
        <w:t>the spouse of the </w:t>
      </w:r>
      <w:r w:rsidRPr="008B3051">
        <w:rPr>
          <w:rStyle w:val="Hyperlink"/>
          <w:rFonts w:ascii="Verdana" w:hAnsi="Verdana"/>
          <w:color w:val="auto"/>
        </w:rPr>
        <w:t>taxpayer</w:t>
      </w:r>
      <w:r w:rsidRPr="008B3051">
        <w:rPr>
          <w:rFonts w:ascii="Verdana" w:hAnsi="Verdana"/>
        </w:rPr>
        <w:t>, if the spouse is physically or mentally incapable of caring for himself or herself and who has the same principal place of abode as the </w:t>
      </w:r>
      <w:r w:rsidRPr="008B3051">
        <w:rPr>
          <w:rStyle w:val="Hyperlink"/>
          <w:rFonts w:ascii="Verdana" w:hAnsi="Verdana"/>
          <w:color w:val="auto"/>
        </w:rPr>
        <w:t>taxpayer</w:t>
      </w:r>
      <w:r w:rsidRPr="008B3051">
        <w:rPr>
          <w:rFonts w:ascii="Verdana" w:hAnsi="Verdana"/>
        </w:rPr>
        <w:t> for more than one-half of such </w:t>
      </w:r>
      <w:r w:rsidRPr="008B3051">
        <w:rPr>
          <w:rStyle w:val="Hyperlink"/>
          <w:rFonts w:ascii="Verdana" w:hAnsi="Verdana"/>
          <w:color w:val="auto"/>
        </w:rPr>
        <w:t>taxable year</w:t>
      </w:r>
      <w:r w:rsidRPr="008B3051">
        <w:rPr>
          <w:rFonts w:ascii="Verdana" w:hAnsi="Verdana"/>
        </w:rPr>
        <w:t>.</w:t>
      </w:r>
    </w:p>
    <w:p w14:paraId="723E1212"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Employment-related expenses</w:t>
      </w:r>
    </w:p>
    <w:p w14:paraId="524826B6" w14:textId="639823FD" w:rsidR="00963B91" w:rsidRPr="008B3051" w:rsidRDefault="00963B91" w:rsidP="00963B91">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w:t>
      </w:r>
      <w:r w:rsidRPr="008B3051">
        <w:rPr>
          <w:rStyle w:val="Hyperlink"/>
          <w:rFonts w:ascii="Verdana" w:hAnsi="Verdana"/>
          <w:color w:val="auto"/>
        </w:rPr>
        <w:t>employment-related expenses</w:t>
      </w:r>
      <w:r w:rsidRPr="008B3051">
        <w:rPr>
          <w:rStyle w:val="chapeau"/>
          <w:rFonts w:ascii="Verdana" w:hAnsi="Verdana"/>
        </w:rPr>
        <w:t>” means amounts paid for the following expenses, but only if such expenses are incurred to enable the taxpayer to be gainfully employed for any period for which there are 1 or more qualifying individuals with respect to the taxpayer:</w:t>
      </w:r>
    </w:p>
    <w:p w14:paraId="3501FCCB" w14:textId="77777777" w:rsidR="00963B91" w:rsidRPr="008B3051" w:rsidRDefault="00963B91" w:rsidP="00963B91">
      <w:pPr>
        <w:shd w:val="clear" w:color="auto" w:fill="FFFFFF"/>
        <w:rPr>
          <w:rFonts w:ascii="Verdana" w:hAnsi="Verdana"/>
        </w:rPr>
      </w:pPr>
      <w:bookmarkStart w:id="282" w:name="b_2_A_i"/>
      <w:bookmarkEnd w:id="282"/>
      <w:r w:rsidRPr="008B3051">
        <w:rPr>
          <w:rStyle w:val="num"/>
          <w:rFonts w:ascii="Verdana" w:hAnsi="Verdana"/>
          <w:b/>
          <w:bCs/>
        </w:rPr>
        <w:t>(i)</w:t>
      </w:r>
    </w:p>
    <w:p w14:paraId="284BC812" w14:textId="77777777" w:rsidR="00963B91" w:rsidRPr="008B3051" w:rsidRDefault="00963B91" w:rsidP="00963B91">
      <w:pPr>
        <w:shd w:val="clear" w:color="auto" w:fill="FFFFFF"/>
        <w:rPr>
          <w:rFonts w:ascii="Verdana" w:hAnsi="Verdana"/>
        </w:rPr>
      </w:pPr>
      <w:r w:rsidRPr="008B3051">
        <w:rPr>
          <w:rFonts w:ascii="Verdana" w:hAnsi="Verdana"/>
        </w:rPr>
        <w:t>expenses for household services, and</w:t>
      </w:r>
    </w:p>
    <w:p w14:paraId="7E472996" w14:textId="77777777" w:rsidR="00963B91" w:rsidRPr="008B3051" w:rsidRDefault="00963B91" w:rsidP="00963B91">
      <w:pPr>
        <w:shd w:val="clear" w:color="auto" w:fill="FFFFFF"/>
        <w:rPr>
          <w:rFonts w:ascii="Verdana" w:hAnsi="Verdana"/>
        </w:rPr>
      </w:pPr>
      <w:bookmarkStart w:id="283" w:name="b_2_A_ii"/>
      <w:bookmarkEnd w:id="283"/>
      <w:r w:rsidRPr="008B3051">
        <w:rPr>
          <w:rStyle w:val="num"/>
          <w:rFonts w:ascii="Verdana" w:hAnsi="Verdana"/>
          <w:b/>
          <w:bCs/>
        </w:rPr>
        <w:t>(ii)</w:t>
      </w:r>
    </w:p>
    <w:p w14:paraId="0B135189" w14:textId="2686F36A" w:rsidR="00963B91" w:rsidRPr="008B3051" w:rsidRDefault="00963B91" w:rsidP="00963B91">
      <w:pPr>
        <w:shd w:val="clear" w:color="auto" w:fill="FFFFFF"/>
        <w:rPr>
          <w:rFonts w:ascii="Verdana" w:hAnsi="Verdana"/>
        </w:rPr>
      </w:pPr>
      <w:r w:rsidRPr="008B3051">
        <w:rPr>
          <w:rFonts w:ascii="Verdana" w:hAnsi="Verdana"/>
        </w:rPr>
        <w:t>expenses for the care of a </w:t>
      </w:r>
      <w:r w:rsidRPr="008B3051">
        <w:rPr>
          <w:rStyle w:val="Hyperlink"/>
          <w:rFonts w:ascii="Verdana" w:hAnsi="Verdana"/>
          <w:color w:val="auto"/>
        </w:rPr>
        <w:t>qualifying individual</w:t>
      </w:r>
      <w:r w:rsidRPr="008B3051">
        <w:rPr>
          <w:rFonts w:ascii="Verdana" w:hAnsi="Verdana"/>
        </w:rPr>
        <w:t>.</w:t>
      </w:r>
    </w:p>
    <w:p w14:paraId="7F2BB9ED" w14:textId="4FEC4BB9" w:rsidR="00963B91" w:rsidRPr="008B3051" w:rsidRDefault="00963B91" w:rsidP="00963B91">
      <w:pPr>
        <w:shd w:val="clear" w:color="auto" w:fill="FFFFFF"/>
        <w:rPr>
          <w:rFonts w:ascii="Verdana" w:hAnsi="Verdana"/>
        </w:rPr>
      </w:pPr>
      <w:r w:rsidRPr="008B3051">
        <w:rPr>
          <w:rFonts w:ascii="Verdana" w:hAnsi="Verdana"/>
        </w:rPr>
        <w:lastRenderedPageBreak/>
        <w:t>Such term shall not include any amount paid for services outside the </w:t>
      </w:r>
      <w:r w:rsidRPr="008B3051">
        <w:rPr>
          <w:rStyle w:val="Hyperlink"/>
          <w:rFonts w:ascii="Verdana" w:hAnsi="Verdana"/>
          <w:color w:val="auto"/>
        </w:rPr>
        <w:t>taxpayer</w:t>
      </w:r>
      <w:r w:rsidRPr="008B3051">
        <w:rPr>
          <w:rFonts w:ascii="Verdana" w:hAnsi="Verdana"/>
        </w:rPr>
        <w:t>’s household at a camp where the </w:t>
      </w:r>
      <w:r w:rsidRPr="008B3051">
        <w:rPr>
          <w:rStyle w:val="Hyperlink"/>
          <w:rFonts w:ascii="Verdana" w:hAnsi="Verdana"/>
          <w:color w:val="auto"/>
        </w:rPr>
        <w:t>qualifying individual</w:t>
      </w:r>
      <w:r w:rsidRPr="008B3051">
        <w:rPr>
          <w:rFonts w:ascii="Verdana" w:hAnsi="Verdana"/>
        </w:rPr>
        <w:t> stays overnight.</w:t>
      </w:r>
    </w:p>
    <w:p w14:paraId="4B88AC0A" w14:textId="4CE97507" w:rsidR="00963B91" w:rsidRPr="008B3051" w:rsidRDefault="00963B91" w:rsidP="00963B91">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Exception</w:t>
      </w:r>
      <w:r w:rsidRPr="008B3051">
        <w:rPr>
          <w:rStyle w:val="chapeau"/>
          <w:rFonts w:ascii="Verdana" w:hAnsi="Verdana"/>
        </w:rPr>
        <w:t>Employment-related expenses described in subparagraph (A) which are incurred for services outside the </w:t>
      </w:r>
      <w:r w:rsidRPr="008B3051">
        <w:rPr>
          <w:rStyle w:val="Hyperlink"/>
          <w:rFonts w:ascii="Verdana" w:hAnsi="Verdana"/>
          <w:color w:val="auto"/>
        </w:rPr>
        <w:t>taxpayer</w:t>
      </w:r>
      <w:r w:rsidRPr="008B3051">
        <w:rPr>
          <w:rStyle w:val="chapeau"/>
          <w:rFonts w:ascii="Verdana" w:hAnsi="Verdana"/>
        </w:rPr>
        <w:t>’s household shall be taken into account only if incurred for the care of—</w:t>
      </w:r>
    </w:p>
    <w:p w14:paraId="553CC7AF" w14:textId="77777777" w:rsidR="00963B91" w:rsidRPr="008B3051" w:rsidRDefault="00963B91" w:rsidP="00963B91">
      <w:pPr>
        <w:shd w:val="clear" w:color="auto" w:fill="FFFFFF"/>
        <w:rPr>
          <w:rFonts w:ascii="Verdana" w:hAnsi="Verdana"/>
        </w:rPr>
      </w:pPr>
      <w:bookmarkStart w:id="284" w:name="b_2_B_i"/>
      <w:bookmarkEnd w:id="284"/>
      <w:r w:rsidRPr="008B3051">
        <w:rPr>
          <w:rStyle w:val="num"/>
          <w:rFonts w:ascii="Verdana" w:hAnsi="Verdana"/>
          <w:b/>
          <w:bCs/>
        </w:rPr>
        <w:t>(i)</w:t>
      </w:r>
    </w:p>
    <w:p w14:paraId="17C56C6D" w14:textId="09AFAFE3" w:rsidR="00963B91" w:rsidRPr="008B3051" w:rsidRDefault="00963B91" w:rsidP="00963B91">
      <w:pPr>
        <w:shd w:val="clear" w:color="auto" w:fill="FFFFFF"/>
        <w:rPr>
          <w:rFonts w:ascii="Verdana" w:hAnsi="Verdana"/>
        </w:rPr>
      </w:pPr>
      <w:r w:rsidRPr="008B3051">
        <w:rPr>
          <w:rFonts w:ascii="Verdana" w:hAnsi="Verdana"/>
        </w:rPr>
        <w:t>a </w:t>
      </w:r>
      <w:r w:rsidRPr="008B3051">
        <w:rPr>
          <w:rStyle w:val="Hyperlink"/>
          <w:rFonts w:ascii="Verdana" w:hAnsi="Verdana"/>
          <w:color w:val="auto"/>
        </w:rPr>
        <w:t>qualifying individual</w:t>
      </w:r>
      <w:r w:rsidRPr="008B3051">
        <w:rPr>
          <w:rFonts w:ascii="Verdana" w:hAnsi="Verdana"/>
        </w:rPr>
        <w:t> described in paragraph (1)(A), or</w:t>
      </w:r>
    </w:p>
    <w:p w14:paraId="0BDD6200" w14:textId="77777777" w:rsidR="00963B91" w:rsidRPr="008B3051" w:rsidRDefault="00963B91" w:rsidP="00963B91">
      <w:pPr>
        <w:shd w:val="clear" w:color="auto" w:fill="FFFFFF"/>
        <w:rPr>
          <w:rFonts w:ascii="Verdana" w:hAnsi="Verdana"/>
        </w:rPr>
      </w:pPr>
      <w:bookmarkStart w:id="285" w:name="b_2_B_ii"/>
      <w:bookmarkEnd w:id="285"/>
      <w:r w:rsidRPr="008B3051">
        <w:rPr>
          <w:rStyle w:val="num"/>
          <w:rFonts w:ascii="Verdana" w:hAnsi="Verdana"/>
          <w:b/>
          <w:bCs/>
        </w:rPr>
        <w:t>(ii)</w:t>
      </w:r>
    </w:p>
    <w:p w14:paraId="470549A7" w14:textId="708D02D2" w:rsidR="00963B91" w:rsidRPr="008B3051" w:rsidRDefault="00963B91" w:rsidP="00963B91">
      <w:pPr>
        <w:shd w:val="clear" w:color="auto" w:fill="FFFFFF"/>
        <w:rPr>
          <w:rFonts w:ascii="Verdana" w:hAnsi="Verdana"/>
        </w:rPr>
      </w:pPr>
      <w:r w:rsidRPr="008B3051">
        <w:rPr>
          <w:rFonts w:ascii="Verdana" w:hAnsi="Verdana"/>
        </w:rPr>
        <w:t>a </w:t>
      </w:r>
      <w:r w:rsidRPr="008B3051">
        <w:rPr>
          <w:rStyle w:val="Hyperlink"/>
          <w:rFonts w:ascii="Verdana" w:hAnsi="Verdana"/>
          <w:color w:val="auto"/>
        </w:rPr>
        <w:t>qualifying individual</w:t>
      </w:r>
      <w:r w:rsidRPr="008B3051">
        <w:rPr>
          <w:rFonts w:ascii="Verdana" w:hAnsi="Verdana"/>
        </w:rPr>
        <w:t> (not described in paragraph (1)(A)) who regularly spends at least 8 hours each day in the taxpayer’s household.</w:t>
      </w:r>
    </w:p>
    <w:p w14:paraId="30E77997" w14:textId="4AA7F2DC" w:rsidR="00963B91" w:rsidRPr="008B3051" w:rsidRDefault="00963B91" w:rsidP="00963B91">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Dependent care centers</w:t>
      </w:r>
      <w:r w:rsidRPr="008B3051">
        <w:rPr>
          <w:rStyle w:val="chapeau"/>
          <w:rFonts w:ascii="Verdana" w:hAnsi="Verdana"/>
        </w:rPr>
        <w:t>Employment-related expenses described in subparagraph (A) which are incurred for services provided outside the </w:t>
      </w:r>
      <w:r w:rsidRPr="008B3051">
        <w:rPr>
          <w:rStyle w:val="Hyperlink"/>
          <w:rFonts w:ascii="Verdana" w:hAnsi="Verdana"/>
          <w:color w:val="auto"/>
        </w:rPr>
        <w:t>taxpayer</w:t>
      </w:r>
      <w:r w:rsidRPr="008B3051">
        <w:rPr>
          <w:rStyle w:val="chapeau"/>
          <w:rFonts w:ascii="Verdana" w:hAnsi="Verdana"/>
        </w:rPr>
        <w:t>’s household by a </w:t>
      </w:r>
      <w:r w:rsidRPr="008B3051">
        <w:rPr>
          <w:rStyle w:val="Hyperlink"/>
          <w:rFonts w:ascii="Verdana" w:hAnsi="Verdana"/>
          <w:color w:val="auto"/>
        </w:rPr>
        <w:t>dependent</w:t>
      </w:r>
      <w:r w:rsidRPr="008B3051">
        <w:rPr>
          <w:rStyle w:val="chapeau"/>
          <w:rFonts w:ascii="Verdana" w:hAnsi="Verdana"/>
        </w:rPr>
        <w:t> care center (as defined in subparagraph (D)) shall be taken into account only if—</w:t>
      </w:r>
    </w:p>
    <w:p w14:paraId="3B305B3D" w14:textId="77777777" w:rsidR="00963B91" w:rsidRPr="008B3051" w:rsidRDefault="00963B91" w:rsidP="00963B91">
      <w:pPr>
        <w:shd w:val="clear" w:color="auto" w:fill="FFFFFF"/>
        <w:rPr>
          <w:rFonts w:ascii="Verdana" w:hAnsi="Verdana"/>
        </w:rPr>
      </w:pPr>
      <w:bookmarkStart w:id="286" w:name="b_2_C_i"/>
      <w:bookmarkEnd w:id="286"/>
      <w:r w:rsidRPr="008B3051">
        <w:rPr>
          <w:rStyle w:val="num"/>
          <w:rFonts w:ascii="Verdana" w:hAnsi="Verdana"/>
          <w:b/>
          <w:bCs/>
        </w:rPr>
        <w:t>(i)</w:t>
      </w:r>
    </w:p>
    <w:p w14:paraId="492914A4" w14:textId="0B27A045" w:rsidR="00963B91" w:rsidRPr="008B3051" w:rsidRDefault="00963B91" w:rsidP="00963B91">
      <w:pPr>
        <w:shd w:val="clear" w:color="auto" w:fill="FFFFFF"/>
        <w:rPr>
          <w:rFonts w:ascii="Verdana" w:hAnsi="Verdana"/>
        </w:rPr>
      </w:pPr>
      <w:r w:rsidRPr="008B3051">
        <w:rPr>
          <w:rFonts w:ascii="Verdana" w:hAnsi="Verdana"/>
        </w:rPr>
        <w:t>such center complies with all applicable laws and regulations of a </w:t>
      </w:r>
      <w:r w:rsidRPr="008B3051">
        <w:rPr>
          <w:rStyle w:val="Hyperlink"/>
          <w:rFonts w:ascii="Verdana" w:hAnsi="Verdana"/>
          <w:color w:val="auto"/>
        </w:rPr>
        <w:t>State</w:t>
      </w:r>
      <w:r w:rsidRPr="008B3051">
        <w:rPr>
          <w:rFonts w:ascii="Verdana" w:hAnsi="Verdana"/>
        </w:rPr>
        <w:t> or unit of </w:t>
      </w:r>
      <w:r w:rsidRPr="008B3051">
        <w:rPr>
          <w:rStyle w:val="Hyperlink"/>
          <w:rFonts w:ascii="Verdana" w:hAnsi="Verdana"/>
          <w:color w:val="auto"/>
        </w:rPr>
        <w:t>local government</w:t>
      </w:r>
      <w:r w:rsidRPr="008B3051">
        <w:rPr>
          <w:rFonts w:ascii="Verdana" w:hAnsi="Verdana"/>
        </w:rPr>
        <w:t>, and</w:t>
      </w:r>
    </w:p>
    <w:p w14:paraId="4809BD7B" w14:textId="77777777" w:rsidR="00963B91" w:rsidRPr="008B3051" w:rsidRDefault="00963B91" w:rsidP="00963B91">
      <w:pPr>
        <w:shd w:val="clear" w:color="auto" w:fill="FFFFFF"/>
        <w:rPr>
          <w:rFonts w:ascii="Verdana" w:hAnsi="Verdana"/>
        </w:rPr>
      </w:pPr>
      <w:bookmarkStart w:id="287" w:name="b_2_C_ii"/>
      <w:bookmarkEnd w:id="287"/>
      <w:r w:rsidRPr="008B3051">
        <w:rPr>
          <w:rStyle w:val="num"/>
          <w:rFonts w:ascii="Verdana" w:hAnsi="Verdana"/>
          <w:b/>
          <w:bCs/>
        </w:rPr>
        <w:t>(ii)</w:t>
      </w:r>
    </w:p>
    <w:p w14:paraId="38B6F2B9" w14:textId="77777777" w:rsidR="00963B91" w:rsidRPr="008B3051" w:rsidRDefault="00963B91" w:rsidP="00963B91">
      <w:pPr>
        <w:shd w:val="clear" w:color="auto" w:fill="FFFFFF"/>
        <w:rPr>
          <w:rFonts w:ascii="Verdana" w:hAnsi="Verdana"/>
        </w:rPr>
      </w:pPr>
      <w:r w:rsidRPr="008B3051">
        <w:rPr>
          <w:rFonts w:ascii="Verdana" w:hAnsi="Verdana"/>
        </w:rPr>
        <w:t>the requirements of subparagraph (B) are met.</w:t>
      </w:r>
    </w:p>
    <w:p w14:paraId="5D8A7148" w14:textId="47EC86D6" w:rsidR="00963B91" w:rsidRPr="008B3051" w:rsidRDefault="00963B91" w:rsidP="00963B91">
      <w:pPr>
        <w:shd w:val="clear" w:color="auto" w:fill="FFFFFF"/>
        <w:rPr>
          <w:rFonts w:ascii="Verdana" w:hAnsi="Verdana"/>
        </w:rPr>
      </w:pPr>
      <w:bookmarkStart w:id="288" w:name="b_2_D"/>
      <w:bookmarkEnd w:id="288"/>
      <w:r w:rsidRPr="008B3051">
        <w:rPr>
          <w:rStyle w:val="num"/>
          <w:rFonts w:ascii="Verdana" w:hAnsi="Verdana"/>
          <w:b/>
          <w:bCs/>
        </w:rPr>
        <w:t>(D)</w:t>
      </w:r>
      <w:r w:rsidRPr="008B3051">
        <w:rPr>
          <w:rStyle w:val="heading"/>
          <w:rFonts w:ascii="Verdana" w:hAnsi="Verdana"/>
          <w:b/>
          <w:bCs/>
        </w:rPr>
        <w:t>Dependent care center defined</w:t>
      </w:r>
      <w:r w:rsidRPr="008B3051">
        <w:rPr>
          <w:rStyle w:val="chapeau"/>
          <w:rFonts w:ascii="Verdana" w:hAnsi="Verdana"/>
        </w:rPr>
        <w:t>For purposes of this paragraph, the term “</w:t>
      </w:r>
      <w:r w:rsidRPr="008B3051">
        <w:rPr>
          <w:rStyle w:val="Hyperlink"/>
          <w:rFonts w:ascii="Verdana" w:hAnsi="Verdana"/>
          <w:color w:val="auto"/>
        </w:rPr>
        <w:t>dependent care center</w:t>
      </w:r>
      <w:r w:rsidRPr="008B3051">
        <w:rPr>
          <w:rStyle w:val="chapeau"/>
          <w:rFonts w:ascii="Verdana" w:hAnsi="Verdana"/>
        </w:rPr>
        <w:t>” means any facility which—</w:t>
      </w:r>
    </w:p>
    <w:p w14:paraId="2328BB56" w14:textId="77777777" w:rsidR="00963B91" w:rsidRPr="008B3051" w:rsidRDefault="00963B91" w:rsidP="00963B91">
      <w:pPr>
        <w:shd w:val="clear" w:color="auto" w:fill="FFFFFF"/>
        <w:rPr>
          <w:rFonts w:ascii="Verdana" w:hAnsi="Verdana"/>
        </w:rPr>
      </w:pPr>
      <w:bookmarkStart w:id="289" w:name="b_2_D_i"/>
      <w:bookmarkEnd w:id="289"/>
      <w:r w:rsidRPr="008B3051">
        <w:rPr>
          <w:rStyle w:val="num"/>
          <w:rFonts w:ascii="Verdana" w:hAnsi="Verdana"/>
          <w:b/>
          <w:bCs/>
        </w:rPr>
        <w:t>(i)</w:t>
      </w:r>
    </w:p>
    <w:p w14:paraId="6CA7A676" w14:textId="77777777" w:rsidR="00963B91" w:rsidRPr="008B3051" w:rsidRDefault="00963B91" w:rsidP="00963B91">
      <w:pPr>
        <w:shd w:val="clear" w:color="auto" w:fill="FFFFFF"/>
        <w:rPr>
          <w:rFonts w:ascii="Verdana" w:hAnsi="Verdana"/>
        </w:rPr>
      </w:pPr>
      <w:r w:rsidRPr="008B3051">
        <w:rPr>
          <w:rFonts w:ascii="Verdana" w:hAnsi="Verdana"/>
        </w:rPr>
        <w:t>provides care for more than six individuals (other than individuals who reside at the facility), and</w:t>
      </w:r>
    </w:p>
    <w:p w14:paraId="76A9DCFF" w14:textId="77777777" w:rsidR="00963B91" w:rsidRPr="008B3051" w:rsidRDefault="00963B91" w:rsidP="00963B91">
      <w:pPr>
        <w:shd w:val="clear" w:color="auto" w:fill="FFFFFF"/>
        <w:rPr>
          <w:rFonts w:ascii="Verdana" w:hAnsi="Verdana"/>
        </w:rPr>
      </w:pPr>
      <w:bookmarkStart w:id="290" w:name="b_2_D_ii"/>
      <w:bookmarkEnd w:id="290"/>
      <w:r w:rsidRPr="008B3051">
        <w:rPr>
          <w:rStyle w:val="num"/>
          <w:rFonts w:ascii="Verdana" w:hAnsi="Verdana"/>
          <w:b/>
          <w:bCs/>
        </w:rPr>
        <w:t>(ii)</w:t>
      </w:r>
    </w:p>
    <w:p w14:paraId="6D9024A3" w14:textId="62CDBC78" w:rsidR="00963B91" w:rsidRPr="008B3051" w:rsidRDefault="00963B91" w:rsidP="00963B91">
      <w:pPr>
        <w:shd w:val="clear" w:color="auto" w:fill="FFFFFF"/>
        <w:rPr>
          <w:rFonts w:ascii="Verdana" w:hAnsi="Verdana"/>
        </w:rPr>
      </w:pPr>
      <w:r w:rsidRPr="008B3051">
        <w:rPr>
          <w:rFonts w:ascii="Verdana" w:hAnsi="Verdana"/>
        </w:rPr>
        <w:t>receives a fee, </w:t>
      </w:r>
      <w:r w:rsidRPr="008B3051">
        <w:rPr>
          <w:rStyle w:val="Hyperlink"/>
          <w:rFonts w:ascii="Verdana" w:hAnsi="Verdana"/>
          <w:color w:val="auto"/>
        </w:rPr>
        <w:t>payment</w:t>
      </w:r>
      <w:r w:rsidRPr="008B3051">
        <w:rPr>
          <w:rFonts w:ascii="Verdana" w:hAnsi="Verdana"/>
        </w:rPr>
        <w:t>, or grant for providing services for any of the individuals (regardless of whether such facility is operated for profit).</w:t>
      </w:r>
    </w:p>
    <w:p w14:paraId="4DDA60BF" w14:textId="2A246A00" w:rsidR="00963B91" w:rsidRPr="008B3051" w:rsidRDefault="00963B91" w:rsidP="00963B91">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Dollar limit on amount creditable</w:t>
      </w:r>
      <w:r w:rsidRPr="008B3051">
        <w:rPr>
          <w:rStyle w:val="chapeau"/>
          <w:rFonts w:ascii="Verdana" w:hAnsi="Verdana"/>
        </w:rPr>
        <w:t>The amount of the </w:t>
      </w:r>
      <w:r w:rsidRPr="008B3051">
        <w:rPr>
          <w:rStyle w:val="Hyperlink"/>
          <w:rFonts w:ascii="Verdana" w:hAnsi="Verdana"/>
          <w:color w:val="auto"/>
        </w:rPr>
        <w:t>employment-related expenses</w:t>
      </w:r>
      <w:r w:rsidRPr="008B3051">
        <w:rPr>
          <w:rStyle w:val="chapeau"/>
          <w:rFonts w:ascii="Verdana" w:hAnsi="Verdana"/>
        </w:rPr>
        <w:t> incurred during any taxable year which may be taken into account under subsection (a) shall not exceed—</w:t>
      </w:r>
    </w:p>
    <w:p w14:paraId="4DBE7001"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p>
    <w:p w14:paraId="1DDBB06E" w14:textId="47CB273D" w:rsidR="00963B91" w:rsidRPr="008B3051" w:rsidRDefault="00963B91" w:rsidP="00963B91">
      <w:pPr>
        <w:shd w:val="clear" w:color="auto" w:fill="FFFFFF"/>
        <w:rPr>
          <w:rFonts w:ascii="Verdana" w:hAnsi="Verdana"/>
        </w:rPr>
      </w:pPr>
      <w:r w:rsidRPr="008B3051">
        <w:rPr>
          <w:rFonts w:ascii="Verdana" w:hAnsi="Verdana"/>
        </w:rPr>
        <w:t>$3,000 if there is 1 </w:t>
      </w:r>
      <w:r w:rsidRPr="008B3051">
        <w:rPr>
          <w:rStyle w:val="Hyperlink"/>
          <w:rFonts w:ascii="Verdana" w:hAnsi="Verdana"/>
          <w:color w:val="auto"/>
        </w:rPr>
        <w:t>qualifying individual</w:t>
      </w:r>
      <w:r w:rsidRPr="008B3051">
        <w:rPr>
          <w:rFonts w:ascii="Verdana" w:hAnsi="Verdana"/>
        </w:rPr>
        <w:t> with respect to the taxpayer for such taxable year, or</w:t>
      </w:r>
    </w:p>
    <w:p w14:paraId="100C2C2E"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p>
    <w:p w14:paraId="3E078760" w14:textId="2E4DF259" w:rsidR="00963B91" w:rsidRPr="008B3051" w:rsidRDefault="00963B91" w:rsidP="00963B91">
      <w:pPr>
        <w:shd w:val="clear" w:color="auto" w:fill="FFFFFF"/>
        <w:rPr>
          <w:rFonts w:ascii="Verdana" w:hAnsi="Verdana"/>
        </w:rPr>
      </w:pPr>
      <w:r w:rsidRPr="008B3051">
        <w:rPr>
          <w:rFonts w:ascii="Verdana" w:hAnsi="Verdana"/>
        </w:rPr>
        <w:lastRenderedPageBreak/>
        <w:t>$6,000 if there are 2 or more </w:t>
      </w:r>
      <w:r w:rsidRPr="008B3051">
        <w:rPr>
          <w:rStyle w:val="Hyperlink"/>
          <w:rFonts w:ascii="Verdana" w:hAnsi="Verdana"/>
          <w:color w:val="auto"/>
        </w:rPr>
        <w:t>qualifying individuals</w:t>
      </w:r>
      <w:r w:rsidRPr="008B3051">
        <w:rPr>
          <w:rFonts w:ascii="Verdana" w:hAnsi="Verdana"/>
        </w:rPr>
        <w:t> with respect to the taxpayer for such taxable year.</w:t>
      </w:r>
    </w:p>
    <w:p w14:paraId="41E13D39" w14:textId="020D4B58" w:rsidR="00963B91" w:rsidRPr="008B3051" w:rsidRDefault="00963B91" w:rsidP="00963B91">
      <w:pPr>
        <w:shd w:val="clear" w:color="auto" w:fill="FFFFFF"/>
        <w:rPr>
          <w:rFonts w:ascii="Verdana" w:hAnsi="Verdana"/>
        </w:rPr>
      </w:pPr>
      <w:r w:rsidRPr="008B3051">
        <w:rPr>
          <w:rFonts w:ascii="Verdana" w:hAnsi="Verdana"/>
        </w:rPr>
        <w:t>The amount determined under paragraph (1) or (2) (whichever is applicable) shall be reduced by the aggregate amount excludable from </w:t>
      </w:r>
      <w:r w:rsidRPr="008B3051">
        <w:rPr>
          <w:rStyle w:val="Hyperlink"/>
          <w:rFonts w:ascii="Verdana" w:hAnsi="Verdana"/>
          <w:color w:val="auto"/>
        </w:rPr>
        <w:t>gross income</w:t>
      </w:r>
      <w:r w:rsidRPr="008B3051">
        <w:rPr>
          <w:rFonts w:ascii="Verdana" w:hAnsi="Verdana"/>
        </w:rPr>
        <w:t> under </w:t>
      </w:r>
      <w:r w:rsidRPr="008B3051">
        <w:rPr>
          <w:rStyle w:val="Hyperlink"/>
          <w:rFonts w:ascii="Verdana" w:hAnsi="Verdana"/>
          <w:color w:val="auto"/>
        </w:rPr>
        <w:t>section 129</w:t>
      </w:r>
      <w:r w:rsidRPr="008B3051">
        <w:rPr>
          <w:rFonts w:ascii="Verdana" w:hAnsi="Verdana"/>
        </w:rPr>
        <w:t> for the taxable year.</w:t>
      </w:r>
    </w:p>
    <w:p w14:paraId="78F69B41" w14:textId="77777777" w:rsidR="00963B91" w:rsidRPr="008B3051" w:rsidRDefault="00963B91" w:rsidP="00963B91">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Earned income limitation</w:t>
      </w:r>
    </w:p>
    <w:p w14:paraId="27AF0DDE" w14:textId="105BAF4F" w:rsidR="00963B91" w:rsidRPr="008B3051" w:rsidRDefault="00963B91" w:rsidP="00963B91">
      <w:pPr>
        <w:shd w:val="clear" w:color="auto" w:fill="FFFFFF"/>
        <w:rPr>
          <w:rFonts w:ascii="Verdana" w:hAnsi="Verdana"/>
        </w:rPr>
      </w:pPr>
      <w:bookmarkStart w:id="291" w:name="d_1"/>
      <w:bookmarkEnd w:id="291"/>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Except as otherwise provided in this subsection, the amount of the </w:t>
      </w:r>
      <w:r w:rsidRPr="008B3051">
        <w:rPr>
          <w:rStyle w:val="Hyperlink"/>
          <w:rFonts w:ascii="Verdana" w:hAnsi="Verdana"/>
          <w:color w:val="auto"/>
        </w:rPr>
        <w:t>employment-related expenses</w:t>
      </w:r>
      <w:r w:rsidRPr="008B3051">
        <w:rPr>
          <w:rStyle w:val="chapeau"/>
          <w:rFonts w:ascii="Verdana" w:hAnsi="Verdana"/>
        </w:rPr>
        <w:t> incurred during any taxable year which may be taken into account under subsection (a) shall not exceed—</w:t>
      </w:r>
    </w:p>
    <w:p w14:paraId="01B3BDDE" w14:textId="77777777" w:rsidR="00963B91" w:rsidRPr="008B3051" w:rsidRDefault="00963B91" w:rsidP="00963B91">
      <w:pPr>
        <w:shd w:val="clear" w:color="auto" w:fill="FFFFFF"/>
        <w:rPr>
          <w:rFonts w:ascii="Verdana" w:hAnsi="Verdana"/>
        </w:rPr>
      </w:pPr>
      <w:bookmarkStart w:id="292" w:name="d_1_A"/>
      <w:bookmarkEnd w:id="292"/>
      <w:r w:rsidRPr="008B3051">
        <w:rPr>
          <w:rStyle w:val="num"/>
          <w:rFonts w:ascii="Verdana" w:hAnsi="Verdana"/>
          <w:b/>
          <w:bCs/>
        </w:rPr>
        <w:t>(A)</w:t>
      </w:r>
    </w:p>
    <w:p w14:paraId="6787944F" w14:textId="3F9DB37D" w:rsidR="00963B91" w:rsidRPr="008B3051" w:rsidRDefault="00963B91" w:rsidP="00963B91">
      <w:pPr>
        <w:shd w:val="clear" w:color="auto" w:fill="FFFFFF"/>
        <w:rPr>
          <w:rFonts w:ascii="Verdana" w:hAnsi="Verdana"/>
        </w:rPr>
      </w:pPr>
      <w:r w:rsidRPr="008B3051">
        <w:rPr>
          <w:rFonts w:ascii="Verdana" w:hAnsi="Verdana"/>
        </w:rPr>
        <w:t>in the case of an individual who is not married at the close of such </w:t>
      </w:r>
      <w:r w:rsidRPr="008B3051">
        <w:rPr>
          <w:rStyle w:val="Hyperlink"/>
          <w:rFonts w:ascii="Verdana" w:hAnsi="Verdana"/>
          <w:color w:val="auto"/>
        </w:rPr>
        <w:t>year</w:t>
      </w:r>
      <w:r w:rsidRPr="008B3051">
        <w:rPr>
          <w:rFonts w:ascii="Verdana" w:hAnsi="Verdana"/>
        </w:rPr>
        <w:t>, such individual’s </w:t>
      </w:r>
      <w:r w:rsidRPr="008B3051">
        <w:rPr>
          <w:rStyle w:val="Hyperlink"/>
          <w:rFonts w:ascii="Verdana" w:hAnsi="Verdana"/>
          <w:color w:val="auto"/>
        </w:rPr>
        <w:t>earned income</w:t>
      </w:r>
      <w:r w:rsidRPr="008B3051">
        <w:rPr>
          <w:rFonts w:ascii="Verdana" w:hAnsi="Verdana"/>
        </w:rPr>
        <w:t> for such year, or</w:t>
      </w:r>
    </w:p>
    <w:p w14:paraId="5751906A" w14:textId="77777777" w:rsidR="00963B91" w:rsidRPr="008B3051" w:rsidRDefault="00963B91" w:rsidP="00963B91">
      <w:pPr>
        <w:shd w:val="clear" w:color="auto" w:fill="FFFFFF"/>
        <w:rPr>
          <w:rFonts w:ascii="Verdana" w:hAnsi="Verdana"/>
        </w:rPr>
      </w:pPr>
      <w:bookmarkStart w:id="293" w:name="d_1_B"/>
      <w:bookmarkEnd w:id="293"/>
      <w:r w:rsidRPr="008B3051">
        <w:rPr>
          <w:rStyle w:val="num"/>
          <w:rFonts w:ascii="Verdana" w:hAnsi="Verdana"/>
          <w:b/>
          <w:bCs/>
        </w:rPr>
        <w:t>(B)</w:t>
      </w:r>
    </w:p>
    <w:p w14:paraId="6F1E0AB2" w14:textId="20C49527" w:rsidR="00963B91" w:rsidRPr="008B3051" w:rsidRDefault="00963B91" w:rsidP="00963B91">
      <w:pPr>
        <w:shd w:val="clear" w:color="auto" w:fill="FFFFFF"/>
        <w:rPr>
          <w:rFonts w:ascii="Verdana" w:hAnsi="Verdana"/>
        </w:rPr>
      </w:pPr>
      <w:r w:rsidRPr="008B3051">
        <w:rPr>
          <w:rFonts w:ascii="Verdana" w:hAnsi="Verdana"/>
        </w:rPr>
        <w:t>in the case of an individual who is married at the close of such </w:t>
      </w:r>
      <w:r w:rsidRPr="008B3051">
        <w:rPr>
          <w:rStyle w:val="Hyperlink"/>
          <w:rFonts w:ascii="Verdana" w:hAnsi="Verdana"/>
          <w:color w:val="auto"/>
        </w:rPr>
        <w:t>year</w:t>
      </w:r>
      <w:r w:rsidRPr="008B3051">
        <w:rPr>
          <w:rFonts w:ascii="Verdana" w:hAnsi="Verdana"/>
        </w:rPr>
        <w:t>, the lesser of such individual’s </w:t>
      </w:r>
      <w:r w:rsidRPr="008B3051">
        <w:rPr>
          <w:rStyle w:val="Hyperlink"/>
          <w:rFonts w:ascii="Verdana" w:hAnsi="Verdana"/>
          <w:color w:val="auto"/>
        </w:rPr>
        <w:t>earned income</w:t>
      </w:r>
      <w:r w:rsidRPr="008B3051">
        <w:rPr>
          <w:rFonts w:ascii="Verdana" w:hAnsi="Verdana"/>
        </w:rPr>
        <w:t> or the </w:t>
      </w:r>
      <w:r w:rsidRPr="008B3051">
        <w:rPr>
          <w:rStyle w:val="Hyperlink"/>
          <w:rFonts w:ascii="Verdana" w:hAnsi="Verdana"/>
          <w:color w:val="auto"/>
        </w:rPr>
        <w:t>earned income</w:t>
      </w:r>
      <w:r w:rsidRPr="008B3051">
        <w:rPr>
          <w:rFonts w:ascii="Verdana" w:hAnsi="Verdana"/>
        </w:rPr>
        <w:t> of his spouse for such year.</w:t>
      </w:r>
    </w:p>
    <w:p w14:paraId="6E8D46D9" w14:textId="612B7821" w:rsidR="00963B91" w:rsidRPr="008B3051" w:rsidRDefault="00963B91" w:rsidP="00963B91">
      <w:pPr>
        <w:shd w:val="clear" w:color="auto" w:fill="FFFFFF"/>
        <w:rPr>
          <w:rFonts w:ascii="Verdana" w:hAnsi="Verdana"/>
        </w:rPr>
      </w:pPr>
      <w:bookmarkStart w:id="294" w:name="d_2"/>
      <w:bookmarkEnd w:id="294"/>
      <w:r w:rsidRPr="008B3051">
        <w:rPr>
          <w:rStyle w:val="num"/>
          <w:rFonts w:ascii="Verdana" w:hAnsi="Verdana"/>
          <w:b/>
          <w:bCs/>
        </w:rPr>
        <w:t>(2)</w:t>
      </w:r>
      <w:r w:rsidRPr="008B3051">
        <w:rPr>
          <w:rStyle w:val="heading"/>
          <w:rFonts w:ascii="Verdana" w:hAnsi="Verdana"/>
          <w:b/>
          <w:bCs/>
          <w:smallCaps/>
        </w:rPr>
        <w:t>Special rule for spouse who is a student or incapable of caring for himself</w:t>
      </w:r>
      <w:r w:rsidRPr="008B3051">
        <w:rPr>
          <w:rStyle w:val="chapeau"/>
          <w:rFonts w:ascii="Verdana" w:hAnsi="Verdana"/>
        </w:rPr>
        <w:t>In the case of a spouse who is a </w:t>
      </w:r>
      <w:r w:rsidRPr="008B3051">
        <w:rPr>
          <w:rStyle w:val="Hyperlink"/>
          <w:rFonts w:ascii="Verdana" w:hAnsi="Verdana"/>
          <w:color w:val="auto"/>
        </w:rPr>
        <w:t>student</w:t>
      </w:r>
      <w:r w:rsidRPr="008B3051">
        <w:rPr>
          <w:rStyle w:val="chapeau"/>
          <w:rFonts w:ascii="Verdana" w:hAnsi="Verdana"/>
        </w:rPr>
        <w:t> or a </w:t>
      </w:r>
      <w:r w:rsidRPr="008B3051">
        <w:rPr>
          <w:rStyle w:val="Hyperlink"/>
          <w:rFonts w:ascii="Verdana" w:hAnsi="Verdana"/>
          <w:color w:val="auto"/>
        </w:rPr>
        <w:t>qualifying individual</w:t>
      </w:r>
      <w:r w:rsidRPr="008B3051">
        <w:rPr>
          <w:rStyle w:val="chapeau"/>
          <w:rFonts w:ascii="Verdana" w:hAnsi="Verdana"/>
        </w:rPr>
        <w:t> described in subsection (b)(1)(C), for purposes of paragraph (1), such spouse shall be deemed for each month during which such spouse is a full-time student at an educational institution, or is such a </w:t>
      </w:r>
      <w:r w:rsidRPr="008B3051">
        <w:rPr>
          <w:rStyle w:val="Hyperlink"/>
          <w:rFonts w:ascii="Verdana" w:hAnsi="Verdana"/>
          <w:color w:val="auto"/>
        </w:rPr>
        <w:t>qualifying individual</w:t>
      </w:r>
      <w:r w:rsidRPr="008B3051">
        <w:rPr>
          <w:rStyle w:val="chapeau"/>
          <w:rFonts w:ascii="Verdana" w:hAnsi="Verdana"/>
        </w:rPr>
        <w:t>, to be gainfully employed and to have earned income of not less than—</w:t>
      </w:r>
    </w:p>
    <w:p w14:paraId="3CE3DA29" w14:textId="77777777" w:rsidR="00963B91" w:rsidRPr="008B3051" w:rsidRDefault="00963B91" w:rsidP="00963B91">
      <w:pPr>
        <w:shd w:val="clear" w:color="auto" w:fill="FFFFFF"/>
        <w:rPr>
          <w:rFonts w:ascii="Verdana" w:hAnsi="Verdana"/>
        </w:rPr>
      </w:pPr>
      <w:bookmarkStart w:id="295" w:name="d_2_A"/>
      <w:bookmarkEnd w:id="295"/>
      <w:r w:rsidRPr="008B3051">
        <w:rPr>
          <w:rStyle w:val="num"/>
          <w:rFonts w:ascii="Verdana" w:hAnsi="Verdana"/>
          <w:b/>
          <w:bCs/>
        </w:rPr>
        <w:t>(A)</w:t>
      </w:r>
    </w:p>
    <w:p w14:paraId="0C351CF5" w14:textId="4190798A" w:rsidR="00963B91" w:rsidRPr="008B3051" w:rsidRDefault="00963B91" w:rsidP="00963B91">
      <w:pPr>
        <w:shd w:val="clear" w:color="auto" w:fill="FFFFFF"/>
        <w:rPr>
          <w:rFonts w:ascii="Verdana" w:hAnsi="Verdana"/>
        </w:rPr>
      </w:pPr>
      <w:r w:rsidRPr="008B3051">
        <w:rPr>
          <w:rFonts w:ascii="Verdana" w:hAnsi="Verdana"/>
        </w:rPr>
        <w:t>$250 if subsection (c)(1) applies for the </w:t>
      </w:r>
      <w:r w:rsidRPr="008B3051">
        <w:rPr>
          <w:rStyle w:val="Hyperlink"/>
          <w:rFonts w:ascii="Verdana" w:hAnsi="Verdana"/>
          <w:color w:val="auto"/>
        </w:rPr>
        <w:t>taxable year</w:t>
      </w:r>
      <w:r w:rsidRPr="008B3051">
        <w:rPr>
          <w:rFonts w:ascii="Verdana" w:hAnsi="Verdana"/>
        </w:rPr>
        <w:t>, or</w:t>
      </w:r>
    </w:p>
    <w:p w14:paraId="6CA4901C" w14:textId="77777777" w:rsidR="00963B91" w:rsidRPr="008B3051" w:rsidRDefault="00963B91" w:rsidP="00963B91">
      <w:pPr>
        <w:shd w:val="clear" w:color="auto" w:fill="FFFFFF"/>
        <w:rPr>
          <w:rFonts w:ascii="Verdana" w:hAnsi="Verdana"/>
        </w:rPr>
      </w:pPr>
      <w:bookmarkStart w:id="296" w:name="d_2_B"/>
      <w:bookmarkEnd w:id="296"/>
      <w:r w:rsidRPr="008B3051">
        <w:rPr>
          <w:rStyle w:val="num"/>
          <w:rFonts w:ascii="Verdana" w:hAnsi="Verdana"/>
          <w:b/>
          <w:bCs/>
        </w:rPr>
        <w:t>(B)</w:t>
      </w:r>
    </w:p>
    <w:p w14:paraId="0039695A" w14:textId="28FC4987" w:rsidR="00963B91" w:rsidRPr="008B3051" w:rsidRDefault="00963B91" w:rsidP="00963B91">
      <w:pPr>
        <w:shd w:val="clear" w:color="auto" w:fill="FFFFFF"/>
        <w:rPr>
          <w:rFonts w:ascii="Verdana" w:hAnsi="Verdana"/>
        </w:rPr>
      </w:pPr>
      <w:r w:rsidRPr="008B3051">
        <w:rPr>
          <w:rFonts w:ascii="Verdana" w:hAnsi="Verdana"/>
        </w:rPr>
        <w:t>$500 if subsection (c)(2) applies for the </w:t>
      </w:r>
      <w:r w:rsidRPr="008B3051">
        <w:rPr>
          <w:rStyle w:val="Hyperlink"/>
          <w:rFonts w:ascii="Verdana" w:hAnsi="Verdana"/>
          <w:color w:val="auto"/>
        </w:rPr>
        <w:t>taxable year</w:t>
      </w:r>
      <w:r w:rsidRPr="008B3051">
        <w:rPr>
          <w:rFonts w:ascii="Verdana" w:hAnsi="Verdana"/>
        </w:rPr>
        <w:t>.</w:t>
      </w:r>
    </w:p>
    <w:p w14:paraId="358B59D1" w14:textId="77777777" w:rsidR="00963B91" w:rsidRPr="008B3051" w:rsidRDefault="00963B91" w:rsidP="00963B91">
      <w:pPr>
        <w:shd w:val="clear" w:color="auto" w:fill="FFFFFF"/>
        <w:rPr>
          <w:rFonts w:ascii="Verdana" w:hAnsi="Verdana"/>
        </w:rPr>
      </w:pPr>
      <w:r w:rsidRPr="008B3051">
        <w:rPr>
          <w:rFonts w:ascii="Verdana" w:hAnsi="Verdana"/>
        </w:rPr>
        <w:t>In the case of any husband and wife, this paragraph shall apply with respect to only one spouse for any one month.</w:t>
      </w:r>
    </w:p>
    <w:p w14:paraId="3E0182A4" w14:textId="77777777" w:rsidR="00963B91" w:rsidRPr="008B3051" w:rsidRDefault="00963B91" w:rsidP="00963B91">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w:t>
      </w:r>
      <w:r w:rsidRPr="008B3051">
        <w:rPr>
          <w:rStyle w:val="chapeau"/>
          <w:rFonts w:ascii="Verdana" w:hAnsi="Verdana"/>
        </w:rPr>
        <w:t>For purposes of this section—</w:t>
      </w:r>
    </w:p>
    <w:p w14:paraId="5AFD9C07"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Place of abode</w:t>
      </w:r>
    </w:p>
    <w:p w14:paraId="4E579933" w14:textId="1E7E3629"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An individual shall not be treated as having the same principal place of abode of the </w:t>
      </w:r>
      <w:r w:rsidRPr="008B3051">
        <w:rPr>
          <w:rStyle w:val="Hyperlink"/>
          <w:rFonts w:ascii="Verdana" w:hAnsi="Verdana"/>
          <w:color w:val="auto"/>
        </w:rPr>
        <w:t>taxpayer</w:t>
      </w:r>
      <w:r w:rsidRPr="008B3051">
        <w:rPr>
          <w:rFonts w:ascii="Verdana" w:hAnsi="Verdana"/>
        </w:rPr>
        <w:t> if at any time during the </w:t>
      </w:r>
      <w:r w:rsidRPr="008B3051">
        <w:rPr>
          <w:rStyle w:val="Hyperlink"/>
          <w:rFonts w:ascii="Verdana" w:hAnsi="Verdana"/>
          <w:color w:val="auto"/>
        </w:rPr>
        <w:t>taxable year</w:t>
      </w:r>
      <w:r w:rsidRPr="008B3051">
        <w:rPr>
          <w:rFonts w:ascii="Verdana" w:hAnsi="Verdana"/>
        </w:rPr>
        <w:t> of the taxpayer the relationship between the individual and the taxpayer is in violation of local law.</w:t>
      </w:r>
    </w:p>
    <w:p w14:paraId="119D1F82"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Married couples must file joint return</w:t>
      </w:r>
    </w:p>
    <w:p w14:paraId="53CE79DE" w14:textId="1305C1BB"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lastRenderedPageBreak/>
        <w:t>If the </w:t>
      </w:r>
      <w:r w:rsidRPr="008B3051">
        <w:rPr>
          <w:rStyle w:val="Hyperlink"/>
          <w:rFonts w:ascii="Verdana" w:hAnsi="Verdana"/>
          <w:color w:val="auto"/>
        </w:rPr>
        <w:t>taxpayer</w:t>
      </w:r>
      <w:r w:rsidRPr="008B3051">
        <w:rPr>
          <w:rFonts w:ascii="Verdana" w:hAnsi="Verdana"/>
        </w:rPr>
        <w:t> is married at the close of the </w:t>
      </w:r>
      <w:r w:rsidRPr="008B3051">
        <w:rPr>
          <w:rStyle w:val="Hyperlink"/>
          <w:rFonts w:ascii="Verdana" w:hAnsi="Verdana"/>
          <w:color w:val="auto"/>
        </w:rPr>
        <w:t>taxable year</w:t>
      </w:r>
      <w:r w:rsidRPr="008B3051">
        <w:rPr>
          <w:rFonts w:ascii="Verdana" w:hAnsi="Verdana"/>
        </w:rPr>
        <w:t>, the credit shall be allowed under subsection (a) only if the taxpayer and his spouse file a joint return for the </w:t>
      </w:r>
      <w:r w:rsidRPr="008B3051">
        <w:rPr>
          <w:rStyle w:val="Hyperlink"/>
          <w:rFonts w:ascii="Verdana" w:hAnsi="Verdana"/>
          <w:color w:val="auto"/>
        </w:rPr>
        <w:t>taxable year</w:t>
      </w:r>
      <w:r w:rsidRPr="008B3051">
        <w:rPr>
          <w:rFonts w:ascii="Verdana" w:hAnsi="Verdana"/>
        </w:rPr>
        <w:t>.</w:t>
      </w:r>
    </w:p>
    <w:p w14:paraId="332629F8" w14:textId="77777777" w:rsidR="00963B91" w:rsidRPr="008B3051" w:rsidRDefault="00963B91" w:rsidP="00963B91">
      <w:pPr>
        <w:shd w:val="clear" w:color="auto" w:fill="FFFFFF"/>
        <w:rPr>
          <w:rFonts w:ascii="Verdana" w:hAnsi="Verdana"/>
        </w:rPr>
      </w:pPr>
      <w:bookmarkStart w:id="297" w:name="e_3"/>
      <w:bookmarkEnd w:id="297"/>
      <w:r w:rsidRPr="008B3051">
        <w:rPr>
          <w:rStyle w:val="num"/>
          <w:rFonts w:ascii="Verdana" w:hAnsi="Verdana"/>
          <w:b/>
          <w:bCs/>
        </w:rPr>
        <w:t>(3)</w:t>
      </w:r>
      <w:r w:rsidRPr="008B3051">
        <w:rPr>
          <w:rStyle w:val="heading"/>
          <w:rFonts w:ascii="Verdana" w:hAnsi="Verdana"/>
          <w:b/>
          <w:bCs/>
          <w:smallCaps/>
        </w:rPr>
        <w:t>Marital status</w:t>
      </w:r>
    </w:p>
    <w:p w14:paraId="5A24CD48" w14:textId="77777777"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An individual legally separated from his spouse under a decree of divorce or of separate maintenance shall not be considered as married.</w:t>
      </w:r>
    </w:p>
    <w:p w14:paraId="50E43A37" w14:textId="77777777" w:rsidR="00963B91" w:rsidRPr="008B3051" w:rsidRDefault="00963B91" w:rsidP="00963B91">
      <w:pPr>
        <w:shd w:val="clear" w:color="auto" w:fill="FFFFFF"/>
        <w:rPr>
          <w:rFonts w:ascii="Verdana" w:hAnsi="Verdana"/>
        </w:rPr>
      </w:pPr>
      <w:bookmarkStart w:id="298" w:name="e_4"/>
      <w:bookmarkEnd w:id="298"/>
      <w:r w:rsidRPr="008B3051">
        <w:rPr>
          <w:rStyle w:val="num"/>
          <w:rFonts w:ascii="Verdana" w:hAnsi="Verdana"/>
          <w:b/>
          <w:bCs/>
        </w:rPr>
        <w:t>(4)</w:t>
      </w:r>
      <w:r w:rsidRPr="008B3051">
        <w:rPr>
          <w:rStyle w:val="heading"/>
          <w:rFonts w:ascii="Verdana" w:hAnsi="Verdana"/>
          <w:b/>
          <w:bCs/>
          <w:smallCaps/>
        </w:rPr>
        <w:t>Certain married individuals living apart</w:t>
      </w:r>
      <w:r w:rsidRPr="008B3051">
        <w:rPr>
          <w:rStyle w:val="chapeau"/>
          <w:rFonts w:ascii="Verdana" w:hAnsi="Verdana"/>
        </w:rPr>
        <w:t>If—</w:t>
      </w:r>
    </w:p>
    <w:p w14:paraId="5E9A41DF" w14:textId="5231D3ED" w:rsidR="00963B91" w:rsidRPr="008B3051" w:rsidRDefault="00963B91" w:rsidP="00963B91">
      <w:pPr>
        <w:shd w:val="clear" w:color="auto" w:fill="FFFFFF"/>
        <w:rPr>
          <w:rFonts w:ascii="Verdana" w:hAnsi="Verdana"/>
        </w:rPr>
      </w:pPr>
      <w:bookmarkStart w:id="299" w:name="e_4_A"/>
      <w:bookmarkEnd w:id="299"/>
      <w:r w:rsidRPr="008B3051">
        <w:rPr>
          <w:rStyle w:val="num"/>
          <w:rFonts w:ascii="Verdana" w:hAnsi="Verdana"/>
          <w:b/>
          <w:bCs/>
        </w:rPr>
        <w:t>(A)</w:t>
      </w:r>
      <w:r w:rsidRPr="008B3051">
        <w:rPr>
          <w:rStyle w:val="chapeau"/>
          <w:rFonts w:ascii="Verdana" w:hAnsi="Verdana"/>
        </w:rPr>
        <w:t>an individual who is married and who files a separate </w:t>
      </w:r>
      <w:r w:rsidRPr="008B3051">
        <w:rPr>
          <w:rStyle w:val="Hyperlink"/>
          <w:rFonts w:ascii="Verdana" w:hAnsi="Verdana"/>
          <w:color w:val="auto"/>
        </w:rPr>
        <w:t>return</w:t>
      </w:r>
      <w:r w:rsidRPr="008B3051">
        <w:rPr>
          <w:rStyle w:val="chapeau"/>
          <w:rFonts w:ascii="Verdana" w:hAnsi="Verdana"/>
        </w:rPr>
        <w:t>—</w:t>
      </w:r>
    </w:p>
    <w:p w14:paraId="5EDDE572" w14:textId="77777777" w:rsidR="00963B91" w:rsidRPr="008B3051" w:rsidRDefault="00963B91" w:rsidP="00963B91">
      <w:pPr>
        <w:shd w:val="clear" w:color="auto" w:fill="FFFFFF"/>
        <w:rPr>
          <w:rFonts w:ascii="Verdana" w:hAnsi="Verdana"/>
        </w:rPr>
      </w:pPr>
      <w:bookmarkStart w:id="300" w:name="e_4_A_i"/>
      <w:bookmarkEnd w:id="300"/>
      <w:r w:rsidRPr="008B3051">
        <w:rPr>
          <w:rStyle w:val="num"/>
          <w:rFonts w:ascii="Verdana" w:hAnsi="Verdana"/>
          <w:b/>
          <w:bCs/>
        </w:rPr>
        <w:t>(i)</w:t>
      </w:r>
    </w:p>
    <w:p w14:paraId="01B833AA" w14:textId="18132BD8" w:rsidR="00963B91" w:rsidRPr="008B3051" w:rsidRDefault="00963B91" w:rsidP="00963B91">
      <w:pPr>
        <w:shd w:val="clear" w:color="auto" w:fill="FFFFFF"/>
        <w:rPr>
          <w:rFonts w:ascii="Verdana" w:hAnsi="Verdana"/>
        </w:rPr>
      </w:pPr>
      <w:r w:rsidRPr="008B3051">
        <w:rPr>
          <w:rFonts w:ascii="Verdana" w:hAnsi="Verdana"/>
        </w:rPr>
        <w:t>maintains as his home a household which constitutes for more than one-half of the </w:t>
      </w:r>
      <w:r w:rsidRPr="008B3051">
        <w:rPr>
          <w:rStyle w:val="Hyperlink"/>
          <w:rFonts w:ascii="Verdana" w:hAnsi="Verdana"/>
          <w:color w:val="auto"/>
        </w:rPr>
        <w:t>taxable year</w:t>
      </w:r>
      <w:r w:rsidRPr="008B3051">
        <w:rPr>
          <w:rFonts w:ascii="Verdana" w:hAnsi="Verdana"/>
        </w:rPr>
        <w:t>the principal place of abode of a </w:t>
      </w:r>
      <w:r w:rsidRPr="008B3051">
        <w:rPr>
          <w:rStyle w:val="Hyperlink"/>
          <w:rFonts w:ascii="Verdana" w:hAnsi="Verdana"/>
          <w:color w:val="auto"/>
        </w:rPr>
        <w:t>qualifying individual</w:t>
      </w:r>
      <w:r w:rsidRPr="008B3051">
        <w:rPr>
          <w:rFonts w:ascii="Verdana" w:hAnsi="Verdana"/>
        </w:rPr>
        <w:t>, and</w:t>
      </w:r>
    </w:p>
    <w:p w14:paraId="12A2ADCB" w14:textId="77777777" w:rsidR="00963B91" w:rsidRPr="008B3051" w:rsidRDefault="00963B91" w:rsidP="00963B91">
      <w:pPr>
        <w:shd w:val="clear" w:color="auto" w:fill="FFFFFF"/>
        <w:rPr>
          <w:rFonts w:ascii="Verdana" w:hAnsi="Verdana"/>
        </w:rPr>
      </w:pPr>
      <w:bookmarkStart w:id="301" w:name="e_4_A_ii"/>
      <w:bookmarkEnd w:id="301"/>
      <w:r w:rsidRPr="008B3051">
        <w:rPr>
          <w:rStyle w:val="num"/>
          <w:rFonts w:ascii="Verdana" w:hAnsi="Verdana"/>
          <w:b/>
          <w:bCs/>
        </w:rPr>
        <w:t>(ii)</w:t>
      </w:r>
    </w:p>
    <w:p w14:paraId="05F1FE99" w14:textId="1C295A29" w:rsidR="00963B91" w:rsidRPr="008B3051" w:rsidRDefault="00963B91" w:rsidP="00963B91">
      <w:pPr>
        <w:shd w:val="clear" w:color="auto" w:fill="FFFFFF"/>
        <w:rPr>
          <w:rFonts w:ascii="Verdana" w:hAnsi="Verdana"/>
        </w:rPr>
      </w:pPr>
      <w:r w:rsidRPr="008B3051">
        <w:rPr>
          <w:rFonts w:ascii="Verdana" w:hAnsi="Verdana"/>
        </w:rPr>
        <w:t>furnishes over half of the cost of maintaining such household during the </w:t>
      </w:r>
      <w:r w:rsidRPr="008B3051">
        <w:rPr>
          <w:rStyle w:val="Hyperlink"/>
          <w:rFonts w:ascii="Verdana" w:hAnsi="Verdana"/>
          <w:color w:val="auto"/>
        </w:rPr>
        <w:t>taxable year</w:t>
      </w:r>
      <w:r w:rsidRPr="008B3051">
        <w:rPr>
          <w:rFonts w:ascii="Verdana" w:hAnsi="Verdana"/>
        </w:rPr>
        <w:t>, and</w:t>
      </w:r>
    </w:p>
    <w:p w14:paraId="2FC0E064" w14:textId="77777777" w:rsidR="00963B91" w:rsidRPr="008B3051" w:rsidRDefault="00963B91" w:rsidP="00963B91">
      <w:pPr>
        <w:shd w:val="clear" w:color="auto" w:fill="FFFFFF"/>
        <w:rPr>
          <w:rFonts w:ascii="Verdana" w:hAnsi="Verdana"/>
        </w:rPr>
      </w:pPr>
      <w:bookmarkStart w:id="302" w:name="e_4_B"/>
      <w:bookmarkEnd w:id="302"/>
      <w:r w:rsidRPr="008B3051">
        <w:rPr>
          <w:rStyle w:val="num"/>
          <w:rFonts w:ascii="Verdana" w:hAnsi="Verdana"/>
          <w:b/>
          <w:bCs/>
        </w:rPr>
        <w:t>(B)</w:t>
      </w:r>
    </w:p>
    <w:p w14:paraId="156D27A2" w14:textId="2DA22C3E" w:rsidR="00963B91" w:rsidRPr="008B3051" w:rsidRDefault="00963B91" w:rsidP="00963B91">
      <w:pPr>
        <w:shd w:val="clear" w:color="auto" w:fill="FFFFFF"/>
        <w:rPr>
          <w:rFonts w:ascii="Verdana" w:hAnsi="Verdana"/>
        </w:rPr>
      </w:pPr>
      <w:r w:rsidRPr="008B3051">
        <w:rPr>
          <w:rFonts w:ascii="Verdana" w:hAnsi="Verdana"/>
        </w:rPr>
        <w:t>during the last 6 months of such </w:t>
      </w:r>
      <w:r w:rsidRPr="008B3051">
        <w:rPr>
          <w:rStyle w:val="Hyperlink"/>
          <w:rFonts w:ascii="Verdana" w:hAnsi="Verdana"/>
          <w:color w:val="auto"/>
        </w:rPr>
        <w:t>taxable year</w:t>
      </w:r>
      <w:r w:rsidRPr="008B3051">
        <w:rPr>
          <w:rFonts w:ascii="Verdana" w:hAnsi="Verdana"/>
        </w:rPr>
        <w:t> such individual’s spouse is not a member of such household,</w:t>
      </w:r>
    </w:p>
    <w:p w14:paraId="17963A63" w14:textId="77777777" w:rsidR="00963B91" w:rsidRPr="008B3051" w:rsidRDefault="00963B91" w:rsidP="00963B91">
      <w:pPr>
        <w:shd w:val="clear" w:color="auto" w:fill="FFFFFF"/>
        <w:rPr>
          <w:rFonts w:ascii="Verdana" w:hAnsi="Verdana"/>
        </w:rPr>
      </w:pPr>
      <w:r w:rsidRPr="008B3051">
        <w:rPr>
          <w:rFonts w:ascii="Verdana" w:hAnsi="Verdana"/>
        </w:rPr>
        <w:t>such individual shall not be considered as married.</w:t>
      </w:r>
    </w:p>
    <w:p w14:paraId="794A94D8" w14:textId="77777777" w:rsidR="00963B91" w:rsidRPr="008B3051" w:rsidRDefault="00963B91" w:rsidP="00963B91">
      <w:pPr>
        <w:shd w:val="clear" w:color="auto" w:fill="FFFFFF"/>
        <w:rPr>
          <w:rFonts w:ascii="Verdana" w:hAnsi="Verdana"/>
        </w:rPr>
      </w:pPr>
      <w:bookmarkStart w:id="303" w:name="e_5"/>
      <w:bookmarkEnd w:id="303"/>
      <w:r w:rsidRPr="008B3051">
        <w:rPr>
          <w:rStyle w:val="num"/>
          <w:rFonts w:ascii="Verdana" w:hAnsi="Verdana"/>
          <w:b/>
          <w:bCs/>
        </w:rPr>
        <w:t>(5)</w:t>
      </w:r>
      <w:r w:rsidRPr="008B3051">
        <w:rPr>
          <w:rStyle w:val="heading"/>
          <w:rFonts w:ascii="Verdana" w:hAnsi="Verdana"/>
          <w:b/>
          <w:bCs/>
          <w:smallCaps/>
        </w:rPr>
        <w:t>Special dependency test in case of divorced parents, etc.</w:t>
      </w:r>
      <w:r w:rsidRPr="008B3051">
        <w:rPr>
          <w:rStyle w:val="chapeau"/>
          <w:rFonts w:ascii="Verdana" w:hAnsi="Verdana"/>
        </w:rPr>
        <w:t>If—</w:t>
      </w:r>
    </w:p>
    <w:p w14:paraId="3D3D1B1B" w14:textId="77777777" w:rsidR="00963B91" w:rsidRPr="008B3051" w:rsidRDefault="00963B91" w:rsidP="00963B91">
      <w:pPr>
        <w:shd w:val="clear" w:color="auto" w:fill="FFFFFF"/>
        <w:rPr>
          <w:rFonts w:ascii="Verdana" w:hAnsi="Verdana"/>
        </w:rPr>
      </w:pPr>
      <w:bookmarkStart w:id="304" w:name="e_5_A"/>
      <w:bookmarkEnd w:id="304"/>
      <w:r w:rsidRPr="008B3051">
        <w:rPr>
          <w:rStyle w:val="num"/>
          <w:rFonts w:ascii="Verdana" w:hAnsi="Verdana"/>
          <w:b/>
          <w:bCs/>
        </w:rPr>
        <w:t>(A)</w:t>
      </w:r>
    </w:p>
    <w:p w14:paraId="6C459F5E" w14:textId="62A716CD" w:rsidR="00963B91" w:rsidRPr="008B3051" w:rsidRDefault="00963B91" w:rsidP="00963B91">
      <w:pPr>
        <w:shd w:val="clear" w:color="auto" w:fill="FFFFFF"/>
        <w:rPr>
          <w:rFonts w:ascii="Verdana" w:hAnsi="Verdana"/>
        </w:rPr>
      </w:pPr>
      <w:r w:rsidRPr="008B3051">
        <w:rPr>
          <w:rStyle w:val="Hyperlink"/>
          <w:rFonts w:ascii="Verdana" w:hAnsi="Verdana"/>
          <w:color w:val="auto"/>
        </w:rPr>
        <w:t>section 152(e)</w:t>
      </w:r>
      <w:r w:rsidRPr="008B3051">
        <w:rPr>
          <w:rFonts w:ascii="Verdana" w:hAnsi="Verdana"/>
        </w:rPr>
        <w:t> applies to any child with respect to any calendar year, and</w:t>
      </w:r>
    </w:p>
    <w:p w14:paraId="45FFBAB4" w14:textId="77777777" w:rsidR="00963B91" w:rsidRPr="008B3051" w:rsidRDefault="00963B91" w:rsidP="00963B91">
      <w:pPr>
        <w:shd w:val="clear" w:color="auto" w:fill="FFFFFF"/>
        <w:rPr>
          <w:rFonts w:ascii="Verdana" w:hAnsi="Verdana"/>
        </w:rPr>
      </w:pPr>
      <w:bookmarkStart w:id="305" w:name="e_5_B"/>
      <w:bookmarkEnd w:id="305"/>
      <w:r w:rsidRPr="008B3051">
        <w:rPr>
          <w:rStyle w:val="num"/>
          <w:rFonts w:ascii="Verdana" w:hAnsi="Verdana"/>
          <w:b/>
          <w:bCs/>
        </w:rPr>
        <w:t>(B)</w:t>
      </w:r>
    </w:p>
    <w:p w14:paraId="7EAA7868" w14:textId="77777777" w:rsidR="00963B91" w:rsidRPr="008B3051" w:rsidRDefault="00963B91" w:rsidP="00963B91">
      <w:pPr>
        <w:shd w:val="clear" w:color="auto" w:fill="FFFFFF"/>
        <w:rPr>
          <w:rFonts w:ascii="Verdana" w:hAnsi="Verdana"/>
        </w:rPr>
      </w:pPr>
      <w:r w:rsidRPr="008B3051">
        <w:rPr>
          <w:rFonts w:ascii="Verdana" w:hAnsi="Verdana"/>
        </w:rPr>
        <w:t>such child is under the age of 13 or is physically or mentally incapable of caring for himself,</w:t>
      </w:r>
    </w:p>
    <w:p w14:paraId="6CDA38FF" w14:textId="479E58A7" w:rsidR="00963B91" w:rsidRPr="008B3051" w:rsidRDefault="00963B91" w:rsidP="00963B91">
      <w:pPr>
        <w:shd w:val="clear" w:color="auto" w:fill="FFFFFF"/>
        <w:rPr>
          <w:rFonts w:ascii="Verdana" w:hAnsi="Verdana"/>
        </w:rPr>
      </w:pPr>
      <w:r w:rsidRPr="008B3051">
        <w:rPr>
          <w:rFonts w:ascii="Verdana" w:hAnsi="Verdana"/>
        </w:rPr>
        <w:t>in the case of any </w:t>
      </w:r>
      <w:r w:rsidRPr="008B3051">
        <w:rPr>
          <w:rStyle w:val="Hyperlink"/>
          <w:rFonts w:ascii="Verdana" w:hAnsi="Verdana"/>
          <w:color w:val="auto"/>
        </w:rPr>
        <w:t>taxable year</w:t>
      </w:r>
      <w:r w:rsidRPr="008B3051">
        <w:rPr>
          <w:rFonts w:ascii="Verdana" w:hAnsi="Verdana"/>
        </w:rPr>
        <w:t> beginning in such </w:t>
      </w:r>
      <w:r w:rsidRPr="008B3051">
        <w:rPr>
          <w:rStyle w:val="Hyperlink"/>
          <w:rFonts w:ascii="Verdana" w:hAnsi="Verdana"/>
          <w:color w:val="auto"/>
        </w:rPr>
        <w:t>calendar year</w:t>
      </w:r>
      <w:r w:rsidRPr="008B3051">
        <w:rPr>
          <w:rFonts w:ascii="Verdana" w:hAnsi="Verdana"/>
        </w:rPr>
        <w:t>, such child shall be treated as a </w:t>
      </w:r>
      <w:r w:rsidRPr="008B3051">
        <w:rPr>
          <w:rStyle w:val="Hyperlink"/>
          <w:rFonts w:ascii="Verdana" w:hAnsi="Verdana"/>
          <w:color w:val="auto"/>
        </w:rPr>
        <w:t>qualifying individual</w:t>
      </w:r>
      <w:r w:rsidRPr="008B3051">
        <w:rPr>
          <w:rFonts w:ascii="Verdana" w:hAnsi="Verdana"/>
        </w:rPr>
        <w:t> described in subparagraph (A) or (B) of subsection (b)(1) (whichever is appropriate) with respect to the custodial parent (as defined in </w:t>
      </w:r>
      <w:r w:rsidRPr="008B3051">
        <w:rPr>
          <w:rStyle w:val="Hyperlink"/>
          <w:rFonts w:ascii="Verdana" w:hAnsi="Verdana"/>
          <w:color w:val="auto"/>
        </w:rPr>
        <w:t>section 152(e)(4)(A)</w:t>
      </w:r>
      <w:r w:rsidRPr="008B3051">
        <w:rPr>
          <w:rFonts w:ascii="Verdana" w:hAnsi="Verdana"/>
        </w:rPr>
        <w:t>), and shall not be treated as a qualifying individual with respect to the noncustodial parent.</w:t>
      </w:r>
    </w:p>
    <w:p w14:paraId="0AC97B5C" w14:textId="0A8124C8" w:rsidR="00963B91" w:rsidRPr="008B3051" w:rsidRDefault="00963B91" w:rsidP="00963B91">
      <w:pPr>
        <w:shd w:val="clear" w:color="auto" w:fill="FFFFFF"/>
        <w:rPr>
          <w:rFonts w:ascii="Verdana" w:hAnsi="Verdana"/>
        </w:rPr>
      </w:pPr>
      <w:bookmarkStart w:id="306" w:name="e_6"/>
      <w:bookmarkEnd w:id="306"/>
      <w:r w:rsidRPr="008B3051">
        <w:rPr>
          <w:rStyle w:val="num"/>
          <w:rFonts w:ascii="Verdana" w:hAnsi="Verdana"/>
          <w:b/>
          <w:bCs/>
        </w:rPr>
        <w:t>(6)</w:t>
      </w:r>
      <w:r w:rsidRPr="008B3051">
        <w:rPr>
          <w:rStyle w:val="heading"/>
          <w:rFonts w:ascii="Verdana" w:hAnsi="Verdana"/>
          <w:b/>
          <w:bCs/>
          <w:smallCaps/>
        </w:rPr>
        <w:t>Payments to related individuals</w:t>
      </w:r>
      <w:r w:rsidRPr="008B3051">
        <w:rPr>
          <w:rStyle w:val="chapeau"/>
          <w:rFonts w:ascii="Verdana" w:hAnsi="Verdana"/>
        </w:rPr>
        <w:t>No credit shall be allowed under subsection (a) for any amount paid by the </w:t>
      </w:r>
      <w:r w:rsidRPr="008B3051">
        <w:rPr>
          <w:rStyle w:val="Hyperlink"/>
          <w:rFonts w:ascii="Verdana" w:hAnsi="Verdana"/>
          <w:color w:val="auto"/>
        </w:rPr>
        <w:t>taxpayer</w:t>
      </w:r>
      <w:r w:rsidRPr="008B3051">
        <w:rPr>
          <w:rStyle w:val="chapeau"/>
          <w:rFonts w:ascii="Verdana" w:hAnsi="Verdana"/>
        </w:rPr>
        <w:t> to an individual—</w:t>
      </w:r>
    </w:p>
    <w:p w14:paraId="6E8E4179" w14:textId="77777777" w:rsidR="00963B91" w:rsidRPr="008B3051" w:rsidRDefault="00963B91" w:rsidP="00963B91">
      <w:pPr>
        <w:shd w:val="clear" w:color="auto" w:fill="FFFFFF"/>
        <w:rPr>
          <w:rFonts w:ascii="Verdana" w:hAnsi="Verdana"/>
        </w:rPr>
      </w:pPr>
      <w:bookmarkStart w:id="307" w:name="e_6_A"/>
      <w:bookmarkEnd w:id="307"/>
      <w:r w:rsidRPr="008B3051">
        <w:rPr>
          <w:rStyle w:val="num"/>
          <w:rFonts w:ascii="Verdana" w:hAnsi="Verdana"/>
          <w:b/>
          <w:bCs/>
        </w:rPr>
        <w:t>(A)</w:t>
      </w:r>
    </w:p>
    <w:p w14:paraId="6272C2FB" w14:textId="7AEF767E" w:rsidR="00963B91" w:rsidRPr="008B3051" w:rsidRDefault="00963B91" w:rsidP="00963B91">
      <w:pPr>
        <w:shd w:val="clear" w:color="auto" w:fill="FFFFFF"/>
        <w:rPr>
          <w:rFonts w:ascii="Verdana" w:hAnsi="Verdana"/>
        </w:rPr>
      </w:pPr>
      <w:r w:rsidRPr="008B3051">
        <w:rPr>
          <w:rFonts w:ascii="Verdana" w:hAnsi="Verdana"/>
        </w:rPr>
        <w:lastRenderedPageBreak/>
        <w:t>with respect to whom, for the </w:t>
      </w:r>
      <w:r w:rsidRPr="008B3051">
        <w:rPr>
          <w:rStyle w:val="Hyperlink"/>
          <w:rFonts w:ascii="Verdana" w:hAnsi="Verdana"/>
          <w:color w:val="auto"/>
        </w:rPr>
        <w:t>taxable year</w:t>
      </w:r>
      <w:r w:rsidRPr="008B3051">
        <w:rPr>
          <w:rFonts w:ascii="Verdana" w:hAnsi="Verdana"/>
        </w:rPr>
        <w:t>, a deduction under section 151(c) (relating to deduction for personal exemptions for dependents) is allowable either to the taxpayer or his spouse, or</w:t>
      </w:r>
    </w:p>
    <w:p w14:paraId="67AEF31E" w14:textId="77777777" w:rsidR="00963B91" w:rsidRPr="008B3051" w:rsidRDefault="00963B91" w:rsidP="00963B91">
      <w:pPr>
        <w:shd w:val="clear" w:color="auto" w:fill="FFFFFF"/>
        <w:rPr>
          <w:rFonts w:ascii="Verdana" w:hAnsi="Verdana"/>
        </w:rPr>
      </w:pPr>
      <w:bookmarkStart w:id="308" w:name="e_6_B"/>
      <w:bookmarkEnd w:id="308"/>
      <w:r w:rsidRPr="008B3051">
        <w:rPr>
          <w:rStyle w:val="num"/>
          <w:rFonts w:ascii="Verdana" w:hAnsi="Verdana"/>
          <w:b/>
          <w:bCs/>
        </w:rPr>
        <w:t>(B)</w:t>
      </w:r>
    </w:p>
    <w:p w14:paraId="3DB1C13B" w14:textId="010451D3" w:rsidR="00963B91" w:rsidRPr="008B3051" w:rsidRDefault="00963B91" w:rsidP="00963B91">
      <w:pPr>
        <w:shd w:val="clear" w:color="auto" w:fill="FFFFFF"/>
        <w:rPr>
          <w:rFonts w:ascii="Verdana" w:hAnsi="Verdana"/>
        </w:rPr>
      </w:pPr>
      <w:r w:rsidRPr="008B3051">
        <w:rPr>
          <w:rFonts w:ascii="Verdana" w:hAnsi="Verdana"/>
        </w:rPr>
        <w:t>who is a child of the </w:t>
      </w:r>
      <w:r w:rsidRPr="008B3051">
        <w:rPr>
          <w:rStyle w:val="Hyperlink"/>
          <w:rFonts w:ascii="Verdana" w:hAnsi="Verdana"/>
          <w:color w:val="auto"/>
        </w:rPr>
        <w:t>taxpayer</w:t>
      </w:r>
      <w:r w:rsidRPr="008B3051">
        <w:rPr>
          <w:rFonts w:ascii="Verdana" w:hAnsi="Verdana"/>
        </w:rPr>
        <w:t> (within the meaning of section 152(f)(1)) who has not attained the age of 19 at the close of the </w:t>
      </w:r>
      <w:r w:rsidRPr="008B3051">
        <w:rPr>
          <w:rStyle w:val="Hyperlink"/>
          <w:rFonts w:ascii="Verdana" w:hAnsi="Verdana"/>
          <w:color w:val="auto"/>
        </w:rPr>
        <w:t>taxable year</w:t>
      </w:r>
      <w:r w:rsidRPr="008B3051">
        <w:rPr>
          <w:rFonts w:ascii="Verdana" w:hAnsi="Verdana"/>
        </w:rPr>
        <w:t>.</w:t>
      </w:r>
    </w:p>
    <w:p w14:paraId="674ECD85" w14:textId="78538839" w:rsidR="00963B91" w:rsidRPr="008B3051" w:rsidRDefault="00963B91" w:rsidP="00963B91">
      <w:pPr>
        <w:shd w:val="clear" w:color="auto" w:fill="FFFFFF"/>
        <w:rPr>
          <w:rFonts w:ascii="Verdana" w:hAnsi="Verdana"/>
        </w:rPr>
      </w:pPr>
      <w:r w:rsidRPr="008B3051">
        <w:rPr>
          <w:rFonts w:ascii="Verdana" w:hAnsi="Verdana"/>
        </w:rPr>
        <w:t>For purposes of this paragraph, the term “</w:t>
      </w:r>
      <w:r w:rsidRPr="008B3051">
        <w:rPr>
          <w:rStyle w:val="Hyperlink"/>
          <w:rFonts w:ascii="Verdana" w:hAnsi="Verdana"/>
          <w:color w:val="auto"/>
        </w:rPr>
        <w:t>taxable year</w:t>
      </w:r>
      <w:r w:rsidRPr="008B3051">
        <w:rPr>
          <w:rFonts w:ascii="Verdana" w:hAnsi="Verdana"/>
        </w:rPr>
        <w:t>” means the </w:t>
      </w:r>
      <w:r w:rsidRPr="008B3051">
        <w:rPr>
          <w:rStyle w:val="Hyperlink"/>
          <w:rFonts w:ascii="Verdana" w:hAnsi="Verdana"/>
          <w:color w:val="auto"/>
        </w:rPr>
        <w:t>taxable year</w:t>
      </w:r>
      <w:r w:rsidRPr="008B3051">
        <w:rPr>
          <w:rFonts w:ascii="Verdana" w:hAnsi="Verdana"/>
        </w:rPr>
        <w:t> of the taxpayer in which the service is performed.</w:t>
      </w:r>
    </w:p>
    <w:p w14:paraId="552F6665" w14:textId="77777777" w:rsidR="00963B91" w:rsidRPr="008B3051" w:rsidRDefault="00963B91" w:rsidP="00963B91">
      <w:pPr>
        <w:shd w:val="clear" w:color="auto" w:fill="FFFFFF"/>
        <w:rPr>
          <w:rFonts w:ascii="Verdana" w:hAnsi="Verdana"/>
        </w:rPr>
      </w:pPr>
      <w:bookmarkStart w:id="309" w:name="e_7"/>
      <w:bookmarkEnd w:id="309"/>
      <w:r w:rsidRPr="008B3051">
        <w:rPr>
          <w:rStyle w:val="num"/>
          <w:rFonts w:ascii="Verdana" w:hAnsi="Verdana"/>
          <w:b/>
          <w:bCs/>
        </w:rPr>
        <w:t>(7)</w:t>
      </w:r>
      <w:r w:rsidRPr="008B3051">
        <w:rPr>
          <w:rStyle w:val="heading"/>
          <w:rFonts w:ascii="Verdana" w:hAnsi="Verdana"/>
          <w:b/>
          <w:bCs/>
          <w:smallCaps/>
        </w:rPr>
        <w:t>Student</w:t>
      </w:r>
    </w:p>
    <w:p w14:paraId="16780CEE" w14:textId="487E426C"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student</w:t>
      </w:r>
      <w:r w:rsidRPr="008B3051">
        <w:rPr>
          <w:rFonts w:ascii="Verdana" w:hAnsi="Verdana"/>
        </w:rPr>
        <w:t>” means an individual who during each of 5 calendar months during the taxable year is a full-time </w:t>
      </w:r>
      <w:r w:rsidRPr="008B3051">
        <w:rPr>
          <w:rStyle w:val="Hyperlink"/>
          <w:rFonts w:ascii="Verdana" w:hAnsi="Verdana"/>
          <w:color w:val="auto"/>
        </w:rPr>
        <w:t>student</w:t>
      </w:r>
      <w:r w:rsidRPr="008B3051">
        <w:rPr>
          <w:rFonts w:ascii="Verdana" w:hAnsi="Verdana"/>
        </w:rPr>
        <w:t> at an </w:t>
      </w:r>
      <w:r w:rsidRPr="008B3051">
        <w:rPr>
          <w:rStyle w:val="Hyperlink"/>
          <w:rFonts w:ascii="Verdana" w:hAnsi="Verdana"/>
          <w:color w:val="auto"/>
        </w:rPr>
        <w:t>educational organization</w:t>
      </w:r>
      <w:r w:rsidRPr="008B3051">
        <w:rPr>
          <w:rFonts w:ascii="Verdana" w:hAnsi="Verdana"/>
        </w:rPr>
        <w:t>.</w:t>
      </w:r>
    </w:p>
    <w:p w14:paraId="1694D0F1" w14:textId="77777777" w:rsidR="00963B91" w:rsidRPr="008B3051" w:rsidRDefault="00963B91" w:rsidP="00963B91">
      <w:pPr>
        <w:shd w:val="clear" w:color="auto" w:fill="FFFFFF"/>
        <w:rPr>
          <w:rFonts w:ascii="Verdana" w:hAnsi="Verdana"/>
        </w:rPr>
      </w:pPr>
      <w:bookmarkStart w:id="310" w:name="e_8"/>
      <w:bookmarkEnd w:id="310"/>
      <w:r w:rsidRPr="008B3051">
        <w:rPr>
          <w:rStyle w:val="num"/>
          <w:rFonts w:ascii="Verdana" w:hAnsi="Verdana"/>
          <w:b/>
          <w:bCs/>
        </w:rPr>
        <w:t>(8)</w:t>
      </w:r>
      <w:r w:rsidRPr="008B3051">
        <w:rPr>
          <w:rStyle w:val="heading"/>
          <w:rFonts w:ascii="Verdana" w:hAnsi="Verdana"/>
          <w:b/>
          <w:bCs/>
          <w:smallCaps/>
        </w:rPr>
        <w:t>Educational organization</w:t>
      </w:r>
    </w:p>
    <w:p w14:paraId="66207627" w14:textId="65A0C9F9"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educational organization</w:t>
      </w:r>
      <w:r w:rsidRPr="008B3051">
        <w:rPr>
          <w:rFonts w:ascii="Verdana" w:hAnsi="Verdana"/>
        </w:rPr>
        <w:t>” means an </w:t>
      </w:r>
      <w:r w:rsidRPr="008B3051">
        <w:rPr>
          <w:rStyle w:val="Hyperlink"/>
          <w:rFonts w:ascii="Verdana" w:hAnsi="Verdana"/>
          <w:color w:val="auto"/>
        </w:rPr>
        <w:t>educational organization</w:t>
      </w:r>
      <w:r w:rsidRPr="008B3051">
        <w:rPr>
          <w:rFonts w:ascii="Verdana" w:hAnsi="Verdana"/>
        </w:rPr>
        <w:t> described in section 170(b)(1)(A)(ii).</w:t>
      </w:r>
    </w:p>
    <w:p w14:paraId="0661B6C0" w14:textId="56F38FF9" w:rsidR="00963B91" w:rsidRPr="008B3051" w:rsidRDefault="00963B91" w:rsidP="00963B91">
      <w:pPr>
        <w:shd w:val="clear" w:color="auto" w:fill="FFFFFF"/>
        <w:rPr>
          <w:rFonts w:ascii="Verdana" w:hAnsi="Verdana"/>
        </w:rPr>
      </w:pPr>
      <w:bookmarkStart w:id="311" w:name="e_9"/>
      <w:bookmarkEnd w:id="311"/>
      <w:r w:rsidRPr="008B3051">
        <w:rPr>
          <w:rStyle w:val="num"/>
          <w:rFonts w:ascii="Verdana" w:hAnsi="Verdana"/>
          <w:b/>
          <w:bCs/>
        </w:rPr>
        <w:t>(9)</w:t>
      </w:r>
      <w:r w:rsidRPr="008B3051">
        <w:rPr>
          <w:rStyle w:val="heading"/>
          <w:rFonts w:ascii="Verdana" w:hAnsi="Verdana"/>
          <w:b/>
          <w:bCs/>
          <w:smallCaps/>
        </w:rPr>
        <w:t>Identifying information required with respect to service provider</w:t>
      </w:r>
      <w:r w:rsidRPr="008B3051">
        <w:rPr>
          <w:rStyle w:val="chapeau"/>
          <w:rFonts w:ascii="Verdana" w:hAnsi="Verdana"/>
        </w:rPr>
        <w:t>No credit shall be allowed under subsection (a) for any amount paid to any </w:t>
      </w:r>
      <w:r w:rsidRPr="008B3051">
        <w:rPr>
          <w:rStyle w:val="Hyperlink"/>
          <w:rFonts w:ascii="Verdana" w:hAnsi="Verdana"/>
          <w:color w:val="auto"/>
        </w:rPr>
        <w:t>person</w:t>
      </w:r>
      <w:r w:rsidRPr="008B3051">
        <w:rPr>
          <w:rStyle w:val="chapeau"/>
          <w:rFonts w:ascii="Verdana" w:hAnsi="Verdana"/>
        </w:rPr>
        <w:t> unless—</w:t>
      </w:r>
    </w:p>
    <w:p w14:paraId="6DAC8B89" w14:textId="77777777" w:rsidR="00963B91" w:rsidRPr="008B3051" w:rsidRDefault="00963B91" w:rsidP="00963B91">
      <w:pPr>
        <w:shd w:val="clear" w:color="auto" w:fill="FFFFFF"/>
        <w:rPr>
          <w:rFonts w:ascii="Verdana" w:hAnsi="Verdana"/>
        </w:rPr>
      </w:pPr>
      <w:bookmarkStart w:id="312" w:name="e_9_A"/>
      <w:bookmarkEnd w:id="312"/>
      <w:r w:rsidRPr="008B3051">
        <w:rPr>
          <w:rStyle w:val="num"/>
          <w:rFonts w:ascii="Verdana" w:hAnsi="Verdana"/>
          <w:b/>
          <w:bCs/>
        </w:rPr>
        <w:t>(A)</w:t>
      </w:r>
    </w:p>
    <w:p w14:paraId="0F71F1EC" w14:textId="58A9B0EC" w:rsidR="00963B91" w:rsidRPr="008B3051" w:rsidRDefault="00963B91" w:rsidP="00963B91">
      <w:pPr>
        <w:shd w:val="clear" w:color="auto" w:fill="FFFFFF"/>
        <w:rPr>
          <w:rFonts w:ascii="Verdana" w:hAnsi="Verdana"/>
        </w:rPr>
      </w:pPr>
      <w:r w:rsidRPr="008B3051">
        <w:rPr>
          <w:rFonts w:ascii="Verdana" w:hAnsi="Verdana"/>
        </w:rPr>
        <w:t>the name, address, and </w:t>
      </w:r>
      <w:r w:rsidRPr="008B3051">
        <w:rPr>
          <w:rStyle w:val="Hyperlink"/>
          <w:rFonts w:ascii="Verdana" w:hAnsi="Verdana"/>
          <w:color w:val="auto"/>
        </w:rPr>
        <w:t>taxpayer</w:t>
      </w:r>
      <w:r w:rsidRPr="008B3051">
        <w:rPr>
          <w:rFonts w:ascii="Verdana" w:hAnsi="Verdana"/>
        </w:rPr>
        <w:t> identification number of such person are included on the return claiming the credit, or</w:t>
      </w:r>
    </w:p>
    <w:p w14:paraId="215A949F" w14:textId="77777777" w:rsidR="00963B91" w:rsidRPr="008B3051" w:rsidRDefault="00963B91" w:rsidP="00963B91">
      <w:pPr>
        <w:shd w:val="clear" w:color="auto" w:fill="FFFFFF"/>
        <w:rPr>
          <w:rFonts w:ascii="Verdana" w:hAnsi="Verdana"/>
        </w:rPr>
      </w:pPr>
      <w:bookmarkStart w:id="313" w:name="e_9_B"/>
      <w:bookmarkEnd w:id="313"/>
      <w:r w:rsidRPr="008B3051">
        <w:rPr>
          <w:rStyle w:val="num"/>
          <w:rFonts w:ascii="Verdana" w:hAnsi="Verdana"/>
          <w:b/>
          <w:bCs/>
        </w:rPr>
        <w:t>(B)</w:t>
      </w:r>
    </w:p>
    <w:p w14:paraId="2B045FD8" w14:textId="2664FB2F" w:rsidR="00963B91" w:rsidRPr="008B3051" w:rsidRDefault="00963B91" w:rsidP="00963B91">
      <w:pPr>
        <w:shd w:val="clear" w:color="auto" w:fill="FFFFFF"/>
        <w:rPr>
          <w:rFonts w:ascii="Verdana" w:hAnsi="Verdana"/>
        </w:rPr>
      </w:pPr>
      <w:r w:rsidRPr="008B3051">
        <w:rPr>
          <w:rFonts w:ascii="Verdana" w:hAnsi="Verdana"/>
        </w:rPr>
        <w:t>if such </w:t>
      </w:r>
      <w:r w:rsidRPr="008B3051">
        <w:rPr>
          <w:rStyle w:val="Hyperlink"/>
          <w:rFonts w:ascii="Verdana" w:hAnsi="Verdana"/>
          <w:color w:val="auto"/>
        </w:rPr>
        <w:t>person</w:t>
      </w:r>
      <w:r w:rsidRPr="008B3051">
        <w:rPr>
          <w:rFonts w:ascii="Verdana" w:hAnsi="Verdana"/>
        </w:rPr>
        <w:t> is an </w:t>
      </w:r>
      <w:r w:rsidRPr="008B3051">
        <w:rPr>
          <w:rStyle w:val="Hyperlink"/>
          <w:rFonts w:ascii="Verdana" w:hAnsi="Verdana"/>
          <w:color w:val="auto"/>
        </w:rPr>
        <w:t>organization</w:t>
      </w:r>
      <w:r w:rsidRPr="008B3051">
        <w:rPr>
          <w:rFonts w:ascii="Verdana" w:hAnsi="Verdana"/>
        </w:rPr>
        <w:t> described in section 501(c)(3) and exempt from tax under section 501(a), the name and address of such person are included on the return claiming the credit.</w:t>
      </w:r>
    </w:p>
    <w:p w14:paraId="61DDB144" w14:textId="42D907EC" w:rsidR="00963B91" w:rsidRPr="008B3051" w:rsidRDefault="00963B91" w:rsidP="00963B91">
      <w:pPr>
        <w:shd w:val="clear" w:color="auto" w:fill="FFFFFF"/>
        <w:rPr>
          <w:rFonts w:ascii="Verdana" w:hAnsi="Verdana"/>
        </w:rPr>
      </w:pPr>
      <w:r w:rsidRPr="008B3051">
        <w:rPr>
          <w:rFonts w:ascii="Verdana" w:hAnsi="Verdana"/>
        </w:rPr>
        <w:t>In the case of a failure to provide the information required under the preceding sentence, the preceding sentence shall not apply if it is shown that the </w:t>
      </w:r>
      <w:r w:rsidRPr="008B3051">
        <w:rPr>
          <w:rStyle w:val="Hyperlink"/>
          <w:rFonts w:ascii="Verdana" w:hAnsi="Verdana"/>
          <w:color w:val="auto"/>
        </w:rPr>
        <w:t>taxpayer</w:t>
      </w:r>
      <w:r w:rsidRPr="008B3051">
        <w:rPr>
          <w:rFonts w:ascii="Verdana" w:hAnsi="Verdana"/>
        </w:rPr>
        <w:t> exercised due diligence in attempting to provide the information so required.</w:t>
      </w:r>
    </w:p>
    <w:p w14:paraId="10E668B4" w14:textId="77777777" w:rsidR="00963B91" w:rsidRPr="008B3051" w:rsidRDefault="00963B91" w:rsidP="00963B91">
      <w:pPr>
        <w:shd w:val="clear" w:color="auto" w:fill="FFFFFF"/>
        <w:rPr>
          <w:rFonts w:ascii="Verdana" w:hAnsi="Verdana"/>
        </w:rPr>
      </w:pPr>
      <w:bookmarkStart w:id="314" w:name="e_10"/>
      <w:bookmarkEnd w:id="314"/>
      <w:r w:rsidRPr="008B3051">
        <w:rPr>
          <w:rStyle w:val="num"/>
          <w:rFonts w:ascii="Verdana" w:hAnsi="Verdana"/>
          <w:b/>
          <w:bCs/>
        </w:rPr>
        <w:t>(10)</w:t>
      </w:r>
      <w:r w:rsidRPr="008B3051">
        <w:rPr>
          <w:rStyle w:val="heading"/>
          <w:rFonts w:ascii="Verdana" w:hAnsi="Verdana"/>
          <w:b/>
          <w:bCs/>
          <w:smallCaps/>
        </w:rPr>
        <w:t>Identifying information required with respect to qualifying individuals</w:t>
      </w:r>
    </w:p>
    <w:p w14:paraId="724B838D" w14:textId="3F36D9C4"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with respect to any </w:t>
      </w:r>
      <w:r w:rsidRPr="008B3051">
        <w:rPr>
          <w:rStyle w:val="Hyperlink"/>
          <w:rFonts w:ascii="Verdana" w:hAnsi="Verdana"/>
          <w:color w:val="auto"/>
        </w:rPr>
        <w:t>qualifying individual</w:t>
      </w:r>
      <w:r w:rsidRPr="008B3051">
        <w:rPr>
          <w:rFonts w:ascii="Verdana" w:hAnsi="Verdana"/>
        </w:rPr>
        <w:t> unless the TIN of such individual is included on the return claiming the credit.</w:t>
      </w:r>
    </w:p>
    <w:p w14:paraId="5602A0F9" w14:textId="77777777" w:rsidR="00963B91" w:rsidRPr="008B3051" w:rsidRDefault="00963B91" w:rsidP="00963B91">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Regulations</w:t>
      </w:r>
    </w:p>
    <w:p w14:paraId="3DE647E6" w14:textId="66D60198"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shall prescribe such regulations as may be necessary to carry out the purposes of this section.</w:t>
      </w:r>
    </w:p>
    <w:p w14:paraId="46611B6B" w14:textId="2886E167" w:rsidR="00963B91" w:rsidRPr="008B3051" w:rsidRDefault="00963B91" w:rsidP="00963B91">
      <w:pPr>
        <w:shd w:val="clear" w:color="auto" w:fill="FFFFFF"/>
        <w:rPr>
          <w:rFonts w:ascii="Verdana" w:hAnsi="Verdana"/>
        </w:rPr>
      </w:pPr>
      <w:r w:rsidRPr="008B3051">
        <w:rPr>
          <w:rFonts w:ascii="Verdana" w:hAnsi="Verdana"/>
        </w:rPr>
        <w:lastRenderedPageBreak/>
        <w:t>(Added </w:t>
      </w:r>
      <w:r w:rsidRPr="008B3051">
        <w:rPr>
          <w:rStyle w:val="Hyperlink"/>
          <w:rFonts w:ascii="Verdana" w:hAnsi="Verdana"/>
          <w:color w:val="auto"/>
        </w:rPr>
        <w:t>Pub. L. 94–455, title V</w:t>
      </w:r>
      <w:r w:rsidRPr="008B3051">
        <w:rPr>
          <w:rFonts w:ascii="Verdana" w:hAnsi="Verdana"/>
        </w:rPr>
        <w:t>, § 504(a)(1), </w:t>
      </w:r>
      <w:r w:rsidRPr="008B3051">
        <w:rPr>
          <w:rStyle w:val="Date2"/>
          <w:rFonts w:ascii="Verdana" w:hAnsi="Verdana"/>
        </w:rPr>
        <w:t>Oct. 4, 1976</w:t>
      </w:r>
      <w:r w:rsidRPr="008B3051">
        <w:rPr>
          <w:rFonts w:ascii="Verdana" w:hAnsi="Verdana"/>
        </w:rPr>
        <w:t>, </w:t>
      </w:r>
      <w:r w:rsidRPr="008B3051">
        <w:rPr>
          <w:rStyle w:val="Hyperlink"/>
          <w:rFonts w:ascii="Verdana" w:hAnsi="Verdana"/>
          <w:color w:val="auto"/>
        </w:rPr>
        <w:t>90 Stat. 1563</w:t>
      </w:r>
      <w:r w:rsidRPr="008B3051">
        <w:rPr>
          <w:rFonts w:ascii="Verdana" w:hAnsi="Verdana"/>
        </w:rPr>
        <w:t>, § 44A; amended </w:t>
      </w:r>
      <w:r w:rsidRPr="008B3051">
        <w:rPr>
          <w:rStyle w:val="Hyperlink"/>
          <w:rFonts w:ascii="Verdana" w:hAnsi="Verdana"/>
          <w:color w:val="auto"/>
        </w:rPr>
        <w:t>Pub. L. 95–600, title I</w:t>
      </w:r>
      <w:r w:rsidRPr="008B3051">
        <w:rPr>
          <w:rFonts w:ascii="Verdana" w:hAnsi="Verdana"/>
        </w:rPr>
        <w:t>, § 121(a),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2779</w:t>
      </w:r>
      <w:r w:rsidRPr="008B3051">
        <w:rPr>
          <w:rFonts w:ascii="Verdana" w:hAnsi="Verdana"/>
        </w:rPr>
        <w:t>; </w:t>
      </w:r>
      <w:r w:rsidRPr="008B3051">
        <w:rPr>
          <w:rStyle w:val="Hyperlink"/>
          <w:rFonts w:ascii="Verdana" w:hAnsi="Verdana"/>
          <w:color w:val="auto"/>
        </w:rPr>
        <w:t>Pub. L. 97–34, title I</w:t>
      </w:r>
      <w:r w:rsidRPr="008B3051">
        <w:rPr>
          <w:rFonts w:ascii="Verdana" w:hAnsi="Verdana"/>
        </w:rPr>
        <w:t> § 124 (a)–(d), </w:t>
      </w:r>
      <w:r w:rsidRPr="008B3051">
        <w:rPr>
          <w:rStyle w:val="Date2"/>
          <w:rFonts w:ascii="Verdana" w:hAnsi="Verdana"/>
        </w:rPr>
        <w:t>Aug. 13, 1981</w:t>
      </w:r>
      <w:r w:rsidRPr="008B3051">
        <w:rPr>
          <w:rFonts w:ascii="Verdana" w:hAnsi="Verdana"/>
        </w:rPr>
        <w:t>, </w:t>
      </w:r>
      <w:r w:rsidRPr="008B3051">
        <w:rPr>
          <w:rStyle w:val="Hyperlink"/>
          <w:rFonts w:ascii="Verdana" w:hAnsi="Verdana"/>
          <w:color w:val="auto"/>
        </w:rPr>
        <w:t>95 Stat. 197</w:t>
      </w:r>
      <w:r w:rsidRPr="008B3051">
        <w:rPr>
          <w:rFonts w:ascii="Verdana" w:hAnsi="Verdana"/>
        </w:rPr>
        <w:t>, 198; </w:t>
      </w:r>
      <w:r w:rsidRPr="008B3051">
        <w:rPr>
          <w:rStyle w:val="Hyperlink"/>
          <w:rFonts w:ascii="Verdana" w:hAnsi="Verdana"/>
          <w:color w:val="auto"/>
        </w:rPr>
        <w:t>Pub. L. 98–21, title I</w:t>
      </w:r>
      <w:r w:rsidRPr="008B3051">
        <w:rPr>
          <w:rFonts w:ascii="Verdana" w:hAnsi="Verdana"/>
        </w:rPr>
        <w:t>, § 122(c)(1), </w:t>
      </w:r>
      <w:r w:rsidRPr="008B3051">
        <w:rPr>
          <w:rStyle w:val="Date2"/>
          <w:rFonts w:ascii="Verdana" w:hAnsi="Verdana"/>
        </w:rPr>
        <w:t>Apr. 20, 1983</w:t>
      </w:r>
      <w:r w:rsidRPr="008B3051">
        <w:rPr>
          <w:rFonts w:ascii="Verdana" w:hAnsi="Verdana"/>
        </w:rPr>
        <w:t>, </w:t>
      </w:r>
      <w:r w:rsidRPr="008B3051">
        <w:rPr>
          <w:rStyle w:val="Hyperlink"/>
          <w:rFonts w:ascii="Verdana" w:hAnsi="Verdana"/>
          <w:color w:val="auto"/>
        </w:rPr>
        <w:t>97 Stat. 87</w:t>
      </w:r>
      <w:r w:rsidRPr="008B3051">
        <w:rPr>
          <w:rFonts w:ascii="Verdana" w:hAnsi="Verdana"/>
        </w:rPr>
        <w:t>; renumbered § 21 and amended </w:t>
      </w:r>
      <w:r w:rsidRPr="008B3051">
        <w:rPr>
          <w:rStyle w:val="Hyperlink"/>
          <w:rFonts w:ascii="Verdana" w:hAnsi="Verdana"/>
          <w:color w:val="auto"/>
        </w:rPr>
        <w:t>Pub. L. 98–369, div. A, title IV</w:t>
      </w:r>
      <w:r w:rsidRPr="008B3051">
        <w:rPr>
          <w:rFonts w:ascii="Verdana" w:hAnsi="Verdana"/>
        </w:rPr>
        <w:t>, §§ 423(c)(4), 471(c), 474(c),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801</w:t>
      </w:r>
      <w:r w:rsidRPr="008B3051">
        <w:rPr>
          <w:rFonts w:ascii="Verdana" w:hAnsi="Verdana"/>
        </w:rPr>
        <w:t>, 826, 830; </w:t>
      </w:r>
      <w:r w:rsidRPr="008B3051">
        <w:rPr>
          <w:rStyle w:val="Hyperlink"/>
          <w:rFonts w:ascii="Verdana" w:hAnsi="Verdana"/>
          <w:color w:val="auto"/>
        </w:rPr>
        <w:t>Pub. L. 99–514, title I</w:t>
      </w:r>
      <w:r w:rsidRPr="008B3051">
        <w:rPr>
          <w:rFonts w:ascii="Verdana" w:hAnsi="Verdana"/>
        </w:rPr>
        <w:t>, § 104(b)(1),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2104</w:t>
      </w:r>
      <w:r w:rsidRPr="008B3051">
        <w:rPr>
          <w:rFonts w:ascii="Verdana" w:hAnsi="Verdana"/>
        </w:rPr>
        <w:t>; </w:t>
      </w:r>
      <w:r w:rsidRPr="008B3051">
        <w:rPr>
          <w:rStyle w:val="Hyperlink"/>
          <w:rFonts w:ascii="Verdana" w:hAnsi="Verdana"/>
          <w:color w:val="auto"/>
        </w:rPr>
        <w:t>Pub. L. 100–203, title X</w:t>
      </w:r>
      <w:r w:rsidRPr="008B3051">
        <w:rPr>
          <w:rFonts w:ascii="Verdana" w:hAnsi="Verdana"/>
        </w:rPr>
        <w:t>, § 10101(a), </w:t>
      </w:r>
      <w:r w:rsidRPr="008B3051">
        <w:rPr>
          <w:rStyle w:val="Date2"/>
          <w:rFonts w:ascii="Verdana" w:hAnsi="Verdana"/>
        </w:rPr>
        <w:t>Dec. 22, 1987</w:t>
      </w:r>
      <w:r w:rsidRPr="008B3051">
        <w:rPr>
          <w:rFonts w:ascii="Verdana" w:hAnsi="Verdana"/>
        </w:rPr>
        <w:t>, </w:t>
      </w:r>
      <w:r w:rsidRPr="008B3051">
        <w:rPr>
          <w:rStyle w:val="Hyperlink"/>
          <w:rFonts w:ascii="Verdana" w:hAnsi="Verdana"/>
          <w:color w:val="auto"/>
        </w:rPr>
        <w:t>101 Stat. 1330–384</w:t>
      </w:r>
      <w:r w:rsidRPr="008B3051">
        <w:rPr>
          <w:rFonts w:ascii="Verdana" w:hAnsi="Verdana"/>
        </w:rPr>
        <w:t>; </w:t>
      </w:r>
      <w:r w:rsidRPr="008B3051">
        <w:rPr>
          <w:rStyle w:val="Hyperlink"/>
          <w:rFonts w:ascii="Verdana" w:hAnsi="Verdana"/>
          <w:color w:val="auto"/>
        </w:rPr>
        <w:t>Pub. L. 100–485, title VII</w:t>
      </w:r>
      <w:r w:rsidRPr="008B3051">
        <w:rPr>
          <w:rFonts w:ascii="Verdana" w:hAnsi="Verdana"/>
        </w:rPr>
        <w:t>, § 703(a)–(c)(1), </w:t>
      </w:r>
      <w:r w:rsidRPr="008B3051">
        <w:rPr>
          <w:rStyle w:val="Date2"/>
          <w:rFonts w:ascii="Verdana" w:hAnsi="Verdana"/>
        </w:rPr>
        <w:t>Oct. 13, 1988</w:t>
      </w:r>
      <w:r w:rsidRPr="008B3051">
        <w:rPr>
          <w:rFonts w:ascii="Verdana" w:hAnsi="Verdana"/>
        </w:rPr>
        <w:t>, </w:t>
      </w:r>
      <w:r w:rsidRPr="008B3051">
        <w:rPr>
          <w:rStyle w:val="Hyperlink"/>
          <w:rFonts w:ascii="Verdana" w:hAnsi="Verdana"/>
          <w:color w:val="auto"/>
        </w:rPr>
        <w:t>102 Stat. 2426</w:t>
      </w:r>
      <w:r w:rsidRPr="008B3051">
        <w:rPr>
          <w:rFonts w:ascii="Verdana" w:hAnsi="Verdana"/>
        </w:rPr>
        <w:t>, 2427; </w:t>
      </w:r>
      <w:r w:rsidRPr="008B3051">
        <w:rPr>
          <w:rStyle w:val="Hyperlink"/>
          <w:rFonts w:ascii="Verdana" w:hAnsi="Verdana"/>
          <w:color w:val="auto"/>
        </w:rPr>
        <w:t>Pub. L. 104–188, title I</w:t>
      </w:r>
      <w:r w:rsidRPr="008B3051">
        <w:rPr>
          <w:rFonts w:ascii="Verdana" w:hAnsi="Verdana"/>
        </w:rPr>
        <w:t>, § 1615(b), </w:t>
      </w:r>
      <w:r w:rsidRPr="008B3051">
        <w:rPr>
          <w:rStyle w:val="Date2"/>
          <w:rFonts w:ascii="Verdana" w:hAnsi="Verdana"/>
        </w:rPr>
        <w:t>Aug. 20, 1996</w:t>
      </w:r>
      <w:r w:rsidRPr="008B3051">
        <w:rPr>
          <w:rFonts w:ascii="Verdana" w:hAnsi="Verdana"/>
        </w:rPr>
        <w:t>, </w:t>
      </w:r>
      <w:r w:rsidRPr="008B3051">
        <w:rPr>
          <w:rStyle w:val="Hyperlink"/>
          <w:rFonts w:ascii="Verdana" w:hAnsi="Verdana"/>
          <w:color w:val="auto"/>
        </w:rPr>
        <w:t>110 Stat. 1853</w:t>
      </w:r>
      <w:r w:rsidRPr="008B3051">
        <w:rPr>
          <w:rFonts w:ascii="Verdana" w:hAnsi="Verdana"/>
        </w:rPr>
        <w:t>; </w:t>
      </w:r>
      <w:r w:rsidRPr="008B3051">
        <w:rPr>
          <w:rStyle w:val="Hyperlink"/>
          <w:rFonts w:ascii="Verdana" w:hAnsi="Verdana"/>
          <w:color w:val="auto"/>
        </w:rPr>
        <w:t>Pub. L. 107–16, title II</w:t>
      </w:r>
      <w:r w:rsidRPr="008B3051">
        <w:rPr>
          <w:rFonts w:ascii="Verdana" w:hAnsi="Verdana"/>
        </w:rPr>
        <w:t>, § 204(a), (b),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49</w:t>
      </w:r>
      <w:r w:rsidRPr="008B3051">
        <w:rPr>
          <w:rFonts w:ascii="Verdana" w:hAnsi="Verdana"/>
        </w:rPr>
        <w:t>; </w:t>
      </w:r>
      <w:r w:rsidRPr="008B3051">
        <w:rPr>
          <w:rStyle w:val="Hyperlink"/>
          <w:rFonts w:ascii="Verdana" w:hAnsi="Verdana"/>
          <w:color w:val="auto"/>
        </w:rPr>
        <w:t>Pub. L. 107–147, title IV</w:t>
      </w:r>
      <w:r w:rsidRPr="008B3051">
        <w:rPr>
          <w:rFonts w:ascii="Verdana" w:hAnsi="Verdana"/>
        </w:rPr>
        <w:t>, § 418(b), </w:t>
      </w:r>
      <w:r w:rsidRPr="008B3051">
        <w:rPr>
          <w:rStyle w:val="Date2"/>
          <w:rFonts w:ascii="Verdana" w:hAnsi="Verdana"/>
        </w:rPr>
        <w:t>Mar. 9, 2002</w:t>
      </w:r>
      <w:r w:rsidRPr="008B3051">
        <w:rPr>
          <w:rFonts w:ascii="Verdana" w:hAnsi="Verdana"/>
        </w:rPr>
        <w:t>, </w:t>
      </w:r>
      <w:r w:rsidRPr="008B3051">
        <w:rPr>
          <w:rStyle w:val="Hyperlink"/>
          <w:rFonts w:ascii="Verdana" w:hAnsi="Verdana"/>
          <w:color w:val="auto"/>
        </w:rPr>
        <w:t>116 Stat. 57</w:t>
      </w:r>
      <w:r w:rsidRPr="008B3051">
        <w:rPr>
          <w:rFonts w:ascii="Verdana" w:hAnsi="Verdana"/>
        </w:rPr>
        <w:t>; </w:t>
      </w:r>
      <w:r w:rsidRPr="008B3051">
        <w:rPr>
          <w:rStyle w:val="Hyperlink"/>
          <w:rFonts w:ascii="Verdana" w:hAnsi="Verdana"/>
          <w:color w:val="auto"/>
        </w:rPr>
        <w:t>Pub. L. 108–311, title II</w:t>
      </w:r>
      <w:r w:rsidRPr="008B3051">
        <w:rPr>
          <w:rFonts w:ascii="Verdana" w:hAnsi="Verdana"/>
        </w:rPr>
        <w:t>, §§ 203, 207(2), (3), </w:t>
      </w:r>
      <w:r w:rsidRPr="008B3051">
        <w:rPr>
          <w:rStyle w:val="Date2"/>
          <w:rFonts w:ascii="Verdana" w:hAnsi="Verdana"/>
        </w:rPr>
        <w:t>Oct. 4, 2004</w:t>
      </w:r>
      <w:r w:rsidRPr="008B3051">
        <w:rPr>
          <w:rFonts w:ascii="Verdana" w:hAnsi="Verdana"/>
        </w:rPr>
        <w:t>, </w:t>
      </w:r>
      <w:r w:rsidRPr="008B3051">
        <w:rPr>
          <w:rStyle w:val="Hyperlink"/>
          <w:rFonts w:ascii="Verdana" w:hAnsi="Verdana"/>
          <w:color w:val="auto"/>
        </w:rPr>
        <w:t>118 Stat. 1175</w:t>
      </w:r>
      <w:r w:rsidRPr="008B3051">
        <w:rPr>
          <w:rFonts w:ascii="Verdana" w:hAnsi="Verdana"/>
        </w:rPr>
        <w:t>, 1177; </w:t>
      </w:r>
      <w:r w:rsidRPr="008B3051">
        <w:rPr>
          <w:rStyle w:val="Hyperlink"/>
          <w:rFonts w:ascii="Verdana" w:hAnsi="Verdana"/>
          <w:color w:val="auto"/>
        </w:rPr>
        <w:t>Pub. L. 109–135, title IV</w:t>
      </w:r>
      <w:r w:rsidRPr="008B3051">
        <w:rPr>
          <w:rFonts w:ascii="Verdana" w:hAnsi="Verdana"/>
        </w:rPr>
        <w:t>, § 404(b),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2634</w:t>
      </w:r>
      <w:r w:rsidRPr="008B3051">
        <w:rPr>
          <w:rFonts w:ascii="Verdana" w:hAnsi="Verdana"/>
        </w:rPr>
        <w:t>; </w:t>
      </w:r>
      <w:r w:rsidRPr="008B3051">
        <w:rPr>
          <w:rStyle w:val="Hyperlink"/>
          <w:rFonts w:ascii="Verdana" w:hAnsi="Verdana"/>
          <w:color w:val="auto"/>
        </w:rPr>
        <w:t>Pub. L. 110–172</w:t>
      </w:r>
      <w:r w:rsidRPr="008B3051">
        <w:rPr>
          <w:rFonts w:ascii="Verdana" w:hAnsi="Verdana"/>
        </w:rPr>
        <w:t>, § 11(a)(1), </w:t>
      </w:r>
      <w:r w:rsidRPr="008B3051">
        <w:rPr>
          <w:rStyle w:val="Date2"/>
          <w:rFonts w:ascii="Verdana" w:hAnsi="Verdana"/>
        </w:rPr>
        <w:t>Dec. 29, 2007</w:t>
      </w:r>
      <w:r w:rsidRPr="008B3051">
        <w:rPr>
          <w:rFonts w:ascii="Verdana" w:hAnsi="Verdana"/>
        </w:rPr>
        <w:t>, </w:t>
      </w:r>
      <w:r w:rsidRPr="008B3051">
        <w:rPr>
          <w:rStyle w:val="Hyperlink"/>
          <w:rFonts w:ascii="Verdana" w:hAnsi="Verdana"/>
          <w:color w:val="auto"/>
        </w:rPr>
        <w:t>121 Stat. 2484</w:t>
      </w:r>
      <w:r w:rsidRPr="008B3051">
        <w:rPr>
          <w:rFonts w:ascii="Verdana" w:hAnsi="Verdana"/>
        </w:rPr>
        <w:t>.)</w:t>
      </w:r>
    </w:p>
    <w:p w14:paraId="108D7756" w14:textId="77777777" w:rsidR="00963B91" w:rsidRPr="008B3051" w:rsidRDefault="00963B91" w:rsidP="00963B91">
      <w:pPr>
        <w:pStyle w:val="first"/>
        <w:shd w:val="clear" w:color="auto" w:fill="FFFFFF"/>
        <w:spacing w:before="0" w:beforeAutospacing="0" w:after="60" w:afterAutospacing="0"/>
        <w:ind w:left="720"/>
        <w:rPr>
          <w:rFonts w:ascii="Verdana" w:hAnsi="Verdana"/>
        </w:rPr>
      </w:pPr>
    </w:p>
    <w:p w14:paraId="076D8E9C" w14:textId="24CF3C1C"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22 - Credit for the elderly and the permanently and totally disabled</w:t>
      </w:r>
    </w:p>
    <w:p w14:paraId="58D20898" w14:textId="0CA09EF1" w:rsidR="00963B91" w:rsidRPr="008B3051" w:rsidRDefault="00963B91" w:rsidP="00963B91">
      <w:pPr>
        <w:shd w:val="clear" w:color="auto" w:fill="FFFFFF"/>
        <w:spacing w:after="60" w:line="240" w:lineRule="auto"/>
        <w:ind w:left="720"/>
        <w:rPr>
          <w:rFonts w:ascii="Verdana" w:hAnsi="Verdana"/>
        </w:rPr>
      </w:pPr>
    </w:p>
    <w:p w14:paraId="4D2AA642" w14:textId="77777777" w:rsidR="00963B91" w:rsidRPr="008B3051" w:rsidRDefault="00963B91" w:rsidP="00963B91">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General rule</w:t>
      </w:r>
    </w:p>
    <w:p w14:paraId="7839043F" w14:textId="7DE943BC"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qualified individual</w:t>
      </w:r>
      <w:r w:rsidRPr="008B3051">
        <w:rPr>
          <w:rFonts w:ascii="Verdana" w:hAnsi="Verdana"/>
        </w:rPr>
        <w:t>, there shall be allowed as a credit against the tax imposed by this chapter for the taxable year an amount equal to 15 percent of such individual’s </w:t>
      </w:r>
      <w:r w:rsidRPr="008B3051">
        <w:rPr>
          <w:rStyle w:val="Hyperlink"/>
          <w:rFonts w:ascii="Verdana" w:hAnsi="Verdana"/>
          <w:color w:val="auto"/>
        </w:rPr>
        <w:t>section 22</w:t>
      </w:r>
      <w:r w:rsidRPr="008B3051">
        <w:rPr>
          <w:rFonts w:ascii="Verdana" w:hAnsi="Verdana"/>
        </w:rPr>
        <w:t> amount for such taxable year.</w:t>
      </w:r>
    </w:p>
    <w:p w14:paraId="3E64CFA9" w14:textId="5264CE7F" w:rsidR="00963B91" w:rsidRPr="008B3051" w:rsidRDefault="00963B91" w:rsidP="00963B91">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Qualified individual</w:t>
      </w:r>
      <w:r w:rsidRPr="008B3051">
        <w:rPr>
          <w:rStyle w:val="chapeau"/>
          <w:rFonts w:ascii="Verdana" w:hAnsi="Verdana"/>
        </w:rPr>
        <w:t>For purposes of this section, the term “</w:t>
      </w:r>
      <w:r w:rsidRPr="008B3051">
        <w:rPr>
          <w:rStyle w:val="Hyperlink"/>
          <w:rFonts w:ascii="Verdana" w:hAnsi="Verdana"/>
          <w:color w:val="auto"/>
        </w:rPr>
        <w:t>qualified individual</w:t>
      </w:r>
      <w:r w:rsidRPr="008B3051">
        <w:rPr>
          <w:rStyle w:val="chapeau"/>
          <w:rFonts w:ascii="Verdana" w:hAnsi="Verdana"/>
        </w:rPr>
        <w:t>” means any individual—</w:t>
      </w:r>
    </w:p>
    <w:p w14:paraId="3C7F5A17"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p>
    <w:p w14:paraId="7CAFFA12" w14:textId="53C42E5B" w:rsidR="00963B91" w:rsidRPr="008B3051" w:rsidRDefault="00963B91" w:rsidP="00963B91">
      <w:pPr>
        <w:shd w:val="clear" w:color="auto" w:fill="FFFFFF"/>
        <w:rPr>
          <w:rFonts w:ascii="Verdana" w:hAnsi="Verdana"/>
        </w:rPr>
      </w:pPr>
      <w:r w:rsidRPr="008B3051">
        <w:rPr>
          <w:rFonts w:ascii="Verdana" w:hAnsi="Verdana"/>
        </w:rPr>
        <w:t>who has attained age 65 before the close of the </w:t>
      </w:r>
      <w:r w:rsidRPr="008B3051">
        <w:rPr>
          <w:rStyle w:val="Hyperlink"/>
          <w:rFonts w:ascii="Verdana" w:hAnsi="Verdana"/>
          <w:color w:val="auto"/>
        </w:rPr>
        <w:t>taxable year</w:t>
      </w:r>
      <w:r w:rsidRPr="008B3051">
        <w:rPr>
          <w:rFonts w:ascii="Verdana" w:hAnsi="Verdana"/>
        </w:rPr>
        <w:t>, or</w:t>
      </w:r>
    </w:p>
    <w:p w14:paraId="06197CF4"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p>
    <w:p w14:paraId="1ADB4C39" w14:textId="45564CE5" w:rsidR="00963B91" w:rsidRPr="008B3051" w:rsidRDefault="00963B91" w:rsidP="00963B91">
      <w:pPr>
        <w:shd w:val="clear" w:color="auto" w:fill="FFFFFF"/>
        <w:rPr>
          <w:rFonts w:ascii="Verdana" w:hAnsi="Verdana"/>
        </w:rPr>
      </w:pPr>
      <w:r w:rsidRPr="008B3051">
        <w:rPr>
          <w:rFonts w:ascii="Verdana" w:hAnsi="Verdana"/>
        </w:rPr>
        <w:t>who retired on disability before the close of the </w:t>
      </w:r>
      <w:r w:rsidRPr="008B3051">
        <w:rPr>
          <w:rStyle w:val="Hyperlink"/>
          <w:rFonts w:ascii="Verdana" w:hAnsi="Verdana"/>
          <w:color w:val="auto"/>
        </w:rPr>
        <w:t>taxable year</w:t>
      </w:r>
      <w:r w:rsidRPr="008B3051">
        <w:rPr>
          <w:rFonts w:ascii="Verdana" w:hAnsi="Verdana"/>
        </w:rPr>
        <w:t> and who, when he retired, was permanently and totally disabled.</w:t>
      </w:r>
    </w:p>
    <w:p w14:paraId="6A07E74B" w14:textId="4C938107" w:rsidR="00963B91" w:rsidRPr="008B3051" w:rsidRDefault="00963B91" w:rsidP="00963B91">
      <w:pPr>
        <w:shd w:val="clear" w:color="auto" w:fill="FFFFFF"/>
        <w:rPr>
          <w:rFonts w:ascii="Verdana" w:hAnsi="Verdana"/>
        </w:rPr>
      </w:pPr>
      <w:r w:rsidRPr="008B3051">
        <w:rPr>
          <w:rStyle w:val="num"/>
          <w:rFonts w:ascii="Verdana" w:hAnsi="Verdana"/>
          <w:b/>
          <w:bCs/>
        </w:rPr>
        <w:t>(c)</w:t>
      </w:r>
      <w:r w:rsidRPr="008B3051">
        <w:rPr>
          <w:rStyle w:val="Hyperlink"/>
          <w:rFonts w:ascii="Verdana" w:hAnsi="Verdana"/>
          <w:b/>
          <w:bCs/>
          <w:smallCaps/>
          <w:color w:val="auto"/>
        </w:rPr>
        <w:t>Section 22</w:t>
      </w:r>
      <w:r w:rsidRPr="008B3051">
        <w:rPr>
          <w:rStyle w:val="heading"/>
          <w:rFonts w:ascii="Verdana" w:hAnsi="Verdana"/>
          <w:b/>
          <w:bCs/>
          <w:smallCaps/>
        </w:rPr>
        <w:t> amount</w:t>
      </w:r>
      <w:r w:rsidRPr="008B3051">
        <w:rPr>
          <w:rStyle w:val="chapeau"/>
          <w:rFonts w:ascii="Verdana" w:hAnsi="Verdana"/>
        </w:rPr>
        <w:t>For purposes of subsection (a)—</w:t>
      </w:r>
    </w:p>
    <w:p w14:paraId="4C41181D"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7846F1A4" w14:textId="3C0386BE"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An individual’s </w:t>
      </w:r>
      <w:r w:rsidRPr="008B3051">
        <w:rPr>
          <w:rStyle w:val="Hyperlink"/>
          <w:rFonts w:ascii="Verdana" w:hAnsi="Verdana"/>
          <w:color w:val="auto"/>
        </w:rPr>
        <w:t>section 22</w:t>
      </w:r>
      <w:r w:rsidRPr="008B3051">
        <w:rPr>
          <w:rFonts w:ascii="Verdana" w:hAnsi="Verdana"/>
        </w:rPr>
        <w:t> amount for the taxable year shall be the applicable initial amount determined under paragraph (2), reduced as provided in paragraph (3) and in subsection (d).</w:t>
      </w:r>
    </w:p>
    <w:p w14:paraId="54B10A00"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Initial amount</w:t>
      </w:r>
    </w:p>
    <w:p w14:paraId="26D991B8" w14:textId="77777777" w:rsidR="00963B91" w:rsidRPr="008B3051" w:rsidRDefault="00963B91" w:rsidP="00963B91">
      <w:pPr>
        <w:shd w:val="clear" w:color="auto" w:fill="FFFFFF"/>
        <w:rPr>
          <w:rFonts w:ascii="Verdana" w:hAnsi="Verdana"/>
        </w:rPr>
      </w:pPr>
      <w:bookmarkStart w:id="315" w:name="c_2_A"/>
      <w:bookmarkEnd w:id="315"/>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Except as provided in subparagraph (B), the initial amount shall be—</w:t>
      </w:r>
    </w:p>
    <w:p w14:paraId="03B81305" w14:textId="77777777" w:rsidR="00963B91" w:rsidRPr="008B3051" w:rsidRDefault="00963B91" w:rsidP="00963B91">
      <w:pPr>
        <w:shd w:val="clear" w:color="auto" w:fill="FFFFFF"/>
        <w:rPr>
          <w:rFonts w:ascii="Verdana" w:hAnsi="Verdana"/>
        </w:rPr>
      </w:pPr>
      <w:bookmarkStart w:id="316" w:name="c_2_A_i"/>
      <w:bookmarkEnd w:id="316"/>
      <w:r w:rsidRPr="008B3051">
        <w:rPr>
          <w:rStyle w:val="num"/>
          <w:rFonts w:ascii="Verdana" w:hAnsi="Verdana"/>
          <w:b/>
          <w:bCs/>
        </w:rPr>
        <w:t>(i)</w:t>
      </w:r>
    </w:p>
    <w:p w14:paraId="47BE4BC2" w14:textId="3E0A778D" w:rsidR="00963B91" w:rsidRPr="008B3051" w:rsidRDefault="00963B91" w:rsidP="00963B91">
      <w:pPr>
        <w:shd w:val="clear" w:color="auto" w:fill="FFFFFF"/>
        <w:rPr>
          <w:rFonts w:ascii="Verdana" w:hAnsi="Verdana"/>
        </w:rPr>
      </w:pPr>
      <w:r w:rsidRPr="008B3051">
        <w:rPr>
          <w:rFonts w:ascii="Verdana" w:hAnsi="Verdana"/>
        </w:rPr>
        <w:lastRenderedPageBreak/>
        <w:t>$5,000 in the case of a single individual, or a </w:t>
      </w:r>
      <w:r w:rsidRPr="008B3051">
        <w:rPr>
          <w:rStyle w:val="Hyperlink"/>
          <w:rFonts w:ascii="Verdana" w:hAnsi="Verdana"/>
          <w:color w:val="auto"/>
        </w:rPr>
        <w:t>joint return</w:t>
      </w:r>
      <w:r w:rsidRPr="008B3051">
        <w:rPr>
          <w:rFonts w:ascii="Verdana" w:hAnsi="Verdana"/>
        </w:rPr>
        <w:t> where only one spouse is a </w:t>
      </w:r>
      <w:r w:rsidRPr="008B3051">
        <w:rPr>
          <w:rStyle w:val="Hyperlink"/>
          <w:rFonts w:ascii="Verdana" w:hAnsi="Verdana"/>
          <w:color w:val="auto"/>
        </w:rPr>
        <w:t>qualified individual</w:t>
      </w:r>
      <w:r w:rsidRPr="008B3051">
        <w:rPr>
          <w:rFonts w:ascii="Verdana" w:hAnsi="Verdana"/>
        </w:rPr>
        <w:t>,</w:t>
      </w:r>
    </w:p>
    <w:p w14:paraId="6A6D1A01" w14:textId="77777777" w:rsidR="00963B91" w:rsidRPr="008B3051" w:rsidRDefault="00963B91" w:rsidP="00963B91">
      <w:pPr>
        <w:shd w:val="clear" w:color="auto" w:fill="FFFFFF"/>
        <w:rPr>
          <w:rFonts w:ascii="Verdana" w:hAnsi="Verdana"/>
        </w:rPr>
      </w:pPr>
      <w:bookmarkStart w:id="317" w:name="c_2_A_ii"/>
      <w:bookmarkEnd w:id="317"/>
      <w:r w:rsidRPr="008B3051">
        <w:rPr>
          <w:rStyle w:val="num"/>
          <w:rFonts w:ascii="Verdana" w:hAnsi="Verdana"/>
          <w:b/>
          <w:bCs/>
        </w:rPr>
        <w:t>(ii)</w:t>
      </w:r>
    </w:p>
    <w:p w14:paraId="768B91F8" w14:textId="61703BA3" w:rsidR="00963B91" w:rsidRPr="008B3051" w:rsidRDefault="00963B91" w:rsidP="00963B91">
      <w:pPr>
        <w:shd w:val="clear" w:color="auto" w:fill="FFFFFF"/>
        <w:rPr>
          <w:rFonts w:ascii="Verdana" w:hAnsi="Verdana"/>
        </w:rPr>
      </w:pPr>
      <w:r w:rsidRPr="008B3051">
        <w:rPr>
          <w:rFonts w:ascii="Verdana" w:hAnsi="Verdana"/>
        </w:rPr>
        <w:t>$7,500 in the case of a </w:t>
      </w:r>
      <w:r w:rsidRPr="008B3051">
        <w:rPr>
          <w:rStyle w:val="Hyperlink"/>
          <w:rFonts w:ascii="Verdana" w:hAnsi="Verdana"/>
          <w:color w:val="auto"/>
        </w:rPr>
        <w:t>joint return</w:t>
      </w:r>
      <w:r w:rsidRPr="008B3051">
        <w:rPr>
          <w:rFonts w:ascii="Verdana" w:hAnsi="Verdana"/>
        </w:rPr>
        <w:t> where both spouses are </w:t>
      </w:r>
      <w:r w:rsidRPr="008B3051">
        <w:rPr>
          <w:rStyle w:val="Hyperlink"/>
          <w:rFonts w:ascii="Verdana" w:hAnsi="Verdana"/>
          <w:color w:val="auto"/>
        </w:rPr>
        <w:t>qualified individuals</w:t>
      </w:r>
      <w:r w:rsidRPr="008B3051">
        <w:rPr>
          <w:rFonts w:ascii="Verdana" w:hAnsi="Verdana"/>
        </w:rPr>
        <w:t>, or</w:t>
      </w:r>
    </w:p>
    <w:p w14:paraId="636BCFBA" w14:textId="77777777" w:rsidR="00963B91" w:rsidRPr="008B3051" w:rsidRDefault="00963B91" w:rsidP="00963B91">
      <w:pPr>
        <w:shd w:val="clear" w:color="auto" w:fill="FFFFFF"/>
        <w:rPr>
          <w:rFonts w:ascii="Verdana" w:hAnsi="Verdana"/>
        </w:rPr>
      </w:pPr>
      <w:bookmarkStart w:id="318" w:name="c_2_A_iii"/>
      <w:bookmarkEnd w:id="318"/>
      <w:r w:rsidRPr="008B3051">
        <w:rPr>
          <w:rStyle w:val="num"/>
          <w:rFonts w:ascii="Verdana" w:hAnsi="Verdana"/>
          <w:b/>
          <w:bCs/>
        </w:rPr>
        <w:t>(iii)</w:t>
      </w:r>
    </w:p>
    <w:p w14:paraId="3A0CFD7E" w14:textId="3BE7FB09" w:rsidR="00963B91" w:rsidRPr="008B3051" w:rsidRDefault="00963B91" w:rsidP="00963B91">
      <w:pPr>
        <w:shd w:val="clear" w:color="auto" w:fill="FFFFFF"/>
        <w:rPr>
          <w:rFonts w:ascii="Verdana" w:hAnsi="Verdana"/>
        </w:rPr>
      </w:pPr>
      <w:r w:rsidRPr="008B3051">
        <w:rPr>
          <w:rFonts w:ascii="Verdana" w:hAnsi="Verdana"/>
        </w:rPr>
        <w:t>$3,750 in the case of a married individual filing a separate </w:t>
      </w:r>
      <w:r w:rsidRPr="008B3051">
        <w:rPr>
          <w:rStyle w:val="Hyperlink"/>
          <w:rFonts w:ascii="Verdana" w:hAnsi="Verdana"/>
          <w:color w:val="auto"/>
        </w:rPr>
        <w:t>return</w:t>
      </w:r>
      <w:r w:rsidRPr="008B3051">
        <w:rPr>
          <w:rFonts w:ascii="Verdana" w:hAnsi="Verdana"/>
        </w:rPr>
        <w:t>.</w:t>
      </w:r>
    </w:p>
    <w:p w14:paraId="1F65AC55" w14:textId="77777777" w:rsidR="00963B91" w:rsidRPr="008B3051" w:rsidRDefault="00963B91" w:rsidP="00963B91">
      <w:pPr>
        <w:shd w:val="clear" w:color="auto" w:fill="FFFFFF"/>
        <w:rPr>
          <w:rFonts w:ascii="Verdana" w:hAnsi="Verdana"/>
        </w:rPr>
      </w:pPr>
      <w:bookmarkStart w:id="319" w:name="c_2_B"/>
      <w:bookmarkEnd w:id="319"/>
      <w:r w:rsidRPr="008B3051">
        <w:rPr>
          <w:rStyle w:val="num"/>
          <w:rFonts w:ascii="Verdana" w:hAnsi="Verdana"/>
          <w:b/>
          <w:bCs/>
        </w:rPr>
        <w:t>(B)</w:t>
      </w:r>
      <w:r w:rsidRPr="008B3051">
        <w:rPr>
          <w:rStyle w:val="heading"/>
          <w:rFonts w:ascii="Verdana" w:hAnsi="Verdana"/>
          <w:b/>
          <w:bCs/>
        </w:rPr>
        <w:t>Limitation in case of individuals who have not attained age 65</w:t>
      </w:r>
    </w:p>
    <w:p w14:paraId="1A90FF64" w14:textId="77777777" w:rsidR="00963B91" w:rsidRPr="008B3051" w:rsidRDefault="00963B91" w:rsidP="00963B91">
      <w:pPr>
        <w:shd w:val="clear" w:color="auto" w:fill="FFFFFF"/>
        <w:rPr>
          <w:rFonts w:ascii="Verdana" w:hAnsi="Verdana"/>
        </w:rPr>
      </w:pPr>
      <w:bookmarkStart w:id="320" w:name="c_2_B_i"/>
      <w:bookmarkEnd w:id="320"/>
      <w:r w:rsidRPr="008B3051">
        <w:rPr>
          <w:rStyle w:val="num"/>
          <w:rFonts w:ascii="Verdana" w:hAnsi="Verdana"/>
          <w:b/>
          <w:bCs/>
        </w:rPr>
        <w:t>(i)</w:t>
      </w:r>
      <w:r w:rsidRPr="008B3051">
        <w:rPr>
          <w:rStyle w:val="heading"/>
          <w:rFonts w:ascii="Verdana" w:hAnsi="Verdana"/>
          <w:b/>
          <w:bCs/>
        </w:rPr>
        <w:t>In general</w:t>
      </w:r>
    </w:p>
    <w:p w14:paraId="47A24FE2" w14:textId="156616ED"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qualified individual</w:t>
      </w:r>
      <w:r w:rsidRPr="008B3051">
        <w:rPr>
          <w:rFonts w:ascii="Verdana" w:hAnsi="Verdana"/>
        </w:rPr>
        <w:t> who has not attained age 65 before the close of the taxable year, except as provided in clause (ii), the initial amount shall not exceed the disability income for the taxable year.</w:t>
      </w:r>
    </w:p>
    <w:p w14:paraId="38DF5F8D" w14:textId="765316B5" w:rsidR="00963B91" w:rsidRPr="008B3051" w:rsidRDefault="00963B91" w:rsidP="00963B91">
      <w:pPr>
        <w:shd w:val="clear" w:color="auto" w:fill="FFFFFF"/>
        <w:rPr>
          <w:rFonts w:ascii="Verdana" w:hAnsi="Verdana"/>
        </w:rPr>
      </w:pPr>
      <w:bookmarkStart w:id="321" w:name="c_2_B_ii"/>
      <w:bookmarkEnd w:id="321"/>
      <w:r w:rsidRPr="008B3051">
        <w:rPr>
          <w:rStyle w:val="num"/>
          <w:rFonts w:ascii="Verdana" w:hAnsi="Verdana"/>
          <w:b/>
          <w:bCs/>
        </w:rPr>
        <w:t>(ii)</w:t>
      </w:r>
      <w:r w:rsidRPr="008B3051">
        <w:rPr>
          <w:rStyle w:val="heading"/>
          <w:rFonts w:ascii="Verdana" w:hAnsi="Verdana"/>
          <w:b/>
          <w:bCs/>
        </w:rPr>
        <w:t>Special rules in case of joint return</w:t>
      </w:r>
      <w:r w:rsidRPr="008B3051">
        <w:rPr>
          <w:rStyle w:val="chapeau"/>
          <w:rFonts w:ascii="Verdana" w:hAnsi="Verdana"/>
        </w:rPr>
        <w:t>In the case of a </w:t>
      </w:r>
      <w:r w:rsidRPr="008B3051">
        <w:rPr>
          <w:rStyle w:val="Hyperlink"/>
          <w:rFonts w:ascii="Verdana" w:hAnsi="Verdana"/>
          <w:color w:val="auto"/>
        </w:rPr>
        <w:t>joint return</w:t>
      </w:r>
      <w:r w:rsidRPr="008B3051">
        <w:rPr>
          <w:rStyle w:val="chapeau"/>
          <w:rFonts w:ascii="Verdana" w:hAnsi="Verdana"/>
        </w:rPr>
        <w:t> where both spouses are </w:t>
      </w:r>
      <w:r w:rsidRPr="008B3051">
        <w:rPr>
          <w:rStyle w:val="Hyperlink"/>
          <w:rFonts w:ascii="Verdana" w:hAnsi="Verdana"/>
          <w:color w:val="auto"/>
        </w:rPr>
        <w:t>qualified individuals</w:t>
      </w:r>
      <w:r w:rsidRPr="008B3051">
        <w:rPr>
          <w:rStyle w:val="chapeau"/>
          <w:rFonts w:ascii="Verdana" w:hAnsi="Verdana"/>
        </w:rPr>
        <w:t> and at least one spouse has not attained age 65 before the close of the taxable year—</w:t>
      </w:r>
    </w:p>
    <w:p w14:paraId="6C6184E1" w14:textId="77777777" w:rsidR="00963B91" w:rsidRPr="008B3051" w:rsidRDefault="00963B91" w:rsidP="00963B91">
      <w:pPr>
        <w:shd w:val="clear" w:color="auto" w:fill="FFFFFF"/>
        <w:rPr>
          <w:rFonts w:ascii="Verdana" w:hAnsi="Verdana"/>
        </w:rPr>
      </w:pPr>
      <w:bookmarkStart w:id="322" w:name="c_2_B_ii_I"/>
      <w:bookmarkEnd w:id="322"/>
      <w:r w:rsidRPr="008B3051">
        <w:rPr>
          <w:rStyle w:val="num"/>
          <w:rFonts w:ascii="Verdana" w:hAnsi="Verdana"/>
          <w:b/>
          <w:bCs/>
        </w:rPr>
        <w:t>(I)</w:t>
      </w:r>
    </w:p>
    <w:p w14:paraId="743391B6" w14:textId="09DEA8C1" w:rsidR="00963B91" w:rsidRPr="008B3051" w:rsidRDefault="00963B91" w:rsidP="00963B91">
      <w:pPr>
        <w:shd w:val="clear" w:color="auto" w:fill="FFFFFF"/>
        <w:rPr>
          <w:rFonts w:ascii="Verdana" w:hAnsi="Verdana"/>
        </w:rPr>
      </w:pPr>
      <w:r w:rsidRPr="008B3051">
        <w:rPr>
          <w:rFonts w:ascii="Verdana" w:hAnsi="Verdana"/>
        </w:rPr>
        <w:t>if both spouses have not attained age 65 before the close of the </w:t>
      </w:r>
      <w:r w:rsidRPr="008B3051">
        <w:rPr>
          <w:rStyle w:val="Hyperlink"/>
          <w:rFonts w:ascii="Verdana" w:hAnsi="Verdana"/>
          <w:color w:val="auto"/>
        </w:rPr>
        <w:t>taxable year</w:t>
      </w:r>
      <w:r w:rsidRPr="008B3051">
        <w:rPr>
          <w:rFonts w:ascii="Verdana" w:hAnsi="Verdana"/>
        </w:rPr>
        <w:t>, the initial amount shall not exceed the sum of such spouses’ disability income, or</w:t>
      </w:r>
    </w:p>
    <w:p w14:paraId="7969FB8F" w14:textId="77777777" w:rsidR="00963B91" w:rsidRPr="008B3051" w:rsidRDefault="00963B91" w:rsidP="00963B91">
      <w:pPr>
        <w:shd w:val="clear" w:color="auto" w:fill="FFFFFF"/>
        <w:rPr>
          <w:rFonts w:ascii="Verdana" w:hAnsi="Verdana"/>
        </w:rPr>
      </w:pPr>
      <w:bookmarkStart w:id="323" w:name="c_2_B_ii_II"/>
      <w:bookmarkEnd w:id="323"/>
      <w:r w:rsidRPr="008B3051">
        <w:rPr>
          <w:rStyle w:val="num"/>
          <w:rFonts w:ascii="Verdana" w:hAnsi="Verdana"/>
          <w:b/>
          <w:bCs/>
        </w:rPr>
        <w:t>(II)</w:t>
      </w:r>
    </w:p>
    <w:p w14:paraId="71E4944F" w14:textId="4E0E96FF" w:rsidR="00963B91" w:rsidRPr="008B3051" w:rsidRDefault="00963B91" w:rsidP="00963B91">
      <w:pPr>
        <w:shd w:val="clear" w:color="auto" w:fill="FFFFFF"/>
        <w:rPr>
          <w:rFonts w:ascii="Verdana" w:hAnsi="Verdana"/>
        </w:rPr>
      </w:pPr>
      <w:r w:rsidRPr="008B3051">
        <w:rPr>
          <w:rFonts w:ascii="Verdana" w:hAnsi="Verdana"/>
        </w:rPr>
        <w:t>if one spouse has attained age 65 before the close of the </w:t>
      </w:r>
      <w:r w:rsidRPr="008B3051">
        <w:rPr>
          <w:rStyle w:val="Hyperlink"/>
          <w:rFonts w:ascii="Verdana" w:hAnsi="Verdana"/>
          <w:color w:val="auto"/>
        </w:rPr>
        <w:t>taxable year</w:t>
      </w:r>
      <w:r w:rsidRPr="008B3051">
        <w:rPr>
          <w:rFonts w:ascii="Verdana" w:hAnsi="Verdana"/>
        </w:rPr>
        <w:t>, the initial amount shall not exceed the sum of $5,000 plus the disability income for the </w:t>
      </w:r>
      <w:r w:rsidRPr="008B3051">
        <w:rPr>
          <w:rStyle w:val="Hyperlink"/>
          <w:rFonts w:ascii="Verdana" w:hAnsi="Verdana"/>
          <w:color w:val="auto"/>
        </w:rPr>
        <w:t>taxable year</w:t>
      </w:r>
      <w:r w:rsidRPr="008B3051">
        <w:rPr>
          <w:rFonts w:ascii="Verdana" w:hAnsi="Verdana"/>
        </w:rPr>
        <w:t> of the spouse who has not attained age 65 before the close of the </w:t>
      </w:r>
      <w:r w:rsidRPr="008B3051">
        <w:rPr>
          <w:rStyle w:val="Hyperlink"/>
          <w:rFonts w:ascii="Verdana" w:hAnsi="Verdana"/>
          <w:color w:val="auto"/>
        </w:rPr>
        <w:t>taxable year</w:t>
      </w:r>
      <w:r w:rsidRPr="008B3051">
        <w:rPr>
          <w:rFonts w:ascii="Verdana" w:hAnsi="Verdana"/>
        </w:rPr>
        <w:t>.</w:t>
      </w:r>
    </w:p>
    <w:p w14:paraId="691A822C" w14:textId="77777777" w:rsidR="00963B91" w:rsidRPr="008B3051" w:rsidRDefault="00963B91" w:rsidP="00963B91">
      <w:pPr>
        <w:shd w:val="clear" w:color="auto" w:fill="FFFFFF"/>
        <w:rPr>
          <w:rFonts w:ascii="Verdana" w:hAnsi="Verdana"/>
        </w:rPr>
      </w:pPr>
      <w:bookmarkStart w:id="324" w:name="c_2_B_iii"/>
      <w:bookmarkEnd w:id="324"/>
      <w:r w:rsidRPr="008B3051">
        <w:rPr>
          <w:rStyle w:val="num"/>
          <w:rFonts w:ascii="Verdana" w:hAnsi="Verdana"/>
          <w:b/>
          <w:bCs/>
        </w:rPr>
        <w:t>(iii)</w:t>
      </w:r>
      <w:r w:rsidRPr="008B3051">
        <w:rPr>
          <w:rStyle w:val="heading"/>
          <w:rFonts w:ascii="Verdana" w:hAnsi="Verdana"/>
          <w:b/>
          <w:bCs/>
        </w:rPr>
        <w:t>Disability income</w:t>
      </w:r>
    </w:p>
    <w:p w14:paraId="3900CC58" w14:textId="6624674F"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For purposes of this subparagraph, the term “</w:t>
      </w:r>
      <w:r w:rsidRPr="008B3051">
        <w:rPr>
          <w:rStyle w:val="Hyperlink"/>
          <w:rFonts w:ascii="Verdana" w:hAnsi="Verdana"/>
          <w:color w:val="auto"/>
        </w:rPr>
        <w:t>disability income</w:t>
      </w:r>
      <w:r w:rsidRPr="008B3051">
        <w:rPr>
          <w:rFonts w:ascii="Verdana" w:hAnsi="Verdana"/>
        </w:rPr>
        <w:t>” means the aggregate amount includable in the gross income of the individual for the taxable year under section </w:t>
      </w:r>
      <w:r w:rsidRPr="008B3051">
        <w:rPr>
          <w:rStyle w:val="Hyperlink"/>
          <w:rFonts w:ascii="Verdana" w:hAnsi="Verdana"/>
          <w:color w:val="auto"/>
        </w:rPr>
        <w:t>72</w:t>
      </w:r>
      <w:r w:rsidRPr="008B3051">
        <w:rPr>
          <w:rFonts w:ascii="Verdana" w:hAnsi="Verdana"/>
        </w:rPr>
        <w:t> or </w:t>
      </w:r>
      <w:r w:rsidRPr="008B3051">
        <w:rPr>
          <w:rStyle w:val="Hyperlink"/>
          <w:rFonts w:ascii="Verdana" w:hAnsi="Verdana"/>
          <w:color w:val="auto"/>
        </w:rPr>
        <w:t>105(a)</w:t>
      </w:r>
      <w:r w:rsidRPr="008B3051">
        <w:rPr>
          <w:rFonts w:ascii="Verdana" w:hAnsi="Verdana"/>
        </w:rPr>
        <w:t> to the extent such amount constitutes wages (or payments in lieu of wages) for the period during which the individual is absent from work on account of permanent and total disability.</w:t>
      </w:r>
    </w:p>
    <w:p w14:paraId="6EAC1732" w14:textId="77777777" w:rsidR="00963B91" w:rsidRPr="008B3051" w:rsidRDefault="00963B91" w:rsidP="00963B91">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Reduction</w:t>
      </w:r>
    </w:p>
    <w:p w14:paraId="5B02C117" w14:textId="1A302532" w:rsidR="00963B91" w:rsidRPr="008B3051" w:rsidRDefault="00963B91" w:rsidP="00963B91">
      <w:pPr>
        <w:shd w:val="clear" w:color="auto" w:fill="FFFFFF"/>
        <w:rPr>
          <w:rFonts w:ascii="Verdana" w:hAnsi="Verdana"/>
        </w:rPr>
      </w:pPr>
      <w:bookmarkStart w:id="325" w:name="c_3_A"/>
      <w:bookmarkEnd w:id="325"/>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reduction under this paragraph is an amount equal to the sum of the amounts received by the individual (or, in the case of a </w:t>
      </w:r>
      <w:r w:rsidRPr="008B3051">
        <w:rPr>
          <w:rStyle w:val="Hyperlink"/>
          <w:rFonts w:ascii="Verdana" w:hAnsi="Verdana"/>
          <w:color w:val="auto"/>
        </w:rPr>
        <w:t>joint return</w:t>
      </w:r>
      <w:r w:rsidRPr="008B3051">
        <w:rPr>
          <w:rStyle w:val="chapeau"/>
          <w:rFonts w:ascii="Verdana" w:hAnsi="Verdana"/>
        </w:rPr>
        <w:t>, by either spouse) as a pension or annuity or as a disability benefit—</w:t>
      </w:r>
    </w:p>
    <w:p w14:paraId="13B666CD" w14:textId="778B475D" w:rsidR="00963B91" w:rsidRPr="008B3051" w:rsidRDefault="00963B91" w:rsidP="00963B91">
      <w:pPr>
        <w:shd w:val="clear" w:color="auto" w:fill="FFFFFF"/>
        <w:rPr>
          <w:rFonts w:ascii="Verdana" w:hAnsi="Verdana"/>
        </w:rPr>
      </w:pPr>
      <w:bookmarkStart w:id="326" w:name="c_3_A_i"/>
      <w:bookmarkEnd w:id="326"/>
      <w:r w:rsidRPr="008B3051">
        <w:rPr>
          <w:rStyle w:val="num"/>
          <w:rFonts w:ascii="Verdana" w:hAnsi="Verdana"/>
          <w:b/>
          <w:bCs/>
        </w:rPr>
        <w:t>(i)</w:t>
      </w:r>
      <w:r w:rsidRPr="008B3051">
        <w:rPr>
          <w:rStyle w:val="chapeau"/>
          <w:rFonts w:ascii="Verdana" w:hAnsi="Verdana"/>
        </w:rPr>
        <w:t>which is excluded from </w:t>
      </w:r>
      <w:r w:rsidRPr="008B3051">
        <w:rPr>
          <w:rStyle w:val="Hyperlink"/>
          <w:rFonts w:ascii="Verdana" w:hAnsi="Verdana"/>
          <w:color w:val="auto"/>
        </w:rPr>
        <w:t>gross income</w:t>
      </w:r>
      <w:r w:rsidRPr="008B3051">
        <w:rPr>
          <w:rStyle w:val="chapeau"/>
          <w:rFonts w:ascii="Verdana" w:hAnsi="Verdana"/>
        </w:rPr>
        <w:t> and payable under—</w:t>
      </w:r>
    </w:p>
    <w:p w14:paraId="579278F9" w14:textId="77777777" w:rsidR="00963B91" w:rsidRPr="008B3051" w:rsidRDefault="00963B91" w:rsidP="00963B91">
      <w:pPr>
        <w:shd w:val="clear" w:color="auto" w:fill="FFFFFF"/>
        <w:rPr>
          <w:rFonts w:ascii="Verdana" w:hAnsi="Verdana"/>
        </w:rPr>
      </w:pPr>
      <w:bookmarkStart w:id="327" w:name="c_3_A_i_I"/>
      <w:bookmarkEnd w:id="327"/>
      <w:r w:rsidRPr="008B3051">
        <w:rPr>
          <w:rStyle w:val="num"/>
          <w:rFonts w:ascii="Verdana" w:hAnsi="Verdana"/>
          <w:b/>
          <w:bCs/>
        </w:rPr>
        <w:t>(I)</w:t>
      </w:r>
    </w:p>
    <w:p w14:paraId="2937D2A2" w14:textId="33966216" w:rsidR="00963B91" w:rsidRPr="008B3051" w:rsidRDefault="00963B91" w:rsidP="00963B91">
      <w:pPr>
        <w:shd w:val="clear" w:color="auto" w:fill="FFFFFF"/>
        <w:rPr>
          <w:rFonts w:ascii="Verdana" w:hAnsi="Verdana"/>
        </w:rPr>
      </w:pPr>
      <w:r w:rsidRPr="008B3051">
        <w:rPr>
          <w:rFonts w:ascii="Verdana" w:hAnsi="Verdana"/>
        </w:rPr>
        <w:lastRenderedPageBreak/>
        <w:t>title II of the Social </w:t>
      </w:r>
      <w:r w:rsidRPr="008B3051">
        <w:rPr>
          <w:rStyle w:val="Hyperlink"/>
          <w:rFonts w:ascii="Verdana" w:hAnsi="Verdana"/>
          <w:color w:val="auto"/>
        </w:rPr>
        <w:t>Security</w:t>
      </w:r>
      <w:r w:rsidRPr="008B3051">
        <w:rPr>
          <w:rFonts w:ascii="Verdana" w:hAnsi="Verdana"/>
        </w:rPr>
        <w:t> Act,</w:t>
      </w:r>
    </w:p>
    <w:p w14:paraId="5D985316" w14:textId="77777777" w:rsidR="00963B91" w:rsidRPr="008B3051" w:rsidRDefault="00963B91" w:rsidP="00963B91">
      <w:pPr>
        <w:shd w:val="clear" w:color="auto" w:fill="FFFFFF"/>
        <w:rPr>
          <w:rFonts w:ascii="Verdana" w:hAnsi="Verdana"/>
        </w:rPr>
      </w:pPr>
      <w:bookmarkStart w:id="328" w:name="c_3_A_i_II"/>
      <w:bookmarkEnd w:id="328"/>
      <w:r w:rsidRPr="008B3051">
        <w:rPr>
          <w:rStyle w:val="num"/>
          <w:rFonts w:ascii="Verdana" w:hAnsi="Verdana"/>
          <w:b/>
          <w:bCs/>
        </w:rPr>
        <w:t>(II)</w:t>
      </w:r>
    </w:p>
    <w:p w14:paraId="37B862B6" w14:textId="77777777" w:rsidR="00963B91" w:rsidRPr="008B3051" w:rsidRDefault="00963B91" w:rsidP="00963B91">
      <w:pPr>
        <w:shd w:val="clear" w:color="auto" w:fill="FFFFFF"/>
        <w:rPr>
          <w:rFonts w:ascii="Verdana" w:hAnsi="Verdana"/>
        </w:rPr>
      </w:pPr>
      <w:r w:rsidRPr="008B3051">
        <w:rPr>
          <w:rFonts w:ascii="Verdana" w:hAnsi="Verdana"/>
        </w:rPr>
        <w:t>the Railroad Retirement Act of 1974, or</w:t>
      </w:r>
    </w:p>
    <w:p w14:paraId="37AFB34A" w14:textId="77777777" w:rsidR="00963B91" w:rsidRPr="008B3051" w:rsidRDefault="00963B91" w:rsidP="00963B91">
      <w:pPr>
        <w:shd w:val="clear" w:color="auto" w:fill="FFFFFF"/>
        <w:rPr>
          <w:rFonts w:ascii="Verdana" w:hAnsi="Verdana"/>
        </w:rPr>
      </w:pPr>
      <w:bookmarkStart w:id="329" w:name="c_3_A_i_III"/>
      <w:bookmarkEnd w:id="329"/>
      <w:r w:rsidRPr="008B3051">
        <w:rPr>
          <w:rStyle w:val="num"/>
          <w:rFonts w:ascii="Verdana" w:hAnsi="Verdana"/>
          <w:b/>
          <w:bCs/>
        </w:rPr>
        <w:t>(III)</w:t>
      </w:r>
    </w:p>
    <w:p w14:paraId="6A7DE92F" w14:textId="77777777" w:rsidR="00963B91" w:rsidRPr="008B3051" w:rsidRDefault="00963B91" w:rsidP="00963B91">
      <w:pPr>
        <w:shd w:val="clear" w:color="auto" w:fill="FFFFFF"/>
        <w:rPr>
          <w:rFonts w:ascii="Verdana" w:hAnsi="Verdana"/>
        </w:rPr>
      </w:pPr>
      <w:r w:rsidRPr="008B3051">
        <w:rPr>
          <w:rFonts w:ascii="Verdana" w:hAnsi="Verdana"/>
        </w:rPr>
        <w:t>a law administered by the Veterans’ Administration, or</w:t>
      </w:r>
    </w:p>
    <w:p w14:paraId="7B679EF7" w14:textId="77777777" w:rsidR="00963B91" w:rsidRPr="008B3051" w:rsidRDefault="00963B91" w:rsidP="00963B91">
      <w:pPr>
        <w:shd w:val="clear" w:color="auto" w:fill="FFFFFF"/>
        <w:rPr>
          <w:rFonts w:ascii="Verdana" w:hAnsi="Verdana"/>
        </w:rPr>
      </w:pPr>
      <w:bookmarkStart w:id="330" w:name="c_3_A_ii"/>
      <w:bookmarkEnd w:id="330"/>
      <w:r w:rsidRPr="008B3051">
        <w:rPr>
          <w:rStyle w:val="num"/>
          <w:rFonts w:ascii="Verdana" w:hAnsi="Verdana"/>
          <w:b/>
          <w:bCs/>
        </w:rPr>
        <w:t>(ii)</w:t>
      </w:r>
    </w:p>
    <w:p w14:paraId="514A6357" w14:textId="5852AB3E" w:rsidR="00963B91" w:rsidRPr="008B3051" w:rsidRDefault="00963B91" w:rsidP="00963B91">
      <w:pPr>
        <w:shd w:val="clear" w:color="auto" w:fill="FFFFFF"/>
        <w:rPr>
          <w:rFonts w:ascii="Verdana" w:hAnsi="Verdana"/>
        </w:rPr>
      </w:pPr>
      <w:r w:rsidRPr="008B3051">
        <w:rPr>
          <w:rFonts w:ascii="Verdana" w:hAnsi="Verdana"/>
        </w:rPr>
        <w:t>which is excluded from </w:t>
      </w:r>
      <w:r w:rsidRPr="008B3051">
        <w:rPr>
          <w:rStyle w:val="Hyperlink"/>
          <w:rFonts w:ascii="Verdana" w:hAnsi="Verdana"/>
          <w:color w:val="auto"/>
        </w:rPr>
        <w:t>gross income</w:t>
      </w:r>
      <w:r w:rsidRPr="008B3051">
        <w:rPr>
          <w:rFonts w:ascii="Verdana" w:hAnsi="Verdana"/>
        </w:rPr>
        <w:t> under any provision of law not contained in this title.</w:t>
      </w:r>
    </w:p>
    <w:p w14:paraId="2DD1D2F4" w14:textId="77777777" w:rsidR="00963B91" w:rsidRPr="008B3051" w:rsidRDefault="00963B91" w:rsidP="00963B91">
      <w:pPr>
        <w:shd w:val="clear" w:color="auto" w:fill="FFFFFF"/>
        <w:rPr>
          <w:rFonts w:ascii="Verdana" w:hAnsi="Verdana"/>
        </w:rPr>
      </w:pPr>
      <w:r w:rsidRPr="008B3051">
        <w:rPr>
          <w:rFonts w:ascii="Verdana" w:hAnsi="Verdana"/>
        </w:rPr>
        <w:t>No reduction shall be made under clause (i)(III) for any amount described in section 104(a)(4).</w:t>
      </w:r>
    </w:p>
    <w:p w14:paraId="6596A604" w14:textId="77777777" w:rsidR="00963B91" w:rsidRPr="008B3051" w:rsidRDefault="00963B91" w:rsidP="00963B91">
      <w:pPr>
        <w:shd w:val="clear" w:color="auto" w:fill="FFFFFF"/>
        <w:rPr>
          <w:rFonts w:ascii="Verdana" w:hAnsi="Verdana"/>
        </w:rPr>
      </w:pPr>
      <w:bookmarkStart w:id="331" w:name="c_3_B"/>
      <w:bookmarkEnd w:id="331"/>
      <w:r w:rsidRPr="008B3051">
        <w:rPr>
          <w:rStyle w:val="num"/>
          <w:rFonts w:ascii="Verdana" w:hAnsi="Verdana"/>
          <w:b/>
          <w:bCs/>
        </w:rPr>
        <w:t>(B)</w:t>
      </w:r>
      <w:r w:rsidRPr="008B3051">
        <w:rPr>
          <w:rStyle w:val="heading"/>
          <w:rFonts w:ascii="Verdana" w:hAnsi="Verdana"/>
          <w:b/>
          <w:bCs/>
        </w:rPr>
        <w:t>Treatment of certain workmen’s compensation benefits</w:t>
      </w:r>
    </w:p>
    <w:p w14:paraId="5F6BDD50" w14:textId="58B441EB"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For purposes of subparagraph (A), any amount treated as a social </w:t>
      </w:r>
      <w:r w:rsidRPr="008B3051">
        <w:rPr>
          <w:rStyle w:val="Hyperlink"/>
          <w:rFonts w:ascii="Verdana" w:hAnsi="Verdana"/>
          <w:color w:val="auto"/>
        </w:rPr>
        <w:t>security</w:t>
      </w:r>
      <w:r w:rsidRPr="008B3051">
        <w:rPr>
          <w:rFonts w:ascii="Verdana" w:hAnsi="Verdana"/>
        </w:rPr>
        <w:t> benefit under section 86(d)(3) shall be treated as a disability benefit received under title II of the Social </w:t>
      </w:r>
      <w:r w:rsidRPr="008B3051">
        <w:rPr>
          <w:rStyle w:val="Hyperlink"/>
          <w:rFonts w:ascii="Verdana" w:hAnsi="Verdana"/>
          <w:color w:val="auto"/>
        </w:rPr>
        <w:t>Security</w:t>
      </w:r>
      <w:r w:rsidRPr="008B3051">
        <w:rPr>
          <w:rFonts w:ascii="Verdana" w:hAnsi="Verdana"/>
        </w:rPr>
        <w:t> Act.</w:t>
      </w:r>
    </w:p>
    <w:p w14:paraId="48163B8D" w14:textId="54B858C0" w:rsidR="00963B91" w:rsidRPr="008B3051" w:rsidRDefault="00963B91" w:rsidP="00963B91">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Adjusted gross income limitation</w:t>
      </w:r>
      <w:r w:rsidRPr="008B3051">
        <w:rPr>
          <w:rStyle w:val="chapeau"/>
          <w:rFonts w:ascii="Verdana" w:hAnsi="Verdana"/>
        </w:rPr>
        <w:t>If the </w:t>
      </w:r>
      <w:r w:rsidRPr="008B3051">
        <w:rPr>
          <w:rStyle w:val="Hyperlink"/>
          <w:rFonts w:ascii="Verdana" w:hAnsi="Verdana"/>
          <w:color w:val="auto"/>
        </w:rPr>
        <w:t>adjusted gross income</w:t>
      </w:r>
      <w:r w:rsidRPr="008B3051">
        <w:rPr>
          <w:rStyle w:val="chapeau"/>
          <w:rFonts w:ascii="Verdana" w:hAnsi="Verdana"/>
        </w:rPr>
        <w:t> of the taxpayer exceeds—</w:t>
      </w:r>
    </w:p>
    <w:p w14:paraId="17F762DF"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p>
    <w:p w14:paraId="0898C5E7" w14:textId="77777777" w:rsidR="00963B91" w:rsidRPr="008B3051" w:rsidRDefault="00963B91" w:rsidP="00963B91">
      <w:pPr>
        <w:shd w:val="clear" w:color="auto" w:fill="FFFFFF"/>
        <w:rPr>
          <w:rFonts w:ascii="Verdana" w:hAnsi="Verdana"/>
        </w:rPr>
      </w:pPr>
      <w:r w:rsidRPr="008B3051">
        <w:rPr>
          <w:rFonts w:ascii="Verdana" w:hAnsi="Verdana"/>
        </w:rPr>
        <w:t>$7,500 in the case of a single individual,</w:t>
      </w:r>
    </w:p>
    <w:p w14:paraId="67ECEDEE"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p>
    <w:p w14:paraId="0770BA73" w14:textId="5B79F673" w:rsidR="00963B91" w:rsidRPr="008B3051" w:rsidRDefault="00963B91" w:rsidP="00963B91">
      <w:pPr>
        <w:shd w:val="clear" w:color="auto" w:fill="FFFFFF"/>
        <w:rPr>
          <w:rFonts w:ascii="Verdana" w:hAnsi="Verdana"/>
        </w:rPr>
      </w:pPr>
      <w:r w:rsidRPr="008B3051">
        <w:rPr>
          <w:rFonts w:ascii="Verdana" w:hAnsi="Verdana"/>
        </w:rPr>
        <w:t>$10,000 in the case of a </w:t>
      </w:r>
      <w:r w:rsidRPr="008B3051">
        <w:rPr>
          <w:rStyle w:val="Hyperlink"/>
          <w:rFonts w:ascii="Verdana" w:hAnsi="Verdana"/>
          <w:color w:val="auto"/>
        </w:rPr>
        <w:t>joint return</w:t>
      </w:r>
      <w:r w:rsidRPr="008B3051">
        <w:rPr>
          <w:rFonts w:ascii="Verdana" w:hAnsi="Verdana"/>
        </w:rPr>
        <w:t>, or</w:t>
      </w:r>
    </w:p>
    <w:p w14:paraId="0AAD9257" w14:textId="77777777" w:rsidR="00963B91" w:rsidRPr="008B3051" w:rsidRDefault="00963B91" w:rsidP="00963B91">
      <w:pPr>
        <w:shd w:val="clear" w:color="auto" w:fill="FFFFFF"/>
        <w:rPr>
          <w:rFonts w:ascii="Verdana" w:hAnsi="Verdana"/>
        </w:rPr>
      </w:pPr>
      <w:bookmarkStart w:id="332" w:name="d_3"/>
      <w:bookmarkEnd w:id="332"/>
      <w:r w:rsidRPr="008B3051">
        <w:rPr>
          <w:rStyle w:val="num"/>
          <w:rFonts w:ascii="Verdana" w:hAnsi="Verdana"/>
          <w:b/>
          <w:bCs/>
        </w:rPr>
        <w:t>(3)</w:t>
      </w:r>
    </w:p>
    <w:p w14:paraId="3FD3CECD" w14:textId="3AC4FBA4" w:rsidR="00963B91" w:rsidRPr="008B3051" w:rsidRDefault="00963B91" w:rsidP="00963B91">
      <w:pPr>
        <w:shd w:val="clear" w:color="auto" w:fill="FFFFFF"/>
        <w:rPr>
          <w:rFonts w:ascii="Verdana" w:hAnsi="Verdana"/>
        </w:rPr>
      </w:pPr>
      <w:r w:rsidRPr="008B3051">
        <w:rPr>
          <w:rFonts w:ascii="Verdana" w:hAnsi="Verdana"/>
        </w:rPr>
        <w:t>$5,000 in the case of a married individual filing a separate </w:t>
      </w:r>
      <w:r w:rsidRPr="008B3051">
        <w:rPr>
          <w:rStyle w:val="Hyperlink"/>
          <w:rFonts w:ascii="Verdana" w:hAnsi="Verdana"/>
          <w:color w:val="auto"/>
        </w:rPr>
        <w:t>return</w:t>
      </w:r>
      <w:r w:rsidRPr="008B3051">
        <w:rPr>
          <w:rFonts w:ascii="Verdana" w:hAnsi="Verdana"/>
        </w:rPr>
        <w:t>,</w:t>
      </w:r>
    </w:p>
    <w:p w14:paraId="3BB154FB" w14:textId="041AB96C" w:rsidR="00963B91" w:rsidRPr="008B3051" w:rsidRDefault="00963B91" w:rsidP="00963B91">
      <w:pPr>
        <w:shd w:val="clear" w:color="auto" w:fill="FFFFFF"/>
        <w:rPr>
          <w:rFonts w:ascii="Verdana" w:hAnsi="Verdana"/>
        </w:rPr>
      </w:pPr>
      <w:r w:rsidRPr="008B3051">
        <w:rPr>
          <w:rFonts w:ascii="Verdana" w:hAnsi="Verdana"/>
        </w:rPr>
        <w:t>the section 22 amount shall be reduced by one-half of the excess of the </w:t>
      </w:r>
      <w:r w:rsidRPr="008B3051">
        <w:rPr>
          <w:rStyle w:val="Hyperlink"/>
          <w:rFonts w:ascii="Verdana" w:hAnsi="Verdana"/>
          <w:color w:val="auto"/>
        </w:rPr>
        <w:t>adjusted gross income</w:t>
      </w:r>
      <w:r w:rsidRPr="008B3051">
        <w:rPr>
          <w:rFonts w:ascii="Verdana" w:hAnsi="Verdana"/>
        </w:rPr>
        <w:t> over $7,500, $10,000, or $5,000, as the case may be.</w:t>
      </w:r>
    </w:p>
    <w:p w14:paraId="1D15F81A" w14:textId="77777777" w:rsidR="00963B91" w:rsidRPr="008B3051" w:rsidRDefault="00963B91" w:rsidP="00963B91">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Definitions and special rules</w:t>
      </w:r>
      <w:r w:rsidRPr="008B3051">
        <w:rPr>
          <w:rStyle w:val="chapeau"/>
          <w:rFonts w:ascii="Verdana" w:hAnsi="Verdana"/>
        </w:rPr>
        <w:t>For purposes of this section—</w:t>
      </w:r>
    </w:p>
    <w:p w14:paraId="6EDBCBE5" w14:textId="77777777" w:rsidR="00963B91" w:rsidRPr="008B3051" w:rsidRDefault="00963B91" w:rsidP="00963B91">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Married couple must file joint return</w:t>
      </w:r>
    </w:p>
    <w:p w14:paraId="0129F0DA" w14:textId="753BC1F5"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Except in the case of a husband and wife who live apart at all times during the </w:t>
      </w:r>
      <w:r w:rsidRPr="008B3051">
        <w:rPr>
          <w:rStyle w:val="Hyperlink"/>
          <w:rFonts w:ascii="Verdana" w:hAnsi="Verdana"/>
          <w:color w:val="auto"/>
        </w:rPr>
        <w:t>taxable year</w:t>
      </w:r>
      <w:r w:rsidRPr="008B3051">
        <w:rPr>
          <w:rFonts w:ascii="Verdana" w:hAnsi="Verdana"/>
        </w:rPr>
        <w:t>, if the taxpayer is married at the close of the </w:t>
      </w:r>
      <w:r w:rsidRPr="008B3051">
        <w:rPr>
          <w:rStyle w:val="Hyperlink"/>
          <w:rFonts w:ascii="Verdana" w:hAnsi="Verdana"/>
          <w:color w:val="auto"/>
        </w:rPr>
        <w:t>taxable year</w:t>
      </w:r>
      <w:r w:rsidRPr="008B3051">
        <w:rPr>
          <w:rFonts w:ascii="Verdana" w:hAnsi="Verdana"/>
        </w:rPr>
        <w:t>, the credit provided by this section shall be allowed only if the taxpayer and his spouse file a joint return for the </w:t>
      </w:r>
      <w:r w:rsidRPr="008B3051">
        <w:rPr>
          <w:rStyle w:val="Hyperlink"/>
          <w:rFonts w:ascii="Verdana" w:hAnsi="Verdana"/>
          <w:color w:val="auto"/>
        </w:rPr>
        <w:t>taxable year</w:t>
      </w:r>
      <w:r w:rsidRPr="008B3051">
        <w:rPr>
          <w:rFonts w:ascii="Verdana" w:hAnsi="Verdana"/>
        </w:rPr>
        <w:t>.</w:t>
      </w:r>
    </w:p>
    <w:p w14:paraId="41099AF6" w14:textId="77777777" w:rsidR="00963B91" w:rsidRPr="008B3051" w:rsidRDefault="00963B91" w:rsidP="00963B91">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Marital status</w:t>
      </w:r>
    </w:p>
    <w:p w14:paraId="288A98F3" w14:textId="77777777"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Marital status shall be determined under section 7703.</w:t>
      </w:r>
    </w:p>
    <w:p w14:paraId="681A6F74" w14:textId="77777777" w:rsidR="00963B91" w:rsidRPr="008B3051" w:rsidRDefault="00963B91" w:rsidP="00963B91">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Permanent and total disability defined</w:t>
      </w:r>
    </w:p>
    <w:p w14:paraId="5932926D" w14:textId="57DD8418"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lastRenderedPageBreak/>
        <w:t>An individual is permanently and totally disabled if he is unable to engage in any substantial gainful activity by reason of any medically determinable physical or mental impairment which can be expected to result in death or which has lasted or can be expected to last for a continuous period of not less than 12 months. An individual shall not be considered to be permanently and totally disabled unless he furnishes proof of the existence thereof in such form and manner, and at such times, as the </w:t>
      </w:r>
      <w:r w:rsidRPr="008B3051">
        <w:rPr>
          <w:rStyle w:val="Hyperlink"/>
          <w:rFonts w:ascii="Verdana" w:hAnsi="Verdana"/>
          <w:color w:val="auto"/>
        </w:rPr>
        <w:t>Secretary</w:t>
      </w:r>
      <w:r w:rsidRPr="008B3051">
        <w:rPr>
          <w:rFonts w:ascii="Verdana" w:hAnsi="Verdana"/>
        </w:rPr>
        <w:t> may require.</w:t>
      </w:r>
    </w:p>
    <w:p w14:paraId="04283EE9" w14:textId="77777777" w:rsidR="00963B91" w:rsidRPr="008B3051" w:rsidRDefault="00963B91" w:rsidP="00963B91">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Nonresident alien ineligible for credit</w:t>
      </w:r>
    </w:p>
    <w:p w14:paraId="170225EC" w14:textId="77777777" w:rsidR="00963B91" w:rsidRPr="008B3051" w:rsidRDefault="00963B91" w:rsidP="00963B91">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to any nonresident alien.</w:t>
      </w:r>
    </w:p>
    <w:p w14:paraId="487587D4" w14:textId="246F95D8" w:rsidR="00963B91" w:rsidRPr="008B3051" w:rsidRDefault="00963B91" w:rsidP="00963B91">
      <w:pPr>
        <w:shd w:val="clear" w:color="auto" w:fill="FFFFFF"/>
        <w:rPr>
          <w:rFonts w:ascii="Verdana" w:hAnsi="Verdana"/>
        </w:rPr>
      </w:pPr>
      <w:r w:rsidRPr="008B3051">
        <w:rPr>
          <w:rFonts w:ascii="Verdana" w:hAnsi="Verdana"/>
        </w:rPr>
        <w:t>(Aug. 16, 1954, ch. 736, </w:t>
      </w:r>
      <w:r w:rsidRPr="008B3051">
        <w:rPr>
          <w:rStyle w:val="Hyperlink"/>
          <w:rFonts w:ascii="Verdana" w:hAnsi="Verdana"/>
          <w:color w:val="auto"/>
        </w:rPr>
        <w:t>68A Stat. 15</w:t>
      </w:r>
      <w:r w:rsidRPr="008B3051">
        <w:rPr>
          <w:rFonts w:ascii="Verdana" w:hAnsi="Verdana"/>
        </w:rPr>
        <w:t>, § 37; Aug. 9, 1955, ch. 659, § 1, </w:t>
      </w:r>
      <w:r w:rsidRPr="008B3051">
        <w:rPr>
          <w:rStyle w:val="Hyperlink"/>
          <w:rFonts w:ascii="Verdana" w:hAnsi="Verdana"/>
          <w:color w:val="auto"/>
        </w:rPr>
        <w:t>69 Stat. 591</w:t>
      </w:r>
      <w:r w:rsidRPr="008B3051">
        <w:rPr>
          <w:rFonts w:ascii="Verdana" w:hAnsi="Verdana"/>
        </w:rPr>
        <w:t>; Jan. 28, 1956, ch. 17, § 1, </w:t>
      </w:r>
      <w:r w:rsidRPr="008B3051">
        <w:rPr>
          <w:rStyle w:val="Hyperlink"/>
          <w:rFonts w:ascii="Verdana" w:hAnsi="Verdana"/>
          <w:color w:val="auto"/>
        </w:rPr>
        <w:t>70 Stat. 8</w:t>
      </w:r>
      <w:r w:rsidRPr="008B3051">
        <w:rPr>
          <w:rFonts w:ascii="Verdana" w:hAnsi="Verdana"/>
        </w:rPr>
        <w:t>; </w:t>
      </w:r>
      <w:r w:rsidRPr="008B3051">
        <w:rPr>
          <w:rStyle w:val="Hyperlink"/>
          <w:rFonts w:ascii="Verdana" w:hAnsi="Verdana"/>
          <w:color w:val="auto"/>
        </w:rPr>
        <w:t>Pub. L. 87–792</w:t>
      </w:r>
      <w:r w:rsidRPr="008B3051">
        <w:rPr>
          <w:rFonts w:ascii="Verdana" w:hAnsi="Verdana"/>
        </w:rPr>
        <w:t>, § 7(a), </w:t>
      </w:r>
      <w:r w:rsidRPr="008B3051">
        <w:rPr>
          <w:rStyle w:val="Date2"/>
          <w:rFonts w:ascii="Verdana" w:hAnsi="Verdana"/>
        </w:rPr>
        <w:t>Oct. 10, 1962</w:t>
      </w:r>
      <w:r w:rsidRPr="008B3051">
        <w:rPr>
          <w:rFonts w:ascii="Verdana" w:hAnsi="Verdana"/>
        </w:rPr>
        <w:t>, </w:t>
      </w:r>
      <w:r w:rsidRPr="008B3051">
        <w:rPr>
          <w:rStyle w:val="Hyperlink"/>
          <w:rFonts w:ascii="Verdana" w:hAnsi="Verdana"/>
          <w:color w:val="auto"/>
        </w:rPr>
        <w:t>76 Stat. 828</w:t>
      </w:r>
      <w:r w:rsidRPr="008B3051">
        <w:rPr>
          <w:rFonts w:ascii="Verdana" w:hAnsi="Verdana"/>
        </w:rPr>
        <w:t>; </w:t>
      </w:r>
      <w:r w:rsidRPr="008B3051">
        <w:rPr>
          <w:rStyle w:val="Hyperlink"/>
          <w:rFonts w:ascii="Verdana" w:hAnsi="Verdana"/>
          <w:color w:val="auto"/>
        </w:rPr>
        <w:t>Pub. L. 87–876</w:t>
      </w:r>
      <w:r w:rsidRPr="008B3051">
        <w:rPr>
          <w:rFonts w:ascii="Verdana" w:hAnsi="Verdana"/>
        </w:rPr>
        <w:t>, § 1, </w:t>
      </w:r>
      <w:r w:rsidRPr="008B3051">
        <w:rPr>
          <w:rStyle w:val="Date2"/>
          <w:rFonts w:ascii="Verdana" w:hAnsi="Verdana"/>
        </w:rPr>
        <w:t>Oct. 24, 1962</w:t>
      </w:r>
      <w:r w:rsidRPr="008B3051">
        <w:rPr>
          <w:rFonts w:ascii="Verdana" w:hAnsi="Verdana"/>
        </w:rPr>
        <w:t>, </w:t>
      </w:r>
      <w:r w:rsidRPr="008B3051">
        <w:rPr>
          <w:rStyle w:val="Hyperlink"/>
          <w:rFonts w:ascii="Verdana" w:hAnsi="Verdana"/>
          <w:color w:val="auto"/>
        </w:rPr>
        <w:t>76 Stat. 1199</w:t>
      </w:r>
      <w:r w:rsidRPr="008B3051">
        <w:rPr>
          <w:rFonts w:ascii="Verdana" w:hAnsi="Verdana"/>
        </w:rPr>
        <w:t>; </w:t>
      </w:r>
      <w:r w:rsidRPr="008B3051">
        <w:rPr>
          <w:rStyle w:val="Hyperlink"/>
          <w:rFonts w:ascii="Verdana" w:hAnsi="Verdana"/>
          <w:color w:val="auto"/>
        </w:rPr>
        <w:t>Pub. L. 88–272, title I</w:t>
      </w:r>
      <w:r w:rsidRPr="008B3051">
        <w:rPr>
          <w:rFonts w:ascii="Verdana" w:hAnsi="Verdana"/>
        </w:rPr>
        <w:t>, § 113(a), title II, §§ 201(d)(3), 202(a), </w:t>
      </w:r>
      <w:r w:rsidRPr="008B3051">
        <w:rPr>
          <w:rStyle w:val="Date2"/>
          <w:rFonts w:ascii="Verdana" w:hAnsi="Verdana"/>
        </w:rPr>
        <w:t>Feb. 26, 1964</w:t>
      </w:r>
      <w:r w:rsidRPr="008B3051">
        <w:rPr>
          <w:rFonts w:ascii="Verdana" w:hAnsi="Verdana"/>
        </w:rPr>
        <w:t>, </w:t>
      </w:r>
      <w:r w:rsidRPr="008B3051">
        <w:rPr>
          <w:rStyle w:val="Hyperlink"/>
          <w:rFonts w:ascii="Verdana" w:hAnsi="Verdana"/>
          <w:color w:val="auto"/>
        </w:rPr>
        <w:t>78 Stat. 24</w:t>
      </w:r>
      <w:r w:rsidRPr="008B3051">
        <w:rPr>
          <w:rFonts w:ascii="Verdana" w:hAnsi="Verdana"/>
        </w:rPr>
        <w:t>, 32, 33; </w:t>
      </w:r>
      <w:r w:rsidRPr="008B3051">
        <w:rPr>
          <w:rStyle w:val="Hyperlink"/>
          <w:rFonts w:ascii="Verdana" w:hAnsi="Verdana"/>
          <w:color w:val="auto"/>
        </w:rPr>
        <w:t>Pub. L. 93–406, title II</w:t>
      </w:r>
      <w:r w:rsidRPr="008B3051">
        <w:rPr>
          <w:rFonts w:ascii="Verdana" w:hAnsi="Verdana"/>
        </w:rPr>
        <w:t>, § 2002(g)(1), </w:t>
      </w:r>
      <w:r w:rsidRPr="008B3051">
        <w:rPr>
          <w:rStyle w:val="Date2"/>
          <w:rFonts w:ascii="Verdana" w:hAnsi="Verdana"/>
        </w:rPr>
        <w:t>Sept. 2, 1974</w:t>
      </w:r>
      <w:r w:rsidRPr="008B3051">
        <w:rPr>
          <w:rFonts w:ascii="Verdana" w:hAnsi="Verdana"/>
        </w:rPr>
        <w:t>, </w:t>
      </w:r>
      <w:r w:rsidRPr="008B3051">
        <w:rPr>
          <w:rStyle w:val="Hyperlink"/>
          <w:rFonts w:ascii="Verdana" w:hAnsi="Verdana"/>
          <w:color w:val="auto"/>
        </w:rPr>
        <w:t>88 Stat. 968</w:t>
      </w:r>
      <w:r w:rsidRPr="008B3051">
        <w:rPr>
          <w:rFonts w:ascii="Verdana" w:hAnsi="Verdana"/>
        </w:rPr>
        <w:t>; </w:t>
      </w:r>
      <w:r w:rsidRPr="008B3051">
        <w:rPr>
          <w:rStyle w:val="Hyperlink"/>
          <w:rFonts w:ascii="Verdana" w:hAnsi="Verdana"/>
          <w:color w:val="auto"/>
        </w:rPr>
        <w:t>Pub. L. 94–455, title V</w:t>
      </w:r>
      <w:r w:rsidRPr="008B3051">
        <w:rPr>
          <w:rFonts w:ascii="Verdana" w:hAnsi="Verdana"/>
        </w:rPr>
        <w:t>, § 503(a), title XIX, § 1901(c)(1), </w:t>
      </w:r>
      <w:r w:rsidRPr="008B3051">
        <w:rPr>
          <w:rStyle w:val="Date2"/>
          <w:rFonts w:ascii="Verdana" w:hAnsi="Verdana"/>
        </w:rPr>
        <w:t>Oct. 4, 1976</w:t>
      </w:r>
      <w:r w:rsidRPr="008B3051">
        <w:rPr>
          <w:rFonts w:ascii="Verdana" w:hAnsi="Verdana"/>
        </w:rPr>
        <w:t>, </w:t>
      </w:r>
      <w:r w:rsidRPr="008B3051">
        <w:rPr>
          <w:rStyle w:val="Hyperlink"/>
          <w:rFonts w:ascii="Verdana" w:hAnsi="Verdana"/>
          <w:color w:val="auto"/>
        </w:rPr>
        <w:t>90 Stat. 1559</w:t>
      </w:r>
      <w:r w:rsidRPr="008B3051">
        <w:rPr>
          <w:rFonts w:ascii="Verdana" w:hAnsi="Verdana"/>
        </w:rPr>
        <w:t>, 1803; </w:t>
      </w:r>
      <w:r w:rsidRPr="008B3051">
        <w:rPr>
          <w:rStyle w:val="Hyperlink"/>
          <w:rFonts w:ascii="Verdana" w:hAnsi="Verdana"/>
          <w:color w:val="auto"/>
        </w:rPr>
        <w:t>Pub. L. 95–600, title VII</w:t>
      </w:r>
      <w:r w:rsidRPr="008B3051">
        <w:rPr>
          <w:rFonts w:ascii="Verdana" w:hAnsi="Verdana"/>
        </w:rPr>
        <w:t>, §§ 701(a)(1)–(3), 703(j)(11), </w:t>
      </w:r>
      <w:r w:rsidRPr="008B3051">
        <w:rPr>
          <w:rStyle w:val="Date2"/>
          <w:rFonts w:ascii="Verdana" w:hAnsi="Verdana"/>
        </w:rPr>
        <w:t>Nov. 6, 1978</w:t>
      </w:r>
      <w:r w:rsidRPr="008B3051">
        <w:rPr>
          <w:rFonts w:ascii="Verdana" w:hAnsi="Verdana"/>
        </w:rPr>
        <w:t>, </w:t>
      </w:r>
      <w:r w:rsidRPr="008B3051">
        <w:rPr>
          <w:rStyle w:val="Hyperlink"/>
          <w:rFonts w:ascii="Verdana" w:hAnsi="Verdana"/>
          <w:color w:val="auto"/>
        </w:rPr>
        <w:t>92 Stat. 2897</w:t>
      </w:r>
      <w:r w:rsidRPr="008B3051">
        <w:rPr>
          <w:rFonts w:ascii="Verdana" w:hAnsi="Verdana"/>
        </w:rPr>
        <w:t>, 2942; </w:t>
      </w:r>
      <w:r w:rsidRPr="008B3051">
        <w:rPr>
          <w:rStyle w:val="Hyperlink"/>
          <w:rFonts w:ascii="Verdana" w:hAnsi="Verdana"/>
          <w:color w:val="auto"/>
        </w:rPr>
        <w:t>Pub. L. 96–222, title I</w:t>
      </w:r>
      <w:r w:rsidRPr="008B3051">
        <w:rPr>
          <w:rFonts w:ascii="Verdana" w:hAnsi="Verdana"/>
        </w:rPr>
        <w:t>, § 107(a)(1)(E)(i), </w:t>
      </w:r>
      <w:r w:rsidRPr="008B3051">
        <w:rPr>
          <w:rStyle w:val="Date2"/>
          <w:rFonts w:ascii="Verdana" w:hAnsi="Verdana"/>
        </w:rPr>
        <w:t>Apr. 1, 1980</w:t>
      </w:r>
      <w:r w:rsidRPr="008B3051">
        <w:rPr>
          <w:rFonts w:ascii="Verdana" w:hAnsi="Verdana"/>
        </w:rPr>
        <w:t>, </w:t>
      </w:r>
      <w:r w:rsidRPr="008B3051">
        <w:rPr>
          <w:rStyle w:val="Hyperlink"/>
          <w:rFonts w:ascii="Verdana" w:hAnsi="Verdana"/>
          <w:color w:val="auto"/>
        </w:rPr>
        <w:t>94 Stat. 222</w:t>
      </w:r>
      <w:r w:rsidRPr="008B3051">
        <w:rPr>
          <w:rFonts w:ascii="Verdana" w:hAnsi="Verdana"/>
        </w:rPr>
        <w:t>; </w:t>
      </w:r>
      <w:r w:rsidRPr="008B3051">
        <w:rPr>
          <w:rStyle w:val="Hyperlink"/>
          <w:rFonts w:ascii="Verdana" w:hAnsi="Verdana"/>
          <w:color w:val="auto"/>
        </w:rPr>
        <w:t>Pub. L. 97–34, title I</w:t>
      </w:r>
      <w:r w:rsidRPr="008B3051">
        <w:rPr>
          <w:rFonts w:ascii="Verdana" w:hAnsi="Verdana"/>
        </w:rPr>
        <w:t>, § 111(b)(4), </w:t>
      </w:r>
      <w:r w:rsidRPr="008B3051">
        <w:rPr>
          <w:rStyle w:val="Date2"/>
          <w:rFonts w:ascii="Verdana" w:hAnsi="Verdana"/>
        </w:rPr>
        <w:t>Aug. 13, 1981</w:t>
      </w:r>
      <w:r w:rsidRPr="008B3051">
        <w:rPr>
          <w:rFonts w:ascii="Verdana" w:hAnsi="Verdana"/>
        </w:rPr>
        <w:t>, </w:t>
      </w:r>
      <w:r w:rsidRPr="008B3051">
        <w:rPr>
          <w:rStyle w:val="Hyperlink"/>
          <w:rFonts w:ascii="Verdana" w:hAnsi="Verdana"/>
          <w:color w:val="auto"/>
        </w:rPr>
        <w:t>95 Stat. 194</w:t>
      </w:r>
      <w:r w:rsidRPr="008B3051">
        <w:rPr>
          <w:rFonts w:ascii="Verdana" w:hAnsi="Verdana"/>
        </w:rPr>
        <w:t>; </w:t>
      </w:r>
      <w:r w:rsidRPr="008B3051">
        <w:rPr>
          <w:rStyle w:val="Hyperlink"/>
          <w:rFonts w:ascii="Verdana" w:hAnsi="Verdana"/>
          <w:color w:val="auto"/>
        </w:rPr>
        <w:t>Pub. L. 98–21, title I</w:t>
      </w:r>
      <w:r w:rsidRPr="008B3051">
        <w:rPr>
          <w:rFonts w:ascii="Verdana" w:hAnsi="Verdana"/>
        </w:rPr>
        <w:t>, § 122(a), </w:t>
      </w:r>
      <w:r w:rsidRPr="008B3051">
        <w:rPr>
          <w:rStyle w:val="Date2"/>
          <w:rFonts w:ascii="Verdana" w:hAnsi="Verdana"/>
        </w:rPr>
        <w:t>Apr. 20, 1983</w:t>
      </w:r>
      <w:r w:rsidRPr="008B3051">
        <w:rPr>
          <w:rFonts w:ascii="Verdana" w:hAnsi="Verdana"/>
        </w:rPr>
        <w:t>, </w:t>
      </w:r>
      <w:r w:rsidRPr="008B3051">
        <w:rPr>
          <w:rStyle w:val="Hyperlink"/>
          <w:rFonts w:ascii="Verdana" w:hAnsi="Verdana"/>
          <w:color w:val="auto"/>
        </w:rPr>
        <w:t>97 Stat. 85</w:t>
      </w:r>
      <w:r w:rsidRPr="008B3051">
        <w:rPr>
          <w:rFonts w:ascii="Verdana" w:hAnsi="Verdana"/>
        </w:rPr>
        <w:t>; renumbered § 22 and amended </w:t>
      </w:r>
      <w:r w:rsidRPr="008B3051">
        <w:rPr>
          <w:rStyle w:val="Hyperlink"/>
          <w:rFonts w:ascii="Verdana" w:hAnsi="Verdana"/>
          <w:color w:val="auto"/>
        </w:rPr>
        <w:t>Pub. L. 98–369, div. A, title IV</w:t>
      </w:r>
      <w:r w:rsidRPr="008B3051">
        <w:rPr>
          <w:rFonts w:ascii="Verdana" w:hAnsi="Verdana"/>
        </w:rPr>
        <w:t>, §§ 471(c), 474(d),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826</w:t>
      </w:r>
      <w:r w:rsidRPr="008B3051">
        <w:rPr>
          <w:rFonts w:ascii="Verdana" w:hAnsi="Verdana"/>
        </w:rPr>
        <w:t>, 830; </w:t>
      </w:r>
      <w:r w:rsidRPr="008B3051">
        <w:rPr>
          <w:rStyle w:val="Hyperlink"/>
          <w:rFonts w:ascii="Verdana" w:hAnsi="Verdana"/>
          <w:color w:val="auto"/>
        </w:rPr>
        <w:t>Pub. L. 99–514, title XIII</w:t>
      </w:r>
      <w:r w:rsidRPr="008B3051">
        <w:rPr>
          <w:rFonts w:ascii="Verdana" w:hAnsi="Verdana"/>
        </w:rPr>
        <w:t>, § 1301(j)(8),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2658</w:t>
      </w:r>
      <w:r w:rsidRPr="008B3051">
        <w:rPr>
          <w:rFonts w:ascii="Verdana" w:hAnsi="Verdana"/>
        </w:rPr>
        <w:t>.)</w:t>
      </w:r>
    </w:p>
    <w:p w14:paraId="08FE305D" w14:textId="77777777" w:rsidR="00963B91" w:rsidRPr="008B3051" w:rsidRDefault="00963B91" w:rsidP="00963B91">
      <w:pPr>
        <w:shd w:val="clear" w:color="auto" w:fill="FFFFFF"/>
        <w:spacing w:after="60" w:line="240" w:lineRule="auto"/>
        <w:ind w:left="720"/>
        <w:rPr>
          <w:rFonts w:ascii="Verdana" w:hAnsi="Verdana"/>
        </w:rPr>
      </w:pPr>
    </w:p>
    <w:p w14:paraId="1104AD26" w14:textId="79832004"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23 - Adoption expenses</w:t>
      </w:r>
    </w:p>
    <w:p w14:paraId="7E24AD12" w14:textId="601075DC" w:rsidR="00963B91" w:rsidRPr="008B3051" w:rsidRDefault="00963B91" w:rsidP="00963B91">
      <w:pPr>
        <w:shd w:val="clear" w:color="auto" w:fill="FFFFFF"/>
        <w:spacing w:after="60" w:line="240" w:lineRule="auto"/>
        <w:ind w:left="720"/>
        <w:rPr>
          <w:rFonts w:ascii="Verdana" w:hAnsi="Verdana"/>
        </w:rPr>
      </w:pPr>
    </w:p>
    <w:p w14:paraId="0DD67EA3"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78C4DCDF"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335A56EA" w14:textId="0E32BC9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individual, there shall be allowed as a credit against the </w:t>
      </w:r>
      <w:r w:rsidRPr="008B3051">
        <w:rPr>
          <w:rStyle w:val="Hyperlink"/>
          <w:rFonts w:ascii="Verdana" w:hAnsi="Verdana"/>
          <w:color w:val="auto"/>
        </w:rPr>
        <w:t>tax</w:t>
      </w:r>
      <w:r w:rsidRPr="008B3051">
        <w:rPr>
          <w:rFonts w:ascii="Verdana" w:hAnsi="Verdana"/>
        </w:rPr>
        <w:t> imposed by this chapter the amount of the </w:t>
      </w:r>
      <w:r w:rsidRPr="008B3051">
        <w:rPr>
          <w:rStyle w:val="Hyperlink"/>
          <w:rFonts w:ascii="Verdana" w:hAnsi="Verdana"/>
          <w:color w:val="auto"/>
        </w:rPr>
        <w:t>qualified adoption expenses</w:t>
      </w:r>
      <w:r w:rsidRPr="008B3051">
        <w:rPr>
          <w:rFonts w:ascii="Verdana" w:hAnsi="Verdana"/>
        </w:rPr>
        <w:t> paid or incurred by the taxpayer.</w:t>
      </w:r>
    </w:p>
    <w:p w14:paraId="2BC52B3F"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Year credit allowed</w:t>
      </w:r>
      <w:r w:rsidRPr="008B3051">
        <w:rPr>
          <w:rStyle w:val="chapeau"/>
          <w:rFonts w:ascii="Verdana" w:hAnsi="Verdana"/>
        </w:rPr>
        <w:t>The credit under paragraph (1) with respect to any expense shall be allowed—</w:t>
      </w:r>
    </w:p>
    <w:p w14:paraId="4618DA5E"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427E10C1" w14:textId="643240B9" w:rsidR="00AB7AF9" w:rsidRPr="008B3051" w:rsidRDefault="00AB7AF9" w:rsidP="00AB7AF9">
      <w:pPr>
        <w:shd w:val="clear" w:color="auto" w:fill="FFFFFF"/>
        <w:rPr>
          <w:rFonts w:ascii="Verdana" w:hAnsi="Verdana"/>
        </w:rPr>
      </w:pPr>
      <w:r w:rsidRPr="008B3051">
        <w:rPr>
          <w:rFonts w:ascii="Verdana" w:hAnsi="Verdana"/>
        </w:rPr>
        <w:t>in the case of any expense </w:t>
      </w:r>
      <w:r w:rsidRPr="008B3051">
        <w:rPr>
          <w:rStyle w:val="Hyperlink"/>
          <w:rFonts w:ascii="Verdana" w:hAnsi="Verdana"/>
          <w:color w:val="auto"/>
        </w:rPr>
        <w:t>paid or incurred</w:t>
      </w:r>
      <w:r w:rsidRPr="008B3051">
        <w:rPr>
          <w:rFonts w:ascii="Verdana" w:hAnsi="Verdana"/>
        </w:rPr>
        <w:t> before the taxable year in which such adoption becomes final, for the taxable year following the taxable year during which such expense is </w:t>
      </w:r>
      <w:r w:rsidRPr="008B3051">
        <w:rPr>
          <w:rStyle w:val="Hyperlink"/>
          <w:rFonts w:ascii="Verdana" w:hAnsi="Verdana"/>
          <w:color w:val="auto"/>
        </w:rPr>
        <w:t>paid or incurred</w:t>
      </w:r>
      <w:r w:rsidRPr="008B3051">
        <w:rPr>
          <w:rFonts w:ascii="Verdana" w:hAnsi="Verdana"/>
        </w:rPr>
        <w:t>, and</w:t>
      </w:r>
    </w:p>
    <w:p w14:paraId="7955965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6374E2AA" w14:textId="45F30B6B" w:rsidR="00AB7AF9" w:rsidRPr="008B3051" w:rsidRDefault="00AB7AF9" w:rsidP="00AB7AF9">
      <w:pPr>
        <w:shd w:val="clear" w:color="auto" w:fill="FFFFFF"/>
        <w:rPr>
          <w:rFonts w:ascii="Verdana" w:hAnsi="Verdana"/>
        </w:rPr>
      </w:pPr>
      <w:r w:rsidRPr="008B3051">
        <w:rPr>
          <w:rFonts w:ascii="Verdana" w:hAnsi="Verdana"/>
        </w:rPr>
        <w:t>in the case of an expense </w:t>
      </w:r>
      <w:r w:rsidRPr="008B3051">
        <w:rPr>
          <w:rStyle w:val="Hyperlink"/>
          <w:rFonts w:ascii="Verdana" w:hAnsi="Verdana"/>
          <w:color w:val="auto"/>
        </w:rPr>
        <w:t>paid or incurred</w:t>
      </w:r>
      <w:r w:rsidRPr="008B3051">
        <w:rPr>
          <w:rFonts w:ascii="Verdana" w:hAnsi="Verdana"/>
        </w:rPr>
        <w:t> during or after the taxable year in which such adoption becomes final, for the taxable year in which such expense is </w:t>
      </w:r>
      <w:r w:rsidRPr="008B3051">
        <w:rPr>
          <w:rStyle w:val="Hyperlink"/>
          <w:rFonts w:ascii="Verdana" w:hAnsi="Verdana"/>
          <w:color w:val="auto"/>
        </w:rPr>
        <w:t>paid or incurred</w:t>
      </w:r>
      <w:r w:rsidRPr="008B3051">
        <w:rPr>
          <w:rFonts w:ascii="Verdana" w:hAnsi="Verdana"/>
        </w:rPr>
        <w:t>.</w:t>
      </w:r>
    </w:p>
    <w:p w14:paraId="16287EFC"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(3)</w:t>
      </w:r>
      <w:r w:rsidRPr="008B3051">
        <w:rPr>
          <w:rStyle w:val="heading"/>
          <w:rFonts w:ascii="Verdana" w:hAnsi="Verdana"/>
          <w:b/>
          <w:bCs/>
          <w:smallCaps/>
        </w:rPr>
        <w:t>$10,000 credit for adoption of child with special needs regardless of expenses</w:t>
      </w:r>
    </w:p>
    <w:p w14:paraId="2A9C3A40" w14:textId="0B3D70E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adoption of a </w:t>
      </w:r>
      <w:r w:rsidRPr="008B3051">
        <w:rPr>
          <w:rStyle w:val="Hyperlink"/>
          <w:rFonts w:ascii="Verdana" w:hAnsi="Verdana"/>
          <w:color w:val="auto"/>
        </w:rPr>
        <w:t>child with special needs</w:t>
      </w:r>
      <w:r w:rsidRPr="008B3051">
        <w:rPr>
          <w:rFonts w:ascii="Verdana" w:hAnsi="Verdana"/>
        </w:rPr>
        <w:t> which becomes final during a taxable year, the taxpayer shall be treated as having paid during such year </w:t>
      </w:r>
      <w:r w:rsidRPr="008B3051">
        <w:rPr>
          <w:rStyle w:val="Hyperlink"/>
          <w:rFonts w:ascii="Verdana" w:hAnsi="Verdana"/>
          <w:color w:val="auto"/>
        </w:rPr>
        <w:t>qualified adoption expenses</w:t>
      </w:r>
      <w:r w:rsidRPr="008B3051">
        <w:rPr>
          <w:rFonts w:ascii="Verdana" w:hAnsi="Verdana"/>
        </w:rPr>
        <w:t> with respect to such adoption in an amount equal to the excess (if any) of $10,000 over the aggregate </w:t>
      </w:r>
      <w:r w:rsidRPr="008B3051">
        <w:rPr>
          <w:rStyle w:val="Hyperlink"/>
          <w:rFonts w:ascii="Verdana" w:hAnsi="Verdana"/>
          <w:color w:val="auto"/>
        </w:rPr>
        <w:t>qualified adoption expenses</w:t>
      </w:r>
      <w:r w:rsidRPr="008B3051">
        <w:rPr>
          <w:rFonts w:ascii="Verdana" w:hAnsi="Verdana"/>
        </w:rPr>
        <w:t> actually paid or incurred by the taxpayer with respect to such adoption during such taxable year and all prior taxable years.</w:t>
      </w:r>
    </w:p>
    <w:p w14:paraId="467385A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Limitations</w:t>
      </w:r>
    </w:p>
    <w:p w14:paraId="58DA96A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Dollar limitation</w:t>
      </w:r>
    </w:p>
    <w:p w14:paraId="54D18537" w14:textId="053A6D4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aggregate amount of </w:t>
      </w:r>
      <w:r w:rsidRPr="008B3051">
        <w:rPr>
          <w:rStyle w:val="Hyperlink"/>
          <w:rFonts w:ascii="Verdana" w:hAnsi="Verdana"/>
          <w:color w:val="auto"/>
        </w:rPr>
        <w:t>qualified adoption expenses</w:t>
      </w:r>
      <w:r w:rsidRPr="008B3051">
        <w:rPr>
          <w:rFonts w:ascii="Verdana" w:hAnsi="Verdana"/>
        </w:rPr>
        <w:t> which may be taken into account under subsection (a) for all taxable years with respect to the adoption of a child by the taxpayer shall not exceed $10,000.</w:t>
      </w:r>
    </w:p>
    <w:p w14:paraId="04F069F3"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Income limitation</w:t>
      </w:r>
    </w:p>
    <w:p w14:paraId="161D3006" w14:textId="4AD6DB3E"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amount allowable as a credit under subsection (a) for any </w:t>
      </w:r>
      <w:r w:rsidRPr="008B3051">
        <w:rPr>
          <w:rStyle w:val="Hyperlink"/>
          <w:rFonts w:ascii="Verdana" w:hAnsi="Verdana"/>
          <w:color w:val="auto"/>
        </w:rPr>
        <w:t>taxable year</w:t>
      </w:r>
      <w:r w:rsidRPr="008B3051">
        <w:rPr>
          <w:rStyle w:val="chapeau"/>
          <w:rFonts w:ascii="Verdana" w:hAnsi="Verdana"/>
        </w:rPr>
        <w:t>(determined without regard to subsection (c)) shall be reduced (but not below zero) by an amount which bears the same ratio to the amount so allowable (determined without regard to this paragraph but with regard to paragraph (1)) as—</w:t>
      </w:r>
    </w:p>
    <w:p w14:paraId="78C8181D"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2F520ABF" w14:textId="236ED68C" w:rsidR="00AB7AF9" w:rsidRPr="008B3051" w:rsidRDefault="00AB7AF9" w:rsidP="00AB7AF9">
      <w:pPr>
        <w:shd w:val="clear" w:color="auto" w:fill="FFFFFF"/>
        <w:rPr>
          <w:rFonts w:ascii="Verdana" w:hAnsi="Verdana"/>
        </w:rPr>
      </w:pPr>
      <w:r w:rsidRPr="008B3051">
        <w:rPr>
          <w:rFonts w:ascii="Verdana" w:hAnsi="Verdana"/>
        </w:rPr>
        <w:t>the amount (if any) by which 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adjusted gross income</w:t>
      </w:r>
      <w:r w:rsidRPr="008B3051">
        <w:rPr>
          <w:rFonts w:ascii="Verdana" w:hAnsi="Verdana"/>
        </w:rPr>
        <w:t> exceeds $150,000, bears to</w:t>
      </w:r>
    </w:p>
    <w:p w14:paraId="7972FEC0"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4BA402E3" w14:textId="77777777" w:rsidR="00AB7AF9" w:rsidRPr="008B3051" w:rsidRDefault="00AB7AF9" w:rsidP="00AB7AF9">
      <w:pPr>
        <w:shd w:val="clear" w:color="auto" w:fill="FFFFFF"/>
        <w:rPr>
          <w:rFonts w:ascii="Verdana" w:hAnsi="Verdana"/>
        </w:rPr>
      </w:pPr>
      <w:r w:rsidRPr="008B3051">
        <w:rPr>
          <w:rFonts w:ascii="Verdana" w:hAnsi="Verdana"/>
        </w:rPr>
        <w:t>$40,000.</w:t>
      </w:r>
    </w:p>
    <w:p w14:paraId="6E0F911C"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Determination of adjusted gross income</w:t>
      </w:r>
    </w:p>
    <w:p w14:paraId="663EC66C" w14:textId="39C73B7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subparagraph (A), </w:t>
      </w:r>
      <w:r w:rsidRPr="008B3051">
        <w:rPr>
          <w:rStyle w:val="Hyperlink"/>
          <w:rFonts w:ascii="Verdana" w:hAnsi="Verdana"/>
          <w:color w:val="auto"/>
        </w:rPr>
        <w:t>adjusted gross income</w:t>
      </w:r>
      <w:r w:rsidRPr="008B3051">
        <w:rPr>
          <w:rFonts w:ascii="Verdana" w:hAnsi="Verdana"/>
        </w:rPr>
        <w:t> shall be determined without regard to sections 911, 931, and 933.</w:t>
      </w:r>
    </w:p>
    <w:p w14:paraId="114F02C4"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Denial of double benefit</w:t>
      </w:r>
    </w:p>
    <w:p w14:paraId="1F29D167"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225318BD"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expense for which a deduction or credit is allowed under any other provision of this chapter.</w:t>
      </w:r>
    </w:p>
    <w:p w14:paraId="68E8C69A"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Grants</w:t>
      </w:r>
    </w:p>
    <w:p w14:paraId="4517E7C6" w14:textId="6D2E295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expense to the extent that funds for such expense are received under any Federal, </w:t>
      </w:r>
      <w:r w:rsidRPr="008B3051">
        <w:rPr>
          <w:rStyle w:val="Hyperlink"/>
          <w:rFonts w:ascii="Verdana" w:hAnsi="Verdana"/>
          <w:color w:val="auto"/>
        </w:rPr>
        <w:t>State</w:t>
      </w:r>
      <w:r w:rsidRPr="008B3051">
        <w:rPr>
          <w:rFonts w:ascii="Verdana" w:hAnsi="Verdana"/>
        </w:rPr>
        <w:t>, or local program.</w:t>
      </w:r>
    </w:p>
    <w:p w14:paraId="41236B00"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Carryforwards of unused credit</w:t>
      </w:r>
    </w:p>
    <w:p w14:paraId="06CCB133"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75B6AEF7" w14:textId="6FD6EE4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If the credit allowable under subsection (a) for any </w:t>
      </w:r>
      <w:r w:rsidRPr="008B3051">
        <w:rPr>
          <w:rStyle w:val="Hyperlink"/>
          <w:rFonts w:ascii="Verdana" w:hAnsi="Verdana"/>
          <w:color w:val="auto"/>
        </w:rPr>
        <w:t>taxable year</w:t>
      </w:r>
      <w:r w:rsidRPr="008B3051">
        <w:rPr>
          <w:rFonts w:ascii="Verdana" w:hAnsi="Verdana"/>
        </w:rPr>
        <w:t> exceeds the limitation imposed by section 26(a) for such </w:t>
      </w:r>
      <w:r w:rsidRPr="008B3051">
        <w:rPr>
          <w:rStyle w:val="Hyperlink"/>
          <w:rFonts w:ascii="Verdana" w:hAnsi="Verdana"/>
          <w:color w:val="auto"/>
        </w:rPr>
        <w:t>taxable year</w:t>
      </w:r>
      <w:r w:rsidRPr="008B3051">
        <w:rPr>
          <w:rFonts w:ascii="Verdana" w:hAnsi="Verdana"/>
        </w:rPr>
        <w:t> reduced by the sum of the credits allowable under this subpart (other than this section and sections 25D and 1400C), such excess shall be carried to the succeeding </w:t>
      </w:r>
      <w:r w:rsidRPr="008B3051">
        <w:rPr>
          <w:rStyle w:val="Hyperlink"/>
          <w:rFonts w:ascii="Verdana" w:hAnsi="Verdana"/>
          <w:color w:val="auto"/>
        </w:rPr>
        <w:t>taxable year</w:t>
      </w:r>
      <w:r w:rsidRPr="008B3051">
        <w:rPr>
          <w:rFonts w:ascii="Verdana" w:hAnsi="Verdana"/>
        </w:rPr>
        <w:t> and added to the credit allowable under subsection (a) for such </w:t>
      </w:r>
      <w:r w:rsidRPr="008B3051">
        <w:rPr>
          <w:rStyle w:val="Hyperlink"/>
          <w:rFonts w:ascii="Verdana" w:hAnsi="Verdana"/>
          <w:color w:val="auto"/>
        </w:rPr>
        <w:t>taxable year</w:t>
      </w:r>
      <w:r w:rsidRPr="008B3051">
        <w:rPr>
          <w:rFonts w:ascii="Verdana" w:hAnsi="Verdana"/>
        </w:rPr>
        <w:t>.</w:t>
      </w:r>
    </w:p>
    <w:p w14:paraId="7C6337D5"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Limitation</w:t>
      </w:r>
    </w:p>
    <w:p w14:paraId="0561DB32" w14:textId="043CD250"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may be carried forward under this subsection to any </w:t>
      </w:r>
      <w:r w:rsidRPr="008B3051">
        <w:rPr>
          <w:rStyle w:val="Hyperlink"/>
          <w:rFonts w:ascii="Verdana" w:hAnsi="Verdana"/>
          <w:color w:val="auto"/>
        </w:rPr>
        <w:t>taxable year</w:t>
      </w:r>
      <w:r w:rsidRPr="008B3051">
        <w:rPr>
          <w:rFonts w:ascii="Verdana" w:hAnsi="Verdana"/>
        </w:rPr>
        <w:t> following the fifth </w:t>
      </w:r>
      <w:r w:rsidRPr="008B3051">
        <w:rPr>
          <w:rStyle w:val="Hyperlink"/>
          <w:rFonts w:ascii="Verdana" w:hAnsi="Verdana"/>
          <w:color w:val="auto"/>
        </w:rPr>
        <w:t>taxable year</w:t>
      </w:r>
      <w:r w:rsidRPr="008B3051">
        <w:rPr>
          <w:rFonts w:ascii="Verdana" w:hAnsi="Verdana"/>
        </w:rPr>
        <w:t>after the </w:t>
      </w:r>
      <w:r w:rsidRPr="008B3051">
        <w:rPr>
          <w:rStyle w:val="Hyperlink"/>
          <w:rFonts w:ascii="Verdana" w:hAnsi="Verdana"/>
          <w:color w:val="auto"/>
        </w:rPr>
        <w:t>taxable year</w:t>
      </w:r>
      <w:r w:rsidRPr="008B3051">
        <w:rPr>
          <w:rFonts w:ascii="Verdana" w:hAnsi="Verdana"/>
        </w:rPr>
        <w:t> in which the credit arose. For purposes of the preceding sentence, credits shall be treated as used on a first-in first-out basis.</w:t>
      </w:r>
    </w:p>
    <w:p w14:paraId="1622C789"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Definitions</w:t>
      </w:r>
      <w:r w:rsidRPr="008B3051">
        <w:rPr>
          <w:rStyle w:val="chapeau"/>
          <w:rFonts w:ascii="Verdana" w:hAnsi="Verdana"/>
        </w:rPr>
        <w:t>For purposes of this section—</w:t>
      </w:r>
    </w:p>
    <w:p w14:paraId="4F4D995A" w14:textId="1922D6C3"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Qualified adoption expenses</w:t>
      </w:r>
      <w:r w:rsidRPr="008B3051">
        <w:rPr>
          <w:rStyle w:val="chapeau"/>
          <w:rFonts w:ascii="Verdana" w:hAnsi="Verdana"/>
        </w:rPr>
        <w:t>The term “</w:t>
      </w:r>
      <w:r w:rsidRPr="008B3051">
        <w:rPr>
          <w:rStyle w:val="Hyperlink"/>
          <w:rFonts w:ascii="Verdana" w:hAnsi="Verdana"/>
          <w:color w:val="auto"/>
        </w:rPr>
        <w:t>qualified adoption expenses</w:t>
      </w:r>
      <w:r w:rsidRPr="008B3051">
        <w:rPr>
          <w:rStyle w:val="chapeau"/>
          <w:rFonts w:ascii="Verdana" w:hAnsi="Verdana"/>
        </w:rPr>
        <w:t>” means reasonable and necessary adoption fees, court costs, attorney fees, and other expenses—</w:t>
      </w:r>
    </w:p>
    <w:p w14:paraId="6F00EF94"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11F3F176" w14:textId="0DF44F43" w:rsidR="00AB7AF9" w:rsidRPr="008B3051" w:rsidRDefault="00AB7AF9" w:rsidP="00AB7AF9">
      <w:pPr>
        <w:shd w:val="clear" w:color="auto" w:fill="FFFFFF"/>
        <w:rPr>
          <w:rFonts w:ascii="Verdana" w:hAnsi="Verdana"/>
        </w:rPr>
      </w:pPr>
      <w:r w:rsidRPr="008B3051">
        <w:rPr>
          <w:rFonts w:ascii="Verdana" w:hAnsi="Verdana"/>
        </w:rPr>
        <w:t>which are directly related to, and the principal purpose of which is for, the legal adoption of an </w:t>
      </w:r>
      <w:r w:rsidRPr="008B3051">
        <w:rPr>
          <w:rStyle w:val="Hyperlink"/>
          <w:rFonts w:ascii="Verdana" w:hAnsi="Verdana"/>
          <w:color w:val="auto"/>
        </w:rPr>
        <w:t>eligible child</w:t>
      </w:r>
      <w:r w:rsidRPr="008B3051">
        <w:rPr>
          <w:rFonts w:ascii="Verdana" w:hAnsi="Verdana"/>
        </w:rPr>
        <w:t> by the taxpayer,</w:t>
      </w:r>
    </w:p>
    <w:p w14:paraId="5682F68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938C839" w14:textId="3D2818E7" w:rsidR="00AB7AF9" w:rsidRPr="008B3051" w:rsidRDefault="00AB7AF9" w:rsidP="00AB7AF9">
      <w:pPr>
        <w:shd w:val="clear" w:color="auto" w:fill="FFFFFF"/>
        <w:rPr>
          <w:rFonts w:ascii="Verdana" w:hAnsi="Verdana"/>
        </w:rPr>
      </w:pPr>
      <w:r w:rsidRPr="008B3051">
        <w:rPr>
          <w:rFonts w:ascii="Verdana" w:hAnsi="Verdana"/>
        </w:rPr>
        <w:t>which are not incurred in violation of </w:t>
      </w:r>
      <w:r w:rsidRPr="008B3051">
        <w:rPr>
          <w:rStyle w:val="Hyperlink"/>
          <w:rFonts w:ascii="Verdana" w:hAnsi="Verdana"/>
          <w:color w:val="auto"/>
        </w:rPr>
        <w:t>State</w:t>
      </w:r>
      <w:r w:rsidRPr="008B3051">
        <w:rPr>
          <w:rFonts w:ascii="Verdana" w:hAnsi="Verdana"/>
        </w:rPr>
        <w:t> or Federal law or in carrying out any surrogate parenting arrangement,</w:t>
      </w:r>
    </w:p>
    <w:p w14:paraId="12662679" w14:textId="77777777" w:rsidR="00AB7AF9" w:rsidRPr="008B3051" w:rsidRDefault="00AB7AF9" w:rsidP="00AB7AF9">
      <w:pPr>
        <w:shd w:val="clear" w:color="auto" w:fill="FFFFFF"/>
        <w:rPr>
          <w:rFonts w:ascii="Verdana" w:hAnsi="Verdana"/>
        </w:rPr>
      </w:pPr>
      <w:bookmarkStart w:id="333" w:name="d_1_C"/>
      <w:bookmarkEnd w:id="333"/>
      <w:r w:rsidRPr="008B3051">
        <w:rPr>
          <w:rStyle w:val="num"/>
          <w:rFonts w:ascii="Verdana" w:hAnsi="Verdana"/>
          <w:b/>
          <w:bCs/>
        </w:rPr>
        <w:t>(C)</w:t>
      </w:r>
    </w:p>
    <w:p w14:paraId="73DEBBDB" w14:textId="77777777" w:rsidR="00AB7AF9" w:rsidRPr="008B3051" w:rsidRDefault="00AB7AF9" w:rsidP="00AB7AF9">
      <w:pPr>
        <w:shd w:val="clear" w:color="auto" w:fill="FFFFFF"/>
        <w:rPr>
          <w:rFonts w:ascii="Verdana" w:hAnsi="Verdana"/>
        </w:rPr>
      </w:pPr>
      <w:r w:rsidRPr="008B3051">
        <w:rPr>
          <w:rFonts w:ascii="Verdana" w:hAnsi="Verdana"/>
        </w:rPr>
        <w:t>which are not expenses in connection with the adoption by an individual of a child who is the child of such individual’s spouse, and</w:t>
      </w:r>
    </w:p>
    <w:p w14:paraId="42D9C0D6" w14:textId="77777777" w:rsidR="00AB7AF9" w:rsidRPr="008B3051" w:rsidRDefault="00AB7AF9" w:rsidP="00AB7AF9">
      <w:pPr>
        <w:shd w:val="clear" w:color="auto" w:fill="FFFFFF"/>
        <w:rPr>
          <w:rFonts w:ascii="Verdana" w:hAnsi="Verdana"/>
        </w:rPr>
      </w:pPr>
      <w:bookmarkStart w:id="334" w:name="d_1_D"/>
      <w:bookmarkEnd w:id="334"/>
      <w:r w:rsidRPr="008B3051">
        <w:rPr>
          <w:rStyle w:val="num"/>
          <w:rFonts w:ascii="Verdana" w:hAnsi="Verdana"/>
          <w:b/>
          <w:bCs/>
        </w:rPr>
        <w:t>(D)</w:t>
      </w:r>
    </w:p>
    <w:p w14:paraId="36C7AA62" w14:textId="77777777" w:rsidR="00AB7AF9" w:rsidRPr="008B3051" w:rsidRDefault="00AB7AF9" w:rsidP="00AB7AF9">
      <w:pPr>
        <w:shd w:val="clear" w:color="auto" w:fill="FFFFFF"/>
        <w:rPr>
          <w:rFonts w:ascii="Verdana" w:hAnsi="Verdana"/>
        </w:rPr>
      </w:pPr>
      <w:r w:rsidRPr="008B3051">
        <w:rPr>
          <w:rFonts w:ascii="Verdana" w:hAnsi="Verdana"/>
        </w:rPr>
        <w:t>which are not reimbursed under an employer program or otherwise.</w:t>
      </w:r>
    </w:p>
    <w:p w14:paraId="24E046DF" w14:textId="761F0E22"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Eligible child</w:t>
      </w:r>
      <w:r w:rsidRPr="008B3051">
        <w:rPr>
          <w:rStyle w:val="chapeau"/>
          <w:rFonts w:ascii="Verdana" w:hAnsi="Verdana"/>
        </w:rPr>
        <w:t>The term “</w:t>
      </w:r>
      <w:r w:rsidRPr="008B3051">
        <w:rPr>
          <w:rStyle w:val="Hyperlink"/>
          <w:rFonts w:ascii="Verdana" w:hAnsi="Verdana"/>
          <w:color w:val="auto"/>
        </w:rPr>
        <w:t>eligible child</w:t>
      </w:r>
      <w:r w:rsidRPr="008B3051">
        <w:rPr>
          <w:rStyle w:val="chapeau"/>
          <w:rFonts w:ascii="Verdana" w:hAnsi="Verdana"/>
        </w:rPr>
        <w:t>” means any individual who—</w:t>
      </w:r>
    </w:p>
    <w:p w14:paraId="4B0BA79C"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1929FA45" w14:textId="77777777" w:rsidR="00AB7AF9" w:rsidRPr="008B3051" w:rsidRDefault="00AB7AF9" w:rsidP="00AB7AF9">
      <w:pPr>
        <w:shd w:val="clear" w:color="auto" w:fill="FFFFFF"/>
        <w:rPr>
          <w:rFonts w:ascii="Verdana" w:hAnsi="Verdana"/>
        </w:rPr>
      </w:pPr>
      <w:r w:rsidRPr="008B3051">
        <w:rPr>
          <w:rFonts w:ascii="Verdana" w:hAnsi="Verdana"/>
        </w:rPr>
        <w:t>has not attained age 18, or</w:t>
      </w:r>
    </w:p>
    <w:p w14:paraId="7A72E06F"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24190B72" w14:textId="77777777" w:rsidR="00AB7AF9" w:rsidRPr="008B3051" w:rsidRDefault="00AB7AF9" w:rsidP="00AB7AF9">
      <w:pPr>
        <w:shd w:val="clear" w:color="auto" w:fill="FFFFFF"/>
        <w:rPr>
          <w:rFonts w:ascii="Verdana" w:hAnsi="Verdana"/>
        </w:rPr>
      </w:pPr>
      <w:r w:rsidRPr="008B3051">
        <w:rPr>
          <w:rFonts w:ascii="Verdana" w:hAnsi="Verdana"/>
        </w:rPr>
        <w:t>is physically or mentally incapable of caring for himself.</w:t>
      </w:r>
    </w:p>
    <w:p w14:paraId="6FD8D779" w14:textId="5FAE9F14"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Child with special needs</w:t>
      </w:r>
      <w:r w:rsidRPr="008B3051">
        <w:rPr>
          <w:rStyle w:val="chapeau"/>
          <w:rFonts w:ascii="Verdana" w:hAnsi="Verdana"/>
        </w:rPr>
        <w:t>The term “</w:t>
      </w:r>
      <w:r w:rsidRPr="008B3051">
        <w:rPr>
          <w:rStyle w:val="Hyperlink"/>
          <w:rFonts w:ascii="Verdana" w:hAnsi="Verdana"/>
          <w:color w:val="auto"/>
        </w:rPr>
        <w:t>child with special needs</w:t>
      </w:r>
      <w:r w:rsidRPr="008B3051">
        <w:rPr>
          <w:rStyle w:val="chapeau"/>
          <w:rFonts w:ascii="Verdana" w:hAnsi="Verdana"/>
        </w:rPr>
        <w:t>” means any child if—</w:t>
      </w:r>
    </w:p>
    <w:p w14:paraId="6CCF2C99" w14:textId="77777777" w:rsidR="00AB7AF9" w:rsidRPr="008B3051" w:rsidRDefault="00AB7AF9" w:rsidP="00AB7AF9">
      <w:pPr>
        <w:shd w:val="clear" w:color="auto" w:fill="FFFFFF"/>
        <w:rPr>
          <w:rFonts w:ascii="Verdana" w:hAnsi="Verdana"/>
        </w:rPr>
      </w:pPr>
      <w:bookmarkStart w:id="335" w:name="d_3_A"/>
      <w:bookmarkEnd w:id="335"/>
      <w:r w:rsidRPr="008B3051">
        <w:rPr>
          <w:rStyle w:val="num"/>
          <w:rFonts w:ascii="Verdana" w:hAnsi="Verdana"/>
          <w:b/>
          <w:bCs/>
        </w:rPr>
        <w:t>(A)</w:t>
      </w:r>
    </w:p>
    <w:p w14:paraId="62EEDC4C" w14:textId="4C694C8A" w:rsidR="00AB7AF9" w:rsidRPr="008B3051" w:rsidRDefault="00AB7AF9" w:rsidP="00AB7AF9">
      <w:pPr>
        <w:shd w:val="clear" w:color="auto" w:fill="FFFFFF"/>
        <w:rPr>
          <w:rFonts w:ascii="Verdana" w:hAnsi="Verdana"/>
        </w:rPr>
      </w:pPr>
      <w:r w:rsidRPr="008B3051">
        <w:rPr>
          <w:rFonts w:ascii="Verdana" w:hAnsi="Verdana"/>
        </w:rPr>
        <w:lastRenderedPageBreak/>
        <w:t>a </w:t>
      </w:r>
      <w:r w:rsidRPr="008B3051">
        <w:rPr>
          <w:rStyle w:val="Hyperlink"/>
          <w:rFonts w:ascii="Verdana" w:hAnsi="Verdana"/>
          <w:color w:val="auto"/>
        </w:rPr>
        <w:t>State</w:t>
      </w:r>
      <w:r w:rsidRPr="008B3051">
        <w:rPr>
          <w:rFonts w:ascii="Verdana" w:hAnsi="Verdana"/>
        </w:rPr>
        <w:t> has determined that the child cannot or should not be returned to the home of his parents,</w:t>
      </w:r>
    </w:p>
    <w:p w14:paraId="00862D0D" w14:textId="77777777" w:rsidR="00AB7AF9" w:rsidRPr="008B3051" w:rsidRDefault="00AB7AF9" w:rsidP="00AB7AF9">
      <w:pPr>
        <w:shd w:val="clear" w:color="auto" w:fill="FFFFFF"/>
        <w:rPr>
          <w:rFonts w:ascii="Verdana" w:hAnsi="Verdana"/>
        </w:rPr>
      </w:pPr>
      <w:bookmarkStart w:id="336" w:name="d_3_B"/>
      <w:bookmarkEnd w:id="336"/>
      <w:r w:rsidRPr="008B3051">
        <w:rPr>
          <w:rStyle w:val="num"/>
          <w:rFonts w:ascii="Verdana" w:hAnsi="Verdana"/>
          <w:b/>
          <w:bCs/>
        </w:rPr>
        <w:t>(B)</w:t>
      </w:r>
    </w:p>
    <w:p w14:paraId="367AEC3E" w14:textId="2CA68AB2" w:rsidR="00AB7AF9" w:rsidRPr="008B3051" w:rsidRDefault="00AB7AF9" w:rsidP="00AB7AF9">
      <w:pPr>
        <w:shd w:val="clear" w:color="auto" w:fill="FFFFFF"/>
        <w:rPr>
          <w:rFonts w:ascii="Verdana" w:hAnsi="Verdana"/>
        </w:rPr>
      </w:pPr>
      <w:r w:rsidRPr="008B3051">
        <w:rPr>
          <w:rFonts w:ascii="Verdana" w:hAnsi="Verdana"/>
        </w:rPr>
        <w:t>such </w:t>
      </w:r>
      <w:r w:rsidRPr="008B3051">
        <w:rPr>
          <w:rStyle w:val="Hyperlink"/>
          <w:rFonts w:ascii="Verdana" w:hAnsi="Verdana"/>
          <w:color w:val="auto"/>
        </w:rPr>
        <w:t>State</w:t>
      </w:r>
      <w:r w:rsidRPr="008B3051">
        <w:rPr>
          <w:rFonts w:ascii="Verdana" w:hAnsi="Verdana"/>
        </w:rPr>
        <w:t> has determined that there exists with respect to the child a specific factor or condition (such as his ethnic background, age, or membership in a minority or sibling group, or the presence of factors such as medical conditions or physical, mental, or emotional handicaps) because of which it is reasonable to conclude that such child cannot be placed with adoptive parents without providing adoption assistance, and</w:t>
      </w:r>
    </w:p>
    <w:p w14:paraId="24C5D9EC" w14:textId="77777777" w:rsidR="00AB7AF9" w:rsidRPr="008B3051" w:rsidRDefault="00AB7AF9" w:rsidP="00AB7AF9">
      <w:pPr>
        <w:shd w:val="clear" w:color="auto" w:fill="FFFFFF"/>
        <w:rPr>
          <w:rFonts w:ascii="Verdana" w:hAnsi="Verdana"/>
        </w:rPr>
      </w:pPr>
      <w:bookmarkStart w:id="337" w:name="d_3_C"/>
      <w:bookmarkEnd w:id="337"/>
      <w:r w:rsidRPr="008B3051">
        <w:rPr>
          <w:rStyle w:val="num"/>
          <w:rFonts w:ascii="Verdana" w:hAnsi="Verdana"/>
          <w:b/>
          <w:bCs/>
        </w:rPr>
        <w:t>(C)</w:t>
      </w:r>
    </w:p>
    <w:p w14:paraId="5545F80B" w14:textId="363D763C" w:rsidR="00AB7AF9" w:rsidRPr="008B3051" w:rsidRDefault="00AB7AF9" w:rsidP="00AB7AF9">
      <w:pPr>
        <w:shd w:val="clear" w:color="auto" w:fill="FFFFFF"/>
        <w:rPr>
          <w:rFonts w:ascii="Verdana" w:hAnsi="Verdana"/>
        </w:rPr>
      </w:pPr>
      <w:r w:rsidRPr="008B3051">
        <w:rPr>
          <w:rFonts w:ascii="Verdana" w:hAnsi="Verdana"/>
        </w:rPr>
        <w:t>such child is a citizen or resident of the </w:t>
      </w:r>
      <w:r w:rsidRPr="008B3051">
        <w:rPr>
          <w:rStyle w:val="Hyperlink"/>
          <w:rFonts w:ascii="Verdana" w:hAnsi="Verdana"/>
          <w:color w:val="auto"/>
        </w:rPr>
        <w:t>United States</w:t>
      </w:r>
      <w:r w:rsidRPr="008B3051">
        <w:rPr>
          <w:rFonts w:ascii="Verdana" w:hAnsi="Verdana"/>
        </w:rPr>
        <w:t> (as defined in </w:t>
      </w:r>
      <w:r w:rsidRPr="008B3051">
        <w:rPr>
          <w:rStyle w:val="Hyperlink"/>
          <w:rFonts w:ascii="Verdana" w:hAnsi="Verdana"/>
          <w:color w:val="auto"/>
        </w:rPr>
        <w:t>section 217(h)(3)</w:t>
      </w:r>
      <w:r w:rsidRPr="008B3051">
        <w:rPr>
          <w:rFonts w:ascii="Verdana" w:hAnsi="Verdana"/>
        </w:rPr>
        <w:t>).</w:t>
      </w:r>
    </w:p>
    <w:p w14:paraId="78499882" w14:textId="724A0722"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 for foreign adoptions</w:t>
      </w:r>
      <w:r w:rsidRPr="008B3051">
        <w:rPr>
          <w:rStyle w:val="chapeau"/>
          <w:rFonts w:ascii="Verdana" w:hAnsi="Verdana"/>
        </w:rPr>
        <w:t>In the case of an adoption of a child who is not a citizen or resident of the </w:t>
      </w:r>
      <w:r w:rsidRPr="008B3051">
        <w:rPr>
          <w:rStyle w:val="Hyperlink"/>
          <w:rFonts w:ascii="Verdana" w:hAnsi="Verdana"/>
          <w:color w:val="auto"/>
        </w:rPr>
        <w:t>United States</w:t>
      </w:r>
      <w:r w:rsidRPr="008B3051">
        <w:rPr>
          <w:rStyle w:val="chapeau"/>
          <w:rFonts w:ascii="Verdana" w:hAnsi="Verdana"/>
        </w:rPr>
        <w:t> (as defined in </w:t>
      </w:r>
      <w:r w:rsidRPr="008B3051">
        <w:rPr>
          <w:rStyle w:val="Hyperlink"/>
          <w:rFonts w:ascii="Verdana" w:hAnsi="Verdana"/>
          <w:color w:val="auto"/>
        </w:rPr>
        <w:t>section 217(h)(3)</w:t>
      </w:r>
      <w:r w:rsidRPr="008B3051">
        <w:rPr>
          <w:rStyle w:val="chapeau"/>
          <w:rFonts w:ascii="Verdana" w:hAnsi="Verdana"/>
        </w:rPr>
        <w:t>)—</w:t>
      </w:r>
    </w:p>
    <w:p w14:paraId="3A6C9D40"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73D97AFC" w14:textId="77777777" w:rsidR="00AB7AF9" w:rsidRPr="008B3051" w:rsidRDefault="00AB7AF9" w:rsidP="00AB7AF9">
      <w:pPr>
        <w:shd w:val="clear" w:color="auto" w:fill="FFFFFF"/>
        <w:rPr>
          <w:rFonts w:ascii="Verdana" w:hAnsi="Verdana"/>
        </w:rPr>
      </w:pPr>
      <w:r w:rsidRPr="008B3051">
        <w:rPr>
          <w:rFonts w:ascii="Verdana" w:hAnsi="Verdana"/>
        </w:rPr>
        <w:t>subsection (a) shall not apply to any qualified adoption expense with respect to such adoption unless such adoption becomes final, and</w:t>
      </w:r>
    </w:p>
    <w:p w14:paraId="79501479"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102E5AC6" w14:textId="45D1EC7C" w:rsidR="00AB7AF9" w:rsidRPr="008B3051" w:rsidRDefault="00AB7AF9" w:rsidP="00AB7AF9">
      <w:pPr>
        <w:shd w:val="clear" w:color="auto" w:fill="FFFFFF"/>
        <w:rPr>
          <w:rFonts w:ascii="Verdana" w:hAnsi="Verdana"/>
        </w:rPr>
      </w:pPr>
      <w:r w:rsidRPr="008B3051">
        <w:rPr>
          <w:rFonts w:ascii="Verdana" w:hAnsi="Verdana"/>
        </w:rPr>
        <w:t>any such expense which is </w:t>
      </w:r>
      <w:r w:rsidRPr="008B3051">
        <w:rPr>
          <w:rStyle w:val="Hyperlink"/>
          <w:rFonts w:ascii="Verdana" w:hAnsi="Verdana"/>
          <w:color w:val="auto"/>
        </w:rPr>
        <w:t>paid or incurred</w:t>
      </w:r>
      <w:r w:rsidRPr="008B3051">
        <w:rPr>
          <w:rFonts w:ascii="Verdana" w:hAnsi="Verdana"/>
        </w:rPr>
        <w:t> before the taxable year in which such adoption becomes final shall be taken into account under this section as if such expense were </w:t>
      </w:r>
      <w:r w:rsidRPr="008B3051">
        <w:rPr>
          <w:rStyle w:val="Hyperlink"/>
          <w:rFonts w:ascii="Verdana" w:hAnsi="Verdana"/>
          <w:color w:val="auto"/>
        </w:rPr>
        <w:t>paid or incurred</w:t>
      </w:r>
      <w:r w:rsidRPr="008B3051">
        <w:rPr>
          <w:rFonts w:ascii="Verdana" w:hAnsi="Verdana"/>
        </w:rPr>
        <w:t> during such year.</w:t>
      </w:r>
    </w:p>
    <w:p w14:paraId="5D5D184C"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Filing requirements</w:t>
      </w:r>
    </w:p>
    <w:p w14:paraId="577A088E"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Married couples must file joint returns</w:t>
      </w:r>
    </w:p>
    <w:p w14:paraId="7FA70D78" w14:textId="00B776D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Rules similar to the rules of paragraphs (2), (3), and (4) of </w:t>
      </w:r>
      <w:r w:rsidRPr="008B3051">
        <w:rPr>
          <w:rStyle w:val="Hyperlink"/>
          <w:rFonts w:ascii="Verdana" w:hAnsi="Verdana"/>
          <w:color w:val="auto"/>
        </w:rPr>
        <w:t>section 21(e)</w:t>
      </w:r>
      <w:r w:rsidRPr="008B3051">
        <w:rPr>
          <w:rFonts w:ascii="Verdana" w:hAnsi="Verdana"/>
        </w:rPr>
        <w:t> shall apply for purposes of this section.</w:t>
      </w:r>
    </w:p>
    <w:p w14:paraId="46BCA549"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Taxpayer must include TIN</w:t>
      </w:r>
    </w:p>
    <w:p w14:paraId="4E1DC28D"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66BD7DAD" w14:textId="67C480A1"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with respect to any </w:t>
      </w:r>
      <w:r w:rsidRPr="008B3051">
        <w:rPr>
          <w:rStyle w:val="Hyperlink"/>
          <w:rFonts w:ascii="Verdana" w:hAnsi="Verdana"/>
          <w:color w:val="auto"/>
        </w:rPr>
        <w:t>eligible child</w:t>
      </w:r>
      <w:r w:rsidRPr="008B3051">
        <w:rPr>
          <w:rFonts w:ascii="Verdana" w:hAnsi="Verdana"/>
        </w:rPr>
        <w:t> unless the taxpayer includes (if known) the name, age, and TIN of such child on the return of tax for the taxable year.</w:t>
      </w:r>
    </w:p>
    <w:p w14:paraId="0E8B499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Other methods</w:t>
      </w:r>
    </w:p>
    <w:p w14:paraId="1093D7DE" w14:textId="7A8FA86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may, in lieu of the information referred to in subparagraph (A), require other information meeting the purposes of subparagraph (A), including identification of an agent assisting with the adoption.</w:t>
      </w:r>
    </w:p>
    <w:p w14:paraId="12CD0C3C" w14:textId="77777777"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Basis adjustments</w:t>
      </w:r>
    </w:p>
    <w:p w14:paraId="5F5B1031" w14:textId="77FE999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this subtitle, if a credit is allowed under this section for any expenditure with respect to any </w:t>
      </w:r>
      <w:r w:rsidRPr="008B3051">
        <w:rPr>
          <w:rStyle w:val="Hyperlink"/>
          <w:rFonts w:ascii="Verdana" w:hAnsi="Verdana"/>
          <w:color w:val="auto"/>
        </w:rPr>
        <w:t>property</w:t>
      </w:r>
      <w:r w:rsidRPr="008B3051">
        <w:rPr>
          <w:rFonts w:ascii="Verdana" w:hAnsi="Verdana"/>
        </w:rPr>
        <w:t>, the increase in the basis of such </w:t>
      </w:r>
      <w:r w:rsidRPr="008B3051">
        <w:rPr>
          <w:rStyle w:val="Hyperlink"/>
          <w:rFonts w:ascii="Verdana" w:hAnsi="Verdana"/>
          <w:color w:val="auto"/>
        </w:rPr>
        <w:t>property</w:t>
      </w:r>
      <w:r w:rsidRPr="008B3051">
        <w:rPr>
          <w:rFonts w:ascii="Verdana" w:hAnsi="Verdana"/>
        </w:rPr>
        <w:t> which would (but for this subsection) result from such expenditure shall be reduced by the amount of the credit so allowed.</w:t>
      </w:r>
    </w:p>
    <w:p w14:paraId="4389230F" w14:textId="37A93F22" w:rsidR="00AB7AF9" w:rsidRPr="008B3051" w:rsidRDefault="00AB7AF9" w:rsidP="00AB7AF9">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Adjustments for inflation</w:t>
      </w:r>
      <w:r w:rsidRPr="008B3051">
        <w:rPr>
          <w:rStyle w:val="chapeau"/>
          <w:rFonts w:ascii="Verdana" w:hAnsi="Verdana"/>
        </w:rPr>
        <w:t>In the case of a </w:t>
      </w:r>
      <w:r w:rsidRPr="008B3051">
        <w:rPr>
          <w:rStyle w:val="Hyperlink"/>
          <w:rFonts w:ascii="Verdana" w:hAnsi="Verdana"/>
          <w:color w:val="auto"/>
        </w:rPr>
        <w:t>taxable year</w:t>
      </w:r>
      <w:r w:rsidRPr="008B3051">
        <w:rPr>
          <w:rStyle w:val="chapeau"/>
          <w:rFonts w:ascii="Verdana" w:hAnsi="Verdana"/>
        </w:rPr>
        <w:t> beginning after </w:t>
      </w:r>
      <w:r w:rsidRPr="008B3051">
        <w:rPr>
          <w:rStyle w:val="Date2"/>
          <w:rFonts w:ascii="Verdana" w:hAnsi="Verdana"/>
        </w:rPr>
        <w:t>December 31, 2002</w:t>
      </w:r>
      <w:r w:rsidRPr="008B3051">
        <w:rPr>
          <w:rStyle w:val="chapeau"/>
          <w:rFonts w:ascii="Verdana" w:hAnsi="Verdana"/>
        </w:rPr>
        <w:t>, each of the dollar amounts in subsection (a)(3) and paragraphs (1) and (2)(A)(i) of subsection (b) shall be increased by an amount equal to—</w:t>
      </w:r>
    </w:p>
    <w:p w14:paraId="7F12C89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0EA565E1" w14:textId="77777777" w:rsidR="00AB7AF9" w:rsidRPr="008B3051" w:rsidRDefault="00AB7AF9" w:rsidP="00AB7AF9">
      <w:pPr>
        <w:shd w:val="clear" w:color="auto" w:fill="FFFFFF"/>
        <w:rPr>
          <w:rFonts w:ascii="Verdana" w:hAnsi="Verdana"/>
        </w:rPr>
      </w:pPr>
      <w:r w:rsidRPr="008B3051">
        <w:rPr>
          <w:rFonts w:ascii="Verdana" w:hAnsi="Verdana"/>
        </w:rPr>
        <w:t>such dollar amount, multiplied by</w:t>
      </w:r>
    </w:p>
    <w:p w14:paraId="7A421E4F"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5591B808" w14:textId="2F744002" w:rsidR="00AB7AF9" w:rsidRPr="008B3051" w:rsidRDefault="00AB7AF9" w:rsidP="00AB7AF9">
      <w:pPr>
        <w:shd w:val="clear" w:color="auto" w:fill="FFFFFF"/>
        <w:rPr>
          <w:rFonts w:ascii="Verdana" w:hAnsi="Verdana"/>
        </w:rPr>
      </w:pPr>
      <w:r w:rsidRPr="008B3051">
        <w:rPr>
          <w:rFonts w:ascii="Verdana" w:hAnsi="Verdana"/>
        </w:rPr>
        <w:t>the cost-of-living adjustment determined under section 1(f)(3) for the </w:t>
      </w:r>
      <w:r w:rsidRPr="008B3051">
        <w:rPr>
          <w:rStyle w:val="Hyperlink"/>
          <w:rFonts w:ascii="Verdana" w:hAnsi="Verdana"/>
          <w:color w:val="auto"/>
        </w:rPr>
        <w:t>calendar year</w:t>
      </w:r>
      <w:r w:rsidRPr="008B3051">
        <w:rPr>
          <w:rFonts w:ascii="Verdana" w:hAnsi="Verdana"/>
        </w:rPr>
        <w:t> in which the taxable year begins, determined by substituting “</w:t>
      </w:r>
      <w:r w:rsidRPr="008B3051">
        <w:rPr>
          <w:rStyle w:val="Hyperlink"/>
          <w:rFonts w:ascii="Verdana" w:hAnsi="Verdana"/>
          <w:color w:val="auto"/>
        </w:rPr>
        <w:t>calendar year</w:t>
      </w:r>
      <w:r w:rsidRPr="008B3051">
        <w:rPr>
          <w:rFonts w:ascii="Verdana" w:hAnsi="Verdana"/>
        </w:rPr>
        <w:t> 2001” for “</w:t>
      </w:r>
      <w:r w:rsidRPr="008B3051">
        <w:rPr>
          <w:rStyle w:val="Hyperlink"/>
          <w:rFonts w:ascii="Verdana" w:hAnsi="Verdana"/>
          <w:color w:val="auto"/>
        </w:rPr>
        <w:t>calendar year 2016</w:t>
      </w:r>
      <w:r w:rsidRPr="008B3051">
        <w:rPr>
          <w:rFonts w:ascii="Verdana" w:hAnsi="Verdana"/>
        </w:rPr>
        <w:t>” in subparagraph (A)(ii) thereof.</w:t>
      </w:r>
    </w:p>
    <w:p w14:paraId="524DE425" w14:textId="77777777" w:rsidR="00AB7AF9" w:rsidRPr="008B3051" w:rsidRDefault="00AB7AF9" w:rsidP="00AB7AF9">
      <w:pPr>
        <w:shd w:val="clear" w:color="auto" w:fill="FFFFFF"/>
        <w:rPr>
          <w:rFonts w:ascii="Verdana" w:hAnsi="Verdana"/>
        </w:rPr>
      </w:pPr>
      <w:r w:rsidRPr="008B3051">
        <w:rPr>
          <w:rFonts w:ascii="Verdana" w:hAnsi="Verdana"/>
        </w:rPr>
        <w:t>If any amount as increased under the preceding sentence is not a multiple of $10, such amount shall be rounded to the nearest multiple of $10.</w:t>
      </w:r>
    </w:p>
    <w:p w14:paraId="11364619"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smallCaps/>
        </w:rPr>
        <w:t>Regulations</w:t>
      </w:r>
    </w:p>
    <w:p w14:paraId="6A2BDAB6" w14:textId="7FFE5DA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shall prescribe such regulations as may be appropriate to carry out this section and section 137, including regulations which treat unmarried individuals who pay or incur </w:t>
      </w:r>
      <w:r w:rsidRPr="008B3051">
        <w:rPr>
          <w:rStyle w:val="Hyperlink"/>
          <w:rFonts w:ascii="Verdana" w:hAnsi="Verdana"/>
          <w:color w:val="auto"/>
        </w:rPr>
        <w:t>qualified adoption expenses</w:t>
      </w:r>
      <w:r w:rsidRPr="008B3051">
        <w:rPr>
          <w:rFonts w:ascii="Verdana" w:hAnsi="Verdana"/>
        </w:rPr>
        <w:t> with respect to the same child as 1 taxpayer for purposes of applying the dollar amounts in subsections (a)(3) and (b)(1) of this section and in section 137(b)(1).</w:t>
      </w:r>
    </w:p>
    <w:p w14:paraId="2F7269B6" w14:textId="7F182AFA"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104–188, title I</w:t>
      </w:r>
      <w:r w:rsidRPr="008B3051">
        <w:rPr>
          <w:rFonts w:ascii="Verdana" w:hAnsi="Verdana"/>
        </w:rPr>
        <w:t>, § 1807(a), </w:t>
      </w:r>
      <w:r w:rsidRPr="008B3051">
        <w:rPr>
          <w:rStyle w:val="Date2"/>
          <w:rFonts w:ascii="Verdana" w:hAnsi="Verdana"/>
        </w:rPr>
        <w:t>Aug. 20, 1996</w:t>
      </w:r>
      <w:r w:rsidRPr="008B3051">
        <w:rPr>
          <w:rFonts w:ascii="Verdana" w:hAnsi="Verdana"/>
        </w:rPr>
        <w:t>, </w:t>
      </w:r>
      <w:r w:rsidRPr="008B3051">
        <w:rPr>
          <w:rStyle w:val="Hyperlink"/>
          <w:rFonts w:ascii="Verdana" w:hAnsi="Verdana"/>
          <w:color w:val="auto"/>
        </w:rPr>
        <w:t>110 Stat. 1899</w:t>
      </w:r>
      <w:r w:rsidRPr="008B3051">
        <w:rPr>
          <w:rFonts w:ascii="Verdana" w:hAnsi="Verdana"/>
        </w:rPr>
        <w:t>, § 23; amended </w:t>
      </w:r>
      <w:r w:rsidRPr="008B3051">
        <w:rPr>
          <w:rStyle w:val="Hyperlink"/>
          <w:rFonts w:ascii="Verdana" w:hAnsi="Verdana"/>
          <w:color w:val="auto"/>
        </w:rPr>
        <w:t>Pub. L. 105–34, title XVI</w:t>
      </w:r>
      <w:r w:rsidRPr="008B3051">
        <w:rPr>
          <w:rFonts w:ascii="Verdana" w:hAnsi="Verdana"/>
        </w:rPr>
        <w:t>, § 1601(h)(2)(A), (B), </w:t>
      </w:r>
      <w:r w:rsidRPr="008B3051">
        <w:rPr>
          <w:rStyle w:val="Date2"/>
          <w:rFonts w:ascii="Verdana" w:hAnsi="Verdana"/>
        </w:rPr>
        <w:t>Aug. 5, 1997</w:t>
      </w:r>
      <w:r w:rsidRPr="008B3051">
        <w:rPr>
          <w:rFonts w:ascii="Verdana" w:hAnsi="Verdana"/>
        </w:rPr>
        <w:t>, </w:t>
      </w:r>
      <w:r w:rsidRPr="008B3051">
        <w:rPr>
          <w:rStyle w:val="Hyperlink"/>
          <w:rFonts w:ascii="Verdana" w:hAnsi="Verdana"/>
          <w:color w:val="auto"/>
        </w:rPr>
        <w:t>111 Stat. 1092</w:t>
      </w:r>
      <w:r w:rsidRPr="008B3051">
        <w:rPr>
          <w:rFonts w:ascii="Verdana" w:hAnsi="Verdana"/>
        </w:rPr>
        <w:t>; </w:t>
      </w:r>
      <w:r w:rsidRPr="008B3051">
        <w:rPr>
          <w:rStyle w:val="Hyperlink"/>
          <w:rFonts w:ascii="Verdana" w:hAnsi="Verdana"/>
          <w:color w:val="auto"/>
        </w:rPr>
        <w:t>Pub. L. 105–206, title VI</w:t>
      </w:r>
      <w:r w:rsidRPr="008B3051">
        <w:rPr>
          <w:rFonts w:ascii="Verdana" w:hAnsi="Verdana"/>
        </w:rPr>
        <w:t>, §§ 6008(d)(6), 6018(f)(1), </w:t>
      </w:r>
      <w:r w:rsidRPr="008B3051">
        <w:rPr>
          <w:rStyle w:val="Date2"/>
          <w:rFonts w:ascii="Verdana" w:hAnsi="Verdana"/>
        </w:rPr>
        <w:t>July 22, 1998</w:t>
      </w:r>
      <w:r w:rsidRPr="008B3051">
        <w:rPr>
          <w:rFonts w:ascii="Verdana" w:hAnsi="Verdana"/>
        </w:rPr>
        <w:t>, </w:t>
      </w:r>
      <w:r w:rsidRPr="008B3051">
        <w:rPr>
          <w:rStyle w:val="Hyperlink"/>
          <w:rFonts w:ascii="Verdana" w:hAnsi="Verdana"/>
          <w:color w:val="auto"/>
        </w:rPr>
        <w:t>112 Stat. 812</w:t>
      </w:r>
      <w:r w:rsidRPr="008B3051">
        <w:rPr>
          <w:rFonts w:ascii="Verdana" w:hAnsi="Verdana"/>
        </w:rPr>
        <w:t>, 823; </w:t>
      </w:r>
      <w:r w:rsidRPr="008B3051">
        <w:rPr>
          <w:rStyle w:val="Hyperlink"/>
          <w:rFonts w:ascii="Verdana" w:hAnsi="Verdana"/>
          <w:color w:val="auto"/>
        </w:rPr>
        <w:t>Pub. L. 107–16, title II</w:t>
      </w:r>
      <w:r w:rsidRPr="008B3051">
        <w:rPr>
          <w:rFonts w:ascii="Verdana" w:hAnsi="Verdana"/>
        </w:rPr>
        <w:t>, §§ 201(b)(2)(E), 202(a)(1), (b)(1)(A), (2)(A), (c), (d)(1), (e)(1), (f)(1), (2)(A),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46–49</w:t>
      </w:r>
      <w:r w:rsidRPr="008B3051">
        <w:rPr>
          <w:rFonts w:ascii="Verdana" w:hAnsi="Verdana"/>
        </w:rPr>
        <w:t>; </w:t>
      </w:r>
      <w:r w:rsidRPr="008B3051">
        <w:rPr>
          <w:rStyle w:val="Hyperlink"/>
          <w:rFonts w:ascii="Verdana" w:hAnsi="Verdana"/>
          <w:color w:val="auto"/>
        </w:rPr>
        <w:t>Pub. L. 107–147, title IV</w:t>
      </w:r>
      <w:r w:rsidRPr="008B3051">
        <w:rPr>
          <w:rFonts w:ascii="Verdana" w:hAnsi="Verdana"/>
        </w:rPr>
        <w:t>, §§ 411(c)(1)(A)–(E), 418(a)(1), </w:t>
      </w:r>
      <w:r w:rsidRPr="008B3051">
        <w:rPr>
          <w:rStyle w:val="Date2"/>
          <w:rFonts w:ascii="Verdana" w:hAnsi="Verdana"/>
        </w:rPr>
        <w:t>Mar. 9, 2002</w:t>
      </w:r>
      <w:r w:rsidRPr="008B3051">
        <w:rPr>
          <w:rFonts w:ascii="Verdana" w:hAnsi="Verdana"/>
        </w:rPr>
        <w:t>, </w:t>
      </w:r>
      <w:r w:rsidRPr="008B3051">
        <w:rPr>
          <w:rStyle w:val="Hyperlink"/>
          <w:rFonts w:ascii="Verdana" w:hAnsi="Verdana"/>
          <w:color w:val="auto"/>
        </w:rPr>
        <w:t>116 Stat. 45</w:t>
      </w:r>
      <w:r w:rsidRPr="008B3051">
        <w:rPr>
          <w:rFonts w:ascii="Verdana" w:hAnsi="Verdana"/>
        </w:rPr>
        <w:t>, 57; </w:t>
      </w:r>
      <w:r w:rsidRPr="008B3051">
        <w:rPr>
          <w:rStyle w:val="Hyperlink"/>
          <w:rFonts w:ascii="Verdana" w:hAnsi="Verdana"/>
          <w:color w:val="auto"/>
        </w:rPr>
        <w:t>Pub. L. 109–58, title XIII</w:t>
      </w:r>
      <w:r w:rsidRPr="008B3051">
        <w:rPr>
          <w:rFonts w:ascii="Verdana" w:hAnsi="Verdana"/>
        </w:rPr>
        <w:t>, § 1335(b)(1), </w:t>
      </w:r>
      <w:r w:rsidRPr="008B3051">
        <w:rPr>
          <w:rStyle w:val="Date2"/>
          <w:rFonts w:ascii="Verdana" w:hAnsi="Verdana"/>
        </w:rPr>
        <w:t>Aug. 8, 2005</w:t>
      </w:r>
      <w:r w:rsidRPr="008B3051">
        <w:rPr>
          <w:rFonts w:ascii="Verdana" w:hAnsi="Verdana"/>
        </w:rPr>
        <w:t>, </w:t>
      </w:r>
      <w:r w:rsidRPr="008B3051">
        <w:rPr>
          <w:rStyle w:val="Hyperlink"/>
          <w:rFonts w:ascii="Verdana" w:hAnsi="Verdana"/>
          <w:color w:val="auto"/>
        </w:rPr>
        <w:t>119 Stat. 1036</w:t>
      </w:r>
      <w:r w:rsidRPr="008B3051">
        <w:rPr>
          <w:rFonts w:ascii="Verdana" w:hAnsi="Verdana"/>
        </w:rPr>
        <w:t>; </w:t>
      </w:r>
      <w:r w:rsidRPr="008B3051">
        <w:rPr>
          <w:rStyle w:val="Hyperlink"/>
          <w:rFonts w:ascii="Verdana" w:hAnsi="Verdana"/>
          <w:color w:val="auto"/>
        </w:rPr>
        <w:t>Pub. L. 109–135, title IV</w:t>
      </w:r>
      <w:r w:rsidRPr="008B3051">
        <w:rPr>
          <w:rFonts w:ascii="Verdana" w:hAnsi="Verdana"/>
        </w:rPr>
        <w:t>, § 402(i)(3)(A), (4),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2612</w:t>
      </w:r>
      <w:r w:rsidRPr="008B3051">
        <w:rPr>
          <w:rFonts w:ascii="Verdana" w:hAnsi="Verdana"/>
        </w:rPr>
        <w:t>, 2615; </w:t>
      </w:r>
      <w:r w:rsidRPr="008B3051">
        <w:rPr>
          <w:rStyle w:val="Hyperlink"/>
          <w:rFonts w:ascii="Verdana" w:hAnsi="Verdana"/>
          <w:color w:val="auto"/>
        </w:rPr>
        <w:t>Pub. L. 110–343, div. B, title I</w:t>
      </w:r>
      <w:r w:rsidRPr="008B3051">
        <w:rPr>
          <w:rFonts w:ascii="Verdana" w:hAnsi="Verdana"/>
        </w:rPr>
        <w:t>, § 106(e)(2)(A),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3817</w:t>
      </w:r>
      <w:r w:rsidRPr="008B3051">
        <w:rPr>
          <w:rFonts w:ascii="Verdana" w:hAnsi="Verdana"/>
        </w:rPr>
        <w:t>; renumbered § 36C, amended, and renumbered § 23, </w:t>
      </w:r>
      <w:r w:rsidRPr="008B3051">
        <w:rPr>
          <w:rStyle w:val="Hyperlink"/>
          <w:rFonts w:ascii="Verdana" w:hAnsi="Verdana"/>
          <w:color w:val="auto"/>
        </w:rPr>
        <w:t>Pub. L. 111–148, title X</w:t>
      </w:r>
      <w:r w:rsidRPr="008B3051">
        <w:rPr>
          <w:rFonts w:ascii="Verdana" w:hAnsi="Verdana"/>
        </w:rPr>
        <w:t>, § 10909(a)(1), (b)(1), (2)(I),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1021</w:t>
      </w:r>
      <w:r w:rsidRPr="008B3051">
        <w:rPr>
          <w:rFonts w:ascii="Verdana" w:hAnsi="Verdana"/>
        </w:rPr>
        <w:t>, 1022, 1023; </w:t>
      </w:r>
      <w:r w:rsidRPr="008B3051">
        <w:rPr>
          <w:rStyle w:val="Hyperlink"/>
          <w:rFonts w:ascii="Verdana" w:hAnsi="Verdana"/>
          <w:color w:val="auto"/>
        </w:rPr>
        <w:t>Pub. L. 111–312, title I</w:t>
      </w:r>
      <w:r w:rsidRPr="008B3051">
        <w:rPr>
          <w:rFonts w:ascii="Verdana" w:hAnsi="Verdana"/>
        </w:rPr>
        <w:t>, § 101(b)(1),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w:t>
      </w:r>
      <w:r w:rsidRPr="008B3051">
        <w:rPr>
          <w:rStyle w:val="Hyperlink"/>
          <w:rFonts w:ascii="Verdana" w:hAnsi="Verdana"/>
          <w:color w:val="auto"/>
        </w:rPr>
        <w:t>Pub. L. 112–240, title I</w:t>
      </w:r>
      <w:r w:rsidRPr="008B3051">
        <w:rPr>
          <w:rFonts w:ascii="Verdana" w:hAnsi="Verdana"/>
        </w:rPr>
        <w:t>, § 104(c)(2)(A),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2321</w:t>
      </w:r>
      <w:r w:rsidRPr="008B3051">
        <w:rPr>
          <w:rFonts w:ascii="Verdana" w:hAnsi="Verdana"/>
        </w:rPr>
        <w:t>; </w:t>
      </w:r>
      <w:r w:rsidRPr="008B3051">
        <w:rPr>
          <w:rStyle w:val="Hyperlink"/>
          <w:rFonts w:ascii="Verdana" w:hAnsi="Verdana"/>
          <w:color w:val="auto"/>
        </w:rPr>
        <w:t>Pub. L. 115–97, title I</w:t>
      </w:r>
      <w:r w:rsidRPr="008B3051">
        <w:rPr>
          <w:rFonts w:ascii="Verdana" w:hAnsi="Verdana"/>
        </w:rPr>
        <w:t>, § 11002(d)(1)(A),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2060</w:t>
      </w:r>
      <w:r w:rsidRPr="008B3051">
        <w:rPr>
          <w:rFonts w:ascii="Verdana" w:hAnsi="Verdana"/>
        </w:rPr>
        <w:t>.)</w:t>
      </w:r>
    </w:p>
    <w:p w14:paraId="72866F88" w14:textId="77777777" w:rsidR="00963B91" w:rsidRPr="008B3051" w:rsidRDefault="00963B91" w:rsidP="00963B91">
      <w:pPr>
        <w:shd w:val="clear" w:color="auto" w:fill="FFFFFF"/>
        <w:spacing w:after="60" w:line="240" w:lineRule="auto"/>
        <w:ind w:left="720"/>
        <w:rPr>
          <w:rFonts w:ascii="Verdana" w:hAnsi="Verdana"/>
        </w:rPr>
      </w:pPr>
    </w:p>
    <w:p w14:paraId="7B73404D" w14:textId="19879421"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24 - Child tax credit</w:t>
      </w:r>
    </w:p>
    <w:p w14:paraId="7914E693" w14:textId="31DE8DAA" w:rsidR="00AB7AF9" w:rsidRPr="008B3051" w:rsidRDefault="00AB7AF9" w:rsidP="00AB7AF9">
      <w:pPr>
        <w:shd w:val="clear" w:color="auto" w:fill="FFFFFF"/>
        <w:spacing w:after="60" w:line="240" w:lineRule="auto"/>
        <w:ind w:left="720"/>
        <w:rPr>
          <w:rFonts w:ascii="Verdana" w:hAnsi="Verdana"/>
        </w:rPr>
      </w:pPr>
    </w:p>
    <w:p w14:paraId="34FF8CF1"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(a)</w:t>
      </w:r>
      <w:r w:rsidRPr="008B3051">
        <w:rPr>
          <w:rStyle w:val="heading"/>
          <w:rFonts w:ascii="Verdana" w:hAnsi="Verdana"/>
          <w:b/>
          <w:bCs/>
          <w:smallCaps/>
        </w:rPr>
        <w:t>Allowance of credit</w:t>
      </w:r>
    </w:p>
    <w:p w14:paraId="4ACED5F0" w14:textId="514CEB3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There shall be allowed as a credit against the </w:t>
      </w:r>
      <w:r w:rsidRPr="008B3051">
        <w:rPr>
          <w:rStyle w:val="Hyperlink"/>
          <w:rFonts w:ascii="Verdana" w:hAnsi="Verdana"/>
          <w:color w:val="auto"/>
        </w:rPr>
        <w:t>tax</w:t>
      </w:r>
      <w:r w:rsidRPr="008B3051">
        <w:rPr>
          <w:rFonts w:ascii="Verdana" w:hAnsi="Verdana"/>
        </w:rPr>
        <w:t> imposed by this chapter for the </w:t>
      </w:r>
      <w:r w:rsidRPr="008B3051">
        <w:rPr>
          <w:rStyle w:val="Hyperlink"/>
          <w:rFonts w:ascii="Verdana" w:hAnsi="Verdana"/>
          <w:color w:val="auto"/>
        </w:rPr>
        <w:t>taxable year</w:t>
      </w:r>
      <w:r w:rsidRPr="008B3051">
        <w:rPr>
          <w:rFonts w:ascii="Verdana" w:hAnsi="Verdana"/>
        </w:rPr>
        <w:t> with respect to each </w:t>
      </w:r>
      <w:r w:rsidRPr="008B3051">
        <w:rPr>
          <w:rStyle w:val="Hyperlink"/>
          <w:rFonts w:ascii="Verdana" w:hAnsi="Verdana"/>
          <w:color w:val="auto"/>
        </w:rPr>
        <w:t>qualifying child</w:t>
      </w:r>
      <w:r w:rsidRPr="008B3051">
        <w:rPr>
          <w:rFonts w:ascii="Verdana" w:hAnsi="Verdana"/>
        </w:rPr>
        <w:t> of the taxpayer for which the taxpayer is allowed a deduction under </w:t>
      </w:r>
      <w:r w:rsidRPr="008B3051">
        <w:rPr>
          <w:rStyle w:val="Hyperlink"/>
          <w:rFonts w:ascii="Verdana" w:hAnsi="Verdana"/>
          <w:color w:val="auto"/>
        </w:rPr>
        <w:t>section 151</w:t>
      </w:r>
      <w:r w:rsidRPr="008B3051">
        <w:rPr>
          <w:rFonts w:ascii="Verdana" w:hAnsi="Verdana"/>
        </w:rPr>
        <w:t> an amount equal to $1,000.</w:t>
      </w:r>
    </w:p>
    <w:p w14:paraId="7BF2309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Limitations</w:t>
      </w:r>
    </w:p>
    <w:p w14:paraId="153F6AAD"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Limitation based on adjusted gross income</w:t>
      </w:r>
    </w:p>
    <w:p w14:paraId="3CEC2386" w14:textId="75C74CD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amount of the credit allowable under subsection (a) shall be reduced (but not below zero) by $50 for each $1,000 (or fraction thereof) by which 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modified adjusted gross income</w:t>
      </w:r>
      <w:r w:rsidRPr="008B3051">
        <w:rPr>
          <w:rFonts w:ascii="Verdana" w:hAnsi="Verdana"/>
        </w:rPr>
        <w:t> exceeds the threshold amount. For purposes of the preceding sentence, the term “</w:t>
      </w:r>
      <w:r w:rsidRPr="008B3051">
        <w:rPr>
          <w:rStyle w:val="Hyperlink"/>
          <w:rFonts w:ascii="Verdana" w:hAnsi="Verdana"/>
          <w:color w:val="auto"/>
        </w:rPr>
        <w:t>modified adjusted gross income</w:t>
      </w:r>
      <w:r w:rsidRPr="008B3051">
        <w:rPr>
          <w:rFonts w:ascii="Verdana" w:hAnsi="Verdana"/>
        </w:rPr>
        <w:t>” means adjusted gross income increased by any amount excluded from gross income under section 911, 931, or 933.</w:t>
      </w:r>
    </w:p>
    <w:p w14:paraId="4A1B99C1" w14:textId="16C0EAA6"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Threshold amount</w:t>
      </w:r>
      <w:r w:rsidRPr="008B3051">
        <w:rPr>
          <w:rStyle w:val="chapeau"/>
          <w:rFonts w:ascii="Verdana" w:hAnsi="Verdana"/>
        </w:rPr>
        <w:t>For purposes of paragraph (1), the term “</w:t>
      </w:r>
      <w:r w:rsidRPr="008B3051">
        <w:rPr>
          <w:rStyle w:val="Hyperlink"/>
          <w:rFonts w:ascii="Verdana" w:hAnsi="Verdana"/>
          <w:color w:val="auto"/>
        </w:rPr>
        <w:t>threshold amount</w:t>
      </w:r>
      <w:r w:rsidRPr="008B3051">
        <w:rPr>
          <w:rStyle w:val="chapeau"/>
          <w:rFonts w:ascii="Verdana" w:hAnsi="Verdana"/>
        </w:rPr>
        <w:t>” means—</w:t>
      </w:r>
    </w:p>
    <w:p w14:paraId="1FE6654B"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64C8C277" w14:textId="2EAB4308" w:rsidR="00AB7AF9" w:rsidRPr="008B3051" w:rsidRDefault="00AB7AF9" w:rsidP="00AB7AF9">
      <w:pPr>
        <w:shd w:val="clear" w:color="auto" w:fill="FFFFFF"/>
        <w:rPr>
          <w:rFonts w:ascii="Verdana" w:hAnsi="Verdana"/>
        </w:rPr>
      </w:pPr>
      <w:r w:rsidRPr="008B3051">
        <w:rPr>
          <w:rFonts w:ascii="Verdana" w:hAnsi="Verdana"/>
        </w:rPr>
        <w:t>$110,000 in the case of a </w:t>
      </w:r>
      <w:r w:rsidRPr="008B3051">
        <w:rPr>
          <w:rStyle w:val="Hyperlink"/>
          <w:rFonts w:ascii="Verdana" w:hAnsi="Verdana"/>
          <w:color w:val="auto"/>
        </w:rPr>
        <w:t>joint return</w:t>
      </w:r>
      <w:r w:rsidRPr="008B3051">
        <w:rPr>
          <w:rFonts w:ascii="Verdana" w:hAnsi="Verdana"/>
        </w:rPr>
        <w:t>,</w:t>
      </w:r>
    </w:p>
    <w:p w14:paraId="04D92F5E"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1AFADE5A" w14:textId="77777777" w:rsidR="00AB7AF9" w:rsidRPr="008B3051" w:rsidRDefault="00AB7AF9" w:rsidP="00AB7AF9">
      <w:pPr>
        <w:shd w:val="clear" w:color="auto" w:fill="FFFFFF"/>
        <w:rPr>
          <w:rFonts w:ascii="Verdana" w:hAnsi="Verdana"/>
        </w:rPr>
      </w:pPr>
      <w:r w:rsidRPr="008B3051">
        <w:rPr>
          <w:rFonts w:ascii="Verdana" w:hAnsi="Verdana"/>
        </w:rPr>
        <w:t>$75,000 in the case of an individual who is not married, and</w:t>
      </w:r>
    </w:p>
    <w:p w14:paraId="2530D4D3"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5D6169FC" w14:textId="61F89241" w:rsidR="00AB7AF9" w:rsidRPr="008B3051" w:rsidRDefault="00AB7AF9" w:rsidP="00AB7AF9">
      <w:pPr>
        <w:shd w:val="clear" w:color="auto" w:fill="FFFFFF"/>
        <w:rPr>
          <w:rFonts w:ascii="Verdana" w:hAnsi="Verdana"/>
        </w:rPr>
      </w:pPr>
      <w:r w:rsidRPr="008B3051">
        <w:rPr>
          <w:rFonts w:ascii="Verdana" w:hAnsi="Verdana"/>
        </w:rPr>
        <w:t>$55,000 in the case of a married individual filing a separate </w:t>
      </w:r>
      <w:r w:rsidRPr="008B3051">
        <w:rPr>
          <w:rStyle w:val="Hyperlink"/>
          <w:rFonts w:ascii="Verdana" w:hAnsi="Verdana"/>
          <w:color w:val="auto"/>
        </w:rPr>
        <w:t>return</w:t>
      </w:r>
      <w:r w:rsidRPr="008B3051">
        <w:rPr>
          <w:rFonts w:ascii="Verdana" w:hAnsi="Verdana"/>
        </w:rPr>
        <w:t>.</w:t>
      </w:r>
    </w:p>
    <w:p w14:paraId="7D2BBF63" w14:textId="77777777" w:rsidR="00AB7AF9" w:rsidRPr="008B3051" w:rsidRDefault="00AB7AF9" w:rsidP="00AB7AF9">
      <w:pPr>
        <w:shd w:val="clear" w:color="auto" w:fill="FFFFFF"/>
        <w:rPr>
          <w:rFonts w:ascii="Verdana" w:hAnsi="Verdana"/>
        </w:rPr>
      </w:pPr>
      <w:r w:rsidRPr="008B3051">
        <w:rPr>
          <w:rFonts w:ascii="Verdana" w:hAnsi="Verdana"/>
        </w:rPr>
        <w:t>For purposes of this paragraph, marital status shall be determined under section 7703.</w:t>
      </w:r>
    </w:p>
    <w:p w14:paraId="125A26D0"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Qualifying child</w:t>
      </w:r>
      <w:r w:rsidRPr="008B3051">
        <w:rPr>
          <w:rStyle w:val="chapeau"/>
          <w:rFonts w:ascii="Verdana" w:hAnsi="Verdana"/>
        </w:rPr>
        <w:t>For purposes of this section—</w:t>
      </w:r>
    </w:p>
    <w:p w14:paraId="278FB82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4F97972A" w14:textId="62C63AE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qualifying child</w:t>
      </w:r>
      <w:r w:rsidRPr="008B3051">
        <w:rPr>
          <w:rFonts w:ascii="Verdana" w:hAnsi="Verdana"/>
        </w:rPr>
        <w:t>” means a </w:t>
      </w:r>
      <w:r w:rsidRPr="008B3051">
        <w:rPr>
          <w:rStyle w:val="Hyperlink"/>
          <w:rFonts w:ascii="Verdana" w:hAnsi="Verdana"/>
          <w:color w:val="auto"/>
        </w:rPr>
        <w:t>qualifying child</w:t>
      </w:r>
      <w:r w:rsidRPr="008B3051">
        <w:rPr>
          <w:rFonts w:ascii="Verdana" w:hAnsi="Verdana"/>
        </w:rPr>
        <w:t> of the taxpayer (as defined in </w:t>
      </w:r>
      <w:r w:rsidRPr="008B3051">
        <w:rPr>
          <w:rStyle w:val="Hyperlink"/>
          <w:rFonts w:ascii="Verdana" w:hAnsi="Verdana"/>
          <w:color w:val="auto"/>
        </w:rPr>
        <w:t>section 152(c)</w:t>
      </w:r>
      <w:r w:rsidRPr="008B3051">
        <w:rPr>
          <w:rFonts w:ascii="Verdana" w:hAnsi="Verdana"/>
        </w:rPr>
        <w:t>) who has not attained age 17.</w:t>
      </w:r>
    </w:p>
    <w:p w14:paraId="058F038C"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Exception for certain noncitizens</w:t>
      </w:r>
    </w:p>
    <w:p w14:paraId="5A87CACE" w14:textId="0C7A460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qualifying child</w:t>
      </w:r>
      <w:r w:rsidRPr="008B3051">
        <w:rPr>
          <w:rFonts w:ascii="Verdana" w:hAnsi="Verdana"/>
        </w:rPr>
        <w:t>” shall not include any individual who would not be a dependent if subparagraph (A) of section 152(b)(3) were applied without regard to all that follows “resident of the United States”.</w:t>
      </w:r>
    </w:p>
    <w:p w14:paraId="267C1C7A"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Portion of credit refundable</w:t>
      </w:r>
    </w:p>
    <w:p w14:paraId="025D2D6B" w14:textId="5DD0137A"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 aggregate credits allowed to a </w:t>
      </w:r>
      <w:r w:rsidRPr="008B3051">
        <w:rPr>
          <w:rStyle w:val="Hyperlink"/>
          <w:rFonts w:ascii="Verdana" w:hAnsi="Verdana"/>
          <w:color w:val="auto"/>
        </w:rPr>
        <w:t>taxpayer</w:t>
      </w:r>
      <w:r w:rsidRPr="008B3051">
        <w:rPr>
          <w:rStyle w:val="chapeau"/>
          <w:rFonts w:ascii="Verdana" w:hAnsi="Verdana"/>
        </w:rPr>
        <w:t> under subpart C shall be increased by the lesser of—</w:t>
      </w:r>
    </w:p>
    <w:p w14:paraId="4BA42515"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732F6DD8" w14:textId="77777777" w:rsidR="00AB7AF9" w:rsidRPr="008B3051" w:rsidRDefault="00AB7AF9" w:rsidP="00AB7AF9">
      <w:pPr>
        <w:shd w:val="clear" w:color="auto" w:fill="FFFFFF"/>
        <w:rPr>
          <w:rFonts w:ascii="Verdana" w:hAnsi="Verdana"/>
        </w:rPr>
      </w:pPr>
      <w:r w:rsidRPr="008B3051">
        <w:rPr>
          <w:rFonts w:ascii="Verdana" w:hAnsi="Verdana"/>
        </w:rPr>
        <w:lastRenderedPageBreak/>
        <w:t>the credit which would be allowed under this section without regard to this subsection and the limitation under section 26(a) or</w:t>
      </w:r>
    </w:p>
    <w:p w14:paraId="7D95F8CB" w14:textId="3CE20296"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chapeau"/>
          <w:rFonts w:ascii="Verdana" w:hAnsi="Verdana"/>
        </w:rPr>
        <w:t>the amount by which the aggregate amount of credits allowed by this subpart (determined without regard to this subsection) would increase if the limitation imposed by </w:t>
      </w:r>
      <w:r w:rsidRPr="008B3051">
        <w:rPr>
          <w:rStyle w:val="Hyperlink"/>
          <w:rFonts w:ascii="Verdana" w:hAnsi="Verdana"/>
          <w:color w:val="auto"/>
        </w:rPr>
        <w:t>section 26(a)</w:t>
      </w:r>
      <w:r w:rsidRPr="008B3051">
        <w:rPr>
          <w:rStyle w:val="chapeau"/>
          <w:rFonts w:ascii="Verdana" w:hAnsi="Verdana"/>
        </w:rPr>
        <w:t> were increased by the greater of—</w:t>
      </w:r>
    </w:p>
    <w:p w14:paraId="7D76715D" w14:textId="77777777" w:rsidR="00AB7AF9" w:rsidRPr="008B3051" w:rsidRDefault="00AB7AF9" w:rsidP="00AB7AF9">
      <w:pPr>
        <w:shd w:val="clear" w:color="auto" w:fill="FFFFFF"/>
        <w:rPr>
          <w:rFonts w:ascii="Verdana" w:hAnsi="Verdana"/>
        </w:rPr>
      </w:pPr>
      <w:bookmarkStart w:id="338" w:name="d_1_B_i"/>
      <w:bookmarkEnd w:id="338"/>
      <w:r w:rsidRPr="008B3051">
        <w:rPr>
          <w:rStyle w:val="num"/>
          <w:rFonts w:ascii="Verdana" w:hAnsi="Verdana"/>
          <w:b/>
          <w:bCs/>
        </w:rPr>
        <w:t>(i)</w:t>
      </w:r>
    </w:p>
    <w:p w14:paraId="43E7F319" w14:textId="3330E7A7" w:rsidR="00AB7AF9" w:rsidRPr="008B3051" w:rsidRDefault="00AB7AF9" w:rsidP="00AB7AF9">
      <w:pPr>
        <w:shd w:val="clear" w:color="auto" w:fill="FFFFFF"/>
        <w:rPr>
          <w:rFonts w:ascii="Verdana" w:hAnsi="Verdana"/>
        </w:rPr>
      </w:pPr>
      <w:r w:rsidRPr="008B3051">
        <w:rPr>
          <w:rFonts w:ascii="Verdana" w:hAnsi="Verdana"/>
        </w:rPr>
        <w:t>15 percent of so much of 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earned income</w:t>
      </w:r>
      <w:r w:rsidRPr="008B3051">
        <w:rPr>
          <w:rFonts w:ascii="Verdana" w:hAnsi="Verdana"/>
        </w:rPr>
        <w:t> (within the meaning of </w:t>
      </w:r>
      <w:r w:rsidRPr="008B3051">
        <w:rPr>
          <w:rStyle w:val="Hyperlink"/>
          <w:rFonts w:ascii="Verdana" w:hAnsi="Verdana"/>
          <w:color w:val="auto"/>
        </w:rPr>
        <w:t>section 32</w:t>
      </w:r>
      <w:r w:rsidRPr="008B3051">
        <w:rPr>
          <w:rFonts w:ascii="Verdana" w:hAnsi="Verdana"/>
        </w:rPr>
        <w:t>) which is taken into account in computing taxable income for the taxable year as exceeds $3,000, or</w:t>
      </w:r>
    </w:p>
    <w:p w14:paraId="3465D8BB" w14:textId="65BA3CCD" w:rsidR="00AB7AF9" w:rsidRPr="008B3051" w:rsidRDefault="00AB7AF9" w:rsidP="00AB7AF9">
      <w:pPr>
        <w:shd w:val="clear" w:color="auto" w:fill="FFFFFF"/>
        <w:rPr>
          <w:rFonts w:ascii="Verdana" w:hAnsi="Verdana"/>
        </w:rPr>
      </w:pPr>
      <w:bookmarkStart w:id="339" w:name="d_1_B_ii"/>
      <w:bookmarkEnd w:id="339"/>
      <w:r w:rsidRPr="008B3051">
        <w:rPr>
          <w:rStyle w:val="num"/>
          <w:rFonts w:ascii="Verdana" w:hAnsi="Verdana"/>
          <w:b/>
          <w:bCs/>
        </w:rPr>
        <w:t>(ii)</w:t>
      </w:r>
      <w:r w:rsidRPr="008B3051">
        <w:rPr>
          <w:rStyle w:val="chapeau"/>
          <w:rFonts w:ascii="Verdana" w:hAnsi="Verdana"/>
        </w:rPr>
        <w:t>in the case of a </w:t>
      </w:r>
      <w:r w:rsidRPr="008B3051">
        <w:rPr>
          <w:rStyle w:val="Hyperlink"/>
          <w:rFonts w:ascii="Verdana" w:hAnsi="Verdana"/>
          <w:color w:val="auto"/>
        </w:rPr>
        <w:t>taxpayer</w:t>
      </w:r>
      <w:r w:rsidRPr="008B3051">
        <w:rPr>
          <w:rStyle w:val="chapeau"/>
          <w:rFonts w:ascii="Verdana" w:hAnsi="Verdana"/>
        </w:rPr>
        <w:t> with 3 or more qualifying children, the excess (if any) of—</w:t>
      </w:r>
    </w:p>
    <w:p w14:paraId="42383ED2" w14:textId="77777777" w:rsidR="00AB7AF9" w:rsidRPr="008B3051" w:rsidRDefault="00AB7AF9" w:rsidP="00AB7AF9">
      <w:pPr>
        <w:shd w:val="clear" w:color="auto" w:fill="FFFFFF"/>
        <w:rPr>
          <w:rFonts w:ascii="Verdana" w:hAnsi="Verdana"/>
        </w:rPr>
      </w:pPr>
      <w:bookmarkStart w:id="340" w:name="d_1_B_ii_I"/>
      <w:bookmarkEnd w:id="340"/>
      <w:r w:rsidRPr="008B3051">
        <w:rPr>
          <w:rStyle w:val="num"/>
          <w:rFonts w:ascii="Verdana" w:hAnsi="Verdana"/>
          <w:b/>
          <w:bCs/>
        </w:rPr>
        <w:t>(I)</w:t>
      </w:r>
    </w:p>
    <w:p w14:paraId="02CEE3AC" w14:textId="2625267F"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’s social </w:t>
      </w:r>
      <w:r w:rsidRPr="008B3051">
        <w:rPr>
          <w:rStyle w:val="Hyperlink"/>
          <w:rFonts w:ascii="Verdana" w:hAnsi="Verdana"/>
          <w:color w:val="auto"/>
        </w:rPr>
        <w:t>security</w:t>
      </w:r>
      <w:r w:rsidRPr="008B3051">
        <w:rPr>
          <w:rFonts w:ascii="Verdana" w:hAnsi="Verdana"/>
        </w:rPr>
        <w:t> taxes for the </w:t>
      </w:r>
      <w:r w:rsidRPr="008B3051">
        <w:rPr>
          <w:rStyle w:val="Hyperlink"/>
          <w:rFonts w:ascii="Verdana" w:hAnsi="Verdana"/>
          <w:color w:val="auto"/>
        </w:rPr>
        <w:t>taxable year</w:t>
      </w:r>
      <w:r w:rsidRPr="008B3051">
        <w:rPr>
          <w:rFonts w:ascii="Verdana" w:hAnsi="Verdana"/>
        </w:rPr>
        <w:t>, over</w:t>
      </w:r>
    </w:p>
    <w:p w14:paraId="5600E7BE" w14:textId="77777777" w:rsidR="00AB7AF9" w:rsidRPr="008B3051" w:rsidRDefault="00AB7AF9" w:rsidP="00AB7AF9">
      <w:pPr>
        <w:shd w:val="clear" w:color="auto" w:fill="FFFFFF"/>
        <w:rPr>
          <w:rFonts w:ascii="Verdana" w:hAnsi="Verdana"/>
        </w:rPr>
      </w:pPr>
      <w:bookmarkStart w:id="341" w:name="d_1_B_ii_II"/>
      <w:bookmarkEnd w:id="341"/>
      <w:r w:rsidRPr="008B3051">
        <w:rPr>
          <w:rStyle w:val="num"/>
          <w:rFonts w:ascii="Verdana" w:hAnsi="Verdana"/>
          <w:b/>
          <w:bCs/>
        </w:rPr>
        <w:t>(II)</w:t>
      </w:r>
    </w:p>
    <w:p w14:paraId="7BC74EF2" w14:textId="7B3CF139" w:rsidR="00AB7AF9" w:rsidRPr="008B3051" w:rsidRDefault="00AB7AF9" w:rsidP="00AB7AF9">
      <w:pPr>
        <w:shd w:val="clear" w:color="auto" w:fill="FFFFFF"/>
        <w:rPr>
          <w:rFonts w:ascii="Verdana" w:hAnsi="Verdana"/>
        </w:rPr>
      </w:pPr>
      <w:r w:rsidRPr="008B3051">
        <w:rPr>
          <w:rFonts w:ascii="Verdana" w:hAnsi="Verdana"/>
        </w:rPr>
        <w:t>the credit allowed under </w:t>
      </w:r>
      <w:r w:rsidRPr="008B3051">
        <w:rPr>
          <w:rStyle w:val="Hyperlink"/>
          <w:rFonts w:ascii="Verdana" w:hAnsi="Verdana"/>
          <w:color w:val="auto"/>
        </w:rPr>
        <w:t>section 32</w:t>
      </w:r>
      <w:r w:rsidRPr="008B3051">
        <w:rPr>
          <w:rFonts w:ascii="Verdana" w:hAnsi="Verdana"/>
        </w:rPr>
        <w:t> for the taxable year.</w:t>
      </w:r>
    </w:p>
    <w:p w14:paraId="282C927A" w14:textId="1A0BE39F" w:rsidR="00AB7AF9" w:rsidRPr="008B3051" w:rsidRDefault="00AB7AF9" w:rsidP="00AB7AF9">
      <w:pPr>
        <w:shd w:val="clear" w:color="auto" w:fill="FFFFFF"/>
        <w:rPr>
          <w:rFonts w:ascii="Verdana" w:hAnsi="Verdana"/>
        </w:rPr>
      </w:pPr>
      <w:r w:rsidRPr="008B3051">
        <w:rPr>
          <w:rFonts w:ascii="Verdana" w:hAnsi="Verdana"/>
        </w:rPr>
        <w:t>The amount of the credit allowed under this subsection shall not be treated as a credit allowed under this subpart and shall reduce the amount of credit otherwise allowable under subsection (a) without regard to </w:t>
      </w:r>
      <w:r w:rsidRPr="008B3051">
        <w:rPr>
          <w:rStyle w:val="Hyperlink"/>
          <w:rFonts w:ascii="Verdana" w:hAnsi="Verdana"/>
          <w:color w:val="auto"/>
        </w:rPr>
        <w:t>section 26(a).</w:t>
      </w:r>
      <w:r w:rsidRPr="008B3051">
        <w:rPr>
          <w:rFonts w:ascii="Verdana" w:hAnsi="Verdana"/>
        </w:rPr>
        <w:t> For purposes of subparagraph (B), any amount excluded from gross income by reason of section 112 shall be treated as earned income which is taken into account in computing taxable income for the taxable year.</w:t>
      </w:r>
    </w:p>
    <w:p w14:paraId="50FC0FD6"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Social security taxes</w:t>
      </w:r>
      <w:r w:rsidRPr="008B3051">
        <w:rPr>
          <w:rStyle w:val="chapeau"/>
          <w:rFonts w:ascii="Verdana" w:hAnsi="Verdana"/>
        </w:rPr>
        <w:t>For purposes of paragraph (1)—</w:t>
      </w:r>
    </w:p>
    <w:p w14:paraId="70F86373" w14:textId="57951E44"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w:t>
      </w:r>
      <w:r w:rsidRPr="008B3051">
        <w:rPr>
          <w:rStyle w:val="Hyperlink"/>
          <w:rFonts w:ascii="Verdana" w:hAnsi="Verdana"/>
          <w:color w:val="auto"/>
        </w:rPr>
        <w:t>social security taxes</w:t>
      </w:r>
      <w:r w:rsidRPr="008B3051">
        <w:rPr>
          <w:rStyle w:val="chapeau"/>
          <w:rFonts w:ascii="Verdana" w:hAnsi="Verdana"/>
        </w:rPr>
        <w:t>” means, with respect to any taxpayer for any taxable year—</w:t>
      </w:r>
    </w:p>
    <w:p w14:paraId="040C2366" w14:textId="77777777" w:rsidR="00AB7AF9" w:rsidRPr="008B3051" w:rsidRDefault="00AB7AF9" w:rsidP="00AB7AF9">
      <w:pPr>
        <w:shd w:val="clear" w:color="auto" w:fill="FFFFFF"/>
        <w:rPr>
          <w:rFonts w:ascii="Verdana" w:hAnsi="Verdana"/>
        </w:rPr>
      </w:pPr>
      <w:bookmarkStart w:id="342" w:name="d_2_A_i"/>
      <w:bookmarkEnd w:id="342"/>
      <w:r w:rsidRPr="008B3051">
        <w:rPr>
          <w:rStyle w:val="num"/>
          <w:rFonts w:ascii="Verdana" w:hAnsi="Verdana"/>
          <w:b/>
          <w:bCs/>
        </w:rPr>
        <w:t>(i)</w:t>
      </w:r>
    </w:p>
    <w:p w14:paraId="60B6B3D4" w14:textId="0542FBE6" w:rsidR="00AB7AF9" w:rsidRPr="008B3051" w:rsidRDefault="00AB7AF9" w:rsidP="00AB7AF9">
      <w:pPr>
        <w:shd w:val="clear" w:color="auto" w:fill="FFFFFF"/>
        <w:rPr>
          <w:rFonts w:ascii="Verdana" w:hAnsi="Verdana"/>
        </w:rPr>
      </w:pPr>
      <w:r w:rsidRPr="008B3051">
        <w:rPr>
          <w:rFonts w:ascii="Verdana" w:hAnsi="Verdana"/>
        </w:rPr>
        <w:t>the amount of the </w:t>
      </w:r>
      <w:r w:rsidRPr="008B3051">
        <w:rPr>
          <w:rStyle w:val="Hyperlink"/>
          <w:rFonts w:ascii="Verdana" w:hAnsi="Verdana"/>
          <w:color w:val="auto"/>
        </w:rPr>
        <w:t>taxes</w:t>
      </w:r>
      <w:r w:rsidRPr="008B3051">
        <w:rPr>
          <w:rFonts w:ascii="Verdana" w:hAnsi="Verdana"/>
        </w:rPr>
        <w:t> imposed by sections </w:t>
      </w:r>
      <w:r w:rsidRPr="008B3051">
        <w:rPr>
          <w:rStyle w:val="Hyperlink"/>
          <w:rFonts w:ascii="Verdana" w:hAnsi="Verdana"/>
          <w:color w:val="auto"/>
        </w:rPr>
        <w:t>3101</w:t>
      </w:r>
      <w:r w:rsidRPr="008B3051">
        <w:rPr>
          <w:rFonts w:ascii="Verdana" w:hAnsi="Verdana"/>
        </w:rPr>
        <w:t> and </w:t>
      </w:r>
      <w:r w:rsidRPr="008B3051">
        <w:rPr>
          <w:rStyle w:val="Hyperlink"/>
          <w:rFonts w:ascii="Verdana" w:hAnsi="Verdana"/>
          <w:color w:val="auto"/>
        </w:rPr>
        <w:t>3201(a)</w:t>
      </w:r>
      <w:r w:rsidRPr="008B3051">
        <w:rPr>
          <w:rFonts w:ascii="Verdana" w:hAnsi="Verdana"/>
        </w:rPr>
        <w:t> on amounts received by the taxpayer during the calendar year in which the taxable year begins,</w:t>
      </w:r>
    </w:p>
    <w:p w14:paraId="5C1DB98F" w14:textId="77777777" w:rsidR="00AB7AF9" w:rsidRPr="008B3051" w:rsidRDefault="00AB7AF9" w:rsidP="00AB7AF9">
      <w:pPr>
        <w:shd w:val="clear" w:color="auto" w:fill="FFFFFF"/>
        <w:rPr>
          <w:rFonts w:ascii="Verdana" w:hAnsi="Verdana"/>
        </w:rPr>
      </w:pPr>
      <w:bookmarkStart w:id="343" w:name="d_2_A_ii"/>
      <w:bookmarkEnd w:id="343"/>
      <w:r w:rsidRPr="008B3051">
        <w:rPr>
          <w:rStyle w:val="num"/>
          <w:rFonts w:ascii="Verdana" w:hAnsi="Verdana"/>
          <w:b/>
          <w:bCs/>
        </w:rPr>
        <w:t>(ii)</w:t>
      </w:r>
    </w:p>
    <w:p w14:paraId="7B649237" w14:textId="0E1787F2" w:rsidR="00AB7AF9" w:rsidRPr="008B3051" w:rsidRDefault="00AB7AF9" w:rsidP="00AB7AF9">
      <w:pPr>
        <w:shd w:val="clear" w:color="auto" w:fill="FFFFFF"/>
        <w:rPr>
          <w:rFonts w:ascii="Verdana" w:hAnsi="Verdana"/>
        </w:rPr>
      </w:pPr>
      <w:r w:rsidRPr="008B3051">
        <w:rPr>
          <w:rStyle w:val="Hyperlink"/>
          <w:rFonts w:ascii="Verdana" w:hAnsi="Verdana"/>
          <w:color w:val="auto"/>
        </w:rPr>
        <w:t>50 percent</w:t>
      </w:r>
      <w:r w:rsidRPr="008B3051">
        <w:rPr>
          <w:rFonts w:ascii="Verdana" w:hAnsi="Verdana"/>
        </w:rPr>
        <w:t> of the taxes imposed by section 1401 on the </w:t>
      </w:r>
      <w:r w:rsidRPr="008B3051">
        <w:rPr>
          <w:rStyle w:val="Hyperlink"/>
          <w:rFonts w:ascii="Verdana" w:hAnsi="Verdana"/>
          <w:color w:val="auto"/>
        </w:rPr>
        <w:t>self-employment income</w:t>
      </w:r>
      <w:r w:rsidRPr="008B3051">
        <w:rPr>
          <w:rFonts w:ascii="Verdana" w:hAnsi="Verdana"/>
        </w:rPr>
        <w:t> of the taxpayer for the taxable year, and</w:t>
      </w:r>
    </w:p>
    <w:p w14:paraId="5C4A3E11" w14:textId="77777777" w:rsidR="00AB7AF9" w:rsidRPr="008B3051" w:rsidRDefault="00AB7AF9" w:rsidP="00AB7AF9">
      <w:pPr>
        <w:shd w:val="clear" w:color="auto" w:fill="FFFFFF"/>
        <w:rPr>
          <w:rFonts w:ascii="Verdana" w:hAnsi="Verdana"/>
        </w:rPr>
      </w:pPr>
      <w:bookmarkStart w:id="344" w:name="d_2_A_iii"/>
      <w:bookmarkEnd w:id="344"/>
      <w:r w:rsidRPr="008B3051">
        <w:rPr>
          <w:rStyle w:val="num"/>
          <w:rFonts w:ascii="Verdana" w:hAnsi="Verdana"/>
          <w:b/>
          <w:bCs/>
        </w:rPr>
        <w:t>(iii)</w:t>
      </w:r>
    </w:p>
    <w:p w14:paraId="273BF635" w14:textId="4A387B60" w:rsidR="00AB7AF9" w:rsidRPr="008B3051" w:rsidRDefault="00AB7AF9" w:rsidP="00AB7AF9">
      <w:pPr>
        <w:shd w:val="clear" w:color="auto" w:fill="FFFFFF"/>
        <w:rPr>
          <w:rFonts w:ascii="Verdana" w:hAnsi="Verdana"/>
        </w:rPr>
      </w:pPr>
      <w:r w:rsidRPr="008B3051">
        <w:rPr>
          <w:rStyle w:val="Hyperlink"/>
          <w:rFonts w:ascii="Verdana" w:hAnsi="Verdana"/>
          <w:color w:val="auto"/>
        </w:rPr>
        <w:t>50 percent</w:t>
      </w:r>
      <w:r w:rsidRPr="008B3051">
        <w:rPr>
          <w:rFonts w:ascii="Verdana" w:hAnsi="Verdana"/>
        </w:rPr>
        <w:t> of the taxes imposed by </w:t>
      </w:r>
      <w:r w:rsidRPr="008B3051">
        <w:rPr>
          <w:rStyle w:val="Hyperlink"/>
          <w:rFonts w:ascii="Verdana" w:hAnsi="Verdana"/>
          <w:color w:val="auto"/>
        </w:rPr>
        <w:t>section 3211(a)</w:t>
      </w:r>
      <w:r w:rsidRPr="008B3051">
        <w:rPr>
          <w:rFonts w:ascii="Verdana" w:hAnsi="Verdana"/>
        </w:rPr>
        <w:t> on amounts received by the taxpayer during the calendar year in which the taxable year begins.</w:t>
      </w:r>
    </w:p>
    <w:p w14:paraId="4261158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Coordination with special refund of social security taxes</w:t>
      </w:r>
    </w:p>
    <w:p w14:paraId="21841126" w14:textId="7CD2D73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The term “</w:t>
      </w:r>
      <w:r w:rsidRPr="008B3051">
        <w:rPr>
          <w:rStyle w:val="Hyperlink"/>
          <w:rFonts w:ascii="Verdana" w:hAnsi="Verdana"/>
          <w:color w:val="auto"/>
        </w:rPr>
        <w:t>social security taxes</w:t>
      </w:r>
      <w:r w:rsidRPr="008B3051">
        <w:rPr>
          <w:rFonts w:ascii="Verdana" w:hAnsi="Verdana"/>
        </w:rPr>
        <w:t>” shall not include any taxes to the extent the taxpayer is entitled to a special refund of such taxes under section 6413(c).</w:t>
      </w:r>
    </w:p>
    <w:p w14:paraId="62929341" w14:textId="77777777" w:rsidR="00AB7AF9" w:rsidRPr="008B3051" w:rsidRDefault="00AB7AF9" w:rsidP="00AB7AF9">
      <w:pPr>
        <w:shd w:val="clear" w:color="auto" w:fill="FFFFFF"/>
        <w:rPr>
          <w:rFonts w:ascii="Verdana" w:hAnsi="Verdana"/>
        </w:rPr>
      </w:pPr>
      <w:bookmarkStart w:id="345" w:name="d_2_C"/>
      <w:bookmarkEnd w:id="345"/>
      <w:r w:rsidRPr="008B3051">
        <w:rPr>
          <w:rStyle w:val="num"/>
          <w:rFonts w:ascii="Verdana" w:hAnsi="Verdana"/>
          <w:b/>
          <w:bCs/>
        </w:rPr>
        <w:t>(C)</w:t>
      </w:r>
      <w:r w:rsidRPr="008B3051">
        <w:rPr>
          <w:rStyle w:val="heading"/>
          <w:rFonts w:ascii="Verdana" w:hAnsi="Verdana"/>
          <w:b/>
          <w:bCs/>
        </w:rPr>
        <w:t>Special rule</w:t>
      </w:r>
    </w:p>
    <w:p w14:paraId="2C280426" w14:textId="6996E4F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Any amounts paid pursuant to an agreement under section 3121(l) (relating to agreements entered into by American employers with respect to </w:t>
      </w:r>
      <w:r w:rsidRPr="008B3051">
        <w:rPr>
          <w:rStyle w:val="Hyperlink"/>
          <w:rFonts w:ascii="Verdana" w:hAnsi="Verdana"/>
          <w:color w:val="auto"/>
        </w:rPr>
        <w:t>foreign</w:t>
      </w:r>
      <w:r w:rsidRPr="008B3051">
        <w:rPr>
          <w:rFonts w:ascii="Verdana" w:hAnsi="Verdana"/>
        </w:rPr>
        <w:t> affiliates) which are equivalent to the taxes referred to in subparagraph (A)(i) shall be treated as taxes referred to in such subparagraph.</w:t>
      </w:r>
    </w:p>
    <w:p w14:paraId="1633EFFD" w14:textId="017696DE"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 (4) Repealed. </w:t>
      </w:r>
      <w:r w:rsidRPr="008B3051">
        <w:rPr>
          <w:rStyle w:val="Hyperlink"/>
          <w:rFonts w:ascii="Verdana" w:hAnsi="Verdana"/>
          <w:b/>
          <w:bCs/>
          <w:smallCaps/>
          <w:color w:val="auto"/>
        </w:rPr>
        <w:t>Pub. L. 114–113, div. Q, title I</w:t>
      </w:r>
      <w:r w:rsidRPr="008B3051">
        <w:rPr>
          <w:rStyle w:val="heading"/>
          <w:rFonts w:ascii="Verdana" w:hAnsi="Verdana"/>
          <w:b/>
          <w:bCs/>
          <w:smallCaps/>
        </w:rPr>
        <w:t>, § 101(b), </w:t>
      </w:r>
      <w:r w:rsidRPr="008B3051">
        <w:rPr>
          <w:rStyle w:val="Date2"/>
          <w:rFonts w:ascii="Verdana" w:hAnsi="Verdana"/>
          <w:b/>
          <w:bCs/>
          <w:smallCaps/>
        </w:rPr>
        <w:t>Dec. 18, 2015</w:t>
      </w:r>
      <w:r w:rsidRPr="008B3051">
        <w:rPr>
          <w:rStyle w:val="heading"/>
          <w:rFonts w:ascii="Verdana" w:hAnsi="Verdana"/>
          <w:b/>
          <w:bCs/>
          <w:smallCaps/>
        </w:rPr>
        <w:t>, </w:t>
      </w:r>
      <w:r w:rsidRPr="008B3051">
        <w:rPr>
          <w:rStyle w:val="Hyperlink"/>
          <w:rFonts w:ascii="Verdana" w:hAnsi="Verdana"/>
          <w:b/>
          <w:bCs/>
          <w:smallCaps/>
          <w:color w:val="auto"/>
        </w:rPr>
        <w:t>129 Stat. 3044</w:t>
      </w:r>
      <w:r w:rsidRPr="008B3051">
        <w:rPr>
          <w:rStyle w:val="heading"/>
          <w:rFonts w:ascii="Verdana" w:hAnsi="Verdana"/>
          <w:b/>
          <w:bCs/>
          <w:smallCaps/>
        </w:rPr>
        <w:t>]</w:t>
      </w:r>
    </w:p>
    <w:p w14:paraId="618A69A4" w14:textId="77777777" w:rsidR="00AB7AF9" w:rsidRPr="008B3051" w:rsidRDefault="00AB7AF9" w:rsidP="00AB7AF9">
      <w:pPr>
        <w:shd w:val="clear" w:color="auto" w:fill="FFFFFF"/>
        <w:rPr>
          <w:rFonts w:ascii="Verdana" w:hAnsi="Verdana"/>
        </w:rPr>
      </w:pPr>
      <w:bookmarkStart w:id="346" w:name="d_5"/>
      <w:bookmarkEnd w:id="346"/>
      <w:r w:rsidRPr="008B3051">
        <w:rPr>
          <w:rStyle w:val="num"/>
          <w:rFonts w:ascii="Verdana" w:hAnsi="Verdana"/>
          <w:b/>
          <w:bCs/>
        </w:rPr>
        <w:t>(5)</w:t>
      </w:r>
      <w:r w:rsidRPr="008B3051">
        <w:rPr>
          <w:rStyle w:val="heading"/>
          <w:rFonts w:ascii="Verdana" w:hAnsi="Verdana"/>
          <w:b/>
          <w:bCs/>
          <w:smallCaps/>
        </w:rPr>
        <w:t>Exception for taxpayers excluding foreign earned income</w:t>
      </w:r>
    </w:p>
    <w:p w14:paraId="1603A347" w14:textId="121AD07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Paragraph (1) shall not apply to any </w:t>
      </w:r>
      <w:r w:rsidRPr="008B3051">
        <w:rPr>
          <w:rStyle w:val="Hyperlink"/>
          <w:rFonts w:ascii="Verdana" w:hAnsi="Verdana"/>
          <w:color w:val="auto"/>
        </w:rPr>
        <w:t>taxpayer</w:t>
      </w:r>
      <w:r w:rsidRPr="008B3051">
        <w:rPr>
          <w:rFonts w:ascii="Verdana" w:hAnsi="Verdana"/>
        </w:rPr>
        <w:t> for any </w:t>
      </w:r>
      <w:r w:rsidRPr="008B3051">
        <w:rPr>
          <w:rStyle w:val="Hyperlink"/>
          <w:rFonts w:ascii="Verdana" w:hAnsi="Verdana"/>
          <w:color w:val="auto"/>
        </w:rPr>
        <w:t>taxable year</w:t>
      </w:r>
      <w:r w:rsidRPr="008B3051">
        <w:rPr>
          <w:rFonts w:ascii="Verdana" w:hAnsi="Verdana"/>
        </w:rPr>
        <w:t> if such taxpayer elects to exclude any amount from </w:t>
      </w:r>
      <w:r w:rsidRPr="008B3051">
        <w:rPr>
          <w:rStyle w:val="Hyperlink"/>
          <w:rFonts w:ascii="Verdana" w:hAnsi="Verdana"/>
          <w:color w:val="auto"/>
        </w:rPr>
        <w:t>gross income</w:t>
      </w:r>
      <w:r w:rsidRPr="008B3051">
        <w:rPr>
          <w:rFonts w:ascii="Verdana" w:hAnsi="Verdana"/>
        </w:rPr>
        <w:t> under </w:t>
      </w:r>
      <w:r w:rsidRPr="008B3051">
        <w:rPr>
          <w:rStyle w:val="Hyperlink"/>
          <w:rFonts w:ascii="Verdana" w:hAnsi="Verdana"/>
          <w:color w:val="auto"/>
        </w:rPr>
        <w:t>section 911</w:t>
      </w:r>
      <w:r w:rsidRPr="008B3051">
        <w:rPr>
          <w:rFonts w:ascii="Verdana" w:hAnsi="Verdana"/>
        </w:rPr>
        <w:t> for such taxable year.</w:t>
      </w:r>
    </w:p>
    <w:p w14:paraId="249BA772"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Identification requirements</w:t>
      </w:r>
    </w:p>
    <w:p w14:paraId="0273934A"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Qualifying child identification requirement</w:t>
      </w:r>
    </w:p>
    <w:p w14:paraId="26E62D50" w14:textId="7BAD4F8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to a </w:t>
      </w:r>
      <w:r w:rsidRPr="008B3051">
        <w:rPr>
          <w:rStyle w:val="Hyperlink"/>
          <w:rFonts w:ascii="Verdana" w:hAnsi="Verdana"/>
          <w:color w:val="auto"/>
        </w:rPr>
        <w:t>taxpayer</w:t>
      </w:r>
      <w:r w:rsidRPr="008B3051">
        <w:rPr>
          <w:rFonts w:ascii="Verdana" w:hAnsi="Verdana"/>
        </w:rPr>
        <w:t> with respect to any </w:t>
      </w:r>
      <w:r w:rsidRPr="008B3051">
        <w:rPr>
          <w:rStyle w:val="Hyperlink"/>
          <w:rFonts w:ascii="Verdana" w:hAnsi="Verdana"/>
          <w:color w:val="auto"/>
        </w:rPr>
        <w:t>qualifying child</w:t>
      </w:r>
      <w:r w:rsidRPr="008B3051">
        <w:rPr>
          <w:rFonts w:ascii="Verdana" w:hAnsi="Verdana"/>
        </w:rPr>
        <w:t> unless the taxpayer includes the name and taxpayer identification number of such </w:t>
      </w:r>
      <w:r w:rsidRPr="008B3051">
        <w:rPr>
          <w:rStyle w:val="Hyperlink"/>
          <w:rFonts w:ascii="Verdana" w:hAnsi="Verdana"/>
          <w:color w:val="auto"/>
        </w:rPr>
        <w:t>qualifying child</w:t>
      </w:r>
      <w:r w:rsidRPr="008B3051">
        <w:rPr>
          <w:rFonts w:ascii="Verdana" w:hAnsi="Verdana"/>
        </w:rPr>
        <w:t> on the return of tax for the taxable year and such taxpayer identification number was issued on or before the due date for filing such return.</w:t>
      </w:r>
    </w:p>
    <w:p w14:paraId="67652F14"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Taxpayer identification requirement</w:t>
      </w:r>
    </w:p>
    <w:p w14:paraId="2FCBFB04" w14:textId="6423B48E"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if </w:t>
      </w:r>
      <w:r w:rsidRPr="008B3051">
        <w:rPr>
          <w:rStyle w:val="Hyperlink"/>
          <w:rFonts w:ascii="Verdana" w:hAnsi="Verdana"/>
          <w:color w:val="auto"/>
        </w:rPr>
        <w:t>the identifying number</w:t>
      </w:r>
      <w:r w:rsidRPr="008B3051">
        <w:rPr>
          <w:rFonts w:ascii="Verdana" w:hAnsi="Verdana"/>
        </w:rPr>
        <w:t> of the taxpayer was issued after the due date for filing the return for the taxable year.</w:t>
      </w:r>
    </w:p>
    <w:p w14:paraId="3F699FBF"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Taxable year must be full taxable year</w:t>
      </w:r>
    </w:p>
    <w:p w14:paraId="52222D50" w14:textId="755418D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Except in the case of a </w:t>
      </w:r>
      <w:r w:rsidRPr="008B3051">
        <w:rPr>
          <w:rStyle w:val="Hyperlink"/>
          <w:rFonts w:ascii="Verdana" w:hAnsi="Verdana"/>
          <w:color w:val="auto"/>
        </w:rPr>
        <w:t>taxable year</w:t>
      </w:r>
      <w:r w:rsidRPr="008B3051">
        <w:rPr>
          <w:rFonts w:ascii="Verdana" w:hAnsi="Verdana"/>
        </w:rPr>
        <w:t> closed by reason of the death of the taxpayer, no credit shall be allowable under this section in the case of a </w:t>
      </w:r>
      <w:r w:rsidRPr="008B3051">
        <w:rPr>
          <w:rStyle w:val="Hyperlink"/>
          <w:rFonts w:ascii="Verdana" w:hAnsi="Verdana"/>
          <w:color w:val="auto"/>
        </w:rPr>
        <w:t>taxable year</w:t>
      </w:r>
      <w:r w:rsidRPr="008B3051">
        <w:rPr>
          <w:rFonts w:ascii="Verdana" w:hAnsi="Verdana"/>
        </w:rPr>
        <w:t> covering a period of less than 12 months.</w:t>
      </w:r>
    </w:p>
    <w:p w14:paraId="0431487B" w14:textId="77777777"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Restrictions on taxpayers who improperly claimed credit in prior year</w:t>
      </w:r>
    </w:p>
    <w:p w14:paraId="71B6582B"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Taxpayers making prior fraudulent or reckless claims</w:t>
      </w:r>
    </w:p>
    <w:p w14:paraId="7B616061"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61BB65B1" w14:textId="1EC37C1E"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for any </w:t>
      </w:r>
      <w:r w:rsidRPr="008B3051">
        <w:rPr>
          <w:rStyle w:val="Hyperlink"/>
          <w:rFonts w:ascii="Verdana" w:hAnsi="Verdana"/>
          <w:color w:val="auto"/>
        </w:rPr>
        <w:t>taxable year</w:t>
      </w:r>
      <w:r w:rsidRPr="008B3051">
        <w:rPr>
          <w:rFonts w:ascii="Verdana" w:hAnsi="Verdana"/>
        </w:rPr>
        <w:t> in the disallowance period.</w:t>
      </w:r>
    </w:p>
    <w:p w14:paraId="6D392C4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Disallowance period</w:t>
      </w:r>
      <w:r w:rsidRPr="008B3051">
        <w:rPr>
          <w:rStyle w:val="chapeau"/>
          <w:rFonts w:ascii="Verdana" w:hAnsi="Verdana"/>
        </w:rPr>
        <w:t>For purposes of subparagraph (A), the disallowance period is—</w:t>
      </w:r>
    </w:p>
    <w:p w14:paraId="4563F4EF"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26B85290" w14:textId="4081A367" w:rsidR="00AB7AF9" w:rsidRPr="008B3051" w:rsidRDefault="00AB7AF9" w:rsidP="00AB7AF9">
      <w:pPr>
        <w:shd w:val="clear" w:color="auto" w:fill="FFFFFF"/>
        <w:rPr>
          <w:rFonts w:ascii="Verdana" w:hAnsi="Verdana"/>
        </w:rPr>
      </w:pPr>
      <w:r w:rsidRPr="008B3051">
        <w:rPr>
          <w:rFonts w:ascii="Verdana" w:hAnsi="Verdana"/>
        </w:rPr>
        <w:lastRenderedPageBreak/>
        <w:t>the period of 10 </w:t>
      </w:r>
      <w:r w:rsidRPr="008B3051">
        <w:rPr>
          <w:rStyle w:val="Hyperlink"/>
          <w:rFonts w:ascii="Verdana" w:hAnsi="Verdana"/>
          <w:color w:val="auto"/>
        </w:rPr>
        <w:t>taxable years</w:t>
      </w:r>
      <w:r w:rsidRPr="008B3051">
        <w:rPr>
          <w:rFonts w:ascii="Verdana" w:hAnsi="Verdana"/>
        </w:rPr>
        <w:t> after the most recent </w:t>
      </w:r>
      <w:r w:rsidRPr="008B3051">
        <w:rPr>
          <w:rStyle w:val="Hyperlink"/>
          <w:rFonts w:ascii="Verdana" w:hAnsi="Verdana"/>
          <w:color w:val="auto"/>
        </w:rPr>
        <w:t>taxable year</w:t>
      </w:r>
      <w:r w:rsidRPr="008B3051">
        <w:rPr>
          <w:rFonts w:ascii="Verdana" w:hAnsi="Verdana"/>
        </w:rPr>
        <w:t> for which there was a final </w:t>
      </w:r>
      <w:r w:rsidRPr="008B3051">
        <w:rPr>
          <w:rStyle w:val="Hyperlink"/>
          <w:rFonts w:ascii="Verdana" w:hAnsi="Verdana"/>
          <w:color w:val="auto"/>
        </w:rPr>
        <w:t>determination</w:t>
      </w:r>
      <w:r w:rsidRPr="008B3051">
        <w:rPr>
          <w:rFonts w:ascii="Verdana" w:hAnsi="Verdana"/>
        </w:rPr>
        <w:t> that the taxpayer’s claim of credit under this section was due to fraud, and</w:t>
      </w:r>
    </w:p>
    <w:p w14:paraId="08441AB5"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37C154AA" w14:textId="7EF609C8" w:rsidR="00AB7AF9" w:rsidRPr="008B3051" w:rsidRDefault="00AB7AF9" w:rsidP="00AB7AF9">
      <w:pPr>
        <w:shd w:val="clear" w:color="auto" w:fill="FFFFFF"/>
        <w:rPr>
          <w:rFonts w:ascii="Verdana" w:hAnsi="Verdana"/>
        </w:rPr>
      </w:pPr>
      <w:r w:rsidRPr="008B3051">
        <w:rPr>
          <w:rFonts w:ascii="Verdana" w:hAnsi="Verdana"/>
        </w:rPr>
        <w:t>the period of 2 </w:t>
      </w:r>
      <w:r w:rsidRPr="008B3051">
        <w:rPr>
          <w:rStyle w:val="Hyperlink"/>
          <w:rFonts w:ascii="Verdana" w:hAnsi="Verdana"/>
          <w:color w:val="auto"/>
        </w:rPr>
        <w:t>taxable years</w:t>
      </w:r>
      <w:r w:rsidRPr="008B3051">
        <w:rPr>
          <w:rFonts w:ascii="Verdana" w:hAnsi="Verdana"/>
        </w:rPr>
        <w:t> after the most recent </w:t>
      </w:r>
      <w:r w:rsidRPr="008B3051">
        <w:rPr>
          <w:rStyle w:val="Hyperlink"/>
          <w:rFonts w:ascii="Verdana" w:hAnsi="Verdana"/>
          <w:color w:val="auto"/>
        </w:rPr>
        <w:t>taxable year</w:t>
      </w:r>
      <w:r w:rsidRPr="008B3051">
        <w:rPr>
          <w:rFonts w:ascii="Verdana" w:hAnsi="Verdana"/>
        </w:rPr>
        <w:t> for which there was a final </w:t>
      </w:r>
      <w:r w:rsidRPr="008B3051">
        <w:rPr>
          <w:rStyle w:val="Hyperlink"/>
          <w:rFonts w:ascii="Verdana" w:hAnsi="Verdana"/>
          <w:color w:val="auto"/>
        </w:rPr>
        <w:t>determination</w:t>
      </w:r>
      <w:r w:rsidRPr="008B3051">
        <w:rPr>
          <w:rFonts w:ascii="Verdana" w:hAnsi="Verdana"/>
        </w:rPr>
        <w:t> that the taxpayer’s claim of credit under this section was due to reckless or intentional disregard of rules and regulations (but not due to fraud).</w:t>
      </w:r>
    </w:p>
    <w:p w14:paraId="0ED9DF78"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Taxpayers making improper prior claims</w:t>
      </w:r>
    </w:p>
    <w:p w14:paraId="575EACAC" w14:textId="7E5B925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taxpayer</w:t>
      </w:r>
      <w:r w:rsidRPr="008B3051">
        <w:rPr>
          <w:rFonts w:ascii="Verdana" w:hAnsi="Verdana"/>
        </w:rPr>
        <w:t> who is denied credit under this section for any </w:t>
      </w:r>
      <w:r w:rsidRPr="008B3051">
        <w:rPr>
          <w:rStyle w:val="Hyperlink"/>
          <w:rFonts w:ascii="Verdana" w:hAnsi="Verdana"/>
          <w:color w:val="auto"/>
        </w:rPr>
        <w:t>taxable year</w:t>
      </w:r>
      <w:r w:rsidRPr="008B3051">
        <w:rPr>
          <w:rFonts w:ascii="Verdana" w:hAnsi="Verdana"/>
        </w:rPr>
        <w:t> as a result of the deficiency procedures under subchapter B of chapter 63, no credit shall be allowed under this section for any subsequent </w:t>
      </w:r>
      <w:r w:rsidRPr="008B3051">
        <w:rPr>
          <w:rStyle w:val="Hyperlink"/>
          <w:rFonts w:ascii="Verdana" w:hAnsi="Verdana"/>
          <w:color w:val="auto"/>
        </w:rPr>
        <w:t>taxable year</w:t>
      </w:r>
      <w:r w:rsidRPr="008B3051">
        <w:rPr>
          <w:rFonts w:ascii="Verdana" w:hAnsi="Verdana"/>
        </w:rPr>
        <w:t> unless the taxpayer provides such information as the Secretary may require to demonstrate eligibility for such credit.</w:t>
      </w:r>
    </w:p>
    <w:p w14:paraId="66133785" w14:textId="77777777" w:rsidR="00AB7AF9" w:rsidRPr="008B3051" w:rsidRDefault="00AB7AF9" w:rsidP="00AB7AF9">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Special rules for taxable years 2018 through 2025</w:t>
      </w:r>
    </w:p>
    <w:p w14:paraId="0A45DEE2"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3584375A" w14:textId="7EB2EAE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taxable year</w:t>
      </w:r>
      <w:r w:rsidRPr="008B3051">
        <w:rPr>
          <w:rFonts w:ascii="Verdana" w:hAnsi="Verdana"/>
        </w:rPr>
        <w:t> beginning after </w:t>
      </w:r>
      <w:r w:rsidRPr="008B3051">
        <w:rPr>
          <w:rStyle w:val="Date2"/>
          <w:rFonts w:ascii="Verdana" w:hAnsi="Verdana"/>
        </w:rPr>
        <w:t>December 31, 2017</w:t>
      </w:r>
      <w:r w:rsidRPr="008B3051">
        <w:rPr>
          <w:rFonts w:ascii="Verdana" w:hAnsi="Verdana"/>
        </w:rPr>
        <w:t>, and before </w:t>
      </w:r>
      <w:r w:rsidRPr="008B3051">
        <w:rPr>
          <w:rStyle w:val="Date2"/>
          <w:rFonts w:ascii="Verdana" w:hAnsi="Verdana"/>
        </w:rPr>
        <w:t>January 1, 2026</w:t>
      </w:r>
      <w:r w:rsidRPr="008B3051">
        <w:rPr>
          <w:rFonts w:ascii="Verdana" w:hAnsi="Verdana"/>
        </w:rPr>
        <w:t>, this section shall be applied as provided in paragraphs (2) through (7).</w:t>
      </w:r>
    </w:p>
    <w:p w14:paraId="2C4C5AD4"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Credit amount</w:t>
      </w:r>
    </w:p>
    <w:p w14:paraId="08453669"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Subsection (a) shall be applied by substituting “$2,000” for “$1,000”.</w:t>
      </w:r>
    </w:p>
    <w:p w14:paraId="624500E1"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Limitation</w:t>
      </w:r>
    </w:p>
    <w:p w14:paraId="0C3FB46C" w14:textId="2EF5C7C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lieu of the amount determined under subsection (b)(2), the </w:t>
      </w:r>
      <w:r w:rsidRPr="008B3051">
        <w:rPr>
          <w:rStyle w:val="Hyperlink"/>
          <w:rFonts w:ascii="Verdana" w:hAnsi="Verdana"/>
          <w:color w:val="auto"/>
        </w:rPr>
        <w:t>threshold amount</w:t>
      </w:r>
      <w:r w:rsidRPr="008B3051">
        <w:rPr>
          <w:rFonts w:ascii="Verdana" w:hAnsi="Verdana"/>
        </w:rPr>
        <w:t> shall be $400,000 in the case of a joint return ($200,000 in any other case).</w:t>
      </w:r>
    </w:p>
    <w:p w14:paraId="02F9504E"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Partial credit allowed for certain other dependents</w:t>
      </w:r>
    </w:p>
    <w:p w14:paraId="318A753D"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27C061C8" w14:textId="5479FF4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credit determined under subsection (a) (after the application of paragraph (2)) shall be increased by $500 for each </w:t>
      </w:r>
      <w:r w:rsidRPr="008B3051">
        <w:rPr>
          <w:rStyle w:val="Hyperlink"/>
          <w:rFonts w:ascii="Verdana" w:hAnsi="Verdana"/>
          <w:color w:val="auto"/>
        </w:rPr>
        <w:t>dependent</w:t>
      </w:r>
      <w:r w:rsidRPr="008B3051">
        <w:rPr>
          <w:rFonts w:ascii="Verdana" w:hAnsi="Verdana"/>
        </w:rPr>
        <w:t> of the taxpayer (as defined in </w:t>
      </w:r>
      <w:r w:rsidRPr="008B3051">
        <w:rPr>
          <w:rStyle w:val="Hyperlink"/>
          <w:rFonts w:ascii="Verdana" w:hAnsi="Verdana"/>
          <w:color w:val="auto"/>
        </w:rPr>
        <w:t>section 152</w:t>
      </w:r>
      <w:r w:rsidRPr="008B3051">
        <w:rPr>
          <w:rFonts w:ascii="Verdana" w:hAnsi="Verdana"/>
        </w:rPr>
        <w:t>) other than a qualifying child described in subsection (c).</w:t>
      </w:r>
    </w:p>
    <w:p w14:paraId="1A73FE1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Exception for certain noncitizens</w:t>
      </w:r>
    </w:p>
    <w:p w14:paraId="6EE86ACF" w14:textId="4AD9628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Subparagraph (A) shall not apply with respect to any individual who would not be a </w:t>
      </w:r>
      <w:r w:rsidRPr="008B3051">
        <w:rPr>
          <w:rStyle w:val="Hyperlink"/>
          <w:rFonts w:ascii="Verdana" w:hAnsi="Verdana"/>
          <w:color w:val="auto"/>
        </w:rPr>
        <w:t>dependent</w:t>
      </w:r>
      <w:r w:rsidRPr="008B3051">
        <w:rPr>
          <w:rFonts w:ascii="Verdana" w:hAnsi="Verdana"/>
        </w:rPr>
        <w:t> if subparagraph (A) of section 152(b)(3) were applied without regard to all that follows “resident of the </w:t>
      </w:r>
      <w:r w:rsidRPr="008B3051">
        <w:rPr>
          <w:rStyle w:val="Hyperlink"/>
          <w:rFonts w:ascii="Verdana" w:hAnsi="Verdana"/>
          <w:color w:val="auto"/>
        </w:rPr>
        <w:t>United States</w:t>
      </w:r>
      <w:r w:rsidRPr="008B3051">
        <w:rPr>
          <w:rFonts w:ascii="Verdana" w:hAnsi="Verdana"/>
        </w:rPr>
        <w:t>”.</w:t>
      </w:r>
    </w:p>
    <w:p w14:paraId="655683F4" w14:textId="77777777" w:rsidR="00AB7AF9" w:rsidRPr="008B3051" w:rsidRDefault="00AB7AF9" w:rsidP="00AB7AF9">
      <w:pPr>
        <w:shd w:val="clear" w:color="auto" w:fill="FFFFFF"/>
        <w:rPr>
          <w:rFonts w:ascii="Verdana" w:hAnsi="Verdana"/>
        </w:rPr>
      </w:pPr>
      <w:bookmarkStart w:id="347" w:name="h_4_C"/>
      <w:bookmarkEnd w:id="347"/>
      <w:r w:rsidRPr="008B3051">
        <w:rPr>
          <w:rStyle w:val="num"/>
          <w:rFonts w:ascii="Verdana" w:hAnsi="Verdana"/>
          <w:b/>
          <w:bCs/>
        </w:rPr>
        <w:t>(C)</w:t>
      </w:r>
      <w:r w:rsidRPr="008B3051">
        <w:rPr>
          <w:rStyle w:val="heading"/>
          <w:rFonts w:ascii="Verdana" w:hAnsi="Verdana"/>
          <w:b/>
          <w:bCs/>
        </w:rPr>
        <w:t>Certain qualifying children</w:t>
      </w:r>
    </w:p>
    <w:p w14:paraId="4311121D" w14:textId="3C457B4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any </w:t>
      </w:r>
      <w:r w:rsidRPr="008B3051">
        <w:rPr>
          <w:rStyle w:val="Hyperlink"/>
          <w:rFonts w:ascii="Verdana" w:hAnsi="Verdana"/>
          <w:color w:val="auto"/>
        </w:rPr>
        <w:t>qualifying child</w:t>
      </w:r>
      <w:r w:rsidRPr="008B3051">
        <w:rPr>
          <w:rFonts w:ascii="Verdana" w:hAnsi="Verdana"/>
        </w:rPr>
        <w:t> with respect to whom a credit is not allowed under this section by reason of paragraph (7), such child shall be treated as a dependent to whom subparagraph (A) applies.</w:t>
      </w:r>
    </w:p>
    <w:p w14:paraId="00F0C0A6"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(5)</w:t>
      </w:r>
      <w:r w:rsidRPr="008B3051">
        <w:rPr>
          <w:rStyle w:val="heading"/>
          <w:rFonts w:ascii="Verdana" w:hAnsi="Verdana"/>
          <w:b/>
          <w:bCs/>
          <w:smallCaps/>
        </w:rPr>
        <w:t>Maximum amount of refundable credit</w:t>
      </w:r>
    </w:p>
    <w:p w14:paraId="2F1B592D"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4738E805" w14:textId="21BAE95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amount determined under subsection (d)(1)(A) with respect to any </w:t>
      </w:r>
      <w:r w:rsidRPr="008B3051">
        <w:rPr>
          <w:rStyle w:val="Hyperlink"/>
          <w:rFonts w:ascii="Verdana" w:hAnsi="Verdana"/>
          <w:color w:val="auto"/>
        </w:rPr>
        <w:t>qualifying child</w:t>
      </w:r>
      <w:r w:rsidRPr="008B3051">
        <w:rPr>
          <w:rFonts w:ascii="Verdana" w:hAnsi="Verdana"/>
        </w:rPr>
        <w:t> shall not exceed $1,400, and such subsection shall be applied without regard to paragraph (4) of this subsection.</w:t>
      </w:r>
    </w:p>
    <w:p w14:paraId="6D29D088" w14:textId="4C81BDAF"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Adjustment for inflation</w:t>
      </w:r>
      <w:r w:rsidRPr="008B3051">
        <w:rPr>
          <w:rStyle w:val="chapeau"/>
          <w:rFonts w:ascii="Verdana" w:hAnsi="Verdana"/>
        </w:rPr>
        <w:t>In the case of a </w:t>
      </w:r>
      <w:r w:rsidRPr="008B3051">
        <w:rPr>
          <w:rStyle w:val="Hyperlink"/>
          <w:rFonts w:ascii="Verdana" w:hAnsi="Verdana"/>
          <w:color w:val="auto"/>
        </w:rPr>
        <w:t>taxable year</w:t>
      </w:r>
      <w:r w:rsidRPr="008B3051">
        <w:rPr>
          <w:rStyle w:val="chapeau"/>
          <w:rFonts w:ascii="Verdana" w:hAnsi="Verdana"/>
        </w:rPr>
        <w:t> beginning after 2018, the $1,400 amount in subparagraph (A) shall be increased by an amount equal to—</w:t>
      </w:r>
    </w:p>
    <w:p w14:paraId="7831E94A" w14:textId="77777777" w:rsidR="00AB7AF9" w:rsidRPr="008B3051" w:rsidRDefault="00AB7AF9" w:rsidP="00AB7AF9">
      <w:pPr>
        <w:shd w:val="clear" w:color="auto" w:fill="FFFFFF"/>
        <w:rPr>
          <w:rFonts w:ascii="Verdana" w:hAnsi="Verdana"/>
        </w:rPr>
      </w:pPr>
      <w:bookmarkStart w:id="348" w:name="h_5_B_i"/>
      <w:bookmarkEnd w:id="348"/>
      <w:r w:rsidRPr="008B3051">
        <w:rPr>
          <w:rStyle w:val="num"/>
          <w:rFonts w:ascii="Verdana" w:hAnsi="Verdana"/>
          <w:b/>
          <w:bCs/>
        </w:rPr>
        <w:t>(i)</w:t>
      </w:r>
    </w:p>
    <w:p w14:paraId="2DCFADB3" w14:textId="77777777" w:rsidR="00AB7AF9" w:rsidRPr="008B3051" w:rsidRDefault="00AB7AF9" w:rsidP="00AB7AF9">
      <w:pPr>
        <w:shd w:val="clear" w:color="auto" w:fill="FFFFFF"/>
        <w:rPr>
          <w:rFonts w:ascii="Verdana" w:hAnsi="Verdana"/>
        </w:rPr>
      </w:pPr>
      <w:r w:rsidRPr="008B3051">
        <w:rPr>
          <w:rFonts w:ascii="Verdana" w:hAnsi="Verdana"/>
        </w:rPr>
        <w:t>such dollar amount, multiplied by</w:t>
      </w:r>
    </w:p>
    <w:p w14:paraId="13478293" w14:textId="77777777" w:rsidR="00AB7AF9" w:rsidRPr="008B3051" w:rsidRDefault="00AB7AF9" w:rsidP="00AB7AF9">
      <w:pPr>
        <w:shd w:val="clear" w:color="auto" w:fill="FFFFFF"/>
        <w:rPr>
          <w:rFonts w:ascii="Verdana" w:hAnsi="Verdana"/>
        </w:rPr>
      </w:pPr>
      <w:bookmarkStart w:id="349" w:name="h_5_B_ii"/>
      <w:bookmarkEnd w:id="349"/>
      <w:r w:rsidRPr="008B3051">
        <w:rPr>
          <w:rStyle w:val="num"/>
          <w:rFonts w:ascii="Verdana" w:hAnsi="Verdana"/>
          <w:b/>
          <w:bCs/>
        </w:rPr>
        <w:t>(ii)</w:t>
      </w:r>
    </w:p>
    <w:p w14:paraId="3968ED03" w14:textId="1F8B50A3" w:rsidR="00AB7AF9" w:rsidRPr="008B3051" w:rsidRDefault="00AB7AF9" w:rsidP="00AB7AF9">
      <w:pPr>
        <w:shd w:val="clear" w:color="auto" w:fill="FFFFFF"/>
        <w:rPr>
          <w:rFonts w:ascii="Verdana" w:hAnsi="Verdana"/>
        </w:rPr>
      </w:pPr>
      <w:r w:rsidRPr="008B3051">
        <w:rPr>
          <w:rFonts w:ascii="Verdana" w:hAnsi="Verdana"/>
        </w:rPr>
        <w:t>the cost-of-living adjustment determined under section 1(f)(3) for the </w:t>
      </w:r>
      <w:r w:rsidRPr="008B3051">
        <w:rPr>
          <w:rStyle w:val="Hyperlink"/>
          <w:rFonts w:ascii="Verdana" w:hAnsi="Verdana"/>
          <w:color w:val="auto"/>
        </w:rPr>
        <w:t>calendar year</w:t>
      </w:r>
      <w:r w:rsidRPr="008B3051">
        <w:rPr>
          <w:rFonts w:ascii="Verdana" w:hAnsi="Verdana"/>
        </w:rPr>
        <w:t> in which the taxable year begins, determined by substituting “2017” for “2016” in subparagraph (A)(ii) thereof.</w:t>
      </w:r>
    </w:p>
    <w:p w14:paraId="09595AFE" w14:textId="77777777" w:rsidR="00AB7AF9" w:rsidRPr="008B3051" w:rsidRDefault="00AB7AF9" w:rsidP="00AB7AF9">
      <w:pPr>
        <w:shd w:val="clear" w:color="auto" w:fill="FFFFFF"/>
        <w:rPr>
          <w:rFonts w:ascii="Verdana" w:hAnsi="Verdana"/>
        </w:rPr>
      </w:pPr>
      <w:r w:rsidRPr="008B3051">
        <w:rPr>
          <w:rFonts w:ascii="Verdana" w:hAnsi="Verdana"/>
        </w:rPr>
        <w:t>If any increase under this clause is not a multiple of $100, such increase shall be rounded to the next lowest multiple of $100.</w:t>
      </w:r>
    </w:p>
    <w:p w14:paraId="44048004" w14:textId="77777777" w:rsidR="00AB7AF9" w:rsidRPr="008B3051" w:rsidRDefault="00AB7AF9" w:rsidP="00AB7AF9">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Earned income threshold for refundable credit</w:t>
      </w:r>
    </w:p>
    <w:p w14:paraId="7BAFE6B3"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Subsection (d)(1)(B)(i) shall be applied by substituting “$2,500” for “$3,000”.</w:t>
      </w:r>
    </w:p>
    <w:p w14:paraId="26326BA6" w14:textId="6EFDB74F" w:rsidR="00AB7AF9" w:rsidRPr="008B3051" w:rsidRDefault="00AB7AF9" w:rsidP="00AB7AF9">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Social security number required</w:t>
      </w:r>
      <w:r w:rsidRPr="008B3051">
        <w:rPr>
          <w:rStyle w:val="chapeau"/>
          <w:rFonts w:ascii="Verdana" w:hAnsi="Verdana"/>
        </w:rPr>
        <w:t>No credit shall be allowed under this section to a </w:t>
      </w:r>
      <w:r w:rsidRPr="008B3051">
        <w:rPr>
          <w:rStyle w:val="Hyperlink"/>
          <w:rFonts w:ascii="Verdana" w:hAnsi="Verdana"/>
          <w:color w:val="auto"/>
        </w:rPr>
        <w:t>taxpayer</w:t>
      </w:r>
      <w:r w:rsidRPr="008B3051">
        <w:rPr>
          <w:rStyle w:val="chapeau"/>
          <w:rFonts w:ascii="Verdana" w:hAnsi="Verdana"/>
        </w:rPr>
        <w:t> with respect to any </w:t>
      </w:r>
      <w:r w:rsidRPr="008B3051">
        <w:rPr>
          <w:rStyle w:val="Hyperlink"/>
          <w:rFonts w:ascii="Verdana" w:hAnsi="Verdana"/>
          <w:color w:val="auto"/>
        </w:rPr>
        <w:t>qualifying child</w:t>
      </w:r>
      <w:r w:rsidRPr="008B3051">
        <w:rPr>
          <w:rStyle w:val="chapeau"/>
          <w:rFonts w:ascii="Verdana" w:hAnsi="Verdana"/>
        </w:rPr>
        <w:t> unless the taxpayer includes the social security number of such child on the return of tax for the taxable year. For purposes of the preceding sentence, the term “social security number” means a social security number issued to an individual by the Social Security Administration, but only if the social security number is issued—</w:t>
      </w:r>
    </w:p>
    <w:p w14:paraId="77587447"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1771B1BF" w14:textId="366CE4CF" w:rsidR="00AB7AF9" w:rsidRPr="008B3051" w:rsidRDefault="00AB7AF9" w:rsidP="00AB7AF9">
      <w:pPr>
        <w:shd w:val="clear" w:color="auto" w:fill="FFFFFF"/>
        <w:rPr>
          <w:rFonts w:ascii="Verdana" w:hAnsi="Verdana"/>
        </w:rPr>
      </w:pPr>
      <w:r w:rsidRPr="008B3051">
        <w:rPr>
          <w:rFonts w:ascii="Verdana" w:hAnsi="Verdana"/>
        </w:rPr>
        <w:t>to a citizen of the </w:t>
      </w:r>
      <w:r w:rsidRPr="008B3051">
        <w:rPr>
          <w:rStyle w:val="Hyperlink"/>
          <w:rFonts w:ascii="Verdana" w:hAnsi="Verdana"/>
          <w:color w:val="auto"/>
        </w:rPr>
        <w:t>United States</w:t>
      </w:r>
      <w:r w:rsidRPr="008B3051">
        <w:rPr>
          <w:rFonts w:ascii="Verdana" w:hAnsi="Verdana"/>
        </w:rPr>
        <w:t> or pursuant to subclause (I) (or that portion of subclause (III) that relates to subclause (I)) of section 205(c)(2)(B)(i) of the Social Security Act, and</w:t>
      </w:r>
    </w:p>
    <w:p w14:paraId="7FBC99D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0167BD4F" w14:textId="6890D6BA" w:rsidR="00AB7AF9" w:rsidRPr="008B3051" w:rsidRDefault="00AB7AF9" w:rsidP="00AB7AF9">
      <w:pPr>
        <w:shd w:val="clear" w:color="auto" w:fill="FFFFFF"/>
        <w:rPr>
          <w:rFonts w:ascii="Verdana" w:hAnsi="Verdana"/>
        </w:rPr>
      </w:pPr>
      <w:r w:rsidRPr="008B3051">
        <w:rPr>
          <w:rFonts w:ascii="Verdana" w:hAnsi="Verdana"/>
        </w:rPr>
        <w:t>before the </w:t>
      </w:r>
      <w:r w:rsidRPr="008B3051">
        <w:rPr>
          <w:rStyle w:val="Hyperlink"/>
          <w:rFonts w:ascii="Verdana" w:hAnsi="Verdana"/>
          <w:color w:val="auto"/>
        </w:rPr>
        <w:t>due date</w:t>
      </w:r>
      <w:r w:rsidRPr="008B3051">
        <w:rPr>
          <w:rFonts w:ascii="Verdana" w:hAnsi="Verdana"/>
        </w:rPr>
        <w:t> for such return.</w:t>
      </w:r>
    </w:p>
    <w:p w14:paraId="03D6234B" w14:textId="1D8CA7F2"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105–34, title I</w:t>
      </w:r>
      <w:r w:rsidRPr="008B3051">
        <w:rPr>
          <w:rFonts w:ascii="Verdana" w:hAnsi="Verdana"/>
        </w:rPr>
        <w:t>, § 101(a), </w:t>
      </w:r>
      <w:r w:rsidRPr="008B3051">
        <w:rPr>
          <w:rStyle w:val="Date2"/>
          <w:rFonts w:ascii="Verdana" w:hAnsi="Verdana"/>
        </w:rPr>
        <w:t>Aug. 5, 1997</w:t>
      </w:r>
      <w:r w:rsidRPr="008B3051">
        <w:rPr>
          <w:rFonts w:ascii="Verdana" w:hAnsi="Verdana"/>
        </w:rPr>
        <w:t>, </w:t>
      </w:r>
      <w:r w:rsidRPr="008B3051">
        <w:rPr>
          <w:rStyle w:val="Hyperlink"/>
          <w:rFonts w:ascii="Verdana" w:hAnsi="Verdana"/>
          <w:color w:val="auto"/>
        </w:rPr>
        <w:t>111 Stat. 796</w:t>
      </w:r>
      <w:r w:rsidRPr="008B3051">
        <w:rPr>
          <w:rFonts w:ascii="Verdana" w:hAnsi="Verdana"/>
        </w:rPr>
        <w:t>; amended </w:t>
      </w:r>
      <w:r w:rsidRPr="008B3051">
        <w:rPr>
          <w:rStyle w:val="Hyperlink"/>
          <w:rFonts w:ascii="Verdana" w:hAnsi="Verdana"/>
          <w:color w:val="auto"/>
        </w:rPr>
        <w:t>Pub. L. 105–206, title VI</w:t>
      </w:r>
      <w:r w:rsidRPr="008B3051">
        <w:rPr>
          <w:rFonts w:ascii="Verdana" w:hAnsi="Verdana"/>
        </w:rPr>
        <w:t>, § 6003(a), </w:t>
      </w:r>
      <w:r w:rsidRPr="008B3051">
        <w:rPr>
          <w:rStyle w:val="Date2"/>
          <w:rFonts w:ascii="Verdana" w:hAnsi="Verdana"/>
        </w:rPr>
        <w:t>July 22, 1998</w:t>
      </w:r>
      <w:r w:rsidRPr="008B3051">
        <w:rPr>
          <w:rFonts w:ascii="Verdana" w:hAnsi="Verdana"/>
        </w:rPr>
        <w:t>, </w:t>
      </w:r>
      <w:r w:rsidRPr="008B3051">
        <w:rPr>
          <w:rStyle w:val="Hyperlink"/>
          <w:rFonts w:ascii="Verdana" w:hAnsi="Verdana"/>
          <w:color w:val="auto"/>
        </w:rPr>
        <w:t>112 Stat. 790</w:t>
      </w:r>
      <w:r w:rsidRPr="008B3051">
        <w:rPr>
          <w:rFonts w:ascii="Verdana" w:hAnsi="Verdana"/>
        </w:rPr>
        <w:t>; </w:t>
      </w:r>
      <w:r w:rsidRPr="008B3051">
        <w:rPr>
          <w:rStyle w:val="Hyperlink"/>
          <w:rFonts w:ascii="Verdana" w:hAnsi="Verdana"/>
          <w:color w:val="auto"/>
        </w:rPr>
        <w:t>Pub. L. 105–277, div. J, title II</w:t>
      </w:r>
      <w:r w:rsidRPr="008B3051">
        <w:rPr>
          <w:rFonts w:ascii="Verdana" w:hAnsi="Verdana"/>
        </w:rPr>
        <w:t>, § 2001(b), </w:t>
      </w:r>
      <w:r w:rsidRPr="008B3051">
        <w:rPr>
          <w:rStyle w:val="Date2"/>
          <w:rFonts w:ascii="Verdana" w:hAnsi="Verdana"/>
        </w:rPr>
        <w:t>Oct. 21, 1998</w:t>
      </w:r>
      <w:r w:rsidRPr="008B3051">
        <w:rPr>
          <w:rFonts w:ascii="Verdana" w:hAnsi="Verdana"/>
        </w:rPr>
        <w:t>, </w:t>
      </w:r>
      <w:r w:rsidRPr="008B3051">
        <w:rPr>
          <w:rStyle w:val="Hyperlink"/>
          <w:rFonts w:ascii="Verdana" w:hAnsi="Verdana"/>
          <w:color w:val="auto"/>
        </w:rPr>
        <w:t>112 Stat. 2681–901</w:t>
      </w:r>
      <w:r w:rsidRPr="008B3051">
        <w:rPr>
          <w:rFonts w:ascii="Verdana" w:hAnsi="Verdana"/>
        </w:rPr>
        <w:t>; </w:t>
      </w:r>
      <w:r w:rsidRPr="008B3051">
        <w:rPr>
          <w:rStyle w:val="Hyperlink"/>
          <w:rFonts w:ascii="Verdana" w:hAnsi="Verdana"/>
          <w:color w:val="auto"/>
        </w:rPr>
        <w:t>Pub. L. 106–170, title V</w:t>
      </w:r>
      <w:r w:rsidRPr="008B3051">
        <w:rPr>
          <w:rFonts w:ascii="Verdana" w:hAnsi="Verdana"/>
        </w:rPr>
        <w:t>, § 501(b)(1), </w:t>
      </w:r>
      <w:r w:rsidRPr="008B3051">
        <w:rPr>
          <w:rStyle w:val="Date2"/>
          <w:rFonts w:ascii="Verdana" w:hAnsi="Verdana"/>
        </w:rPr>
        <w:t>Dec. 17, 1999</w:t>
      </w:r>
      <w:r w:rsidRPr="008B3051">
        <w:rPr>
          <w:rFonts w:ascii="Verdana" w:hAnsi="Verdana"/>
        </w:rPr>
        <w:t>, </w:t>
      </w:r>
      <w:r w:rsidRPr="008B3051">
        <w:rPr>
          <w:rStyle w:val="Hyperlink"/>
          <w:rFonts w:ascii="Verdana" w:hAnsi="Verdana"/>
          <w:color w:val="auto"/>
        </w:rPr>
        <w:t>113 Stat. 1919</w:t>
      </w:r>
      <w:r w:rsidRPr="008B3051">
        <w:rPr>
          <w:rFonts w:ascii="Verdana" w:hAnsi="Verdana"/>
        </w:rPr>
        <w:t>; </w:t>
      </w:r>
      <w:r w:rsidRPr="008B3051">
        <w:rPr>
          <w:rStyle w:val="Hyperlink"/>
          <w:rFonts w:ascii="Verdana" w:hAnsi="Verdana"/>
          <w:color w:val="auto"/>
        </w:rPr>
        <w:t>Pub. L. 107–16, title II</w:t>
      </w:r>
      <w:r w:rsidRPr="008B3051">
        <w:rPr>
          <w:rFonts w:ascii="Verdana" w:hAnsi="Verdana"/>
        </w:rPr>
        <w:t>, §§ 201(a)–(b)(2)(C), (c)(1), (2), (d), 202(f)(2)(B), title VI, § 618(b)(2)(A),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45–47</w:t>
      </w:r>
      <w:r w:rsidRPr="008B3051">
        <w:rPr>
          <w:rFonts w:ascii="Verdana" w:hAnsi="Verdana"/>
        </w:rPr>
        <w:t>, 49, 108; </w:t>
      </w:r>
      <w:r w:rsidRPr="008B3051">
        <w:rPr>
          <w:rStyle w:val="Hyperlink"/>
          <w:rFonts w:ascii="Verdana" w:hAnsi="Verdana"/>
          <w:color w:val="auto"/>
        </w:rPr>
        <w:t>Pub. L. 107–90, title II</w:t>
      </w:r>
      <w:r w:rsidRPr="008B3051">
        <w:rPr>
          <w:rFonts w:ascii="Verdana" w:hAnsi="Verdana"/>
        </w:rPr>
        <w:t>, § 204(e)(1), </w:t>
      </w:r>
      <w:r w:rsidRPr="008B3051">
        <w:rPr>
          <w:rStyle w:val="Date2"/>
          <w:rFonts w:ascii="Verdana" w:hAnsi="Verdana"/>
        </w:rPr>
        <w:t>Dec. 21, 2001</w:t>
      </w:r>
      <w:r w:rsidRPr="008B3051">
        <w:rPr>
          <w:rFonts w:ascii="Verdana" w:hAnsi="Verdana"/>
        </w:rPr>
        <w:t>, </w:t>
      </w:r>
      <w:r w:rsidRPr="008B3051">
        <w:rPr>
          <w:rStyle w:val="Hyperlink"/>
          <w:rFonts w:ascii="Verdana" w:hAnsi="Verdana"/>
          <w:color w:val="auto"/>
        </w:rPr>
        <w:t>115 Stat. 893</w:t>
      </w:r>
      <w:r w:rsidRPr="008B3051">
        <w:rPr>
          <w:rFonts w:ascii="Verdana" w:hAnsi="Verdana"/>
        </w:rPr>
        <w:t>; </w:t>
      </w:r>
      <w:r w:rsidRPr="008B3051">
        <w:rPr>
          <w:rStyle w:val="Hyperlink"/>
          <w:rFonts w:ascii="Verdana" w:hAnsi="Verdana"/>
          <w:color w:val="auto"/>
        </w:rPr>
        <w:t>Pub. L. 107–147, title IV</w:t>
      </w:r>
      <w:r w:rsidRPr="008B3051">
        <w:rPr>
          <w:rFonts w:ascii="Verdana" w:hAnsi="Verdana"/>
        </w:rPr>
        <w:t>, §§ 411(b), 417(23)(A), </w:t>
      </w:r>
      <w:r w:rsidRPr="008B3051">
        <w:rPr>
          <w:rStyle w:val="Date2"/>
          <w:rFonts w:ascii="Verdana" w:hAnsi="Verdana"/>
        </w:rPr>
        <w:t xml:space="preserve">Mar. 9, </w:t>
      </w:r>
      <w:r w:rsidRPr="008B3051">
        <w:rPr>
          <w:rStyle w:val="Date2"/>
          <w:rFonts w:ascii="Verdana" w:hAnsi="Verdana"/>
        </w:rPr>
        <w:lastRenderedPageBreak/>
        <w:t>2002</w:t>
      </w:r>
      <w:r w:rsidRPr="008B3051">
        <w:rPr>
          <w:rFonts w:ascii="Verdana" w:hAnsi="Verdana"/>
        </w:rPr>
        <w:t>, </w:t>
      </w:r>
      <w:r w:rsidRPr="008B3051">
        <w:rPr>
          <w:rStyle w:val="Hyperlink"/>
          <w:rFonts w:ascii="Verdana" w:hAnsi="Verdana"/>
          <w:color w:val="auto"/>
        </w:rPr>
        <w:t>116 Stat. 45</w:t>
      </w:r>
      <w:r w:rsidRPr="008B3051">
        <w:rPr>
          <w:rFonts w:ascii="Verdana" w:hAnsi="Verdana"/>
        </w:rPr>
        <w:t>, 57; </w:t>
      </w:r>
      <w:r w:rsidRPr="008B3051">
        <w:rPr>
          <w:rStyle w:val="Hyperlink"/>
          <w:rFonts w:ascii="Verdana" w:hAnsi="Verdana"/>
          <w:color w:val="auto"/>
        </w:rPr>
        <w:t>Pub. L. 108–27, title I</w:t>
      </w:r>
      <w:r w:rsidRPr="008B3051">
        <w:rPr>
          <w:rFonts w:ascii="Verdana" w:hAnsi="Verdana"/>
        </w:rPr>
        <w:t>, § 101(a), </w:t>
      </w:r>
      <w:r w:rsidRPr="008B3051">
        <w:rPr>
          <w:rStyle w:val="Date2"/>
          <w:rFonts w:ascii="Verdana" w:hAnsi="Verdana"/>
        </w:rPr>
        <w:t>May 28, 2003</w:t>
      </w:r>
      <w:r w:rsidRPr="008B3051">
        <w:rPr>
          <w:rFonts w:ascii="Verdana" w:hAnsi="Verdana"/>
        </w:rPr>
        <w:t>, </w:t>
      </w:r>
      <w:r w:rsidRPr="008B3051">
        <w:rPr>
          <w:rStyle w:val="Hyperlink"/>
          <w:rFonts w:ascii="Verdana" w:hAnsi="Verdana"/>
          <w:color w:val="auto"/>
        </w:rPr>
        <w:t>117 Stat. 753</w:t>
      </w:r>
      <w:r w:rsidRPr="008B3051">
        <w:rPr>
          <w:rFonts w:ascii="Verdana" w:hAnsi="Verdana"/>
        </w:rPr>
        <w:t>; </w:t>
      </w:r>
      <w:r w:rsidRPr="008B3051">
        <w:rPr>
          <w:rStyle w:val="Hyperlink"/>
          <w:rFonts w:ascii="Verdana" w:hAnsi="Verdana"/>
          <w:color w:val="auto"/>
        </w:rPr>
        <w:t>Pub. L. 108–311, title I</w:t>
      </w:r>
      <w:r w:rsidRPr="008B3051">
        <w:rPr>
          <w:rFonts w:ascii="Verdana" w:hAnsi="Verdana"/>
        </w:rPr>
        <w:t>, §§ 101(a), 102(a), 104(a), title II, § 204, title IV, § 408(b)(4), </w:t>
      </w:r>
      <w:r w:rsidRPr="008B3051">
        <w:rPr>
          <w:rStyle w:val="Date2"/>
          <w:rFonts w:ascii="Verdana" w:hAnsi="Verdana"/>
        </w:rPr>
        <w:t>Oct. 4, 2004</w:t>
      </w:r>
      <w:r w:rsidRPr="008B3051">
        <w:rPr>
          <w:rFonts w:ascii="Verdana" w:hAnsi="Verdana"/>
        </w:rPr>
        <w:t>, </w:t>
      </w:r>
      <w:r w:rsidRPr="008B3051">
        <w:rPr>
          <w:rStyle w:val="Hyperlink"/>
          <w:rFonts w:ascii="Verdana" w:hAnsi="Verdana"/>
          <w:color w:val="auto"/>
        </w:rPr>
        <w:t>118 Stat. 1167</w:t>
      </w:r>
      <w:r w:rsidRPr="008B3051">
        <w:rPr>
          <w:rFonts w:ascii="Verdana" w:hAnsi="Verdana"/>
        </w:rPr>
        <w:t>, 1168, 1176, 1192; </w:t>
      </w:r>
      <w:r w:rsidRPr="008B3051">
        <w:rPr>
          <w:rStyle w:val="Hyperlink"/>
          <w:rFonts w:ascii="Verdana" w:hAnsi="Verdana"/>
          <w:color w:val="auto"/>
        </w:rPr>
        <w:t>Pub. L. 109–135, title IV</w:t>
      </w:r>
      <w:r w:rsidRPr="008B3051">
        <w:rPr>
          <w:rFonts w:ascii="Verdana" w:hAnsi="Verdana"/>
        </w:rPr>
        <w:t>, § 402(i)(3)(B),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2613</w:t>
      </w:r>
      <w:r w:rsidRPr="008B3051">
        <w:rPr>
          <w:rFonts w:ascii="Verdana" w:hAnsi="Verdana"/>
        </w:rPr>
        <w:t>; </w:t>
      </w:r>
      <w:r w:rsidRPr="008B3051">
        <w:rPr>
          <w:rStyle w:val="Hyperlink"/>
          <w:rFonts w:ascii="Verdana" w:hAnsi="Verdana"/>
          <w:color w:val="auto"/>
        </w:rPr>
        <w:t>Pub. L. 110–172</w:t>
      </w:r>
      <w:r w:rsidRPr="008B3051">
        <w:rPr>
          <w:rFonts w:ascii="Verdana" w:hAnsi="Verdana"/>
        </w:rPr>
        <w:t>, § 11(c)(1), </w:t>
      </w:r>
      <w:r w:rsidRPr="008B3051">
        <w:rPr>
          <w:rStyle w:val="Date2"/>
          <w:rFonts w:ascii="Verdana" w:hAnsi="Verdana"/>
        </w:rPr>
        <w:t>Dec. 29, 2007</w:t>
      </w:r>
      <w:r w:rsidRPr="008B3051">
        <w:rPr>
          <w:rFonts w:ascii="Verdana" w:hAnsi="Verdana"/>
        </w:rPr>
        <w:t>, </w:t>
      </w:r>
      <w:r w:rsidRPr="008B3051">
        <w:rPr>
          <w:rStyle w:val="Hyperlink"/>
          <w:rFonts w:ascii="Verdana" w:hAnsi="Verdana"/>
          <w:color w:val="auto"/>
        </w:rPr>
        <w:t>121 Stat. 2488</w:t>
      </w:r>
      <w:r w:rsidRPr="008B3051">
        <w:rPr>
          <w:rFonts w:ascii="Verdana" w:hAnsi="Verdana"/>
        </w:rPr>
        <w:t>; </w:t>
      </w:r>
      <w:r w:rsidRPr="008B3051">
        <w:rPr>
          <w:rStyle w:val="Hyperlink"/>
          <w:rFonts w:ascii="Verdana" w:hAnsi="Verdana"/>
          <w:color w:val="auto"/>
        </w:rPr>
        <w:t>Pub. L. 110–343, div. B, title I</w:t>
      </w:r>
      <w:r w:rsidRPr="008B3051">
        <w:rPr>
          <w:rFonts w:ascii="Verdana" w:hAnsi="Verdana"/>
        </w:rPr>
        <w:t>, § 106(e)(2)(B), title II, § 205(d)(1)(A), div. C, title V, § 501(a),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3817</w:t>
      </w:r>
      <w:r w:rsidRPr="008B3051">
        <w:rPr>
          <w:rFonts w:ascii="Verdana" w:hAnsi="Verdana"/>
        </w:rPr>
        <w:t>, 3838, 3876; </w:t>
      </w:r>
      <w:r w:rsidRPr="008B3051">
        <w:rPr>
          <w:rStyle w:val="Hyperlink"/>
          <w:rFonts w:ascii="Verdana" w:hAnsi="Verdana"/>
          <w:color w:val="auto"/>
        </w:rPr>
        <w:t>Pub. L. 110–351, title V</w:t>
      </w:r>
      <w:r w:rsidRPr="008B3051">
        <w:rPr>
          <w:rFonts w:ascii="Verdana" w:hAnsi="Verdana"/>
        </w:rPr>
        <w:t>, § 501(c)(1), </w:t>
      </w:r>
      <w:r w:rsidRPr="008B3051">
        <w:rPr>
          <w:rStyle w:val="Date2"/>
          <w:rFonts w:ascii="Verdana" w:hAnsi="Verdana"/>
        </w:rPr>
        <w:t>Oct. 7, 2008</w:t>
      </w:r>
      <w:r w:rsidRPr="008B3051">
        <w:rPr>
          <w:rFonts w:ascii="Verdana" w:hAnsi="Verdana"/>
        </w:rPr>
        <w:t>, </w:t>
      </w:r>
      <w:r w:rsidRPr="008B3051">
        <w:rPr>
          <w:rStyle w:val="Hyperlink"/>
          <w:rFonts w:ascii="Verdana" w:hAnsi="Verdana"/>
          <w:color w:val="auto"/>
        </w:rPr>
        <w:t>122 Stat. 3979</w:t>
      </w:r>
      <w:r w:rsidRPr="008B3051">
        <w:rPr>
          <w:rFonts w:ascii="Verdana" w:hAnsi="Verdana"/>
        </w:rPr>
        <w:t>; </w:t>
      </w:r>
      <w:r w:rsidRPr="008B3051">
        <w:rPr>
          <w:rStyle w:val="Hyperlink"/>
          <w:rFonts w:ascii="Verdana" w:hAnsi="Verdana"/>
          <w:color w:val="auto"/>
        </w:rPr>
        <w:t>Pub. L. 111–5, div. B, title I</w:t>
      </w:r>
      <w:r w:rsidRPr="008B3051">
        <w:rPr>
          <w:rFonts w:ascii="Verdana" w:hAnsi="Verdana"/>
        </w:rPr>
        <w:t>, §§ 1003(a), 1004(b)(1), 1142(b)(1)(A), 1144(b)(1)(A),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313</w:t>
      </w:r>
      <w:r w:rsidRPr="008B3051">
        <w:rPr>
          <w:rFonts w:ascii="Verdana" w:hAnsi="Verdana"/>
        </w:rPr>
        <w:t>, 314, 330, 332; </w:t>
      </w:r>
      <w:r w:rsidRPr="008B3051">
        <w:rPr>
          <w:rStyle w:val="Hyperlink"/>
          <w:rFonts w:ascii="Verdana" w:hAnsi="Verdana"/>
          <w:color w:val="auto"/>
        </w:rPr>
        <w:t>Pub. L. 111–148, title X</w:t>
      </w:r>
      <w:r w:rsidRPr="008B3051">
        <w:rPr>
          <w:rFonts w:ascii="Verdana" w:hAnsi="Verdana"/>
        </w:rPr>
        <w:t>, § 10909(b)(2)(A),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1023</w:t>
      </w:r>
      <w:r w:rsidRPr="008B3051">
        <w:rPr>
          <w:rFonts w:ascii="Verdana" w:hAnsi="Verdana"/>
        </w:rPr>
        <w:t>; </w:t>
      </w:r>
      <w:r w:rsidRPr="008B3051">
        <w:rPr>
          <w:rStyle w:val="Hyperlink"/>
          <w:rFonts w:ascii="Verdana" w:hAnsi="Verdana"/>
          <w:color w:val="auto"/>
        </w:rPr>
        <w:t>Pub. L. 111–312, title I</w:t>
      </w:r>
      <w:r w:rsidRPr="008B3051">
        <w:rPr>
          <w:rFonts w:ascii="Verdana" w:hAnsi="Verdana"/>
        </w:rPr>
        <w:t>, §§ 101(b)(1), 103(b),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3299; </w:t>
      </w:r>
      <w:r w:rsidRPr="008B3051">
        <w:rPr>
          <w:rStyle w:val="Hyperlink"/>
          <w:rFonts w:ascii="Verdana" w:hAnsi="Verdana"/>
          <w:color w:val="auto"/>
        </w:rPr>
        <w:t>Pub. L. 112–240, title I</w:t>
      </w:r>
      <w:r w:rsidRPr="008B3051">
        <w:rPr>
          <w:rFonts w:ascii="Verdana" w:hAnsi="Verdana"/>
        </w:rPr>
        <w:t>, §§ 103(b), 104(c)(2)(B),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2319</w:t>
      </w:r>
      <w:r w:rsidRPr="008B3051">
        <w:rPr>
          <w:rFonts w:ascii="Verdana" w:hAnsi="Verdana"/>
        </w:rPr>
        <w:t>, 2321; </w:t>
      </w:r>
      <w:r w:rsidRPr="008B3051">
        <w:rPr>
          <w:rStyle w:val="Hyperlink"/>
          <w:rFonts w:ascii="Verdana" w:hAnsi="Verdana"/>
          <w:color w:val="auto"/>
        </w:rPr>
        <w:t>Pub. L. 113–295, div. A, title II</w:t>
      </w:r>
      <w:r w:rsidRPr="008B3051">
        <w:rPr>
          <w:rFonts w:ascii="Verdana" w:hAnsi="Verdana"/>
        </w:rPr>
        <w:t>, § 209(a), </w:t>
      </w:r>
      <w:r w:rsidRPr="008B3051">
        <w:rPr>
          <w:rStyle w:val="Date2"/>
          <w:rFonts w:ascii="Verdana" w:hAnsi="Verdana"/>
        </w:rPr>
        <w:t>Dec. 19, 2014</w:t>
      </w:r>
      <w:r w:rsidRPr="008B3051">
        <w:rPr>
          <w:rFonts w:ascii="Verdana" w:hAnsi="Verdana"/>
        </w:rPr>
        <w:t>, </w:t>
      </w:r>
      <w:r w:rsidRPr="008B3051">
        <w:rPr>
          <w:rStyle w:val="Hyperlink"/>
          <w:rFonts w:ascii="Verdana" w:hAnsi="Verdana"/>
          <w:color w:val="auto"/>
        </w:rPr>
        <w:t>128 Stat. 4028</w:t>
      </w:r>
      <w:r w:rsidRPr="008B3051">
        <w:rPr>
          <w:rFonts w:ascii="Verdana" w:hAnsi="Verdana"/>
        </w:rPr>
        <w:t>; </w:t>
      </w:r>
      <w:r w:rsidRPr="008B3051">
        <w:rPr>
          <w:rStyle w:val="Hyperlink"/>
          <w:rFonts w:ascii="Verdana" w:hAnsi="Verdana"/>
          <w:color w:val="auto"/>
        </w:rPr>
        <w:t>Pub. L. 114–27, title VIII</w:t>
      </w:r>
      <w:r w:rsidRPr="008B3051">
        <w:rPr>
          <w:rFonts w:ascii="Verdana" w:hAnsi="Verdana"/>
        </w:rPr>
        <w:t>, § 807(a), </w:t>
      </w:r>
      <w:r w:rsidRPr="008B3051">
        <w:rPr>
          <w:rStyle w:val="Date2"/>
          <w:rFonts w:ascii="Verdana" w:hAnsi="Verdana"/>
        </w:rPr>
        <w:t>June 29, 2015</w:t>
      </w:r>
      <w:r w:rsidRPr="008B3051">
        <w:rPr>
          <w:rFonts w:ascii="Verdana" w:hAnsi="Verdana"/>
        </w:rPr>
        <w:t>, </w:t>
      </w:r>
      <w:r w:rsidRPr="008B3051">
        <w:rPr>
          <w:rStyle w:val="Hyperlink"/>
          <w:rFonts w:ascii="Verdana" w:hAnsi="Verdana"/>
          <w:color w:val="auto"/>
        </w:rPr>
        <w:t>129 Stat. 418</w:t>
      </w:r>
      <w:r w:rsidRPr="008B3051">
        <w:rPr>
          <w:rFonts w:ascii="Verdana" w:hAnsi="Verdana"/>
        </w:rPr>
        <w:t>; </w:t>
      </w:r>
      <w:r w:rsidRPr="008B3051">
        <w:rPr>
          <w:rStyle w:val="Hyperlink"/>
          <w:rFonts w:ascii="Verdana" w:hAnsi="Verdana"/>
          <w:color w:val="auto"/>
        </w:rPr>
        <w:t>Pub. L. 114–113, div. Q, title I</w:t>
      </w:r>
      <w:r w:rsidRPr="008B3051">
        <w:rPr>
          <w:rFonts w:ascii="Verdana" w:hAnsi="Verdana"/>
        </w:rPr>
        <w:t>, § 101(a), (b), title II, §§ 205(a), (b), 208(a)(1), </w:t>
      </w:r>
      <w:r w:rsidRPr="008B3051">
        <w:rPr>
          <w:rStyle w:val="Date2"/>
          <w:rFonts w:ascii="Verdana" w:hAnsi="Verdana"/>
        </w:rPr>
        <w:t>Dec. 18, 2015</w:t>
      </w:r>
      <w:r w:rsidRPr="008B3051">
        <w:rPr>
          <w:rFonts w:ascii="Verdana" w:hAnsi="Verdana"/>
        </w:rPr>
        <w:t>, </w:t>
      </w:r>
      <w:r w:rsidRPr="008B3051">
        <w:rPr>
          <w:rStyle w:val="Hyperlink"/>
          <w:rFonts w:ascii="Verdana" w:hAnsi="Verdana"/>
          <w:color w:val="auto"/>
        </w:rPr>
        <w:t>129 Stat. 3044</w:t>
      </w:r>
      <w:r w:rsidRPr="008B3051">
        <w:rPr>
          <w:rFonts w:ascii="Verdana" w:hAnsi="Verdana"/>
        </w:rPr>
        <w:t>, 3081, 3083; </w:t>
      </w:r>
      <w:r w:rsidRPr="008B3051">
        <w:rPr>
          <w:rStyle w:val="Hyperlink"/>
          <w:rFonts w:ascii="Verdana" w:hAnsi="Verdana"/>
          <w:color w:val="auto"/>
        </w:rPr>
        <w:t>Pub. L. 115–97, title I</w:t>
      </w:r>
      <w:r w:rsidRPr="008B3051">
        <w:rPr>
          <w:rFonts w:ascii="Verdana" w:hAnsi="Verdana"/>
        </w:rPr>
        <w:t>, § 11022(a),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2073</w:t>
      </w:r>
      <w:r w:rsidRPr="008B3051">
        <w:rPr>
          <w:rFonts w:ascii="Verdana" w:hAnsi="Verdana"/>
        </w:rPr>
        <w:t>.)</w:t>
      </w:r>
    </w:p>
    <w:p w14:paraId="41ED7AC4" w14:textId="77777777" w:rsidR="00AB7AF9" w:rsidRPr="008B3051" w:rsidRDefault="00AB7AF9" w:rsidP="00AB7AF9">
      <w:pPr>
        <w:shd w:val="clear" w:color="auto" w:fill="FFFFFF"/>
        <w:spacing w:after="60" w:line="240" w:lineRule="auto"/>
        <w:ind w:left="720"/>
        <w:rPr>
          <w:rFonts w:ascii="Verdana" w:hAnsi="Verdana"/>
        </w:rPr>
      </w:pPr>
    </w:p>
    <w:p w14:paraId="0F76BE57" w14:textId="12E77043"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25 - Interest on certain home mortgages</w:t>
      </w:r>
    </w:p>
    <w:p w14:paraId="3A0E4EE2" w14:textId="51F506AC" w:rsidR="00AB7AF9" w:rsidRPr="008B3051" w:rsidRDefault="00AB7AF9" w:rsidP="00AB7AF9">
      <w:pPr>
        <w:shd w:val="clear" w:color="auto" w:fill="FFFFFF"/>
        <w:spacing w:after="60" w:line="240" w:lineRule="auto"/>
        <w:ind w:left="720"/>
        <w:rPr>
          <w:rFonts w:ascii="Verdana" w:hAnsi="Verdana"/>
        </w:rPr>
      </w:pPr>
    </w:p>
    <w:p w14:paraId="5534D091"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663229FC" w14:textId="720CE7BF"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There shall be allowed as a credit against the </w:t>
      </w:r>
      <w:r w:rsidRPr="008B3051">
        <w:rPr>
          <w:rStyle w:val="Hyperlink"/>
          <w:rFonts w:ascii="Verdana" w:hAnsi="Verdana"/>
          <w:color w:val="auto"/>
        </w:rPr>
        <w:t>tax</w:t>
      </w:r>
      <w:r w:rsidRPr="008B3051">
        <w:rPr>
          <w:rStyle w:val="chapeau"/>
          <w:rFonts w:ascii="Verdana" w:hAnsi="Verdana"/>
        </w:rPr>
        <w:t> imposed by this chapter for the </w:t>
      </w:r>
      <w:r w:rsidRPr="008B3051">
        <w:rPr>
          <w:rStyle w:val="Hyperlink"/>
          <w:rFonts w:ascii="Verdana" w:hAnsi="Verdana"/>
          <w:color w:val="auto"/>
        </w:rPr>
        <w:t>taxable year</w:t>
      </w:r>
      <w:r w:rsidRPr="008B3051">
        <w:rPr>
          <w:rStyle w:val="chapeau"/>
          <w:rFonts w:ascii="Verdana" w:hAnsi="Verdana"/>
        </w:rPr>
        <w:t> an amount equal to the product of—</w:t>
      </w:r>
    </w:p>
    <w:p w14:paraId="2D818430"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5CB8DE88" w14:textId="4C69B12C"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certificate credit rate</w:t>
      </w:r>
      <w:r w:rsidRPr="008B3051">
        <w:rPr>
          <w:rFonts w:ascii="Verdana" w:hAnsi="Verdana"/>
        </w:rPr>
        <w:t>, and</w:t>
      </w:r>
    </w:p>
    <w:p w14:paraId="3B3DF0FB"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5252A466" w14:textId="12F27EB5" w:rsidR="00AB7AF9" w:rsidRPr="008B3051" w:rsidRDefault="00AB7AF9" w:rsidP="00AB7AF9">
      <w:pPr>
        <w:shd w:val="clear" w:color="auto" w:fill="FFFFFF"/>
        <w:rPr>
          <w:rFonts w:ascii="Verdana" w:hAnsi="Verdana"/>
        </w:rPr>
      </w:pPr>
      <w:r w:rsidRPr="008B3051">
        <w:rPr>
          <w:rFonts w:ascii="Verdana" w:hAnsi="Verdana"/>
        </w:rPr>
        <w:t>the interest</w:t>
      </w:r>
      <w:r w:rsidRPr="008B3051">
        <w:rPr>
          <w:rStyle w:val="Hyperlink"/>
          <w:rFonts w:ascii="Verdana" w:hAnsi="Verdana"/>
          <w:color w:val="auto"/>
        </w:rPr>
        <w:t>paid or accrued</w:t>
      </w:r>
      <w:r w:rsidRPr="008B3051">
        <w:rPr>
          <w:rFonts w:ascii="Verdana" w:hAnsi="Verdana"/>
        </w:rPr>
        <w:t> by the taxpayer during the taxable year on the remaining principal of the </w:t>
      </w:r>
      <w:r w:rsidRPr="008B3051">
        <w:rPr>
          <w:rStyle w:val="Hyperlink"/>
          <w:rFonts w:ascii="Verdana" w:hAnsi="Verdana"/>
          <w:color w:val="auto"/>
        </w:rPr>
        <w:t>certified indebtedness amount</w:t>
      </w:r>
      <w:r w:rsidRPr="008B3051">
        <w:rPr>
          <w:rFonts w:ascii="Verdana" w:hAnsi="Verdana"/>
        </w:rPr>
        <w:t>.</w:t>
      </w:r>
    </w:p>
    <w:p w14:paraId="4779C761"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Limitation where credit rate exceeds 20 percent</w:t>
      </w:r>
    </w:p>
    <w:p w14:paraId="25E2A46A"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02CA37A0" w14:textId="64A2098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the </w:t>
      </w:r>
      <w:r w:rsidRPr="008B3051">
        <w:rPr>
          <w:rStyle w:val="Hyperlink"/>
          <w:rFonts w:ascii="Verdana" w:hAnsi="Verdana"/>
          <w:color w:val="auto"/>
        </w:rPr>
        <w:t>certificate credit rate</w:t>
      </w:r>
      <w:r w:rsidRPr="008B3051">
        <w:rPr>
          <w:rFonts w:ascii="Verdana" w:hAnsi="Verdana"/>
        </w:rPr>
        <w:t> exceeds 20 percent, the amount of the credit allowed to the taxpayer under paragraph (1) for any taxable year shall not exceed $2,000.</w:t>
      </w:r>
    </w:p>
    <w:p w14:paraId="22C4A2AF"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Special rule where 2 or more persons hold interests in residence</w:t>
      </w:r>
    </w:p>
    <w:p w14:paraId="6CA1D7D5" w14:textId="542B24E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2 or more </w:t>
      </w:r>
      <w:r w:rsidRPr="008B3051">
        <w:rPr>
          <w:rStyle w:val="Hyperlink"/>
          <w:rFonts w:ascii="Verdana" w:hAnsi="Verdana"/>
          <w:color w:val="auto"/>
        </w:rPr>
        <w:t>persons</w:t>
      </w:r>
      <w:r w:rsidRPr="008B3051">
        <w:rPr>
          <w:rFonts w:ascii="Verdana" w:hAnsi="Verdana"/>
        </w:rPr>
        <w:t> hold </w:t>
      </w:r>
      <w:r w:rsidRPr="008B3051">
        <w:rPr>
          <w:rStyle w:val="Hyperlink"/>
          <w:rFonts w:ascii="Verdana" w:hAnsi="Verdana"/>
          <w:color w:val="auto"/>
        </w:rPr>
        <w:t>interests</w:t>
      </w:r>
      <w:r w:rsidRPr="008B3051">
        <w:rPr>
          <w:rFonts w:ascii="Verdana" w:hAnsi="Verdana"/>
        </w:rPr>
        <w:t> in any residence, the limitation of subparagraph (A) shall be allocated among such persons in proportion to their respective </w:t>
      </w:r>
      <w:r w:rsidRPr="008B3051">
        <w:rPr>
          <w:rStyle w:val="Hyperlink"/>
          <w:rFonts w:ascii="Verdana" w:hAnsi="Verdana"/>
          <w:color w:val="auto"/>
        </w:rPr>
        <w:t>interests</w:t>
      </w:r>
      <w:r w:rsidRPr="008B3051">
        <w:rPr>
          <w:rFonts w:ascii="Verdana" w:hAnsi="Verdana"/>
        </w:rPr>
        <w:t> in the residence.</w:t>
      </w:r>
    </w:p>
    <w:p w14:paraId="17E2096E"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Certificate credit rate; certified indebtedness amount</w:t>
      </w:r>
      <w:r w:rsidRPr="008B3051">
        <w:rPr>
          <w:rStyle w:val="chapeau"/>
          <w:rFonts w:ascii="Verdana" w:hAnsi="Verdana"/>
        </w:rPr>
        <w:t>For purposes of this section—</w:t>
      </w:r>
    </w:p>
    <w:p w14:paraId="55908EF6"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(1)</w:t>
      </w:r>
      <w:r w:rsidRPr="008B3051">
        <w:rPr>
          <w:rStyle w:val="heading"/>
          <w:rFonts w:ascii="Verdana" w:hAnsi="Verdana"/>
          <w:b/>
          <w:bCs/>
          <w:smallCaps/>
        </w:rPr>
        <w:t>Certificate credit rate</w:t>
      </w:r>
    </w:p>
    <w:p w14:paraId="25C95094" w14:textId="2797BC6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certificate credit rate</w:t>
      </w:r>
      <w:r w:rsidRPr="008B3051">
        <w:rPr>
          <w:rFonts w:ascii="Verdana" w:hAnsi="Verdana"/>
        </w:rPr>
        <w:t>” means the rate of the credit allowable by this section which is specified in the </w:t>
      </w:r>
      <w:r w:rsidRPr="008B3051">
        <w:rPr>
          <w:rStyle w:val="Hyperlink"/>
          <w:rFonts w:ascii="Verdana" w:hAnsi="Verdana"/>
          <w:color w:val="auto"/>
        </w:rPr>
        <w:t>mortgage credit certificate</w:t>
      </w:r>
      <w:r w:rsidRPr="008B3051">
        <w:rPr>
          <w:rFonts w:ascii="Verdana" w:hAnsi="Verdana"/>
        </w:rPr>
        <w:t>.</w:t>
      </w:r>
    </w:p>
    <w:p w14:paraId="3725161B" w14:textId="164B6644"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Certified indebtedness amount</w:t>
      </w:r>
      <w:r w:rsidRPr="008B3051">
        <w:rPr>
          <w:rStyle w:val="chapeau"/>
          <w:rFonts w:ascii="Verdana" w:hAnsi="Verdana"/>
        </w:rPr>
        <w:t>The term “</w:t>
      </w:r>
      <w:r w:rsidRPr="008B3051">
        <w:rPr>
          <w:rStyle w:val="Hyperlink"/>
          <w:rFonts w:ascii="Verdana" w:hAnsi="Verdana"/>
          <w:color w:val="auto"/>
        </w:rPr>
        <w:t>certified indebtedness amount</w:t>
      </w:r>
      <w:r w:rsidRPr="008B3051">
        <w:rPr>
          <w:rStyle w:val="chapeau"/>
          <w:rFonts w:ascii="Verdana" w:hAnsi="Verdana"/>
        </w:rPr>
        <w:t>” means the amount of indebtedness which is—</w:t>
      </w:r>
    </w:p>
    <w:p w14:paraId="24CDE992" w14:textId="1FE85844"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chapeau"/>
          <w:rFonts w:ascii="Verdana" w:hAnsi="Verdana"/>
        </w:rPr>
        <w:t>incurred by the </w:t>
      </w:r>
      <w:r w:rsidRPr="008B3051">
        <w:rPr>
          <w:rStyle w:val="Hyperlink"/>
          <w:rFonts w:ascii="Verdana" w:hAnsi="Verdana"/>
          <w:color w:val="auto"/>
        </w:rPr>
        <w:t>taxpayer</w:t>
      </w:r>
      <w:r w:rsidRPr="008B3051">
        <w:rPr>
          <w:rStyle w:val="chapeau"/>
          <w:rFonts w:ascii="Verdana" w:hAnsi="Verdana"/>
        </w:rPr>
        <w:t>—</w:t>
      </w:r>
    </w:p>
    <w:p w14:paraId="0A863EC3"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5B228592" w14:textId="3020EB10" w:rsidR="00AB7AF9" w:rsidRPr="008B3051" w:rsidRDefault="00AB7AF9" w:rsidP="00AB7AF9">
      <w:pPr>
        <w:shd w:val="clear" w:color="auto" w:fill="FFFFFF"/>
        <w:rPr>
          <w:rFonts w:ascii="Verdana" w:hAnsi="Verdana"/>
        </w:rPr>
      </w:pPr>
      <w:r w:rsidRPr="008B3051">
        <w:rPr>
          <w:rFonts w:ascii="Verdana" w:hAnsi="Verdana"/>
        </w:rPr>
        <w:t>to acquire the </w:t>
      </w:r>
      <w:r w:rsidRPr="008B3051">
        <w:rPr>
          <w:rStyle w:val="Hyperlink"/>
          <w:rFonts w:ascii="Verdana" w:hAnsi="Verdana"/>
          <w:color w:val="auto"/>
        </w:rPr>
        <w:t>principal residence</w:t>
      </w:r>
      <w:r w:rsidRPr="008B3051">
        <w:rPr>
          <w:rFonts w:ascii="Verdana" w:hAnsi="Verdana"/>
        </w:rPr>
        <w:t> of the taxpayer,</w:t>
      </w:r>
    </w:p>
    <w:p w14:paraId="566B1DDC"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6665695F" w14:textId="345A63FC" w:rsidR="00AB7AF9" w:rsidRPr="008B3051" w:rsidRDefault="00AB7AF9" w:rsidP="00AB7AF9">
      <w:pPr>
        <w:shd w:val="clear" w:color="auto" w:fill="FFFFFF"/>
        <w:rPr>
          <w:rFonts w:ascii="Verdana" w:hAnsi="Verdana"/>
        </w:rPr>
      </w:pPr>
      <w:r w:rsidRPr="008B3051">
        <w:rPr>
          <w:rFonts w:ascii="Verdana" w:hAnsi="Verdana"/>
        </w:rPr>
        <w:t>as a </w:t>
      </w:r>
      <w:r w:rsidRPr="008B3051">
        <w:rPr>
          <w:rStyle w:val="Hyperlink"/>
          <w:rFonts w:ascii="Verdana" w:hAnsi="Verdana"/>
          <w:color w:val="auto"/>
        </w:rPr>
        <w:t>qualified home improvement</w:t>
      </w:r>
      <w:r w:rsidRPr="008B3051">
        <w:rPr>
          <w:rFonts w:ascii="Verdana" w:hAnsi="Verdana"/>
        </w:rPr>
        <w:t> loan (as defined in </w:t>
      </w:r>
      <w:r w:rsidRPr="008B3051">
        <w:rPr>
          <w:rStyle w:val="Hyperlink"/>
          <w:rFonts w:ascii="Verdana" w:hAnsi="Verdana"/>
          <w:color w:val="auto"/>
        </w:rPr>
        <w:t>section 143(k)(4)</w:t>
      </w:r>
      <w:r w:rsidRPr="008B3051">
        <w:rPr>
          <w:rFonts w:ascii="Verdana" w:hAnsi="Verdana"/>
        </w:rPr>
        <w:t>) with respect to such residence, or</w:t>
      </w:r>
    </w:p>
    <w:p w14:paraId="5B88434B" w14:textId="77777777" w:rsidR="00AB7AF9" w:rsidRPr="008B3051" w:rsidRDefault="00AB7AF9" w:rsidP="00AB7AF9">
      <w:pPr>
        <w:shd w:val="clear" w:color="auto" w:fill="FFFFFF"/>
        <w:rPr>
          <w:rFonts w:ascii="Verdana" w:hAnsi="Verdana"/>
        </w:rPr>
      </w:pPr>
      <w:bookmarkStart w:id="350" w:name="b_2_A_iii"/>
      <w:bookmarkEnd w:id="350"/>
      <w:r w:rsidRPr="008B3051">
        <w:rPr>
          <w:rStyle w:val="num"/>
          <w:rFonts w:ascii="Verdana" w:hAnsi="Verdana"/>
          <w:b/>
          <w:bCs/>
        </w:rPr>
        <w:t>(iii)</w:t>
      </w:r>
    </w:p>
    <w:p w14:paraId="158A6FA9" w14:textId="6F4FE9E8" w:rsidR="00AB7AF9" w:rsidRPr="008B3051" w:rsidRDefault="00AB7AF9" w:rsidP="00AB7AF9">
      <w:pPr>
        <w:shd w:val="clear" w:color="auto" w:fill="FFFFFF"/>
        <w:rPr>
          <w:rFonts w:ascii="Verdana" w:hAnsi="Verdana"/>
        </w:rPr>
      </w:pPr>
      <w:r w:rsidRPr="008B3051">
        <w:rPr>
          <w:rFonts w:ascii="Verdana" w:hAnsi="Verdana"/>
        </w:rPr>
        <w:t>as a </w:t>
      </w:r>
      <w:r w:rsidRPr="008B3051">
        <w:rPr>
          <w:rStyle w:val="Hyperlink"/>
          <w:rFonts w:ascii="Verdana" w:hAnsi="Verdana"/>
          <w:color w:val="auto"/>
        </w:rPr>
        <w:t>qualified rehabilitation</w:t>
      </w:r>
      <w:r w:rsidRPr="008B3051">
        <w:rPr>
          <w:rFonts w:ascii="Verdana" w:hAnsi="Verdana"/>
        </w:rPr>
        <w:t> loan (as defined in </w:t>
      </w:r>
      <w:r w:rsidRPr="008B3051">
        <w:rPr>
          <w:rStyle w:val="Hyperlink"/>
          <w:rFonts w:ascii="Verdana" w:hAnsi="Verdana"/>
          <w:color w:val="auto"/>
        </w:rPr>
        <w:t>section 143(k)(5)</w:t>
      </w:r>
      <w:r w:rsidRPr="008B3051">
        <w:rPr>
          <w:rFonts w:ascii="Verdana" w:hAnsi="Verdana"/>
        </w:rPr>
        <w:t>) with respect to such residence, and</w:t>
      </w:r>
    </w:p>
    <w:p w14:paraId="7AEA70F2"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0EFBE9DB" w14:textId="52F0F05B" w:rsidR="00AB7AF9" w:rsidRPr="008B3051" w:rsidRDefault="00AB7AF9" w:rsidP="00AB7AF9">
      <w:pPr>
        <w:shd w:val="clear" w:color="auto" w:fill="FFFFFF"/>
        <w:rPr>
          <w:rFonts w:ascii="Verdana" w:hAnsi="Verdana"/>
        </w:rPr>
      </w:pPr>
      <w:r w:rsidRPr="008B3051">
        <w:rPr>
          <w:rFonts w:ascii="Verdana" w:hAnsi="Verdana"/>
        </w:rPr>
        <w:t>specified in the </w:t>
      </w:r>
      <w:r w:rsidRPr="008B3051">
        <w:rPr>
          <w:rStyle w:val="Hyperlink"/>
          <w:rFonts w:ascii="Verdana" w:hAnsi="Verdana"/>
          <w:color w:val="auto"/>
        </w:rPr>
        <w:t>mortgage credit certificate</w:t>
      </w:r>
      <w:r w:rsidRPr="008B3051">
        <w:rPr>
          <w:rFonts w:ascii="Verdana" w:hAnsi="Verdana"/>
        </w:rPr>
        <w:t>.</w:t>
      </w:r>
    </w:p>
    <w:p w14:paraId="7147266F"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Mortgage credit certificate; qualified mortgage credit certificate program</w:t>
      </w:r>
      <w:r w:rsidRPr="008B3051">
        <w:rPr>
          <w:rStyle w:val="chapeau"/>
          <w:rFonts w:ascii="Verdana" w:hAnsi="Verdana"/>
        </w:rPr>
        <w:t>For purposes of this section—</w:t>
      </w:r>
    </w:p>
    <w:p w14:paraId="519A7326" w14:textId="6B01C560"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Mortgage credit certificate</w:t>
      </w:r>
      <w:r w:rsidRPr="008B3051">
        <w:rPr>
          <w:rStyle w:val="chapeau"/>
          <w:rFonts w:ascii="Verdana" w:hAnsi="Verdana"/>
        </w:rPr>
        <w:t>The term “</w:t>
      </w:r>
      <w:r w:rsidRPr="008B3051">
        <w:rPr>
          <w:rStyle w:val="Hyperlink"/>
          <w:rFonts w:ascii="Verdana" w:hAnsi="Verdana"/>
          <w:color w:val="auto"/>
        </w:rPr>
        <w:t>mortgage credit certificate</w:t>
      </w:r>
      <w:r w:rsidRPr="008B3051">
        <w:rPr>
          <w:rStyle w:val="chapeau"/>
          <w:rFonts w:ascii="Verdana" w:hAnsi="Verdana"/>
        </w:rPr>
        <w:t>” means any certificate which—</w:t>
      </w:r>
    </w:p>
    <w:p w14:paraId="2D405857" w14:textId="77777777" w:rsidR="00AB7AF9" w:rsidRPr="008B3051" w:rsidRDefault="00AB7AF9" w:rsidP="00AB7AF9">
      <w:pPr>
        <w:shd w:val="clear" w:color="auto" w:fill="FFFFFF"/>
        <w:rPr>
          <w:rFonts w:ascii="Verdana" w:hAnsi="Verdana"/>
        </w:rPr>
      </w:pPr>
      <w:bookmarkStart w:id="351" w:name="c_1_A"/>
      <w:bookmarkEnd w:id="351"/>
      <w:r w:rsidRPr="008B3051">
        <w:rPr>
          <w:rStyle w:val="num"/>
          <w:rFonts w:ascii="Verdana" w:hAnsi="Verdana"/>
          <w:b/>
          <w:bCs/>
        </w:rPr>
        <w:t>(A)</w:t>
      </w:r>
    </w:p>
    <w:p w14:paraId="1889CBCA" w14:textId="68D72C2F" w:rsidR="00AB7AF9" w:rsidRPr="008B3051" w:rsidRDefault="00AB7AF9" w:rsidP="00AB7AF9">
      <w:pPr>
        <w:shd w:val="clear" w:color="auto" w:fill="FFFFFF"/>
        <w:rPr>
          <w:rFonts w:ascii="Verdana" w:hAnsi="Verdana"/>
        </w:rPr>
      </w:pPr>
      <w:r w:rsidRPr="008B3051">
        <w:rPr>
          <w:rFonts w:ascii="Verdana" w:hAnsi="Verdana"/>
        </w:rPr>
        <w:t>is issued under a </w:t>
      </w:r>
      <w:r w:rsidRPr="008B3051">
        <w:rPr>
          <w:rStyle w:val="Hyperlink"/>
          <w:rFonts w:ascii="Verdana" w:hAnsi="Verdana"/>
          <w:color w:val="auto"/>
        </w:rPr>
        <w:t>qualified mortgage credit certificate program</w:t>
      </w:r>
      <w:r w:rsidRPr="008B3051">
        <w:rPr>
          <w:rFonts w:ascii="Verdana" w:hAnsi="Verdana"/>
        </w:rPr>
        <w:t> by the State or political subdivision having the authority to issue a qualified mortgage bond to provide financing on the principal residence of the taxpayer,</w:t>
      </w:r>
    </w:p>
    <w:p w14:paraId="795BB11D" w14:textId="77777777" w:rsidR="00AB7AF9" w:rsidRPr="008B3051" w:rsidRDefault="00AB7AF9" w:rsidP="00AB7AF9">
      <w:pPr>
        <w:shd w:val="clear" w:color="auto" w:fill="FFFFFF"/>
        <w:rPr>
          <w:rFonts w:ascii="Verdana" w:hAnsi="Verdana"/>
        </w:rPr>
      </w:pPr>
      <w:bookmarkStart w:id="352" w:name="c_1_B"/>
      <w:bookmarkEnd w:id="352"/>
      <w:r w:rsidRPr="008B3051">
        <w:rPr>
          <w:rStyle w:val="num"/>
          <w:rFonts w:ascii="Verdana" w:hAnsi="Verdana"/>
          <w:b/>
          <w:bCs/>
        </w:rPr>
        <w:t>(B)</w:t>
      </w:r>
    </w:p>
    <w:p w14:paraId="4DA6903C" w14:textId="52572663" w:rsidR="00AB7AF9" w:rsidRPr="008B3051" w:rsidRDefault="00AB7AF9" w:rsidP="00AB7AF9">
      <w:pPr>
        <w:shd w:val="clear" w:color="auto" w:fill="FFFFFF"/>
        <w:rPr>
          <w:rFonts w:ascii="Verdana" w:hAnsi="Verdana"/>
        </w:rPr>
      </w:pPr>
      <w:r w:rsidRPr="008B3051">
        <w:rPr>
          <w:rFonts w:ascii="Verdana" w:hAnsi="Verdana"/>
        </w:rPr>
        <w:t>is issued to the </w:t>
      </w:r>
      <w:r w:rsidRPr="008B3051">
        <w:rPr>
          <w:rStyle w:val="Hyperlink"/>
          <w:rFonts w:ascii="Verdana" w:hAnsi="Verdana"/>
          <w:color w:val="auto"/>
        </w:rPr>
        <w:t>taxpayer</w:t>
      </w:r>
      <w:r w:rsidRPr="008B3051">
        <w:rPr>
          <w:rFonts w:ascii="Verdana" w:hAnsi="Verdana"/>
        </w:rPr>
        <w:t> in connection with the </w:t>
      </w:r>
      <w:r w:rsidRPr="008B3051">
        <w:rPr>
          <w:rStyle w:val="Hyperlink"/>
          <w:rFonts w:ascii="Verdana" w:hAnsi="Verdana"/>
          <w:color w:val="auto"/>
        </w:rPr>
        <w:t>acquisition</w:t>
      </w:r>
      <w:r w:rsidRPr="008B3051">
        <w:rPr>
          <w:rFonts w:ascii="Verdana" w:hAnsi="Verdana"/>
        </w:rPr>
        <w:t>, </w:t>
      </w:r>
      <w:r w:rsidRPr="008B3051">
        <w:rPr>
          <w:rStyle w:val="Hyperlink"/>
          <w:rFonts w:ascii="Verdana" w:hAnsi="Verdana"/>
          <w:color w:val="auto"/>
        </w:rPr>
        <w:t>qualified rehabilitation</w:t>
      </w:r>
      <w:r w:rsidRPr="008B3051">
        <w:rPr>
          <w:rFonts w:ascii="Verdana" w:hAnsi="Verdana"/>
        </w:rPr>
        <w:t>, or </w:t>
      </w:r>
      <w:r w:rsidRPr="008B3051">
        <w:rPr>
          <w:rStyle w:val="Hyperlink"/>
          <w:rFonts w:ascii="Verdana" w:hAnsi="Verdana"/>
          <w:color w:val="auto"/>
        </w:rPr>
        <w:t>qualified home improvement</w:t>
      </w:r>
      <w:r w:rsidRPr="008B3051">
        <w:rPr>
          <w:rFonts w:ascii="Verdana" w:hAnsi="Verdana"/>
        </w:rPr>
        <w:t> of the taxpayer’s principal residence,</w:t>
      </w:r>
    </w:p>
    <w:p w14:paraId="09F81A74" w14:textId="77777777" w:rsidR="00AB7AF9" w:rsidRPr="008B3051" w:rsidRDefault="00AB7AF9" w:rsidP="00AB7AF9">
      <w:pPr>
        <w:shd w:val="clear" w:color="auto" w:fill="FFFFFF"/>
        <w:rPr>
          <w:rFonts w:ascii="Verdana" w:hAnsi="Verdana"/>
        </w:rPr>
      </w:pPr>
      <w:bookmarkStart w:id="353" w:name="c_1_C"/>
      <w:bookmarkEnd w:id="353"/>
      <w:r w:rsidRPr="008B3051">
        <w:rPr>
          <w:rStyle w:val="num"/>
          <w:rFonts w:ascii="Verdana" w:hAnsi="Verdana"/>
          <w:b/>
          <w:bCs/>
        </w:rPr>
        <w:t>(C)</w:t>
      </w:r>
      <w:r w:rsidRPr="008B3051">
        <w:rPr>
          <w:rStyle w:val="chapeau"/>
          <w:rFonts w:ascii="Verdana" w:hAnsi="Verdana"/>
        </w:rPr>
        <w:t>specifies—</w:t>
      </w:r>
    </w:p>
    <w:p w14:paraId="0E1B80A7" w14:textId="77777777" w:rsidR="00AB7AF9" w:rsidRPr="008B3051" w:rsidRDefault="00AB7AF9" w:rsidP="00AB7AF9">
      <w:pPr>
        <w:shd w:val="clear" w:color="auto" w:fill="FFFFFF"/>
        <w:rPr>
          <w:rFonts w:ascii="Verdana" w:hAnsi="Verdana"/>
        </w:rPr>
      </w:pPr>
      <w:bookmarkStart w:id="354" w:name="c_1_C_i"/>
      <w:bookmarkEnd w:id="354"/>
      <w:r w:rsidRPr="008B3051">
        <w:rPr>
          <w:rStyle w:val="num"/>
          <w:rFonts w:ascii="Verdana" w:hAnsi="Verdana"/>
          <w:b/>
          <w:bCs/>
        </w:rPr>
        <w:t>(i)</w:t>
      </w:r>
    </w:p>
    <w:p w14:paraId="50233619" w14:textId="3807C275"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certificate credit rate</w:t>
      </w:r>
      <w:r w:rsidRPr="008B3051">
        <w:rPr>
          <w:rFonts w:ascii="Verdana" w:hAnsi="Verdana"/>
        </w:rPr>
        <w:t>, and</w:t>
      </w:r>
    </w:p>
    <w:p w14:paraId="71DF3618" w14:textId="77777777" w:rsidR="00AB7AF9" w:rsidRPr="008B3051" w:rsidRDefault="00AB7AF9" w:rsidP="00AB7AF9">
      <w:pPr>
        <w:shd w:val="clear" w:color="auto" w:fill="FFFFFF"/>
        <w:rPr>
          <w:rFonts w:ascii="Verdana" w:hAnsi="Verdana"/>
        </w:rPr>
      </w:pPr>
      <w:bookmarkStart w:id="355" w:name="c_1_C_ii"/>
      <w:bookmarkEnd w:id="355"/>
      <w:r w:rsidRPr="008B3051">
        <w:rPr>
          <w:rStyle w:val="num"/>
          <w:rFonts w:ascii="Verdana" w:hAnsi="Verdana"/>
          <w:b/>
          <w:bCs/>
        </w:rPr>
        <w:t>(ii)</w:t>
      </w:r>
    </w:p>
    <w:p w14:paraId="1B2B2ED5" w14:textId="09E5C143"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certified indebtedness amount</w:t>
      </w:r>
      <w:r w:rsidRPr="008B3051">
        <w:rPr>
          <w:rFonts w:ascii="Verdana" w:hAnsi="Verdana"/>
        </w:rPr>
        <w:t>, and</w:t>
      </w:r>
    </w:p>
    <w:p w14:paraId="62B05B72" w14:textId="77777777" w:rsidR="00AB7AF9" w:rsidRPr="008B3051" w:rsidRDefault="00AB7AF9" w:rsidP="00AB7AF9">
      <w:pPr>
        <w:shd w:val="clear" w:color="auto" w:fill="FFFFFF"/>
        <w:rPr>
          <w:rFonts w:ascii="Verdana" w:hAnsi="Verdana"/>
        </w:rPr>
      </w:pPr>
      <w:bookmarkStart w:id="356" w:name="c_1_D"/>
      <w:bookmarkEnd w:id="356"/>
      <w:r w:rsidRPr="008B3051">
        <w:rPr>
          <w:rStyle w:val="num"/>
          <w:rFonts w:ascii="Verdana" w:hAnsi="Verdana"/>
          <w:b/>
          <w:bCs/>
        </w:rPr>
        <w:lastRenderedPageBreak/>
        <w:t>(D)</w:t>
      </w:r>
    </w:p>
    <w:p w14:paraId="22B11BDA" w14:textId="67C981BA" w:rsidR="00AB7AF9" w:rsidRPr="008B3051" w:rsidRDefault="00AB7AF9" w:rsidP="00AB7AF9">
      <w:pPr>
        <w:shd w:val="clear" w:color="auto" w:fill="FFFFFF"/>
        <w:rPr>
          <w:rFonts w:ascii="Verdana" w:hAnsi="Verdana"/>
        </w:rPr>
      </w:pPr>
      <w:r w:rsidRPr="008B3051">
        <w:rPr>
          <w:rFonts w:ascii="Verdana" w:hAnsi="Verdana"/>
        </w:rPr>
        <w:t>is in such form as the </w:t>
      </w:r>
      <w:r w:rsidRPr="008B3051">
        <w:rPr>
          <w:rStyle w:val="Hyperlink"/>
          <w:rFonts w:ascii="Verdana" w:hAnsi="Verdana"/>
          <w:color w:val="auto"/>
        </w:rPr>
        <w:t>Secretary</w:t>
      </w:r>
      <w:r w:rsidRPr="008B3051">
        <w:rPr>
          <w:rFonts w:ascii="Verdana" w:hAnsi="Verdana"/>
        </w:rPr>
        <w:t> may prescribe.</w:t>
      </w:r>
    </w:p>
    <w:p w14:paraId="7F864233"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Qualified mortgage credit certificate program</w:t>
      </w:r>
    </w:p>
    <w:p w14:paraId="5CA68DB8" w14:textId="2D3CEDD4"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w:t>
      </w:r>
      <w:r w:rsidRPr="008B3051">
        <w:rPr>
          <w:rStyle w:val="Hyperlink"/>
          <w:rFonts w:ascii="Verdana" w:hAnsi="Verdana"/>
          <w:color w:val="auto"/>
        </w:rPr>
        <w:t>qualified mortgage credit certificate program</w:t>
      </w:r>
      <w:r w:rsidRPr="008B3051">
        <w:rPr>
          <w:rStyle w:val="chapeau"/>
          <w:rFonts w:ascii="Verdana" w:hAnsi="Verdana"/>
        </w:rPr>
        <w:t>” means any program—</w:t>
      </w:r>
    </w:p>
    <w:p w14:paraId="7C97BAF6"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63EC5784" w14:textId="6F3933FE" w:rsidR="00AB7AF9" w:rsidRPr="008B3051" w:rsidRDefault="00AB7AF9" w:rsidP="00AB7AF9">
      <w:pPr>
        <w:shd w:val="clear" w:color="auto" w:fill="FFFFFF"/>
        <w:rPr>
          <w:rFonts w:ascii="Verdana" w:hAnsi="Verdana"/>
        </w:rPr>
      </w:pPr>
      <w:r w:rsidRPr="008B3051">
        <w:rPr>
          <w:rFonts w:ascii="Verdana" w:hAnsi="Verdana"/>
        </w:rPr>
        <w:t>which is established by a </w:t>
      </w:r>
      <w:r w:rsidRPr="008B3051">
        <w:rPr>
          <w:rStyle w:val="Hyperlink"/>
          <w:rFonts w:ascii="Verdana" w:hAnsi="Verdana"/>
          <w:color w:val="auto"/>
        </w:rPr>
        <w:t>State</w:t>
      </w:r>
      <w:r w:rsidRPr="008B3051">
        <w:rPr>
          <w:rFonts w:ascii="Verdana" w:hAnsi="Verdana"/>
        </w:rPr>
        <w:t> or political subdivision thereof for any </w:t>
      </w:r>
      <w:r w:rsidRPr="008B3051">
        <w:rPr>
          <w:rStyle w:val="Hyperlink"/>
          <w:rFonts w:ascii="Verdana" w:hAnsi="Verdana"/>
          <w:color w:val="auto"/>
        </w:rPr>
        <w:t>calendar year</w:t>
      </w:r>
      <w:r w:rsidRPr="008B3051">
        <w:rPr>
          <w:rFonts w:ascii="Verdana" w:hAnsi="Verdana"/>
        </w:rPr>
        <w:t> for which it is authorized to issue </w:t>
      </w:r>
      <w:r w:rsidRPr="008B3051">
        <w:rPr>
          <w:rStyle w:val="Hyperlink"/>
          <w:rFonts w:ascii="Verdana" w:hAnsi="Verdana"/>
          <w:color w:val="auto"/>
        </w:rPr>
        <w:t>qualified mortgage bonds</w:t>
      </w:r>
      <w:r w:rsidRPr="008B3051">
        <w:rPr>
          <w:rFonts w:ascii="Verdana" w:hAnsi="Verdana"/>
        </w:rPr>
        <w:t>,</w:t>
      </w:r>
    </w:p>
    <w:p w14:paraId="7CE64F5F"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2A7FE959" w14:textId="5BF74A8A" w:rsidR="00AB7AF9" w:rsidRPr="008B3051" w:rsidRDefault="00AB7AF9" w:rsidP="00AB7AF9">
      <w:pPr>
        <w:shd w:val="clear" w:color="auto" w:fill="FFFFFF"/>
        <w:rPr>
          <w:rFonts w:ascii="Verdana" w:hAnsi="Verdana"/>
        </w:rPr>
      </w:pPr>
      <w:r w:rsidRPr="008B3051">
        <w:rPr>
          <w:rFonts w:ascii="Verdana" w:hAnsi="Verdana"/>
        </w:rPr>
        <w:t>under which the issuing authority elects (in such manner and form as the </w:t>
      </w:r>
      <w:r w:rsidRPr="008B3051">
        <w:rPr>
          <w:rStyle w:val="Hyperlink"/>
          <w:rFonts w:ascii="Verdana" w:hAnsi="Verdana"/>
          <w:color w:val="auto"/>
        </w:rPr>
        <w:t>Secretary</w:t>
      </w:r>
      <w:r w:rsidRPr="008B3051">
        <w:rPr>
          <w:rFonts w:ascii="Verdana" w:hAnsi="Verdana"/>
        </w:rPr>
        <w:t> may prescribe) not to issue an amount of </w:t>
      </w:r>
      <w:r w:rsidRPr="008B3051">
        <w:rPr>
          <w:rStyle w:val="Hyperlink"/>
          <w:rFonts w:ascii="Verdana" w:hAnsi="Verdana"/>
          <w:color w:val="auto"/>
        </w:rPr>
        <w:t>private activity bonds</w:t>
      </w:r>
      <w:r w:rsidRPr="008B3051">
        <w:rPr>
          <w:rFonts w:ascii="Verdana" w:hAnsi="Verdana"/>
        </w:rPr>
        <w:t> which it may otherwise issue during such calendar year under section 146,</w:t>
      </w:r>
    </w:p>
    <w:p w14:paraId="0827BC4C" w14:textId="143DA11D" w:rsidR="00AB7AF9" w:rsidRPr="008B3051" w:rsidRDefault="00AB7AF9" w:rsidP="00AB7AF9">
      <w:pPr>
        <w:shd w:val="clear" w:color="auto" w:fill="FFFFFF"/>
        <w:rPr>
          <w:rFonts w:ascii="Verdana" w:hAnsi="Verdana"/>
        </w:rPr>
      </w:pPr>
      <w:r w:rsidRPr="008B3051">
        <w:rPr>
          <w:rStyle w:val="num"/>
          <w:rFonts w:ascii="Verdana" w:hAnsi="Verdana"/>
          <w:b/>
          <w:bCs/>
        </w:rPr>
        <w:t>(iii)</w:t>
      </w:r>
      <w:r w:rsidRPr="008B3051">
        <w:rPr>
          <w:rStyle w:val="chapeau"/>
          <w:rFonts w:ascii="Verdana" w:hAnsi="Verdana"/>
        </w:rPr>
        <w:t>under which the indebtedness certified by </w:t>
      </w:r>
      <w:r w:rsidRPr="008B3051">
        <w:rPr>
          <w:rStyle w:val="Hyperlink"/>
          <w:rFonts w:ascii="Verdana" w:hAnsi="Verdana"/>
          <w:color w:val="auto"/>
        </w:rPr>
        <w:t>mortgage credit certificates</w:t>
      </w:r>
      <w:r w:rsidRPr="008B3051">
        <w:rPr>
          <w:rStyle w:val="chapeau"/>
          <w:rFonts w:ascii="Verdana" w:hAnsi="Verdana"/>
        </w:rPr>
        <w:t> meets the requirements of the following subsections of </w:t>
      </w:r>
      <w:r w:rsidRPr="008B3051">
        <w:rPr>
          <w:rStyle w:val="Hyperlink"/>
          <w:rFonts w:ascii="Verdana" w:hAnsi="Verdana"/>
          <w:color w:val="auto"/>
        </w:rPr>
        <w:t>section 143</w:t>
      </w:r>
      <w:r w:rsidRPr="008B3051">
        <w:rPr>
          <w:rStyle w:val="chapeau"/>
          <w:rFonts w:ascii="Verdana" w:hAnsi="Verdana"/>
        </w:rPr>
        <w:t> (as modified by subparagraph (B) of this paragraph):</w:t>
      </w:r>
    </w:p>
    <w:p w14:paraId="776F7597" w14:textId="77777777" w:rsidR="00AB7AF9" w:rsidRPr="008B3051" w:rsidRDefault="00AB7AF9" w:rsidP="00AB7AF9">
      <w:pPr>
        <w:shd w:val="clear" w:color="auto" w:fill="FFFFFF"/>
        <w:rPr>
          <w:rFonts w:ascii="Verdana" w:hAnsi="Verdana"/>
        </w:rPr>
      </w:pPr>
      <w:bookmarkStart w:id="357" w:name="c_2_A_iii_I"/>
      <w:bookmarkEnd w:id="357"/>
      <w:r w:rsidRPr="008B3051">
        <w:rPr>
          <w:rStyle w:val="num"/>
          <w:rFonts w:ascii="Verdana" w:hAnsi="Verdana"/>
          <w:b/>
          <w:bCs/>
        </w:rPr>
        <w:t>(I)</w:t>
      </w:r>
    </w:p>
    <w:p w14:paraId="09FF14B9" w14:textId="77777777" w:rsidR="00AB7AF9" w:rsidRPr="008B3051" w:rsidRDefault="00AB7AF9" w:rsidP="00AB7AF9">
      <w:pPr>
        <w:shd w:val="clear" w:color="auto" w:fill="FFFFFF"/>
        <w:rPr>
          <w:rFonts w:ascii="Verdana" w:hAnsi="Verdana"/>
        </w:rPr>
      </w:pPr>
      <w:r w:rsidRPr="008B3051">
        <w:rPr>
          <w:rFonts w:ascii="Verdana" w:hAnsi="Verdana"/>
        </w:rPr>
        <w:t>subsection (c) (relating to residence requirements),</w:t>
      </w:r>
    </w:p>
    <w:p w14:paraId="19CAC238" w14:textId="77777777" w:rsidR="00AB7AF9" w:rsidRPr="008B3051" w:rsidRDefault="00AB7AF9" w:rsidP="00AB7AF9">
      <w:pPr>
        <w:shd w:val="clear" w:color="auto" w:fill="FFFFFF"/>
        <w:rPr>
          <w:rFonts w:ascii="Verdana" w:hAnsi="Verdana"/>
        </w:rPr>
      </w:pPr>
      <w:bookmarkStart w:id="358" w:name="c_2_A_iii_II"/>
      <w:bookmarkEnd w:id="358"/>
      <w:r w:rsidRPr="008B3051">
        <w:rPr>
          <w:rStyle w:val="num"/>
          <w:rFonts w:ascii="Verdana" w:hAnsi="Verdana"/>
          <w:b/>
          <w:bCs/>
        </w:rPr>
        <w:t>(II)</w:t>
      </w:r>
    </w:p>
    <w:p w14:paraId="12899CFD" w14:textId="260C8C00" w:rsidR="00AB7AF9" w:rsidRPr="008B3051" w:rsidRDefault="00AB7AF9" w:rsidP="00AB7AF9">
      <w:pPr>
        <w:shd w:val="clear" w:color="auto" w:fill="FFFFFF"/>
        <w:rPr>
          <w:rFonts w:ascii="Verdana" w:hAnsi="Verdana"/>
        </w:rPr>
      </w:pPr>
      <w:r w:rsidRPr="008B3051">
        <w:rPr>
          <w:rFonts w:ascii="Verdana" w:hAnsi="Verdana"/>
        </w:rPr>
        <w:t>subsection (d) (relating to 3-</w:t>
      </w:r>
      <w:r w:rsidRPr="008B3051">
        <w:rPr>
          <w:rStyle w:val="Hyperlink"/>
          <w:rFonts w:ascii="Verdana" w:hAnsi="Verdana"/>
          <w:color w:val="auto"/>
        </w:rPr>
        <w:t>year</w:t>
      </w:r>
      <w:r w:rsidRPr="008B3051">
        <w:rPr>
          <w:rFonts w:ascii="Verdana" w:hAnsi="Verdana"/>
        </w:rPr>
        <w:t> requirement),</w:t>
      </w:r>
    </w:p>
    <w:p w14:paraId="445843B1" w14:textId="77777777" w:rsidR="00AB7AF9" w:rsidRPr="008B3051" w:rsidRDefault="00AB7AF9" w:rsidP="00AB7AF9">
      <w:pPr>
        <w:shd w:val="clear" w:color="auto" w:fill="FFFFFF"/>
        <w:rPr>
          <w:rFonts w:ascii="Verdana" w:hAnsi="Verdana"/>
        </w:rPr>
      </w:pPr>
      <w:bookmarkStart w:id="359" w:name="c_2_A_iii_III"/>
      <w:bookmarkEnd w:id="359"/>
      <w:r w:rsidRPr="008B3051">
        <w:rPr>
          <w:rStyle w:val="num"/>
          <w:rFonts w:ascii="Verdana" w:hAnsi="Verdana"/>
          <w:b/>
          <w:bCs/>
        </w:rPr>
        <w:t>(III)</w:t>
      </w:r>
    </w:p>
    <w:p w14:paraId="0929B678" w14:textId="265B9234" w:rsidR="00AB7AF9" w:rsidRPr="008B3051" w:rsidRDefault="00AB7AF9" w:rsidP="00AB7AF9">
      <w:pPr>
        <w:shd w:val="clear" w:color="auto" w:fill="FFFFFF"/>
        <w:rPr>
          <w:rFonts w:ascii="Verdana" w:hAnsi="Verdana"/>
        </w:rPr>
      </w:pPr>
      <w:r w:rsidRPr="008B3051">
        <w:rPr>
          <w:rFonts w:ascii="Verdana" w:hAnsi="Verdana"/>
        </w:rPr>
        <w:t>subsection (e) (relating to </w:t>
      </w:r>
      <w:r w:rsidRPr="008B3051">
        <w:rPr>
          <w:rStyle w:val="Hyperlink"/>
          <w:rFonts w:ascii="Verdana" w:hAnsi="Verdana"/>
          <w:color w:val="auto"/>
        </w:rPr>
        <w:t>purchase</w:t>
      </w:r>
      <w:r w:rsidRPr="008B3051">
        <w:rPr>
          <w:rFonts w:ascii="Verdana" w:hAnsi="Verdana"/>
        </w:rPr>
        <w:t> price requirement),</w:t>
      </w:r>
    </w:p>
    <w:p w14:paraId="2049D2EB" w14:textId="77777777" w:rsidR="00AB7AF9" w:rsidRPr="008B3051" w:rsidRDefault="00AB7AF9" w:rsidP="00AB7AF9">
      <w:pPr>
        <w:shd w:val="clear" w:color="auto" w:fill="FFFFFF"/>
        <w:rPr>
          <w:rFonts w:ascii="Verdana" w:hAnsi="Verdana"/>
        </w:rPr>
      </w:pPr>
      <w:bookmarkStart w:id="360" w:name="c_2_A_iii_IV"/>
      <w:bookmarkEnd w:id="360"/>
      <w:r w:rsidRPr="008B3051">
        <w:rPr>
          <w:rStyle w:val="num"/>
          <w:rFonts w:ascii="Verdana" w:hAnsi="Verdana"/>
          <w:b/>
          <w:bCs/>
        </w:rPr>
        <w:t>(IV)</w:t>
      </w:r>
    </w:p>
    <w:p w14:paraId="4B2D3320" w14:textId="77777777" w:rsidR="00AB7AF9" w:rsidRPr="008B3051" w:rsidRDefault="00AB7AF9" w:rsidP="00AB7AF9">
      <w:pPr>
        <w:shd w:val="clear" w:color="auto" w:fill="FFFFFF"/>
        <w:rPr>
          <w:rFonts w:ascii="Verdana" w:hAnsi="Verdana"/>
        </w:rPr>
      </w:pPr>
      <w:r w:rsidRPr="008B3051">
        <w:rPr>
          <w:rFonts w:ascii="Verdana" w:hAnsi="Verdana"/>
        </w:rPr>
        <w:t>subsection (f) (relating to income requirements),</w:t>
      </w:r>
    </w:p>
    <w:p w14:paraId="200F1D7B" w14:textId="77777777" w:rsidR="00AB7AF9" w:rsidRPr="008B3051" w:rsidRDefault="00AB7AF9" w:rsidP="00AB7AF9">
      <w:pPr>
        <w:shd w:val="clear" w:color="auto" w:fill="FFFFFF"/>
        <w:rPr>
          <w:rFonts w:ascii="Verdana" w:hAnsi="Verdana"/>
        </w:rPr>
      </w:pPr>
      <w:bookmarkStart w:id="361" w:name="c_2_A_iii_V"/>
      <w:bookmarkEnd w:id="361"/>
      <w:r w:rsidRPr="008B3051">
        <w:rPr>
          <w:rStyle w:val="num"/>
          <w:rFonts w:ascii="Verdana" w:hAnsi="Verdana"/>
          <w:b/>
          <w:bCs/>
        </w:rPr>
        <w:t>(V)</w:t>
      </w:r>
    </w:p>
    <w:p w14:paraId="7EEABCC4" w14:textId="4026BFC1" w:rsidR="00AB7AF9" w:rsidRPr="008B3051" w:rsidRDefault="00AB7AF9" w:rsidP="00AB7AF9">
      <w:pPr>
        <w:shd w:val="clear" w:color="auto" w:fill="FFFFFF"/>
        <w:rPr>
          <w:rFonts w:ascii="Verdana" w:hAnsi="Verdana"/>
        </w:rPr>
      </w:pPr>
      <w:r w:rsidRPr="008B3051">
        <w:rPr>
          <w:rFonts w:ascii="Verdana" w:hAnsi="Verdana"/>
        </w:rPr>
        <w:t>subsection (h) (relating to </w:t>
      </w:r>
      <w:r w:rsidRPr="008B3051">
        <w:rPr>
          <w:rStyle w:val="Hyperlink"/>
          <w:rFonts w:ascii="Verdana" w:hAnsi="Verdana"/>
          <w:color w:val="auto"/>
        </w:rPr>
        <w:t>portion</w:t>
      </w:r>
      <w:r w:rsidRPr="008B3051">
        <w:rPr>
          <w:rFonts w:ascii="Verdana" w:hAnsi="Verdana"/>
        </w:rPr>
        <w:t> of loans required to be placed in targeted areas), and</w:t>
      </w:r>
    </w:p>
    <w:p w14:paraId="0E58972E" w14:textId="77777777" w:rsidR="00AB7AF9" w:rsidRPr="008B3051" w:rsidRDefault="00AB7AF9" w:rsidP="00AB7AF9">
      <w:pPr>
        <w:shd w:val="clear" w:color="auto" w:fill="FFFFFF"/>
        <w:rPr>
          <w:rFonts w:ascii="Verdana" w:hAnsi="Verdana"/>
        </w:rPr>
      </w:pPr>
      <w:bookmarkStart w:id="362" w:name="c_2_A_iii_VI"/>
      <w:bookmarkEnd w:id="362"/>
      <w:r w:rsidRPr="008B3051">
        <w:rPr>
          <w:rStyle w:val="num"/>
          <w:rFonts w:ascii="Verdana" w:hAnsi="Verdana"/>
          <w:b/>
          <w:bCs/>
        </w:rPr>
        <w:t>(VI)</w:t>
      </w:r>
    </w:p>
    <w:p w14:paraId="77AC6971" w14:textId="77777777" w:rsidR="00AB7AF9" w:rsidRPr="008B3051" w:rsidRDefault="00AB7AF9" w:rsidP="00AB7AF9">
      <w:pPr>
        <w:shd w:val="clear" w:color="auto" w:fill="FFFFFF"/>
        <w:rPr>
          <w:rFonts w:ascii="Verdana" w:hAnsi="Verdana"/>
        </w:rPr>
      </w:pPr>
      <w:r w:rsidRPr="008B3051">
        <w:rPr>
          <w:rFonts w:ascii="Verdana" w:hAnsi="Verdana"/>
        </w:rPr>
        <w:t>paragraph (1) of subsection (i) (relating to other requirements),</w:t>
      </w:r>
    </w:p>
    <w:p w14:paraId="2C561AEC" w14:textId="77777777" w:rsidR="00AB7AF9" w:rsidRPr="008B3051" w:rsidRDefault="00AB7AF9" w:rsidP="00AB7AF9">
      <w:pPr>
        <w:shd w:val="clear" w:color="auto" w:fill="FFFFFF"/>
        <w:rPr>
          <w:rFonts w:ascii="Verdana" w:hAnsi="Verdana"/>
        </w:rPr>
      </w:pPr>
      <w:bookmarkStart w:id="363" w:name="c_2_A_iv"/>
      <w:bookmarkEnd w:id="363"/>
      <w:r w:rsidRPr="008B3051">
        <w:rPr>
          <w:rStyle w:val="num"/>
          <w:rFonts w:ascii="Verdana" w:hAnsi="Verdana"/>
          <w:b/>
          <w:bCs/>
        </w:rPr>
        <w:t>(iv)</w:t>
      </w:r>
    </w:p>
    <w:p w14:paraId="7E53A7C6" w14:textId="6AFF78D3" w:rsidR="00AB7AF9" w:rsidRPr="008B3051" w:rsidRDefault="00AB7AF9" w:rsidP="00AB7AF9">
      <w:pPr>
        <w:shd w:val="clear" w:color="auto" w:fill="FFFFFF"/>
        <w:rPr>
          <w:rFonts w:ascii="Verdana" w:hAnsi="Verdana"/>
        </w:rPr>
      </w:pPr>
      <w:r w:rsidRPr="008B3051">
        <w:rPr>
          <w:rFonts w:ascii="Verdana" w:hAnsi="Verdana"/>
        </w:rPr>
        <w:t>under which no </w:t>
      </w:r>
      <w:r w:rsidRPr="008B3051">
        <w:rPr>
          <w:rStyle w:val="Hyperlink"/>
          <w:rFonts w:ascii="Verdana" w:hAnsi="Verdana"/>
          <w:color w:val="auto"/>
        </w:rPr>
        <w:t>mortgage credit certificate</w:t>
      </w:r>
      <w:r w:rsidRPr="008B3051">
        <w:rPr>
          <w:rFonts w:ascii="Verdana" w:hAnsi="Verdana"/>
        </w:rPr>
        <w:t> may be issued with respect to any residence any of the financing of which is provided from the proceeds of a qualified mortgage bond or a qualified veterans’ mortgage bond,</w:t>
      </w:r>
    </w:p>
    <w:p w14:paraId="6A58412D" w14:textId="77777777" w:rsidR="00AB7AF9" w:rsidRPr="008B3051" w:rsidRDefault="00AB7AF9" w:rsidP="00AB7AF9">
      <w:pPr>
        <w:shd w:val="clear" w:color="auto" w:fill="FFFFFF"/>
        <w:rPr>
          <w:rFonts w:ascii="Verdana" w:hAnsi="Verdana"/>
        </w:rPr>
      </w:pPr>
      <w:bookmarkStart w:id="364" w:name="c_2_A_v"/>
      <w:bookmarkEnd w:id="364"/>
      <w:r w:rsidRPr="008B3051">
        <w:rPr>
          <w:rStyle w:val="num"/>
          <w:rFonts w:ascii="Verdana" w:hAnsi="Verdana"/>
          <w:b/>
          <w:bCs/>
        </w:rPr>
        <w:lastRenderedPageBreak/>
        <w:t>(v)</w:t>
      </w:r>
    </w:p>
    <w:p w14:paraId="56C94B11" w14:textId="77777777" w:rsidR="00AB7AF9" w:rsidRPr="008B3051" w:rsidRDefault="00AB7AF9" w:rsidP="00AB7AF9">
      <w:pPr>
        <w:shd w:val="clear" w:color="auto" w:fill="FFFFFF"/>
        <w:rPr>
          <w:rFonts w:ascii="Verdana" w:hAnsi="Verdana"/>
        </w:rPr>
      </w:pPr>
      <w:r w:rsidRPr="008B3051">
        <w:rPr>
          <w:rFonts w:ascii="Verdana" w:hAnsi="Verdana"/>
        </w:rPr>
        <w:t>except to the extent provided in regulations, which is not limited to indebtedness incurred from particular lenders,</w:t>
      </w:r>
    </w:p>
    <w:p w14:paraId="03519E5A" w14:textId="77777777" w:rsidR="00AB7AF9" w:rsidRPr="008B3051" w:rsidRDefault="00AB7AF9" w:rsidP="00AB7AF9">
      <w:pPr>
        <w:shd w:val="clear" w:color="auto" w:fill="FFFFFF"/>
        <w:rPr>
          <w:rFonts w:ascii="Verdana" w:hAnsi="Verdana"/>
        </w:rPr>
      </w:pPr>
      <w:bookmarkStart w:id="365" w:name="c_2_A_vi"/>
      <w:bookmarkEnd w:id="365"/>
      <w:r w:rsidRPr="008B3051">
        <w:rPr>
          <w:rStyle w:val="num"/>
          <w:rFonts w:ascii="Verdana" w:hAnsi="Verdana"/>
          <w:b/>
          <w:bCs/>
        </w:rPr>
        <w:t>(vi)</w:t>
      </w:r>
    </w:p>
    <w:p w14:paraId="6D3487A2" w14:textId="1E87BE76" w:rsidR="00AB7AF9" w:rsidRPr="008B3051" w:rsidRDefault="00AB7AF9" w:rsidP="00AB7AF9">
      <w:pPr>
        <w:shd w:val="clear" w:color="auto" w:fill="FFFFFF"/>
        <w:rPr>
          <w:rFonts w:ascii="Verdana" w:hAnsi="Verdana"/>
        </w:rPr>
      </w:pPr>
      <w:r w:rsidRPr="008B3051">
        <w:rPr>
          <w:rFonts w:ascii="Verdana" w:hAnsi="Verdana"/>
        </w:rPr>
        <w:t>except to the extent provided in regulations, which provides that a </w:t>
      </w:r>
      <w:r w:rsidRPr="008B3051">
        <w:rPr>
          <w:rStyle w:val="Hyperlink"/>
          <w:rFonts w:ascii="Verdana" w:hAnsi="Verdana"/>
          <w:color w:val="auto"/>
        </w:rPr>
        <w:t>mortgage credit certificate</w:t>
      </w:r>
      <w:r w:rsidRPr="008B3051">
        <w:rPr>
          <w:rFonts w:ascii="Verdana" w:hAnsi="Verdana"/>
        </w:rPr>
        <w:t> is not transferrable, and</w:t>
      </w:r>
    </w:p>
    <w:p w14:paraId="134440C0" w14:textId="77777777" w:rsidR="00AB7AF9" w:rsidRPr="008B3051" w:rsidRDefault="00AB7AF9" w:rsidP="00AB7AF9">
      <w:pPr>
        <w:shd w:val="clear" w:color="auto" w:fill="FFFFFF"/>
        <w:rPr>
          <w:rFonts w:ascii="Verdana" w:hAnsi="Verdana"/>
        </w:rPr>
      </w:pPr>
      <w:bookmarkStart w:id="366" w:name="c_2_A_vii"/>
      <w:bookmarkEnd w:id="366"/>
      <w:r w:rsidRPr="008B3051">
        <w:rPr>
          <w:rStyle w:val="num"/>
          <w:rFonts w:ascii="Verdana" w:hAnsi="Verdana"/>
          <w:b/>
          <w:bCs/>
        </w:rPr>
        <w:t>(vii)</w:t>
      </w:r>
    </w:p>
    <w:p w14:paraId="3C74C9B6" w14:textId="115E480F" w:rsidR="00AB7AF9" w:rsidRPr="008B3051" w:rsidRDefault="00AB7AF9" w:rsidP="00AB7AF9">
      <w:pPr>
        <w:shd w:val="clear" w:color="auto" w:fill="FFFFFF"/>
        <w:rPr>
          <w:rFonts w:ascii="Verdana" w:hAnsi="Verdana"/>
        </w:rPr>
      </w:pPr>
      <w:r w:rsidRPr="008B3051">
        <w:rPr>
          <w:rFonts w:ascii="Verdana" w:hAnsi="Verdana"/>
        </w:rPr>
        <w:t>if the issuing authority allocates a block of </w:t>
      </w:r>
      <w:r w:rsidRPr="008B3051">
        <w:rPr>
          <w:rStyle w:val="Hyperlink"/>
          <w:rFonts w:ascii="Verdana" w:hAnsi="Verdana"/>
          <w:color w:val="auto"/>
        </w:rPr>
        <w:t>mortgage credit certificates</w:t>
      </w:r>
      <w:r w:rsidRPr="008B3051">
        <w:rPr>
          <w:rFonts w:ascii="Verdana" w:hAnsi="Verdana"/>
        </w:rPr>
        <w:t> for use in connection with a particular development, which requires the developer to furnish to the issuing authority and the homebuyer a certificate that the price for the residence is no higher than it would be without the use of a </w:t>
      </w:r>
      <w:r w:rsidRPr="008B3051">
        <w:rPr>
          <w:rStyle w:val="Hyperlink"/>
          <w:rFonts w:ascii="Verdana" w:hAnsi="Verdana"/>
          <w:color w:val="auto"/>
        </w:rPr>
        <w:t>mortgage credit certificate</w:t>
      </w:r>
      <w:r w:rsidRPr="008B3051">
        <w:rPr>
          <w:rFonts w:ascii="Verdana" w:hAnsi="Verdana"/>
        </w:rPr>
        <w:t>.</w:t>
      </w:r>
    </w:p>
    <w:p w14:paraId="676B1B4A" w14:textId="12612E04" w:rsidR="00AB7AF9" w:rsidRPr="008B3051" w:rsidRDefault="00AB7AF9" w:rsidP="00AB7AF9">
      <w:pPr>
        <w:shd w:val="clear" w:color="auto" w:fill="FFFFFF"/>
        <w:rPr>
          <w:rFonts w:ascii="Verdana" w:hAnsi="Verdana"/>
        </w:rPr>
      </w:pPr>
      <w:r w:rsidRPr="008B3051">
        <w:rPr>
          <w:rFonts w:ascii="Verdana" w:hAnsi="Verdana"/>
        </w:rPr>
        <w:t>Under regulations, rules similar to the rules of subparagraphs (B) and (C) of </w:t>
      </w:r>
      <w:r w:rsidRPr="008B3051">
        <w:rPr>
          <w:rStyle w:val="Hyperlink"/>
          <w:rFonts w:ascii="Verdana" w:hAnsi="Verdana"/>
          <w:color w:val="auto"/>
        </w:rPr>
        <w:t>section 143(a)(2)</w:t>
      </w:r>
      <w:r w:rsidRPr="008B3051">
        <w:rPr>
          <w:rFonts w:ascii="Verdana" w:hAnsi="Verdana"/>
        </w:rPr>
        <w:t>shall apply to the requirements of this subparagraph.</w:t>
      </w:r>
    </w:p>
    <w:p w14:paraId="1302CD5D" w14:textId="77D95E16"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Modifications of section 143</w:t>
      </w:r>
      <w:r w:rsidRPr="008B3051">
        <w:rPr>
          <w:rStyle w:val="chapeau"/>
          <w:rFonts w:ascii="Verdana" w:hAnsi="Verdana"/>
        </w:rPr>
        <w:t>Under regulations prescribed by the </w:t>
      </w:r>
      <w:r w:rsidRPr="008B3051">
        <w:rPr>
          <w:rStyle w:val="Hyperlink"/>
          <w:rFonts w:ascii="Verdana" w:hAnsi="Verdana"/>
          <w:color w:val="auto"/>
        </w:rPr>
        <w:t>Secretary</w:t>
      </w:r>
      <w:r w:rsidRPr="008B3051">
        <w:rPr>
          <w:rStyle w:val="chapeau"/>
          <w:rFonts w:ascii="Verdana" w:hAnsi="Verdana"/>
        </w:rPr>
        <w:t>, in applying </w:t>
      </w:r>
      <w:r w:rsidRPr="008B3051">
        <w:rPr>
          <w:rStyle w:val="Hyperlink"/>
          <w:rFonts w:ascii="Verdana" w:hAnsi="Verdana"/>
          <w:color w:val="auto"/>
        </w:rPr>
        <w:t>section 143</w:t>
      </w:r>
      <w:r w:rsidRPr="008B3051">
        <w:rPr>
          <w:rStyle w:val="chapeau"/>
          <w:rFonts w:ascii="Verdana" w:hAnsi="Verdana"/>
        </w:rPr>
        <w:t> for purposes of subclauses (II), (IV), and (V) of subparagraph (A)(iii)—</w:t>
      </w:r>
    </w:p>
    <w:p w14:paraId="6D8D1657"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589EF23A" w14:textId="77777777" w:rsidR="00AB7AF9" w:rsidRPr="008B3051" w:rsidRDefault="00AB7AF9" w:rsidP="00AB7AF9">
      <w:pPr>
        <w:shd w:val="clear" w:color="auto" w:fill="FFFFFF"/>
        <w:rPr>
          <w:rFonts w:ascii="Verdana" w:hAnsi="Verdana"/>
        </w:rPr>
      </w:pPr>
      <w:r w:rsidRPr="008B3051">
        <w:rPr>
          <w:rFonts w:ascii="Verdana" w:hAnsi="Verdana"/>
        </w:rPr>
        <w:t>each qualified mortgage certificate credit program shall be treated as a separate issue,</w:t>
      </w:r>
    </w:p>
    <w:p w14:paraId="64BF8731"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r w:rsidRPr="008B3051">
        <w:rPr>
          <w:rStyle w:val="chapeau"/>
          <w:rFonts w:ascii="Verdana" w:hAnsi="Verdana"/>
        </w:rPr>
        <w:t>the product determined by multiplying—</w:t>
      </w:r>
    </w:p>
    <w:p w14:paraId="22B240C3"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2B6B4A23" w14:textId="538EE191"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certified indebtedness amount</w:t>
      </w:r>
      <w:r w:rsidRPr="008B3051">
        <w:rPr>
          <w:rFonts w:ascii="Verdana" w:hAnsi="Verdana"/>
        </w:rPr>
        <w:t> of each mortgage credit certificate issued under such program, by</w:t>
      </w:r>
    </w:p>
    <w:p w14:paraId="4E07FDA0"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2399C5F5" w14:textId="3FF46237"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certificate credit rate</w:t>
      </w:r>
      <w:r w:rsidRPr="008B3051">
        <w:rPr>
          <w:rFonts w:ascii="Verdana" w:hAnsi="Verdana"/>
        </w:rPr>
        <w:t> specified in such certificate,</w:t>
      </w:r>
    </w:p>
    <w:p w14:paraId="5D4C11E2" w14:textId="77777777" w:rsidR="00AB7AF9" w:rsidRPr="008B3051" w:rsidRDefault="00AB7AF9" w:rsidP="00AB7AF9">
      <w:pPr>
        <w:shd w:val="clear" w:color="auto" w:fill="FFFFFF"/>
        <w:rPr>
          <w:rFonts w:ascii="Verdana" w:hAnsi="Verdana"/>
        </w:rPr>
      </w:pPr>
      <w:r w:rsidRPr="008B3051">
        <w:rPr>
          <w:rFonts w:ascii="Arial" w:hAnsi="Arial" w:cs="Arial"/>
        </w:rPr>
        <w:t> </w:t>
      </w:r>
      <w:r w:rsidRPr="008B3051">
        <w:rPr>
          <w:rFonts w:ascii="Verdana" w:hAnsi="Verdana"/>
        </w:rPr>
        <w:t>shall be treated as proceeds of such issue and the sum of such products shall be treated as the total proceeds of such issue, and</w:t>
      </w:r>
    </w:p>
    <w:p w14:paraId="4A56E8B0" w14:textId="77777777" w:rsidR="00AB7AF9" w:rsidRPr="008B3051" w:rsidRDefault="00AB7AF9" w:rsidP="00AB7AF9">
      <w:pPr>
        <w:shd w:val="clear" w:color="auto" w:fill="FFFFFF"/>
        <w:rPr>
          <w:rFonts w:ascii="Verdana" w:hAnsi="Verdana"/>
        </w:rPr>
      </w:pPr>
      <w:r w:rsidRPr="008B3051">
        <w:rPr>
          <w:rStyle w:val="num"/>
          <w:rFonts w:ascii="Verdana" w:hAnsi="Verdana"/>
          <w:b/>
          <w:bCs/>
        </w:rPr>
        <w:t>(iii)</w:t>
      </w:r>
    </w:p>
    <w:p w14:paraId="03297CC3" w14:textId="41F160D6" w:rsidR="00AB7AF9" w:rsidRPr="008B3051" w:rsidRDefault="00AB7AF9" w:rsidP="00AB7AF9">
      <w:pPr>
        <w:shd w:val="clear" w:color="auto" w:fill="FFFFFF"/>
        <w:rPr>
          <w:rFonts w:ascii="Verdana" w:hAnsi="Verdana"/>
        </w:rPr>
      </w:pPr>
      <w:r w:rsidRPr="008B3051">
        <w:rPr>
          <w:rFonts w:ascii="Verdana" w:hAnsi="Verdana"/>
        </w:rPr>
        <w:t>paragraph (1) of </w:t>
      </w:r>
      <w:r w:rsidRPr="008B3051">
        <w:rPr>
          <w:rStyle w:val="Hyperlink"/>
          <w:rFonts w:ascii="Verdana" w:hAnsi="Verdana"/>
          <w:color w:val="auto"/>
        </w:rPr>
        <w:t>section 143(d)</w:t>
      </w:r>
      <w:r w:rsidRPr="008B3051">
        <w:rPr>
          <w:rFonts w:ascii="Verdana" w:hAnsi="Verdana"/>
        </w:rPr>
        <w:t> shall be applied by substituting “100 percent” for “95 percent or more”.</w:t>
      </w:r>
    </w:p>
    <w:p w14:paraId="69A3E9A1" w14:textId="1A10AB1A" w:rsidR="00AB7AF9" w:rsidRPr="008B3051" w:rsidRDefault="00AB7AF9" w:rsidP="00AB7AF9">
      <w:pPr>
        <w:shd w:val="clear" w:color="auto" w:fill="FFFFFF"/>
        <w:rPr>
          <w:rFonts w:ascii="Verdana" w:hAnsi="Verdana"/>
        </w:rPr>
      </w:pPr>
      <w:r w:rsidRPr="008B3051">
        <w:rPr>
          <w:rFonts w:ascii="Verdana" w:hAnsi="Verdana"/>
        </w:rPr>
        <w:t>Clause (iii) shall not apply if the issuing authority submits a </w:t>
      </w:r>
      <w:r w:rsidRPr="008B3051">
        <w:rPr>
          <w:rStyle w:val="Hyperlink"/>
          <w:rFonts w:ascii="Verdana" w:hAnsi="Verdana"/>
          <w:color w:val="auto"/>
        </w:rPr>
        <w:t>plan</w:t>
      </w:r>
      <w:r w:rsidRPr="008B3051">
        <w:rPr>
          <w:rFonts w:ascii="Verdana" w:hAnsi="Verdana"/>
        </w:rPr>
        <w:t> to the </w:t>
      </w:r>
      <w:r w:rsidRPr="008B3051">
        <w:rPr>
          <w:rStyle w:val="Hyperlink"/>
          <w:rFonts w:ascii="Verdana" w:hAnsi="Verdana"/>
          <w:color w:val="auto"/>
        </w:rPr>
        <w:t>Secretary</w:t>
      </w:r>
      <w:r w:rsidRPr="008B3051">
        <w:rPr>
          <w:rFonts w:ascii="Verdana" w:hAnsi="Verdana"/>
        </w:rPr>
        <w:t> for administering the 95-percent requirement of section 143(d)(1) and the </w:t>
      </w:r>
      <w:r w:rsidRPr="008B3051">
        <w:rPr>
          <w:rStyle w:val="Hyperlink"/>
          <w:rFonts w:ascii="Verdana" w:hAnsi="Verdana"/>
          <w:color w:val="auto"/>
        </w:rPr>
        <w:t>Secretary</w:t>
      </w:r>
      <w:r w:rsidRPr="008B3051">
        <w:rPr>
          <w:rFonts w:ascii="Verdana" w:hAnsi="Verdana"/>
        </w:rPr>
        <w:t> is satisfied that such requirement will be met under such plan.</w:t>
      </w:r>
    </w:p>
    <w:p w14:paraId="5046A672"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(d)</w:t>
      </w:r>
      <w:r w:rsidRPr="008B3051">
        <w:rPr>
          <w:rStyle w:val="heading"/>
          <w:rFonts w:ascii="Verdana" w:hAnsi="Verdana"/>
          <w:b/>
          <w:bCs/>
          <w:smallCaps/>
        </w:rPr>
        <w:t>Determination of certificate credit rate</w:t>
      </w:r>
      <w:r w:rsidRPr="008B3051">
        <w:rPr>
          <w:rStyle w:val="chapeau"/>
          <w:rFonts w:ascii="Verdana" w:hAnsi="Verdana"/>
        </w:rPr>
        <w:t>For purposes of this section—</w:t>
      </w:r>
    </w:p>
    <w:p w14:paraId="416C55E8"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74286DBC" w14:textId="08DA469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certificate credit rate</w:t>
      </w:r>
      <w:r w:rsidRPr="008B3051">
        <w:rPr>
          <w:rFonts w:ascii="Verdana" w:hAnsi="Verdana"/>
        </w:rPr>
        <w:t> specified in any </w:t>
      </w:r>
      <w:r w:rsidRPr="008B3051">
        <w:rPr>
          <w:rStyle w:val="Hyperlink"/>
          <w:rFonts w:ascii="Verdana" w:hAnsi="Verdana"/>
          <w:color w:val="auto"/>
        </w:rPr>
        <w:t>mortgage credit certificate</w:t>
      </w:r>
      <w:r w:rsidRPr="008B3051">
        <w:rPr>
          <w:rFonts w:ascii="Verdana" w:hAnsi="Verdana"/>
        </w:rPr>
        <w:t> shall not be less than 10 percent or more than 50 percent.</w:t>
      </w:r>
    </w:p>
    <w:p w14:paraId="4E06B7F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Aggregate limit on certificate credit rates</w:t>
      </w:r>
    </w:p>
    <w:p w14:paraId="72CB48BA" w14:textId="1411E098"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In the case of each </w:t>
      </w:r>
      <w:r w:rsidRPr="008B3051">
        <w:rPr>
          <w:rStyle w:val="Hyperlink"/>
          <w:rFonts w:ascii="Verdana" w:hAnsi="Verdana"/>
          <w:color w:val="auto"/>
        </w:rPr>
        <w:t>qualified mortgage credit certificate program</w:t>
      </w:r>
      <w:r w:rsidRPr="008B3051">
        <w:rPr>
          <w:rStyle w:val="chapeau"/>
          <w:rFonts w:ascii="Verdana" w:hAnsi="Verdana"/>
        </w:rPr>
        <w:t>, the sum of the products determined by multiplying—</w:t>
      </w:r>
    </w:p>
    <w:p w14:paraId="7BB1FFE7"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76B33654" w14:textId="20AFCE04"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certified indebtedness amount</w:t>
      </w:r>
      <w:r w:rsidRPr="008B3051">
        <w:rPr>
          <w:rFonts w:ascii="Verdana" w:hAnsi="Verdana"/>
        </w:rPr>
        <w:t> of each mortgage credit certificate issued under such program, by</w:t>
      </w:r>
    </w:p>
    <w:p w14:paraId="543826A1"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092EE0E8" w14:textId="09817958"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certificate credit rate</w:t>
      </w:r>
      <w:r w:rsidRPr="008B3051">
        <w:rPr>
          <w:rFonts w:ascii="Verdana" w:hAnsi="Verdana"/>
        </w:rPr>
        <w:t> with respect to such certificate,</w:t>
      </w:r>
    </w:p>
    <w:p w14:paraId="6676E5C4" w14:textId="336B0FCD" w:rsidR="00AB7AF9" w:rsidRPr="008B3051" w:rsidRDefault="00AB7AF9" w:rsidP="00AB7AF9">
      <w:pPr>
        <w:shd w:val="clear" w:color="auto" w:fill="FFFFFF"/>
        <w:rPr>
          <w:rFonts w:ascii="Verdana" w:hAnsi="Verdana"/>
        </w:rPr>
      </w:pPr>
      <w:r w:rsidRPr="008B3051">
        <w:rPr>
          <w:rFonts w:ascii="Verdana" w:hAnsi="Verdana"/>
        </w:rPr>
        <w:t>shall not exceed 25 percent of the nonissued </w:t>
      </w:r>
      <w:r w:rsidRPr="008B3051">
        <w:rPr>
          <w:rStyle w:val="Hyperlink"/>
          <w:rFonts w:ascii="Verdana" w:hAnsi="Verdana"/>
          <w:color w:val="auto"/>
        </w:rPr>
        <w:t>bond</w:t>
      </w:r>
      <w:r w:rsidRPr="008B3051">
        <w:rPr>
          <w:rFonts w:ascii="Verdana" w:hAnsi="Verdana"/>
        </w:rPr>
        <w:t> amount.</w:t>
      </w:r>
    </w:p>
    <w:p w14:paraId="7A5986F6"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Nonissued bond amount</w:t>
      </w:r>
    </w:p>
    <w:p w14:paraId="579B87BF" w14:textId="52CC0DB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subparagraph (A), the term “nonissued bond amount” means, with respect to any qualified mortgage credit certificate program, the amount of qualified mortgage bonds which the issuing authority is otherwise authorized to issue and elects not to issue under subsection (c)(2)(A)(ii).</w:t>
      </w:r>
    </w:p>
    <w:p w14:paraId="04B3984F"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 and definitions</w:t>
      </w:r>
      <w:r w:rsidRPr="008B3051">
        <w:rPr>
          <w:rStyle w:val="chapeau"/>
          <w:rFonts w:ascii="Verdana" w:hAnsi="Verdana"/>
        </w:rPr>
        <w:t>For purposes of this section—</w:t>
      </w:r>
    </w:p>
    <w:p w14:paraId="78E6D414"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Carryforward of unused credit</w:t>
      </w:r>
    </w:p>
    <w:p w14:paraId="4A630B1C" w14:textId="77777777" w:rsidR="00AB7AF9" w:rsidRPr="008B3051" w:rsidRDefault="00AB7AF9" w:rsidP="00AB7AF9">
      <w:pPr>
        <w:shd w:val="clear" w:color="auto" w:fill="FFFFFF"/>
        <w:rPr>
          <w:rFonts w:ascii="Verdana" w:hAnsi="Verdana"/>
        </w:rPr>
      </w:pPr>
      <w:bookmarkStart w:id="367" w:name="e_1_A"/>
      <w:bookmarkEnd w:id="367"/>
      <w:r w:rsidRPr="008B3051">
        <w:rPr>
          <w:rStyle w:val="num"/>
          <w:rFonts w:ascii="Verdana" w:hAnsi="Verdana"/>
          <w:b/>
          <w:bCs/>
        </w:rPr>
        <w:t>(A)</w:t>
      </w:r>
      <w:r w:rsidRPr="008B3051">
        <w:rPr>
          <w:rStyle w:val="heading"/>
          <w:rFonts w:ascii="Verdana" w:hAnsi="Verdana"/>
          <w:b/>
          <w:bCs/>
        </w:rPr>
        <w:t>In general</w:t>
      </w:r>
    </w:p>
    <w:p w14:paraId="54AE1726" w14:textId="48BB18C1"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the credit allowable under subsection (a) for any </w:t>
      </w:r>
      <w:r w:rsidRPr="008B3051">
        <w:rPr>
          <w:rStyle w:val="Hyperlink"/>
          <w:rFonts w:ascii="Verdana" w:hAnsi="Verdana"/>
          <w:color w:val="auto"/>
        </w:rPr>
        <w:t>taxable year</w:t>
      </w:r>
      <w:r w:rsidRPr="008B3051">
        <w:rPr>
          <w:rFonts w:ascii="Verdana" w:hAnsi="Verdana"/>
        </w:rPr>
        <w:t> exceeds the applicable tax limit for such </w:t>
      </w:r>
      <w:r w:rsidRPr="008B3051">
        <w:rPr>
          <w:rStyle w:val="Hyperlink"/>
          <w:rFonts w:ascii="Verdana" w:hAnsi="Verdana"/>
          <w:color w:val="auto"/>
        </w:rPr>
        <w:t>taxable year</w:t>
      </w:r>
      <w:r w:rsidRPr="008B3051">
        <w:rPr>
          <w:rFonts w:ascii="Verdana" w:hAnsi="Verdana"/>
        </w:rPr>
        <w:t>, such excess shall be a carryover to each of the 3 succeeding </w:t>
      </w:r>
      <w:r w:rsidRPr="008B3051">
        <w:rPr>
          <w:rStyle w:val="Hyperlink"/>
          <w:rFonts w:ascii="Verdana" w:hAnsi="Verdana"/>
          <w:color w:val="auto"/>
        </w:rPr>
        <w:t>taxable years</w:t>
      </w:r>
      <w:r w:rsidRPr="008B3051">
        <w:rPr>
          <w:rFonts w:ascii="Verdana" w:hAnsi="Verdana"/>
        </w:rPr>
        <w:t> and, subject to the limitations of subparagraph (B), shall be added to the credit allowable by subsection (a) for such succeeding </w:t>
      </w:r>
      <w:r w:rsidRPr="008B3051">
        <w:rPr>
          <w:rStyle w:val="Hyperlink"/>
          <w:rFonts w:ascii="Verdana" w:hAnsi="Verdana"/>
          <w:color w:val="auto"/>
        </w:rPr>
        <w:t>taxable year</w:t>
      </w:r>
      <w:r w:rsidRPr="008B3051">
        <w:rPr>
          <w:rFonts w:ascii="Verdana" w:hAnsi="Verdana"/>
        </w:rPr>
        <w:t>.</w:t>
      </w:r>
    </w:p>
    <w:p w14:paraId="35BAEED0" w14:textId="7607065C" w:rsidR="00AB7AF9" w:rsidRPr="008B3051" w:rsidRDefault="00AB7AF9" w:rsidP="00AB7AF9">
      <w:pPr>
        <w:shd w:val="clear" w:color="auto" w:fill="FFFFFF"/>
        <w:rPr>
          <w:rFonts w:ascii="Verdana" w:hAnsi="Verdana"/>
        </w:rPr>
      </w:pPr>
      <w:bookmarkStart w:id="368" w:name="e_1_B"/>
      <w:bookmarkEnd w:id="368"/>
      <w:r w:rsidRPr="008B3051">
        <w:rPr>
          <w:rStyle w:val="num"/>
          <w:rFonts w:ascii="Verdana" w:hAnsi="Verdana"/>
          <w:b/>
          <w:bCs/>
        </w:rPr>
        <w:t>(B)</w:t>
      </w:r>
      <w:r w:rsidRPr="008B3051">
        <w:rPr>
          <w:rStyle w:val="heading"/>
          <w:rFonts w:ascii="Verdana" w:hAnsi="Verdana"/>
          <w:b/>
          <w:bCs/>
        </w:rPr>
        <w:t>Limitation</w:t>
      </w:r>
      <w:r w:rsidRPr="008B3051">
        <w:rPr>
          <w:rStyle w:val="chapeau"/>
          <w:rFonts w:ascii="Verdana" w:hAnsi="Verdana"/>
        </w:rPr>
        <w:t>The amount of the unused credit which may be taken into account under subparagraph (A) for any </w:t>
      </w:r>
      <w:r w:rsidRPr="008B3051">
        <w:rPr>
          <w:rStyle w:val="Hyperlink"/>
          <w:rFonts w:ascii="Verdana" w:hAnsi="Verdana"/>
          <w:color w:val="auto"/>
        </w:rPr>
        <w:t>taxable year</w:t>
      </w:r>
      <w:r w:rsidRPr="008B3051">
        <w:rPr>
          <w:rStyle w:val="chapeau"/>
          <w:rFonts w:ascii="Verdana" w:hAnsi="Verdana"/>
        </w:rPr>
        <w:t> shall not exceed the amount (if any) by which the applicable tax limit for such </w:t>
      </w:r>
      <w:r w:rsidRPr="008B3051">
        <w:rPr>
          <w:rStyle w:val="Hyperlink"/>
          <w:rFonts w:ascii="Verdana" w:hAnsi="Verdana"/>
          <w:color w:val="auto"/>
        </w:rPr>
        <w:t>taxable year</w:t>
      </w:r>
      <w:r w:rsidRPr="008B3051">
        <w:rPr>
          <w:rStyle w:val="chapeau"/>
          <w:rFonts w:ascii="Verdana" w:hAnsi="Verdana"/>
        </w:rPr>
        <w:t> exceeds the sum of—</w:t>
      </w:r>
    </w:p>
    <w:p w14:paraId="5F686B84" w14:textId="77777777" w:rsidR="00AB7AF9" w:rsidRPr="008B3051" w:rsidRDefault="00AB7AF9" w:rsidP="00AB7AF9">
      <w:pPr>
        <w:shd w:val="clear" w:color="auto" w:fill="FFFFFF"/>
        <w:rPr>
          <w:rFonts w:ascii="Verdana" w:hAnsi="Verdana"/>
        </w:rPr>
      </w:pPr>
      <w:bookmarkStart w:id="369" w:name="e_1_B_i"/>
      <w:bookmarkEnd w:id="369"/>
      <w:r w:rsidRPr="008B3051">
        <w:rPr>
          <w:rStyle w:val="num"/>
          <w:rFonts w:ascii="Verdana" w:hAnsi="Verdana"/>
          <w:b/>
          <w:bCs/>
        </w:rPr>
        <w:t>(i)</w:t>
      </w:r>
    </w:p>
    <w:p w14:paraId="43F18B82" w14:textId="10B0090D" w:rsidR="00AB7AF9" w:rsidRPr="008B3051" w:rsidRDefault="00AB7AF9" w:rsidP="00AB7AF9">
      <w:pPr>
        <w:shd w:val="clear" w:color="auto" w:fill="FFFFFF"/>
        <w:rPr>
          <w:rFonts w:ascii="Verdana" w:hAnsi="Verdana"/>
        </w:rPr>
      </w:pPr>
      <w:r w:rsidRPr="008B3051">
        <w:rPr>
          <w:rFonts w:ascii="Verdana" w:hAnsi="Verdana"/>
        </w:rPr>
        <w:t>the credit allowable under subsection (a) for such </w:t>
      </w:r>
      <w:r w:rsidRPr="008B3051">
        <w:rPr>
          <w:rStyle w:val="Hyperlink"/>
          <w:rFonts w:ascii="Verdana" w:hAnsi="Verdana"/>
          <w:color w:val="auto"/>
        </w:rPr>
        <w:t>taxable year</w:t>
      </w:r>
      <w:r w:rsidRPr="008B3051">
        <w:rPr>
          <w:rFonts w:ascii="Verdana" w:hAnsi="Verdana"/>
        </w:rPr>
        <w:t> determined without regard to this paragraph, and</w:t>
      </w:r>
    </w:p>
    <w:p w14:paraId="2481CAED" w14:textId="77777777" w:rsidR="00AB7AF9" w:rsidRPr="008B3051" w:rsidRDefault="00AB7AF9" w:rsidP="00AB7AF9">
      <w:pPr>
        <w:shd w:val="clear" w:color="auto" w:fill="FFFFFF"/>
        <w:rPr>
          <w:rFonts w:ascii="Verdana" w:hAnsi="Verdana"/>
        </w:rPr>
      </w:pPr>
      <w:bookmarkStart w:id="370" w:name="e_1_B_ii"/>
      <w:bookmarkEnd w:id="370"/>
      <w:r w:rsidRPr="008B3051">
        <w:rPr>
          <w:rStyle w:val="num"/>
          <w:rFonts w:ascii="Verdana" w:hAnsi="Verdana"/>
          <w:b/>
          <w:bCs/>
        </w:rPr>
        <w:t>(ii)</w:t>
      </w:r>
    </w:p>
    <w:p w14:paraId="2252B1A1" w14:textId="5049D859" w:rsidR="00AB7AF9" w:rsidRPr="008B3051" w:rsidRDefault="00AB7AF9" w:rsidP="00AB7AF9">
      <w:pPr>
        <w:shd w:val="clear" w:color="auto" w:fill="FFFFFF"/>
        <w:rPr>
          <w:rFonts w:ascii="Verdana" w:hAnsi="Verdana"/>
        </w:rPr>
      </w:pPr>
      <w:r w:rsidRPr="008B3051">
        <w:rPr>
          <w:rFonts w:ascii="Verdana" w:hAnsi="Verdana"/>
        </w:rPr>
        <w:t>the amounts which, by reason of this paragraph, are carried to such </w:t>
      </w:r>
      <w:r w:rsidRPr="008B3051">
        <w:rPr>
          <w:rStyle w:val="Hyperlink"/>
          <w:rFonts w:ascii="Verdana" w:hAnsi="Verdana"/>
          <w:color w:val="auto"/>
        </w:rPr>
        <w:t>taxable year</w:t>
      </w:r>
      <w:r w:rsidRPr="008B3051">
        <w:rPr>
          <w:rFonts w:ascii="Verdana" w:hAnsi="Verdana"/>
        </w:rPr>
        <w:t> and are attributable to </w:t>
      </w:r>
      <w:r w:rsidRPr="008B3051">
        <w:rPr>
          <w:rStyle w:val="Hyperlink"/>
          <w:rFonts w:ascii="Verdana" w:hAnsi="Verdana"/>
          <w:color w:val="auto"/>
        </w:rPr>
        <w:t>taxable years</w:t>
      </w:r>
      <w:r w:rsidRPr="008B3051">
        <w:rPr>
          <w:rFonts w:ascii="Verdana" w:hAnsi="Verdana"/>
        </w:rPr>
        <w:t> before the </w:t>
      </w:r>
      <w:r w:rsidRPr="008B3051">
        <w:rPr>
          <w:rStyle w:val="Hyperlink"/>
          <w:rFonts w:ascii="Verdana" w:hAnsi="Verdana"/>
          <w:color w:val="auto"/>
        </w:rPr>
        <w:t>unused credit year</w:t>
      </w:r>
      <w:r w:rsidRPr="008B3051">
        <w:rPr>
          <w:rFonts w:ascii="Verdana" w:hAnsi="Verdana"/>
        </w:rPr>
        <w:t>.</w:t>
      </w:r>
    </w:p>
    <w:p w14:paraId="5975248F" w14:textId="77777777" w:rsidR="00AB7AF9" w:rsidRPr="008B3051" w:rsidRDefault="00AB7AF9" w:rsidP="00AB7AF9">
      <w:pPr>
        <w:shd w:val="clear" w:color="auto" w:fill="FFFFFF"/>
        <w:rPr>
          <w:rFonts w:ascii="Verdana" w:hAnsi="Verdana"/>
        </w:rPr>
      </w:pPr>
      <w:bookmarkStart w:id="371" w:name="e_1_C"/>
      <w:bookmarkEnd w:id="371"/>
      <w:r w:rsidRPr="008B3051">
        <w:rPr>
          <w:rStyle w:val="num"/>
          <w:rFonts w:ascii="Verdana" w:hAnsi="Verdana"/>
          <w:b/>
          <w:bCs/>
        </w:rPr>
        <w:lastRenderedPageBreak/>
        <w:t>(C)</w:t>
      </w:r>
      <w:r w:rsidRPr="008B3051">
        <w:rPr>
          <w:rStyle w:val="heading"/>
          <w:rFonts w:ascii="Verdana" w:hAnsi="Verdana"/>
          <w:b/>
          <w:bCs/>
        </w:rPr>
        <w:t>Applicable tax limit</w:t>
      </w:r>
    </w:p>
    <w:p w14:paraId="7E086F31" w14:textId="3A78A78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paragraph, the term “</w:t>
      </w:r>
      <w:r w:rsidRPr="008B3051">
        <w:rPr>
          <w:rStyle w:val="Hyperlink"/>
          <w:rFonts w:ascii="Verdana" w:hAnsi="Verdana"/>
          <w:color w:val="auto"/>
        </w:rPr>
        <w:t>applicable tax limit</w:t>
      </w:r>
      <w:r w:rsidRPr="008B3051">
        <w:rPr>
          <w:rFonts w:ascii="Verdana" w:hAnsi="Verdana"/>
        </w:rPr>
        <w:t>” means the limitation imposed by section 26(a) for the taxable year reduced by the sum of the credits allowable under this subpart (other than this section and sections 23, 25D, and 1400C).</w:t>
      </w:r>
    </w:p>
    <w:p w14:paraId="249EA49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Indebtedness not treated as certified where certain requirements not in fact met</w:t>
      </w:r>
    </w:p>
    <w:p w14:paraId="751BE23B"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Subsection (a) shall not apply to any indebtedness if all the requirements of subsection (c)(1), (d), (e), (f), and (i) of section 143 and clauses (iv), (v), and (vii) of subsection (c)(2)(A), were not in fact met with respect to such indebtedness. Except to the extent provided in regulations, the requirements described in the preceding sentence shall be treated as met if there is a certification, under penalty of perjury, that such requirements are met.</w:t>
      </w:r>
    </w:p>
    <w:p w14:paraId="49C2DAEF"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Period for which certificate in effect</w:t>
      </w:r>
    </w:p>
    <w:p w14:paraId="5355D312" w14:textId="30FE48C7" w:rsidR="00AB7AF9" w:rsidRPr="008B3051" w:rsidRDefault="00AB7AF9" w:rsidP="00AB7AF9">
      <w:pPr>
        <w:shd w:val="clear" w:color="auto" w:fill="FFFFFF"/>
        <w:rPr>
          <w:rFonts w:ascii="Verdana" w:hAnsi="Verdana"/>
        </w:rPr>
      </w:pPr>
      <w:bookmarkStart w:id="372" w:name="e_3_A"/>
      <w:bookmarkEnd w:id="372"/>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Except as provided in subparagraph (B), a </w:t>
      </w:r>
      <w:r w:rsidRPr="008B3051">
        <w:rPr>
          <w:rStyle w:val="Hyperlink"/>
          <w:rFonts w:ascii="Verdana" w:hAnsi="Verdana"/>
          <w:color w:val="auto"/>
        </w:rPr>
        <w:t>mortgage credit certificate</w:t>
      </w:r>
      <w:r w:rsidRPr="008B3051">
        <w:rPr>
          <w:rStyle w:val="chapeau"/>
          <w:rFonts w:ascii="Verdana" w:hAnsi="Verdana"/>
        </w:rPr>
        <w:t> shall be treated as in effect with respect to interest attributable to the period—</w:t>
      </w:r>
    </w:p>
    <w:p w14:paraId="1E8F47FC" w14:textId="77777777" w:rsidR="00AB7AF9" w:rsidRPr="008B3051" w:rsidRDefault="00AB7AF9" w:rsidP="00AB7AF9">
      <w:pPr>
        <w:shd w:val="clear" w:color="auto" w:fill="FFFFFF"/>
        <w:rPr>
          <w:rFonts w:ascii="Verdana" w:hAnsi="Verdana"/>
        </w:rPr>
      </w:pPr>
      <w:bookmarkStart w:id="373" w:name="e_3_A_i"/>
      <w:bookmarkEnd w:id="373"/>
      <w:r w:rsidRPr="008B3051">
        <w:rPr>
          <w:rStyle w:val="num"/>
          <w:rFonts w:ascii="Verdana" w:hAnsi="Verdana"/>
          <w:b/>
          <w:bCs/>
        </w:rPr>
        <w:t>(i)</w:t>
      </w:r>
    </w:p>
    <w:p w14:paraId="79C95E58" w14:textId="77777777" w:rsidR="00AB7AF9" w:rsidRPr="008B3051" w:rsidRDefault="00AB7AF9" w:rsidP="00AB7AF9">
      <w:pPr>
        <w:shd w:val="clear" w:color="auto" w:fill="FFFFFF"/>
        <w:rPr>
          <w:rFonts w:ascii="Verdana" w:hAnsi="Verdana"/>
        </w:rPr>
      </w:pPr>
      <w:r w:rsidRPr="008B3051">
        <w:rPr>
          <w:rFonts w:ascii="Verdana" w:hAnsi="Verdana"/>
        </w:rPr>
        <w:t>beginning on the date such certificate is issued, and</w:t>
      </w:r>
    </w:p>
    <w:p w14:paraId="3D3540F8" w14:textId="77777777" w:rsidR="00AB7AF9" w:rsidRPr="008B3051" w:rsidRDefault="00AB7AF9" w:rsidP="00AB7AF9">
      <w:pPr>
        <w:shd w:val="clear" w:color="auto" w:fill="FFFFFF"/>
        <w:rPr>
          <w:rFonts w:ascii="Verdana" w:hAnsi="Verdana"/>
        </w:rPr>
      </w:pPr>
      <w:bookmarkStart w:id="374" w:name="e_3_A_ii"/>
      <w:bookmarkEnd w:id="374"/>
      <w:r w:rsidRPr="008B3051">
        <w:rPr>
          <w:rStyle w:val="num"/>
          <w:rFonts w:ascii="Verdana" w:hAnsi="Verdana"/>
          <w:b/>
          <w:bCs/>
        </w:rPr>
        <w:t>(ii)</w:t>
      </w:r>
      <w:r w:rsidRPr="008B3051">
        <w:rPr>
          <w:rStyle w:val="chapeau"/>
          <w:rFonts w:ascii="Verdana" w:hAnsi="Verdana"/>
        </w:rPr>
        <w:t>ending on the earlier of the date on which—</w:t>
      </w:r>
    </w:p>
    <w:p w14:paraId="3F0A2C41" w14:textId="77777777" w:rsidR="00AB7AF9" w:rsidRPr="008B3051" w:rsidRDefault="00AB7AF9" w:rsidP="00AB7AF9">
      <w:pPr>
        <w:shd w:val="clear" w:color="auto" w:fill="FFFFFF"/>
        <w:rPr>
          <w:rFonts w:ascii="Verdana" w:hAnsi="Verdana"/>
        </w:rPr>
      </w:pPr>
      <w:bookmarkStart w:id="375" w:name="e_3_A_ii_I"/>
      <w:bookmarkEnd w:id="375"/>
      <w:r w:rsidRPr="008B3051">
        <w:rPr>
          <w:rStyle w:val="num"/>
          <w:rFonts w:ascii="Verdana" w:hAnsi="Verdana"/>
          <w:b/>
          <w:bCs/>
        </w:rPr>
        <w:t>(I)</w:t>
      </w:r>
    </w:p>
    <w:p w14:paraId="0450A25E" w14:textId="77777777" w:rsidR="00AB7AF9" w:rsidRPr="008B3051" w:rsidRDefault="00AB7AF9" w:rsidP="00AB7AF9">
      <w:pPr>
        <w:shd w:val="clear" w:color="auto" w:fill="FFFFFF"/>
        <w:rPr>
          <w:rFonts w:ascii="Verdana" w:hAnsi="Verdana"/>
        </w:rPr>
      </w:pPr>
      <w:r w:rsidRPr="008B3051">
        <w:rPr>
          <w:rFonts w:ascii="Verdana" w:hAnsi="Verdana"/>
        </w:rPr>
        <w:t>the certificate is revoked by the issuing authority, or</w:t>
      </w:r>
    </w:p>
    <w:p w14:paraId="2471A114" w14:textId="77777777" w:rsidR="00AB7AF9" w:rsidRPr="008B3051" w:rsidRDefault="00AB7AF9" w:rsidP="00AB7AF9">
      <w:pPr>
        <w:shd w:val="clear" w:color="auto" w:fill="FFFFFF"/>
        <w:rPr>
          <w:rFonts w:ascii="Verdana" w:hAnsi="Verdana"/>
        </w:rPr>
      </w:pPr>
      <w:bookmarkStart w:id="376" w:name="e_3_A_ii_II"/>
      <w:bookmarkEnd w:id="376"/>
      <w:r w:rsidRPr="008B3051">
        <w:rPr>
          <w:rStyle w:val="num"/>
          <w:rFonts w:ascii="Verdana" w:hAnsi="Verdana"/>
          <w:b/>
          <w:bCs/>
        </w:rPr>
        <w:t>(II)</w:t>
      </w:r>
    </w:p>
    <w:p w14:paraId="363D4732" w14:textId="25BD7E67" w:rsidR="00AB7AF9" w:rsidRPr="008B3051" w:rsidRDefault="00AB7AF9" w:rsidP="00AB7AF9">
      <w:pPr>
        <w:shd w:val="clear" w:color="auto" w:fill="FFFFFF"/>
        <w:rPr>
          <w:rFonts w:ascii="Verdana" w:hAnsi="Verdana"/>
        </w:rPr>
      </w:pPr>
      <w:r w:rsidRPr="008B3051">
        <w:rPr>
          <w:rFonts w:ascii="Verdana" w:hAnsi="Verdana"/>
        </w:rPr>
        <w:t>the residence to which such certificate relates ceases to be the </w:t>
      </w:r>
      <w:r w:rsidRPr="008B3051">
        <w:rPr>
          <w:rStyle w:val="Hyperlink"/>
          <w:rFonts w:ascii="Verdana" w:hAnsi="Verdana"/>
          <w:color w:val="auto"/>
        </w:rPr>
        <w:t>principal residence</w:t>
      </w:r>
      <w:r w:rsidRPr="008B3051">
        <w:rPr>
          <w:rFonts w:ascii="Verdana" w:hAnsi="Verdana"/>
        </w:rPr>
        <w:t> of the individual to whom the certificate relates.</w:t>
      </w:r>
    </w:p>
    <w:p w14:paraId="67E11537" w14:textId="77777777" w:rsidR="00AB7AF9" w:rsidRPr="008B3051" w:rsidRDefault="00AB7AF9" w:rsidP="00AB7AF9">
      <w:pPr>
        <w:shd w:val="clear" w:color="auto" w:fill="FFFFFF"/>
        <w:rPr>
          <w:rFonts w:ascii="Verdana" w:hAnsi="Verdana"/>
        </w:rPr>
      </w:pPr>
      <w:bookmarkStart w:id="377" w:name="e_3_B"/>
      <w:bookmarkEnd w:id="377"/>
      <w:r w:rsidRPr="008B3051">
        <w:rPr>
          <w:rStyle w:val="num"/>
          <w:rFonts w:ascii="Verdana" w:hAnsi="Verdana"/>
          <w:b/>
          <w:bCs/>
        </w:rPr>
        <w:t>(B)</w:t>
      </w:r>
      <w:r w:rsidRPr="008B3051">
        <w:rPr>
          <w:rStyle w:val="heading"/>
          <w:rFonts w:ascii="Verdana" w:hAnsi="Verdana"/>
          <w:b/>
          <w:bCs/>
        </w:rPr>
        <w:t>Certificate invalid unless indebtedness incurred within certain period</w:t>
      </w:r>
    </w:p>
    <w:p w14:paraId="40F7C6D5" w14:textId="285BB5F0"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 certificate shall not apply to any indebtedness which is incurred after the close of the second </w:t>
      </w:r>
      <w:r w:rsidRPr="008B3051">
        <w:rPr>
          <w:rStyle w:val="Hyperlink"/>
          <w:rFonts w:ascii="Verdana" w:hAnsi="Verdana"/>
          <w:color w:val="auto"/>
        </w:rPr>
        <w:t>calendar year</w:t>
      </w:r>
      <w:r w:rsidRPr="008B3051">
        <w:rPr>
          <w:rFonts w:ascii="Verdana" w:hAnsi="Verdana"/>
        </w:rPr>
        <w:t> following the </w:t>
      </w:r>
      <w:r w:rsidRPr="008B3051">
        <w:rPr>
          <w:rStyle w:val="Hyperlink"/>
          <w:rFonts w:ascii="Verdana" w:hAnsi="Verdana"/>
          <w:color w:val="auto"/>
        </w:rPr>
        <w:t>calendar year</w:t>
      </w:r>
      <w:r w:rsidRPr="008B3051">
        <w:rPr>
          <w:rFonts w:ascii="Verdana" w:hAnsi="Verdana"/>
        </w:rPr>
        <w:t> for which the issuing authority made the applicable election under subsection (c)(2)(A)(ii).</w:t>
      </w:r>
    </w:p>
    <w:p w14:paraId="7C93A9C6" w14:textId="77777777" w:rsidR="00AB7AF9" w:rsidRPr="008B3051" w:rsidRDefault="00AB7AF9" w:rsidP="00AB7AF9">
      <w:pPr>
        <w:shd w:val="clear" w:color="auto" w:fill="FFFFFF"/>
        <w:rPr>
          <w:rFonts w:ascii="Verdana" w:hAnsi="Verdana"/>
        </w:rPr>
      </w:pPr>
      <w:bookmarkStart w:id="378" w:name="e_3_C"/>
      <w:bookmarkEnd w:id="378"/>
      <w:r w:rsidRPr="008B3051">
        <w:rPr>
          <w:rStyle w:val="num"/>
          <w:rFonts w:ascii="Verdana" w:hAnsi="Verdana"/>
          <w:b/>
          <w:bCs/>
        </w:rPr>
        <w:t>(C)</w:t>
      </w:r>
      <w:r w:rsidRPr="008B3051">
        <w:rPr>
          <w:rStyle w:val="heading"/>
          <w:rFonts w:ascii="Verdana" w:hAnsi="Verdana"/>
          <w:b/>
          <w:bCs/>
        </w:rPr>
        <w:t>Notice to Secretary when certificate revoked</w:t>
      </w:r>
    </w:p>
    <w:p w14:paraId="47E50D4F" w14:textId="6CD9EC49"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Any issuing authority which revokes any </w:t>
      </w:r>
      <w:r w:rsidRPr="008B3051">
        <w:rPr>
          <w:rStyle w:val="Hyperlink"/>
          <w:rFonts w:ascii="Verdana" w:hAnsi="Verdana"/>
          <w:color w:val="auto"/>
        </w:rPr>
        <w:t>mortgage credit certificate</w:t>
      </w:r>
      <w:r w:rsidRPr="008B3051">
        <w:rPr>
          <w:rFonts w:ascii="Verdana" w:hAnsi="Verdana"/>
        </w:rPr>
        <w:t> shall notify the Secretary of such revocation at such time and in such manner as the Secretary shall prescribe by regulations.</w:t>
      </w:r>
    </w:p>
    <w:p w14:paraId="393C7D9F"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Reissuance of mortgage credit certificates</w:t>
      </w:r>
    </w:p>
    <w:p w14:paraId="60AC0225" w14:textId="3BD1EB9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may prescribe regulations which allow the administrator of a </w:t>
      </w:r>
      <w:r w:rsidRPr="008B3051">
        <w:rPr>
          <w:rStyle w:val="Hyperlink"/>
          <w:rFonts w:ascii="Verdana" w:hAnsi="Verdana"/>
          <w:color w:val="auto"/>
        </w:rPr>
        <w:t>mortgage credit certificate</w:t>
      </w:r>
      <w:r w:rsidRPr="008B3051">
        <w:rPr>
          <w:rFonts w:ascii="Verdana" w:hAnsi="Verdana"/>
        </w:rPr>
        <w:t>program to reissue a </w:t>
      </w:r>
      <w:r w:rsidRPr="008B3051">
        <w:rPr>
          <w:rStyle w:val="Hyperlink"/>
          <w:rFonts w:ascii="Verdana" w:hAnsi="Verdana"/>
          <w:color w:val="auto"/>
        </w:rPr>
        <w:t xml:space="preserve">mortgage credit </w:t>
      </w:r>
      <w:r w:rsidRPr="008B3051">
        <w:rPr>
          <w:rStyle w:val="Hyperlink"/>
          <w:rFonts w:ascii="Verdana" w:hAnsi="Verdana"/>
          <w:color w:val="auto"/>
        </w:rPr>
        <w:lastRenderedPageBreak/>
        <w:t>certificate</w:t>
      </w:r>
      <w:r w:rsidRPr="008B3051">
        <w:rPr>
          <w:rFonts w:ascii="Verdana" w:hAnsi="Verdana"/>
        </w:rPr>
        <w:t> specifying a certified mortgage indebtedness that replaces the outstanding balance of the certified mortgage indebtedness specified on the original certificate to any taxpayer to whom the original certificate was issued, under such terms and conditions as the Secretary determines are necessary to ensure that the amount of the credit allowable under subsection (a) with respect to such reissued certificate is equal to or less than the amount of credit which would be allowable under subsection (a) with respect to the original certificate for any taxable year ending after such reissuance.</w:t>
      </w:r>
    </w:p>
    <w:p w14:paraId="41DB26EC" w14:textId="04997190"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Public notice that certificates will be issued</w:t>
      </w:r>
      <w:r w:rsidRPr="008B3051">
        <w:rPr>
          <w:rStyle w:val="chapeau"/>
          <w:rFonts w:ascii="Verdana" w:hAnsi="Verdana"/>
        </w:rPr>
        <w:t>At least 90 days before any </w:t>
      </w:r>
      <w:r w:rsidRPr="008B3051">
        <w:rPr>
          <w:rStyle w:val="Hyperlink"/>
          <w:rFonts w:ascii="Verdana" w:hAnsi="Verdana"/>
          <w:color w:val="auto"/>
        </w:rPr>
        <w:t>mortgage credit certificate</w:t>
      </w:r>
      <w:r w:rsidRPr="008B3051">
        <w:rPr>
          <w:rStyle w:val="chapeau"/>
          <w:rFonts w:ascii="Verdana" w:hAnsi="Verdana"/>
        </w:rPr>
        <w:t> is to be issued after a </w:t>
      </w:r>
      <w:r w:rsidRPr="008B3051">
        <w:rPr>
          <w:rStyle w:val="Hyperlink"/>
          <w:rFonts w:ascii="Verdana" w:hAnsi="Verdana"/>
          <w:color w:val="auto"/>
        </w:rPr>
        <w:t>qualified mortgage credit certificate program</w:t>
      </w:r>
      <w:r w:rsidRPr="008B3051">
        <w:rPr>
          <w:rStyle w:val="chapeau"/>
          <w:rFonts w:ascii="Verdana" w:hAnsi="Verdana"/>
        </w:rPr>
        <w:t>, the issuing authority shall provide reasonable public notice of—</w:t>
      </w:r>
    </w:p>
    <w:p w14:paraId="0F7111A4"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7FBE7540" w14:textId="77777777" w:rsidR="00AB7AF9" w:rsidRPr="008B3051" w:rsidRDefault="00AB7AF9" w:rsidP="00AB7AF9">
      <w:pPr>
        <w:shd w:val="clear" w:color="auto" w:fill="FFFFFF"/>
        <w:rPr>
          <w:rFonts w:ascii="Verdana" w:hAnsi="Verdana"/>
        </w:rPr>
      </w:pPr>
      <w:r w:rsidRPr="008B3051">
        <w:rPr>
          <w:rFonts w:ascii="Verdana" w:hAnsi="Verdana"/>
        </w:rPr>
        <w:t>the eligibility requirements for such certificate,</w:t>
      </w:r>
    </w:p>
    <w:p w14:paraId="48A50CB0"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EE4A043" w14:textId="77777777" w:rsidR="00AB7AF9" w:rsidRPr="008B3051" w:rsidRDefault="00AB7AF9" w:rsidP="00AB7AF9">
      <w:pPr>
        <w:shd w:val="clear" w:color="auto" w:fill="FFFFFF"/>
        <w:rPr>
          <w:rFonts w:ascii="Verdana" w:hAnsi="Verdana"/>
        </w:rPr>
      </w:pPr>
      <w:r w:rsidRPr="008B3051">
        <w:rPr>
          <w:rFonts w:ascii="Verdana" w:hAnsi="Verdana"/>
        </w:rPr>
        <w:t>the methods by which such certificates are to be issued, and</w:t>
      </w:r>
    </w:p>
    <w:p w14:paraId="23E532DC" w14:textId="77777777" w:rsidR="00AB7AF9" w:rsidRPr="008B3051" w:rsidRDefault="00AB7AF9" w:rsidP="00AB7AF9">
      <w:pPr>
        <w:shd w:val="clear" w:color="auto" w:fill="FFFFFF"/>
        <w:rPr>
          <w:rFonts w:ascii="Verdana" w:hAnsi="Verdana"/>
        </w:rPr>
      </w:pPr>
      <w:bookmarkStart w:id="379" w:name="e_5_C"/>
      <w:bookmarkEnd w:id="379"/>
      <w:r w:rsidRPr="008B3051">
        <w:rPr>
          <w:rStyle w:val="num"/>
          <w:rFonts w:ascii="Verdana" w:hAnsi="Verdana"/>
          <w:b/>
          <w:bCs/>
        </w:rPr>
        <w:t>(C)</w:t>
      </w:r>
    </w:p>
    <w:p w14:paraId="2ADCF9F7" w14:textId="2D888C9D" w:rsidR="00AB7AF9" w:rsidRPr="008B3051" w:rsidRDefault="00AB7AF9" w:rsidP="00AB7AF9">
      <w:pPr>
        <w:shd w:val="clear" w:color="auto" w:fill="FFFFFF"/>
        <w:rPr>
          <w:rFonts w:ascii="Verdana" w:hAnsi="Verdana"/>
        </w:rPr>
      </w:pPr>
      <w:r w:rsidRPr="008B3051">
        <w:rPr>
          <w:rFonts w:ascii="Verdana" w:hAnsi="Verdana"/>
        </w:rPr>
        <w:t>such other information as the </w:t>
      </w:r>
      <w:r w:rsidRPr="008B3051">
        <w:rPr>
          <w:rStyle w:val="Hyperlink"/>
          <w:rFonts w:ascii="Verdana" w:hAnsi="Verdana"/>
          <w:color w:val="auto"/>
        </w:rPr>
        <w:t>Secretary</w:t>
      </w:r>
      <w:r w:rsidRPr="008B3051">
        <w:rPr>
          <w:rFonts w:ascii="Verdana" w:hAnsi="Verdana"/>
        </w:rPr>
        <w:t> may require.</w:t>
      </w:r>
    </w:p>
    <w:p w14:paraId="7A6E3C9D" w14:textId="77777777" w:rsidR="00AB7AF9" w:rsidRPr="008B3051" w:rsidRDefault="00AB7AF9" w:rsidP="00AB7AF9">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Interest paid or accrued to related persons</w:t>
      </w:r>
    </w:p>
    <w:p w14:paraId="7218429A" w14:textId="726D057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interest</w:t>
      </w:r>
      <w:r w:rsidRPr="008B3051">
        <w:rPr>
          <w:rStyle w:val="Hyperlink"/>
          <w:rFonts w:ascii="Verdana" w:hAnsi="Verdana"/>
          <w:color w:val="auto"/>
        </w:rPr>
        <w:t>paid or accrued</w:t>
      </w:r>
      <w:r w:rsidRPr="008B3051">
        <w:rPr>
          <w:rFonts w:ascii="Verdana" w:hAnsi="Verdana"/>
        </w:rPr>
        <w:t> to a person who is a related person to the taxpayer (within the meaning of </w:t>
      </w:r>
      <w:r w:rsidRPr="008B3051">
        <w:rPr>
          <w:rStyle w:val="Hyperlink"/>
          <w:rFonts w:ascii="Verdana" w:hAnsi="Verdana"/>
          <w:color w:val="auto"/>
        </w:rPr>
        <w:t>section 144(a)(3)(A)</w:t>
      </w:r>
      <w:r w:rsidRPr="008B3051">
        <w:rPr>
          <w:rFonts w:ascii="Verdana" w:hAnsi="Verdana"/>
        </w:rPr>
        <w:t>).</w:t>
      </w:r>
    </w:p>
    <w:p w14:paraId="27BFF99E" w14:textId="77777777" w:rsidR="00AB7AF9" w:rsidRPr="008B3051" w:rsidRDefault="00AB7AF9" w:rsidP="00AB7AF9">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Principal residence</w:t>
      </w:r>
    </w:p>
    <w:p w14:paraId="0AD7FCFE" w14:textId="0B02E72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principal residence</w:t>
      </w:r>
      <w:r w:rsidRPr="008B3051">
        <w:rPr>
          <w:rFonts w:ascii="Verdana" w:hAnsi="Verdana"/>
        </w:rPr>
        <w:t>” has the same meaning as when used in section 121.</w:t>
      </w:r>
    </w:p>
    <w:p w14:paraId="1B11408B" w14:textId="77777777" w:rsidR="00AB7AF9" w:rsidRPr="008B3051" w:rsidRDefault="00AB7AF9" w:rsidP="00AB7AF9">
      <w:pPr>
        <w:shd w:val="clear" w:color="auto" w:fill="FFFFFF"/>
        <w:rPr>
          <w:rFonts w:ascii="Verdana" w:hAnsi="Verdana"/>
        </w:rPr>
      </w:pPr>
      <w:r w:rsidRPr="008B3051">
        <w:rPr>
          <w:rStyle w:val="num"/>
          <w:rFonts w:ascii="Verdana" w:hAnsi="Verdana"/>
          <w:b/>
          <w:bCs/>
        </w:rPr>
        <w:t>(8)</w:t>
      </w:r>
      <w:r w:rsidRPr="008B3051">
        <w:rPr>
          <w:rStyle w:val="heading"/>
          <w:rFonts w:ascii="Verdana" w:hAnsi="Verdana"/>
          <w:b/>
          <w:bCs/>
          <w:smallCaps/>
        </w:rPr>
        <w:t>Qualified rehabilitation and home improvement</w:t>
      </w:r>
    </w:p>
    <w:p w14:paraId="7FE5C4AC" w14:textId="77777777" w:rsidR="00AB7AF9" w:rsidRPr="008B3051" w:rsidRDefault="00AB7AF9" w:rsidP="00AB7AF9">
      <w:pPr>
        <w:shd w:val="clear" w:color="auto" w:fill="FFFFFF"/>
        <w:rPr>
          <w:rFonts w:ascii="Verdana" w:hAnsi="Verdana"/>
        </w:rPr>
      </w:pPr>
      <w:bookmarkStart w:id="380" w:name="e_8_A"/>
      <w:bookmarkEnd w:id="380"/>
      <w:r w:rsidRPr="008B3051">
        <w:rPr>
          <w:rStyle w:val="num"/>
          <w:rFonts w:ascii="Verdana" w:hAnsi="Verdana"/>
          <w:b/>
          <w:bCs/>
        </w:rPr>
        <w:t>(A)</w:t>
      </w:r>
      <w:r w:rsidRPr="008B3051">
        <w:rPr>
          <w:rStyle w:val="heading"/>
          <w:rFonts w:ascii="Verdana" w:hAnsi="Verdana"/>
          <w:b/>
          <w:bCs/>
        </w:rPr>
        <w:t>Qualified rehabilitation</w:t>
      </w:r>
    </w:p>
    <w:p w14:paraId="2CB6F2D2" w14:textId="251469B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rehabilitation</w:t>
      </w:r>
      <w:r w:rsidRPr="008B3051">
        <w:rPr>
          <w:rFonts w:ascii="Verdana" w:hAnsi="Verdana"/>
        </w:rPr>
        <w:t>” has the meaning given such term by section 143(k)(5)(B).</w:t>
      </w:r>
    </w:p>
    <w:p w14:paraId="018E3158" w14:textId="77777777" w:rsidR="00AB7AF9" w:rsidRPr="008B3051" w:rsidRDefault="00AB7AF9" w:rsidP="00AB7AF9">
      <w:pPr>
        <w:shd w:val="clear" w:color="auto" w:fill="FFFFFF"/>
        <w:rPr>
          <w:rFonts w:ascii="Verdana" w:hAnsi="Verdana"/>
        </w:rPr>
      </w:pPr>
      <w:bookmarkStart w:id="381" w:name="e_8_B"/>
      <w:bookmarkEnd w:id="381"/>
      <w:r w:rsidRPr="008B3051">
        <w:rPr>
          <w:rStyle w:val="num"/>
          <w:rFonts w:ascii="Verdana" w:hAnsi="Verdana"/>
          <w:b/>
          <w:bCs/>
        </w:rPr>
        <w:t>(B)</w:t>
      </w:r>
      <w:r w:rsidRPr="008B3051">
        <w:rPr>
          <w:rStyle w:val="heading"/>
          <w:rFonts w:ascii="Verdana" w:hAnsi="Verdana"/>
          <w:b/>
          <w:bCs/>
        </w:rPr>
        <w:t>Qualified home improvement</w:t>
      </w:r>
    </w:p>
    <w:p w14:paraId="4707A248" w14:textId="3AEB9B6E"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home improvement</w:t>
      </w:r>
      <w:r w:rsidRPr="008B3051">
        <w:rPr>
          <w:rFonts w:ascii="Verdana" w:hAnsi="Verdana"/>
        </w:rPr>
        <w:t>” means an alteration, repair, or improvement described in section 143(k)(4).</w:t>
      </w:r>
    </w:p>
    <w:p w14:paraId="0AE98F89" w14:textId="77777777" w:rsidR="00AB7AF9" w:rsidRPr="008B3051" w:rsidRDefault="00AB7AF9" w:rsidP="00AB7AF9">
      <w:pPr>
        <w:shd w:val="clear" w:color="auto" w:fill="FFFFFF"/>
        <w:rPr>
          <w:rFonts w:ascii="Verdana" w:hAnsi="Verdana"/>
        </w:rPr>
      </w:pPr>
      <w:r w:rsidRPr="008B3051">
        <w:rPr>
          <w:rStyle w:val="num"/>
          <w:rFonts w:ascii="Verdana" w:hAnsi="Verdana"/>
          <w:b/>
          <w:bCs/>
        </w:rPr>
        <w:t>(9)</w:t>
      </w:r>
      <w:r w:rsidRPr="008B3051">
        <w:rPr>
          <w:rStyle w:val="heading"/>
          <w:rFonts w:ascii="Verdana" w:hAnsi="Verdana"/>
          <w:b/>
          <w:bCs/>
          <w:smallCaps/>
        </w:rPr>
        <w:t>Qualified mortgage bond</w:t>
      </w:r>
    </w:p>
    <w:p w14:paraId="3D341E83" w14:textId="6BCC461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mortgage bond</w:t>
      </w:r>
      <w:r w:rsidRPr="008B3051">
        <w:rPr>
          <w:rFonts w:ascii="Verdana" w:hAnsi="Verdana"/>
        </w:rPr>
        <w:t>” has the meaning given such term by section 143(a)(1).</w:t>
      </w:r>
    </w:p>
    <w:p w14:paraId="138353B8" w14:textId="77777777" w:rsidR="00AB7AF9" w:rsidRPr="008B3051" w:rsidRDefault="00AB7AF9" w:rsidP="00AB7AF9">
      <w:pPr>
        <w:shd w:val="clear" w:color="auto" w:fill="FFFFFF"/>
        <w:rPr>
          <w:rFonts w:ascii="Verdana" w:hAnsi="Verdana"/>
        </w:rPr>
      </w:pPr>
      <w:r w:rsidRPr="008B3051">
        <w:rPr>
          <w:rStyle w:val="num"/>
          <w:rFonts w:ascii="Verdana" w:hAnsi="Verdana"/>
          <w:b/>
          <w:bCs/>
        </w:rPr>
        <w:t>(10)</w:t>
      </w:r>
      <w:r w:rsidRPr="008B3051">
        <w:rPr>
          <w:rStyle w:val="heading"/>
          <w:rFonts w:ascii="Verdana" w:hAnsi="Verdana"/>
          <w:b/>
          <w:bCs/>
          <w:smallCaps/>
        </w:rPr>
        <w:t>Manufactured housing</w:t>
      </w:r>
    </w:p>
    <w:p w14:paraId="302F824D" w14:textId="14CF305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this section, the term “</w:t>
      </w:r>
      <w:r w:rsidRPr="008B3051">
        <w:rPr>
          <w:rStyle w:val="Hyperlink"/>
          <w:rFonts w:ascii="Verdana" w:hAnsi="Verdana"/>
          <w:color w:val="auto"/>
        </w:rPr>
        <w:t>single family residence</w:t>
      </w:r>
      <w:r w:rsidRPr="008B3051">
        <w:rPr>
          <w:rFonts w:ascii="Verdana" w:hAnsi="Verdana"/>
        </w:rPr>
        <w:t>” includes any manufactured home which has a minimum of 400 square feet of living space and a minimum width in excess of 102 inches and which is of a kind customarily used at a fixed location. Nothing in the preceding sentence shall be construed as providing that such a home will be taken into account in making determinations under section 143.</w:t>
      </w:r>
    </w:p>
    <w:p w14:paraId="29A69040"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Reduction in aggregate amount of qualified mortgage bonds which may be issued where certain requirements not met</w:t>
      </w:r>
    </w:p>
    <w:p w14:paraId="75F8BDA4"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629026F9" w14:textId="7F856C9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for any </w:t>
      </w:r>
      <w:r w:rsidRPr="008B3051">
        <w:rPr>
          <w:rStyle w:val="Hyperlink"/>
          <w:rFonts w:ascii="Verdana" w:hAnsi="Verdana"/>
          <w:color w:val="auto"/>
        </w:rPr>
        <w:t>calendar year</w:t>
      </w:r>
      <w:r w:rsidRPr="008B3051">
        <w:rPr>
          <w:rFonts w:ascii="Verdana" w:hAnsi="Verdana"/>
        </w:rPr>
        <w:t> any </w:t>
      </w:r>
      <w:r w:rsidRPr="008B3051">
        <w:rPr>
          <w:rStyle w:val="Hyperlink"/>
          <w:rFonts w:ascii="Verdana" w:hAnsi="Verdana"/>
          <w:color w:val="auto"/>
        </w:rPr>
        <w:t>mortgage credit certificate</w:t>
      </w:r>
      <w:r w:rsidRPr="008B3051">
        <w:rPr>
          <w:rFonts w:ascii="Verdana" w:hAnsi="Verdana"/>
        </w:rPr>
        <w:t> program which satisfies procedural requirements with respect to volume limitations prescribed by the Secretary fails to meet the requirements of paragraph (2) of subsection (d), such requirements shall be treated as satisfied with respect to any certified indebtedness of such program, but the applicable State ceiling under subsection (d) of </w:t>
      </w:r>
      <w:r w:rsidRPr="008B3051">
        <w:rPr>
          <w:rStyle w:val="Hyperlink"/>
          <w:rFonts w:ascii="Verdana" w:hAnsi="Verdana"/>
          <w:color w:val="auto"/>
        </w:rPr>
        <w:t>section 146</w:t>
      </w:r>
      <w:r w:rsidRPr="008B3051">
        <w:rPr>
          <w:rFonts w:ascii="Verdana" w:hAnsi="Verdana"/>
        </w:rPr>
        <w:t> for the State in which such program operates shall be reduced by 1.25 times the correction amount with respect to such failure. Such reduction shall be applied to such State ceiling for the calendar year following the calendar year in which the Secretary determines the correction amount with respect to such failure.</w:t>
      </w:r>
    </w:p>
    <w:p w14:paraId="4F341BF6"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Correction amount</w:t>
      </w:r>
    </w:p>
    <w:p w14:paraId="1D218FB9"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2B938081" w14:textId="218FF75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paragraph (1), the term “</w:t>
      </w:r>
      <w:r w:rsidRPr="008B3051">
        <w:rPr>
          <w:rStyle w:val="Hyperlink"/>
          <w:rFonts w:ascii="Verdana" w:hAnsi="Verdana"/>
          <w:color w:val="auto"/>
        </w:rPr>
        <w:t>correction amount</w:t>
      </w:r>
      <w:r w:rsidRPr="008B3051">
        <w:rPr>
          <w:rFonts w:ascii="Verdana" w:hAnsi="Verdana"/>
        </w:rPr>
        <w:t>” means an amount equal to the excess credit amount divided by 0.25.</w:t>
      </w:r>
    </w:p>
    <w:p w14:paraId="54B5959A"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Excess credit amount</w:t>
      </w:r>
    </w:p>
    <w:p w14:paraId="55390C63" w14:textId="1AA8C9D6" w:rsidR="00AB7AF9" w:rsidRPr="008B3051" w:rsidRDefault="00AB7AF9" w:rsidP="00AB7AF9">
      <w:pPr>
        <w:shd w:val="clear" w:color="auto" w:fill="FFFFFF"/>
        <w:rPr>
          <w:rFonts w:ascii="Verdana" w:hAnsi="Verdana"/>
        </w:rPr>
      </w:pPr>
      <w:bookmarkStart w:id="382" w:name="f_2_B_i"/>
      <w:bookmarkEnd w:id="382"/>
      <w:r w:rsidRPr="008B3051">
        <w:rPr>
          <w:rStyle w:val="num"/>
          <w:rFonts w:ascii="Verdana" w:hAnsi="Verdana"/>
          <w:b/>
          <w:bCs/>
        </w:rPr>
        <w:t>(i)</w:t>
      </w:r>
      <w:r w:rsidRPr="008B3051">
        <w:rPr>
          <w:rStyle w:val="heading"/>
          <w:rFonts w:ascii="Verdana" w:hAnsi="Verdana"/>
          <w:b/>
          <w:bCs/>
        </w:rPr>
        <w:t>In general</w:t>
      </w:r>
      <w:r w:rsidRPr="008B3051">
        <w:rPr>
          <w:rStyle w:val="chapeau"/>
          <w:rFonts w:ascii="Verdana" w:hAnsi="Verdana"/>
        </w:rPr>
        <w:t>For purposes of subparagraph (A)(ii), the term “</w:t>
      </w:r>
      <w:r w:rsidRPr="008B3051">
        <w:rPr>
          <w:rStyle w:val="Hyperlink"/>
          <w:rFonts w:ascii="Verdana" w:hAnsi="Verdana"/>
          <w:color w:val="auto"/>
        </w:rPr>
        <w:t>excess credit amount</w:t>
      </w:r>
      <w:r w:rsidRPr="008B3051">
        <w:rPr>
          <w:rStyle w:val="chapeau"/>
          <w:rFonts w:ascii="Verdana" w:hAnsi="Verdana"/>
        </w:rPr>
        <w:t>” means the excess of—</w:t>
      </w:r>
    </w:p>
    <w:p w14:paraId="089D0AD5" w14:textId="77777777" w:rsidR="00AB7AF9" w:rsidRPr="008B3051" w:rsidRDefault="00AB7AF9" w:rsidP="00AB7AF9">
      <w:pPr>
        <w:shd w:val="clear" w:color="auto" w:fill="FFFFFF"/>
        <w:rPr>
          <w:rFonts w:ascii="Verdana" w:hAnsi="Verdana"/>
        </w:rPr>
      </w:pPr>
      <w:bookmarkStart w:id="383" w:name="f_2_B_i_I"/>
      <w:bookmarkEnd w:id="383"/>
      <w:r w:rsidRPr="008B3051">
        <w:rPr>
          <w:rStyle w:val="num"/>
          <w:rFonts w:ascii="Verdana" w:hAnsi="Verdana"/>
          <w:b/>
          <w:bCs/>
        </w:rPr>
        <w:t>(I)</w:t>
      </w:r>
    </w:p>
    <w:p w14:paraId="0BB55131" w14:textId="6F7324C3"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credit amount</w:t>
      </w:r>
      <w:r w:rsidRPr="008B3051">
        <w:rPr>
          <w:rFonts w:ascii="Verdana" w:hAnsi="Verdana"/>
        </w:rPr>
        <w:t> for any </w:t>
      </w:r>
      <w:r w:rsidRPr="008B3051">
        <w:rPr>
          <w:rStyle w:val="Hyperlink"/>
          <w:rFonts w:ascii="Verdana" w:hAnsi="Verdana"/>
          <w:color w:val="auto"/>
        </w:rPr>
        <w:t>mortgage credit certificate</w:t>
      </w:r>
      <w:r w:rsidRPr="008B3051">
        <w:rPr>
          <w:rFonts w:ascii="Verdana" w:hAnsi="Verdana"/>
        </w:rPr>
        <w:t> program, over</w:t>
      </w:r>
    </w:p>
    <w:p w14:paraId="45F8870A" w14:textId="77777777" w:rsidR="00AB7AF9" w:rsidRPr="008B3051" w:rsidRDefault="00AB7AF9" w:rsidP="00AB7AF9">
      <w:pPr>
        <w:shd w:val="clear" w:color="auto" w:fill="FFFFFF"/>
        <w:rPr>
          <w:rFonts w:ascii="Verdana" w:hAnsi="Verdana"/>
        </w:rPr>
      </w:pPr>
      <w:bookmarkStart w:id="384" w:name="f_2_B_i_II"/>
      <w:bookmarkEnd w:id="384"/>
      <w:r w:rsidRPr="008B3051">
        <w:rPr>
          <w:rStyle w:val="num"/>
          <w:rFonts w:ascii="Verdana" w:hAnsi="Verdana"/>
          <w:b/>
          <w:bCs/>
        </w:rPr>
        <w:t>(II)</w:t>
      </w:r>
    </w:p>
    <w:p w14:paraId="6A6153FC" w14:textId="0B354E25" w:rsidR="00AB7AF9" w:rsidRPr="008B3051" w:rsidRDefault="00AB7AF9" w:rsidP="00AB7AF9">
      <w:pPr>
        <w:shd w:val="clear" w:color="auto" w:fill="FFFFFF"/>
        <w:rPr>
          <w:rFonts w:ascii="Verdana" w:hAnsi="Verdana"/>
        </w:rPr>
      </w:pPr>
      <w:r w:rsidRPr="008B3051">
        <w:rPr>
          <w:rFonts w:ascii="Verdana" w:hAnsi="Verdana"/>
        </w:rPr>
        <w:t>the amount which would have been the </w:t>
      </w:r>
      <w:r w:rsidRPr="008B3051">
        <w:rPr>
          <w:rStyle w:val="Hyperlink"/>
          <w:rFonts w:ascii="Verdana" w:hAnsi="Verdana"/>
          <w:color w:val="auto"/>
        </w:rPr>
        <w:t>credit amount</w:t>
      </w:r>
      <w:r w:rsidRPr="008B3051">
        <w:rPr>
          <w:rFonts w:ascii="Verdana" w:hAnsi="Verdana"/>
        </w:rPr>
        <w:t> for such program had such program met the requirements of paragraph (2) of subsection (d).</w:t>
      </w:r>
    </w:p>
    <w:p w14:paraId="32DFE415" w14:textId="77777777" w:rsidR="00AB7AF9" w:rsidRPr="008B3051" w:rsidRDefault="00AB7AF9" w:rsidP="00AB7AF9">
      <w:pPr>
        <w:shd w:val="clear" w:color="auto" w:fill="FFFFFF"/>
        <w:rPr>
          <w:rFonts w:ascii="Verdana" w:hAnsi="Verdana"/>
        </w:rPr>
      </w:pPr>
      <w:bookmarkStart w:id="385" w:name="f_2_B_ii"/>
      <w:bookmarkEnd w:id="385"/>
      <w:r w:rsidRPr="008B3051">
        <w:rPr>
          <w:rStyle w:val="num"/>
          <w:rFonts w:ascii="Verdana" w:hAnsi="Verdana"/>
          <w:b/>
          <w:bCs/>
        </w:rPr>
        <w:t>(ii)</w:t>
      </w:r>
      <w:r w:rsidRPr="008B3051">
        <w:rPr>
          <w:rStyle w:val="heading"/>
          <w:rFonts w:ascii="Verdana" w:hAnsi="Verdana"/>
          <w:b/>
          <w:bCs/>
        </w:rPr>
        <w:t>Credit amount</w:t>
      </w:r>
    </w:p>
    <w:p w14:paraId="523DC4EE" w14:textId="4293DB9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clause (i), the term “</w:t>
      </w:r>
      <w:r w:rsidRPr="008B3051">
        <w:rPr>
          <w:rStyle w:val="Hyperlink"/>
          <w:rFonts w:ascii="Verdana" w:hAnsi="Verdana"/>
          <w:color w:val="auto"/>
        </w:rPr>
        <w:t>credit amount</w:t>
      </w:r>
      <w:r w:rsidRPr="008B3051">
        <w:rPr>
          <w:rFonts w:ascii="Verdana" w:hAnsi="Verdana"/>
        </w:rPr>
        <w:t>” means the sum of the products determined under clauses (i) and (ii) of subsection (d)(2)(A).</w:t>
      </w:r>
    </w:p>
    <w:p w14:paraId="26B8CD5B"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Special rule for States having constitutional home rule cities</w:t>
      </w:r>
    </w:p>
    <w:p w14:paraId="1AAAEF4E" w14:textId="3E21A73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State</w:t>
      </w:r>
      <w:r w:rsidRPr="008B3051">
        <w:rPr>
          <w:rFonts w:ascii="Verdana" w:hAnsi="Verdana"/>
        </w:rPr>
        <w:t> having one or more constitutional home rule cities (within the meaning of section 146(d)(3)(C)), the reduction in the </w:t>
      </w:r>
      <w:r w:rsidRPr="008B3051">
        <w:rPr>
          <w:rStyle w:val="Hyperlink"/>
          <w:rFonts w:ascii="Verdana" w:hAnsi="Verdana"/>
          <w:color w:val="auto"/>
        </w:rPr>
        <w:t>State</w:t>
      </w:r>
      <w:r w:rsidRPr="008B3051">
        <w:rPr>
          <w:rFonts w:ascii="Verdana" w:hAnsi="Verdana"/>
        </w:rPr>
        <w:t xml:space="preserve"> ceiling by reason of paragraph (1) shall be allocated to the </w:t>
      </w:r>
      <w:r w:rsidRPr="008B3051">
        <w:rPr>
          <w:rFonts w:ascii="Verdana" w:hAnsi="Verdana"/>
        </w:rPr>
        <w:lastRenderedPageBreak/>
        <w:t>constitutional home rule city, or to the </w:t>
      </w:r>
      <w:r w:rsidRPr="008B3051">
        <w:rPr>
          <w:rStyle w:val="Hyperlink"/>
          <w:rFonts w:ascii="Verdana" w:hAnsi="Verdana"/>
          <w:color w:val="auto"/>
        </w:rPr>
        <w:t>portion</w:t>
      </w:r>
      <w:r w:rsidRPr="008B3051">
        <w:rPr>
          <w:rFonts w:ascii="Verdana" w:hAnsi="Verdana"/>
        </w:rPr>
        <w:t> of the State not within such city, whichever caused the reduction.</w:t>
      </w:r>
    </w:p>
    <w:p w14:paraId="2AAB559C"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Exception where certification program</w:t>
      </w:r>
    </w:p>
    <w:p w14:paraId="0A000616" w14:textId="3ADC3F0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provisions of this subsection shall not apply in any case in which there is a certification program which is designed to ensure that the requirements of this section are met and which meets such requirements as the </w:t>
      </w:r>
      <w:r w:rsidRPr="008B3051">
        <w:rPr>
          <w:rStyle w:val="Hyperlink"/>
          <w:rFonts w:ascii="Verdana" w:hAnsi="Verdana"/>
          <w:color w:val="auto"/>
        </w:rPr>
        <w:t>Secretary</w:t>
      </w:r>
      <w:r w:rsidRPr="008B3051">
        <w:rPr>
          <w:rFonts w:ascii="Verdana" w:hAnsi="Verdana"/>
        </w:rPr>
        <w:t> may by regulations prescribe.</w:t>
      </w:r>
    </w:p>
    <w:p w14:paraId="3DF62740" w14:textId="77777777"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Waiver</w:t>
      </w:r>
    </w:p>
    <w:p w14:paraId="274C9100" w14:textId="30BD59D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may waive the application of paragraph (1) in any case in which he determines that the failure is due to reasonable cause.</w:t>
      </w:r>
    </w:p>
    <w:p w14:paraId="3F63832B" w14:textId="2AFD2E10"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Reporting requirements</w:t>
      </w:r>
      <w:r w:rsidRPr="008B3051">
        <w:rPr>
          <w:rStyle w:val="chapeau"/>
          <w:rFonts w:ascii="Verdana" w:hAnsi="Verdana"/>
        </w:rPr>
        <w:t>Each </w:t>
      </w:r>
      <w:r w:rsidRPr="008B3051">
        <w:rPr>
          <w:rStyle w:val="Hyperlink"/>
          <w:rFonts w:ascii="Verdana" w:hAnsi="Verdana"/>
          <w:color w:val="auto"/>
        </w:rPr>
        <w:t>person</w:t>
      </w:r>
      <w:r w:rsidRPr="008B3051">
        <w:rPr>
          <w:rStyle w:val="chapeau"/>
          <w:rFonts w:ascii="Verdana" w:hAnsi="Verdana"/>
        </w:rPr>
        <w:t> who makes a loan which is a </w:t>
      </w:r>
      <w:r w:rsidRPr="008B3051">
        <w:rPr>
          <w:rStyle w:val="Hyperlink"/>
          <w:rFonts w:ascii="Verdana" w:hAnsi="Verdana"/>
          <w:color w:val="auto"/>
        </w:rPr>
        <w:t>certified indebtedness amount</w:t>
      </w:r>
      <w:r w:rsidRPr="008B3051">
        <w:rPr>
          <w:rStyle w:val="chapeau"/>
          <w:rFonts w:ascii="Verdana" w:hAnsi="Verdana"/>
        </w:rPr>
        <w:t>under any mortgage credit certificate shall file a report with the Secretary containing—</w:t>
      </w:r>
    </w:p>
    <w:p w14:paraId="67ABDE1D"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4774E20A" w14:textId="6F645B9B" w:rsidR="00AB7AF9" w:rsidRPr="008B3051" w:rsidRDefault="00AB7AF9" w:rsidP="00AB7AF9">
      <w:pPr>
        <w:shd w:val="clear" w:color="auto" w:fill="FFFFFF"/>
        <w:rPr>
          <w:rFonts w:ascii="Verdana" w:hAnsi="Verdana"/>
        </w:rPr>
      </w:pPr>
      <w:r w:rsidRPr="008B3051">
        <w:rPr>
          <w:rFonts w:ascii="Verdana" w:hAnsi="Verdana"/>
        </w:rPr>
        <w:t>the name, address, and social </w:t>
      </w:r>
      <w:r w:rsidRPr="008B3051">
        <w:rPr>
          <w:rStyle w:val="Hyperlink"/>
          <w:rFonts w:ascii="Verdana" w:hAnsi="Verdana"/>
          <w:color w:val="auto"/>
        </w:rPr>
        <w:t>security</w:t>
      </w:r>
      <w:r w:rsidRPr="008B3051">
        <w:rPr>
          <w:rFonts w:ascii="Verdana" w:hAnsi="Verdana"/>
        </w:rPr>
        <w:t> account number of the individual to which the certificate was issued,</w:t>
      </w:r>
    </w:p>
    <w:p w14:paraId="6A107BDD"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156CAC26" w14:textId="065F6046" w:rsidR="00AB7AF9" w:rsidRPr="008B3051" w:rsidRDefault="00AB7AF9" w:rsidP="00AB7AF9">
      <w:pPr>
        <w:shd w:val="clear" w:color="auto" w:fill="FFFFFF"/>
        <w:rPr>
          <w:rFonts w:ascii="Verdana" w:hAnsi="Verdana"/>
        </w:rPr>
      </w:pPr>
      <w:r w:rsidRPr="008B3051">
        <w:rPr>
          <w:rFonts w:ascii="Verdana" w:hAnsi="Verdana"/>
        </w:rPr>
        <w:t>the certificate’s issuer, date of issue, </w:t>
      </w:r>
      <w:r w:rsidRPr="008B3051">
        <w:rPr>
          <w:rStyle w:val="Hyperlink"/>
          <w:rFonts w:ascii="Verdana" w:hAnsi="Verdana"/>
          <w:color w:val="auto"/>
        </w:rPr>
        <w:t>certified indebtedness amount</w:t>
      </w:r>
      <w:r w:rsidRPr="008B3051">
        <w:rPr>
          <w:rFonts w:ascii="Verdana" w:hAnsi="Verdana"/>
        </w:rPr>
        <w:t>, and certificate credit rate, and</w:t>
      </w:r>
    </w:p>
    <w:p w14:paraId="0514DFA3"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p>
    <w:p w14:paraId="0CD41BAD" w14:textId="1A5CC75B" w:rsidR="00AB7AF9" w:rsidRPr="008B3051" w:rsidRDefault="00AB7AF9" w:rsidP="00AB7AF9">
      <w:pPr>
        <w:shd w:val="clear" w:color="auto" w:fill="FFFFFF"/>
        <w:rPr>
          <w:rFonts w:ascii="Verdana" w:hAnsi="Verdana"/>
        </w:rPr>
      </w:pPr>
      <w:r w:rsidRPr="008B3051">
        <w:rPr>
          <w:rFonts w:ascii="Verdana" w:hAnsi="Verdana"/>
        </w:rPr>
        <w:t>such other information as the </w:t>
      </w:r>
      <w:r w:rsidRPr="008B3051">
        <w:rPr>
          <w:rStyle w:val="Hyperlink"/>
          <w:rFonts w:ascii="Verdana" w:hAnsi="Verdana"/>
          <w:color w:val="auto"/>
        </w:rPr>
        <w:t>Secretary</w:t>
      </w:r>
      <w:r w:rsidRPr="008B3051">
        <w:rPr>
          <w:rFonts w:ascii="Verdana" w:hAnsi="Verdana"/>
        </w:rPr>
        <w:t> may require by regulations.</w:t>
      </w:r>
    </w:p>
    <w:p w14:paraId="40367CD0" w14:textId="4768C326" w:rsidR="00AB7AF9" w:rsidRPr="008B3051" w:rsidRDefault="00AB7AF9" w:rsidP="00AB7AF9">
      <w:pPr>
        <w:shd w:val="clear" w:color="auto" w:fill="FFFFFF"/>
        <w:rPr>
          <w:rFonts w:ascii="Verdana" w:hAnsi="Verdana"/>
        </w:rPr>
      </w:pPr>
      <w:r w:rsidRPr="008B3051">
        <w:rPr>
          <w:rFonts w:ascii="Verdana" w:hAnsi="Verdana"/>
        </w:rPr>
        <w:t>Each </w:t>
      </w:r>
      <w:r w:rsidRPr="008B3051">
        <w:rPr>
          <w:rStyle w:val="Hyperlink"/>
          <w:rFonts w:ascii="Verdana" w:hAnsi="Verdana"/>
          <w:color w:val="auto"/>
        </w:rPr>
        <w:t>person</w:t>
      </w:r>
      <w:r w:rsidRPr="008B3051">
        <w:rPr>
          <w:rFonts w:ascii="Verdana" w:hAnsi="Verdana"/>
        </w:rPr>
        <w:t> who issues a </w:t>
      </w:r>
      <w:r w:rsidRPr="008B3051">
        <w:rPr>
          <w:rStyle w:val="Hyperlink"/>
          <w:rFonts w:ascii="Verdana" w:hAnsi="Verdana"/>
          <w:color w:val="auto"/>
        </w:rPr>
        <w:t>mortgage credit certificate</w:t>
      </w:r>
      <w:r w:rsidRPr="008B3051">
        <w:rPr>
          <w:rFonts w:ascii="Verdana" w:hAnsi="Verdana"/>
        </w:rPr>
        <w:t> shall file a report showing such information as the Secretary shall by regulations prescribe. Any such report shall be filed at such time and in such manner as the Secretary may require by regulations.</w:t>
      </w:r>
    </w:p>
    <w:p w14:paraId="055EFD8D" w14:textId="77777777" w:rsidR="00AB7AF9" w:rsidRPr="008B3051" w:rsidRDefault="00AB7AF9" w:rsidP="00AB7AF9">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Regulations; contracts</w:t>
      </w:r>
    </w:p>
    <w:p w14:paraId="2831B05D"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Regulations</w:t>
      </w:r>
    </w:p>
    <w:p w14:paraId="1547A4B9" w14:textId="6DEF624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shall prescribe such regulations as may be necessary to carry out the purposes of this section, including regulations which may require recipients of </w:t>
      </w:r>
      <w:r w:rsidRPr="008B3051">
        <w:rPr>
          <w:rStyle w:val="Hyperlink"/>
          <w:rFonts w:ascii="Verdana" w:hAnsi="Verdana"/>
          <w:color w:val="auto"/>
        </w:rPr>
        <w:t>mortgage credit certificates</w:t>
      </w:r>
      <w:r w:rsidRPr="008B3051">
        <w:rPr>
          <w:rFonts w:ascii="Verdana" w:hAnsi="Verdana"/>
        </w:rPr>
        <w:t> to pay a reasonable processing fee to defray the expenses incurred in administering the program.</w:t>
      </w:r>
    </w:p>
    <w:p w14:paraId="788704E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Contracts</w:t>
      </w:r>
    </w:p>
    <w:p w14:paraId="6ED30400" w14:textId="4ED4AAA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is authorized to enter into contracts with any person to provide services in connection with the administration of this section.</w:t>
      </w:r>
    </w:p>
    <w:p w14:paraId="304D734E"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smallCaps/>
        </w:rPr>
        <w:t>Recapture of portion of Federal subsidy from use of mortgage credit certificates</w:t>
      </w:r>
    </w:p>
    <w:p w14:paraId="264D4231" w14:textId="6EFE854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For provisions increasing the </w:t>
      </w:r>
      <w:r w:rsidRPr="008B3051">
        <w:rPr>
          <w:rStyle w:val="Hyperlink"/>
          <w:rFonts w:ascii="Verdana" w:hAnsi="Verdana"/>
          <w:color w:val="auto"/>
        </w:rPr>
        <w:t>tax</w:t>
      </w:r>
      <w:r w:rsidRPr="008B3051">
        <w:rPr>
          <w:rFonts w:ascii="Verdana" w:hAnsi="Verdana"/>
        </w:rPr>
        <w:t> imposed by this chapter to recapture a </w:t>
      </w:r>
      <w:r w:rsidRPr="008B3051">
        <w:rPr>
          <w:rStyle w:val="Hyperlink"/>
          <w:rFonts w:ascii="Verdana" w:hAnsi="Verdana"/>
          <w:color w:val="auto"/>
        </w:rPr>
        <w:t>portion</w:t>
      </w:r>
      <w:r w:rsidRPr="008B3051">
        <w:rPr>
          <w:rFonts w:ascii="Verdana" w:hAnsi="Verdana"/>
        </w:rPr>
        <w:t> of the Federal subsidy from the use of </w:t>
      </w:r>
      <w:r w:rsidRPr="008B3051">
        <w:rPr>
          <w:rStyle w:val="Hyperlink"/>
          <w:rFonts w:ascii="Verdana" w:hAnsi="Verdana"/>
          <w:color w:val="auto"/>
        </w:rPr>
        <w:t>mortgage credit certificates</w:t>
      </w:r>
      <w:r w:rsidRPr="008B3051">
        <w:rPr>
          <w:rFonts w:ascii="Verdana" w:hAnsi="Verdana"/>
        </w:rPr>
        <w:t>, see section 143(m).</w:t>
      </w:r>
    </w:p>
    <w:p w14:paraId="7CF116E2" w14:textId="4DEE8EA3"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98–369, div. A, title VI</w:t>
      </w:r>
      <w:r w:rsidRPr="008B3051">
        <w:rPr>
          <w:rFonts w:ascii="Verdana" w:hAnsi="Verdana"/>
        </w:rPr>
        <w:t>, § 612(a),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905</w:t>
      </w:r>
      <w:r w:rsidRPr="008B3051">
        <w:rPr>
          <w:rFonts w:ascii="Verdana" w:hAnsi="Verdana"/>
        </w:rPr>
        <w:t>; amended </w:t>
      </w:r>
      <w:r w:rsidRPr="008B3051">
        <w:rPr>
          <w:rStyle w:val="Hyperlink"/>
          <w:rFonts w:ascii="Verdana" w:hAnsi="Verdana"/>
          <w:color w:val="auto"/>
        </w:rPr>
        <w:t>Pub. L. 99–514, title XIII</w:t>
      </w:r>
      <w:r w:rsidRPr="008B3051">
        <w:rPr>
          <w:rFonts w:ascii="Verdana" w:hAnsi="Verdana"/>
        </w:rPr>
        <w:t>, § 1301(f), title XVIII, §§ 1862(a)–(d)(1), 1899A(1),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2655</w:t>
      </w:r>
      <w:r w:rsidRPr="008B3051">
        <w:rPr>
          <w:rFonts w:ascii="Verdana" w:hAnsi="Verdana"/>
        </w:rPr>
        <w:t>, 2883, 2884, 2958; </w:t>
      </w:r>
      <w:r w:rsidRPr="008B3051">
        <w:rPr>
          <w:rStyle w:val="Hyperlink"/>
          <w:rFonts w:ascii="Verdana" w:hAnsi="Verdana"/>
          <w:color w:val="auto"/>
        </w:rPr>
        <w:t>Pub. L. 100–647, title I</w:t>
      </w:r>
      <w:r w:rsidRPr="008B3051">
        <w:rPr>
          <w:rFonts w:ascii="Verdana" w:hAnsi="Verdana"/>
        </w:rPr>
        <w:t>, § 1013(a)(25), (26), title IV, § 4005(a)(2), (g)(7), </w:t>
      </w:r>
      <w:r w:rsidRPr="008B3051">
        <w:rPr>
          <w:rStyle w:val="Date2"/>
          <w:rFonts w:ascii="Verdana" w:hAnsi="Verdana"/>
        </w:rPr>
        <w:t>Nov. 10, 1988</w:t>
      </w:r>
      <w:r w:rsidRPr="008B3051">
        <w:rPr>
          <w:rFonts w:ascii="Verdana" w:hAnsi="Verdana"/>
        </w:rPr>
        <w:t>, </w:t>
      </w:r>
      <w:r w:rsidRPr="008B3051">
        <w:rPr>
          <w:rStyle w:val="Hyperlink"/>
          <w:rFonts w:ascii="Verdana" w:hAnsi="Verdana"/>
          <w:color w:val="auto"/>
        </w:rPr>
        <w:t>102 Stat. 3543</w:t>
      </w:r>
      <w:r w:rsidRPr="008B3051">
        <w:rPr>
          <w:rFonts w:ascii="Verdana" w:hAnsi="Verdana"/>
        </w:rPr>
        <w:t>, 3645, 3651; </w:t>
      </w:r>
      <w:r w:rsidRPr="008B3051">
        <w:rPr>
          <w:rStyle w:val="Hyperlink"/>
          <w:rFonts w:ascii="Verdana" w:hAnsi="Verdana"/>
          <w:color w:val="auto"/>
        </w:rPr>
        <w:t>Pub. L. 101–239, title VII</w:t>
      </w:r>
      <w:r w:rsidRPr="008B3051">
        <w:rPr>
          <w:rFonts w:ascii="Verdana" w:hAnsi="Verdana"/>
        </w:rPr>
        <w:t>, § 7104(b), </w:t>
      </w:r>
      <w:r w:rsidRPr="008B3051">
        <w:rPr>
          <w:rStyle w:val="Date2"/>
          <w:rFonts w:ascii="Verdana" w:hAnsi="Verdana"/>
        </w:rPr>
        <w:t>Dec. 19, 1989</w:t>
      </w:r>
      <w:r w:rsidRPr="008B3051">
        <w:rPr>
          <w:rFonts w:ascii="Verdana" w:hAnsi="Verdana"/>
        </w:rPr>
        <w:t>, </w:t>
      </w:r>
      <w:r w:rsidRPr="008B3051">
        <w:rPr>
          <w:rStyle w:val="Hyperlink"/>
          <w:rFonts w:ascii="Verdana" w:hAnsi="Verdana"/>
          <w:color w:val="auto"/>
        </w:rPr>
        <w:t>103 Stat. 2305</w:t>
      </w:r>
      <w:r w:rsidRPr="008B3051">
        <w:rPr>
          <w:rFonts w:ascii="Verdana" w:hAnsi="Verdana"/>
        </w:rPr>
        <w:t>; </w:t>
      </w:r>
      <w:r w:rsidRPr="008B3051">
        <w:rPr>
          <w:rStyle w:val="Hyperlink"/>
          <w:rFonts w:ascii="Verdana" w:hAnsi="Verdana"/>
          <w:color w:val="auto"/>
        </w:rPr>
        <w:t>Pub. L. 101–508, title XI</w:t>
      </w:r>
      <w:r w:rsidRPr="008B3051">
        <w:rPr>
          <w:rFonts w:ascii="Verdana" w:hAnsi="Verdana"/>
        </w:rPr>
        <w:t>, § 11408(b), </w:t>
      </w:r>
      <w:r w:rsidRPr="008B3051">
        <w:rPr>
          <w:rStyle w:val="Date2"/>
          <w:rFonts w:ascii="Verdana" w:hAnsi="Verdana"/>
        </w:rPr>
        <w:t>Nov. 5, 1990</w:t>
      </w:r>
      <w:r w:rsidRPr="008B3051">
        <w:rPr>
          <w:rFonts w:ascii="Verdana" w:hAnsi="Verdana"/>
        </w:rPr>
        <w:t>, </w:t>
      </w:r>
      <w:r w:rsidRPr="008B3051">
        <w:rPr>
          <w:rStyle w:val="Hyperlink"/>
          <w:rFonts w:ascii="Verdana" w:hAnsi="Verdana"/>
          <w:color w:val="auto"/>
        </w:rPr>
        <w:t>104 Stat. 1388–477</w:t>
      </w:r>
      <w:r w:rsidRPr="008B3051">
        <w:rPr>
          <w:rFonts w:ascii="Verdana" w:hAnsi="Verdana"/>
        </w:rPr>
        <w:t>; </w:t>
      </w:r>
      <w:r w:rsidRPr="008B3051">
        <w:rPr>
          <w:rStyle w:val="Hyperlink"/>
          <w:rFonts w:ascii="Verdana" w:hAnsi="Verdana"/>
          <w:color w:val="auto"/>
        </w:rPr>
        <w:t>Pub. L. 102–227, title I</w:t>
      </w:r>
      <w:r w:rsidRPr="008B3051">
        <w:rPr>
          <w:rFonts w:ascii="Verdana" w:hAnsi="Verdana"/>
        </w:rPr>
        <w:t>, § 108(b), </w:t>
      </w:r>
      <w:r w:rsidRPr="008B3051">
        <w:rPr>
          <w:rStyle w:val="Date2"/>
          <w:rFonts w:ascii="Verdana" w:hAnsi="Verdana"/>
        </w:rPr>
        <w:t>Dec. 11, 1991</w:t>
      </w:r>
      <w:r w:rsidRPr="008B3051">
        <w:rPr>
          <w:rFonts w:ascii="Verdana" w:hAnsi="Verdana"/>
        </w:rPr>
        <w:t>, </w:t>
      </w:r>
      <w:r w:rsidRPr="008B3051">
        <w:rPr>
          <w:rStyle w:val="Hyperlink"/>
          <w:rFonts w:ascii="Verdana" w:hAnsi="Verdana"/>
          <w:color w:val="auto"/>
        </w:rPr>
        <w:t>105 Stat. 1688</w:t>
      </w:r>
      <w:r w:rsidRPr="008B3051">
        <w:rPr>
          <w:rFonts w:ascii="Verdana" w:hAnsi="Verdana"/>
        </w:rPr>
        <w:t>; </w:t>
      </w:r>
      <w:r w:rsidRPr="008B3051">
        <w:rPr>
          <w:rStyle w:val="Hyperlink"/>
          <w:rFonts w:ascii="Verdana" w:hAnsi="Verdana"/>
          <w:color w:val="auto"/>
        </w:rPr>
        <w:t>Pub. L. 103–66, title XIII</w:t>
      </w:r>
      <w:r w:rsidRPr="008B3051">
        <w:rPr>
          <w:rFonts w:ascii="Verdana" w:hAnsi="Verdana"/>
        </w:rPr>
        <w:t>, § 13141(b), </w:t>
      </w:r>
      <w:r w:rsidRPr="008B3051">
        <w:rPr>
          <w:rStyle w:val="Date2"/>
          <w:rFonts w:ascii="Verdana" w:hAnsi="Verdana"/>
        </w:rPr>
        <w:t>Aug. 10, 1993</w:t>
      </w:r>
      <w:r w:rsidRPr="008B3051">
        <w:rPr>
          <w:rFonts w:ascii="Verdana" w:hAnsi="Verdana"/>
        </w:rPr>
        <w:t>, </w:t>
      </w:r>
      <w:r w:rsidRPr="008B3051">
        <w:rPr>
          <w:rStyle w:val="Hyperlink"/>
          <w:rFonts w:ascii="Verdana" w:hAnsi="Verdana"/>
          <w:color w:val="auto"/>
        </w:rPr>
        <w:t>107 Stat. 436</w:t>
      </w:r>
      <w:r w:rsidRPr="008B3051">
        <w:rPr>
          <w:rFonts w:ascii="Verdana" w:hAnsi="Verdana"/>
        </w:rPr>
        <w:t>; </w:t>
      </w:r>
      <w:r w:rsidRPr="008B3051">
        <w:rPr>
          <w:rStyle w:val="Hyperlink"/>
          <w:rFonts w:ascii="Verdana" w:hAnsi="Verdana"/>
          <w:color w:val="auto"/>
        </w:rPr>
        <w:t>Pub. L. 104–188, title I</w:t>
      </w:r>
      <w:r w:rsidRPr="008B3051">
        <w:rPr>
          <w:rFonts w:ascii="Verdana" w:hAnsi="Verdana"/>
        </w:rPr>
        <w:t>, § 1807(c)(1), </w:t>
      </w:r>
      <w:r w:rsidRPr="008B3051">
        <w:rPr>
          <w:rStyle w:val="Date2"/>
          <w:rFonts w:ascii="Verdana" w:hAnsi="Verdana"/>
        </w:rPr>
        <w:t>Aug. 20, 1996</w:t>
      </w:r>
      <w:r w:rsidRPr="008B3051">
        <w:rPr>
          <w:rFonts w:ascii="Verdana" w:hAnsi="Verdana"/>
        </w:rPr>
        <w:t>, </w:t>
      </w:r>
      <w:r w:rsidRPr="008B3051">
        <w:rPr>
          <w:rStyle w:val="Hyperlink"/>
          <w:rFonts w:ascii="Verdana" w:hAnsi="Verdana"/>
          <w:color w:val="auto"/>
        </w:rPr>
        <w:t>110 Stat. 1902</w:t>
      </w:r>
      <w:r w:rsidRPr="008B3051">
        <w:rPr>
          <w:rFonts w:ascii="Verdana" w:hAnsi="Verdana"/>
        </w:rPr>
        <w:t>; </w:t>
      </w:r>
      <w:r w:rsidRPr="008B3051">
        <w:rPr>
          <w:rStyle w:val="Hyperlink"/>
          <w:rFonts w:ascii="Verdana" w:hAnsi="Verdana"/>
          <w:color w:val="auto"/>
        </w:rPr>
        <w:t>Pub. L. 105–34, title III</w:t>
      </w:r>
      <w:r w:rsidRPr="008B3051">
        <w:rPr>
          <w:rFonts w:ascii="Verdana" w:hAnsi="Verdana"/>
        </w:rPr>
        <w:t>, § 312(d)(1), </w:t>
      </w:r>
      <w:r w:rsidRPr="008B3051">
        <w:rPr>
          <w:rStyle w:val="Date2"/>
          <w:rFonts w:ascii="Verdana" w:hAnsi="Verdana"/>
        </w:rPr>
        <w:t>Aug. 5, 1997</w:t>
      </w:r>
      <w:r w:rsidRPr="008B3051">
        <w:rPr>
          <w:rFonts w:ascii="Verdana" w:hAnsi="Verdana"/>
        </w:rPr>
        <w:t>, </w:t>
      </w:r>
      <w:r w:rsidRPr="008B3051">
        <w:rPr>
          <w:rStyle w:val="Hyperlink"/>
          <w:rFonts w:ascii="Verdana" w:hAnsi="Verdana"/>
          <w:color w:val="auto"/>
        </w:rPr>
        <w:t>111 Stat. 839</w:t>
      </w:r>
      <w:r w:rsidRPr="008B3051">
        <w:rPr>
          <w:rFonts w:ascii="Verdana" w:hAnsi="Verdana"/>
        </w:rPr>
        <w:t>; </w:t>
      </w:r>
      <w:r w:rsidRPr="008B3051">
        <w:rPr>
          <w:rStyle w:val="Hyperlink"/>
          <w:rFonts w:ascii="Verdana" w:hAnsi="Verdana"/>
          <w:color w:val="auto"/>
        </w:rPr>
        <w:t>Pub. L. 105–206, title VI</w:t>
      </w:r>
      <w:r w:rsidRPr="008B3051">
        <w:rPr>
          <w:rFonts w:ascii="Verdana" w:hAnsi="Verdana"/>
        </w:rPr>
        <w:t>, § 6008(d)(7), </w:t>
      </w:r>
      <w:r w:rsidRPr="008B3051">
        <w:rPr>
          <w:rStyle w:val="Date2"/>
          <w:rFonts w:ascii="Verdana" w:hAnsi="Verdana"/>
        </w:rPr>
        <w:t>July 22, 1998</w:t>
      </w:r>
      <w:r w:rsidRPr="008B3051">
        <w:rPr>
          <w:rFonts w:ascii="Verdana" w:hAnsi="Verdana"/>
        </w:rPr>
        <w:t>, </w:t>
      </w:r>
      <w:r w:rsidRPr="008B3051">
        <w:rPr>
          <w:rStyle w:val="Hyperlink"/>
          <w:rFonts w:ascii="Verdana" w:hAnsi="Verdana"/>
          <w:color w:val="auto"/>
        </w:rPr>
        <w:t>112 Stat. 812</w:t>
      </w:r>
      <w:r w:rsidRPr="008B3051">
        <w:rPr>
          <w:rFonts w:ascii="Verdana" w:hAnsi="Verdana"/>
        </w:rPr>
        <w:t>; </w:t>
      </w:r>
      <w:r w:rsidRPr="008B3051">
        <w:rPr>
          <w:rStyle w:val="Hyperlink"/>
          <w:rFonts w:ascii="Verdana" w:hAnsi="Verdana"/>
          <w:color w:val="auto"/>
        </w:rPr>
        <w:t>Pub. L. 107–16, title II</w:t>
      </w:r>
      <w:r w:rsidRPr="008B3051">
        <w:rPr>
          <w:rFonts w:ascii="Verdana" w:hAnsi="Verdana"/>
        </w:rPr>
        <w:t>, § 201(b)(2)(F), title VI, § 618(b)(2)(B),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46</w:t>
      </w:r>
      <w:r w:rsidRPr="008B3051">
        <w:rPr>
          <w:rFonts w:ascii="Verdana" w:hAnsi="Verdana"/>
        </w:rPr>
        <w:t>, 108; </w:t>
      </w:r>
      <w:r w:rsidRPr="008B3051">
        <w:rPr>
          <w:rStyle w:val="Hyperlink"/>
          <w:rFonts w:ascii="Verdana" w:hAnsi="Verdana"/>
          <w:color w:val="auto"/>
        </w:rPr>
        <w:t>Pub. L. 109–58, title XIII</w:t>
      </w:r>
      <w:r w:rsidRPr="008B3051">
        <w:rPr>
          <w:rFonts w:ascii="Verdana" w:hAnsi="Verdana"/>
        </w:rPr>
        <w:t>, § 1335(b)(2), </w:t>
      </w:r>
      <w:r w:rsidRPr="008B3051">
        <w:rPr>
          <w:rStyle w:val="Date2"/>
          <w:rFonts w:ascii="Verdana" w:hAnsi="Verdana"/>
        </w:rPr>
        <w:t>Aug. 8, 2005</w:t>
      </w:r>
      <w:r w:rsidRPr="008B3051">
        <w:rPr>
          <w:rFonts w:ascii="Verdana" w:hAnsi="Verdana"/>
        </w:rPr>
        <w:t>, </w:t>
      </w:r>
      <w:r w:rsidRPr="008B3051">
        <w:rPr>
          <w:rStyle w:val="Hyperlink"/>
          <w:rFonts w:ascii="Verdana" w:hAnsi="Verdana"/>
          <w:color w:val="auto"/>
        </w:rPr>
        <w:t>119 Stat. 1036</w:t>
      </w:r>
      <w:r w:rsidRPr="008B3051">
        <w:rPr>
          <w:rFonts w:ascii="Verdana" w:hAnsi="Verdana"/>
        </w:rPr>
        <w:t>; </w:t>
      </w:r>
      <w:r w:rsidRPr="008B3051">
        <w:rPr>
          <w:rStyle w:val="Hyperlink"/>
          <w:rFonts w:ascii="Verdana" w:hAnsi="Verdana"/>
          <w:color w:val="auto"/>
        </w:rPr>
        <w:t>Pub. L. 109–135, title IV</w:t>
      </w:r>
      <w:r w:rsidRPr="008B3051">
        <w:rPr>
          <w:rFonts w:ascii="Verdana" w:hAnsi="Verdana"/>
        </w:rPr>
        <w:t>, § 402(i)(3)(C), (4),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2613</w:t>
      </w:r>
      <w:r w:rsidRPr="008B3051">
        <w:rPr>
          <w:rFonts w:ascii="Verdana" w:hAnsi="Verdana"/>
        </w:rPr>
        <w:t>, 2615; </w:t>
      </w:r>
      <w:r w:rsidRPr="008B3051">
        <w:rPr>
          <w:rStyle w:val="Hyperlink"/>
          <w:rFonts w:ascii="Verdana" w:hAnsi="Verdana"/>
          <w:color w:val="auto"/>
        </w:rPr>
        <w:t>Pub. L. 110–343, div. B, title II</w:t>
      </w:r>
      <w:r w:rsidRPr="008B3051">
        <w:rPr>
          <w:rFonts w:ascii="Verdana" w:hAnsi="Verdana"/>
        </w:rPr>
        <w:t>, § 205(d)(1)(B),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3838</w:t>
      </w:r>
      <w:r w:rsidRPr="008B3051">
        <w:rPr>
          <w:rFonts w:ascii="Verdana" w:hAnsi="Verdana"/>
        </w:rPr>
        <w:t>; </w:t>
      </w:r>
      <w:r w:rsidRPr="008B3051">
        <w:rPr>
          <w:rStyle w:val="Hyperlink"/>
          <w:rFonts w:ascii="Verdana" w:hAnsi="Verdana"/>
          <w:color w:val="auto"/>
        </w:rPr>
        <w:t>Pub. L. 111–5, div. B, title I</w:t>
      </w:r>
      <w:r w:rsidRPr="008B3051">
        <w:rPr>
          <w:rFonts w:ascii="Verdana" w:hAnsi="Verdana"/>
        </w:rPr>
        <w:t>, §§ 1004(b)(2), 1142(b)(1)(B), 1144(b)(1)(B),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314</w:t>
      </w:r>
      <w:r w:rsidRPr="008B3051">
        <w:rPr>
          <w:rFonts w:ascii="Verdana" w:hAnsi="Verdana"/>
        </w:rPr>
        <w:t>, 330, 332; </w:t>
      </w:r>
      <w:r w:rsidRPr="008B3051">
        <w:rPr>
          <w:rStyle w:val="Hyperlink"/>
          <w:rFonts w:ascii="Verdana" w:hAnsi="Verdana"/>
          <w:color w:val="auto"/>
        </w:rPr>
        <w:t>Pub. L. 111–148, title X</w:t>
      </w:r>
      <w:r w:rsidRPr="008B3051">
        <w:rPr>
          <w:rFonts w:ascii="Verdana" w:hAnsi="Verdana"/>
        </w:rPr>
        <w:t>, § 10909(b)(2)(B),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1023</w:t>
      </w:r>
      <w:r w:rsidRPr="008B3051">
        <w:rPr>
          <w:rFonts w:ascii="Verdana" w:hAnsi="Verdana"/>
        </w:rPr>
        <w:t>; </w:t>
      </w:r>
      <w:r w:rsidRPr="008B3051">
        <w:rPr>
          <w:rStyle w:val="Hyperlink"/>
          <w:rFonts w:ascii="Verdana" w:hAnsi="Verdana"/>
          <w:color w:val="auto"/>
        </w:rPr>
        <w:t>Pub. L. 111–312, title I</w:t>
      </w:r>
      <w:r w:rsidRPr="008B3051">
        <w:rPr>
          <w:rFonts w:ascii="Verdana" w:hAnsi="Verdana"/>
        </w:rPr>
        <w:t>, § 101(b)(1),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w:t>
      </w:r>
      <w:r w:rsidRPr="008B3051">
        <w:rPr>
          <w:rStyle w:val="Hyperlink"/>
          <w:rFonts w:ascii="Verdana" w:hAnsi="Verdana"/>
          <w:color w:val="auto"/>
        </w:rPr>
        <w:t>Pub. L. 112–240, title I</w:t>
      </w:r>
      <w:r w:rsidRPr="008B3051">
        <w:rPr>
          <w:rFonts w:ascii="Verdana" w:hAnsi="Verdana"/>
        </w:rPr>
        <w:t>, § 104(c)(2)(C),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2322</w:t>
      </w:r>
      <w:r w:rsidRPr="008B3051">
        <w:rPr>
          <w:rFonts w:ascii="Verdana" w:hAnsi="Verdana"/>
        </w:rPr>
        <w:t>.)</w:t>
      </w:r>
    </w:p>
    <w:p w14:paraId="400DD4C4" w14:textId="77777777" w:rsidR="00AB7AF9" w:rsidRPr="008B3051" w:rsidRDefault="00AB7AF9" w:rsidP="00AB7AF9">
      <w:pPr>
        <w:shd w:val="clear" w:color="auto" w:fill="FFFFFF"/>
        <w:spacing w:after="60" w:line="240" w:lineRule="auto"/>
        <w:ind w:left="720"/>
        <w:rPr>
          <w:rFonts w:ascii="Verdana" w:hAnsi="Verdana"/>
        </w:rPr>
      </w:pPr>
    </w:p>
    <w:p w14:paraId="5970C687" w14:textId="3F439109"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25A - Hope and Lifetime Learning credits</w:t>
      </w:r>
    </w:p>
    <w:p w14:paraId="6D935100" w14:textId="47974D82" w:rsidR="00AB7AF9" w:rsidRPr="008B3051" w:rsidRDefault="00AB7AF9" w:rsidP="00AB7AF9">
      <w:pPr>
        <w:shd w:val="clear" w:color="auto" w:fill="FFFFFF"/>
        <w:spacing w:after="60" w:line="240" w:lineRule="auto"/>
        <w:ind w:left="720"/>
        <w:rPr>
          <w:rFonts w:ascii="Verdana" w:hAnsi="Verdana"/>
        </w:rPr>
      </w:pPr>
    </w:p>
    <w:p w14:paraId="7885F2B4" w14:textId="5FEA9B3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r w:rsidRPr="008B3051">
        <w:rPr>
          <w:rStyle w:val="chapeau"/>
          <w:rFonts w:ascii="Verdana" w:hAnsi="Verdana"/>
        </w:rPr>
        <w:t>In the case of an individual, there shall be allowed as a credit against the taximposed by this chapter for the </w:t>
      </w:r>
      <w:r w:rsidRPr="008B3051">
        <w:rPr>
          <w:rStyle w:val="Hyperlink"/>
          <w:rFonts w:ascii="Verdana" w:hAnsi="Verdana"/>
          <w:color w:val="auto"/>
        </w:rPr>
        <w:t>taxable year</w:t>
      </w:r>
      <w:r w:rsidRPr="008B3051">
        <w:rPr>
          <w:rStyle w:val="chapeau"/>
          <w:rFonts w:ascii="Verdana" w:hAnsi="Verdana"/>
        </w:rPr>
        <w:t> the amount equal to the sum of—</w:t>
      </w:r>
    </w:p>
    <w:p w14:paraId="45BCEC36"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7BBEA12A" w14:textId="77777777" w:rsidR="00AB7AF9" w:rsidRPr="008B3051" w:rsidRDefault="00AB7AF9" w:rsidP="00AB7AF9">
      <w:pPr>
        <w:shd w:val="clear" w:color="auto" w:fill="FFFFFF"/>
        <w:rPr>
          <w:rFonts w:ascii="Verdana" w:hAnsi="Verdana"/>
        </w:rPr>
      </w:pPr>
      <w:r w:rsidRPr="008B3051">
        <w:rPr>
          <w:rFonts w:ascii="Verdana" w:hAnsi="Verdana"/>
        </w:rPr>
        <w:t>the Hope Scholarship Credit, plus</w:t>
      </w:r>
    </w:p>
    <w:p w14:paraId="5B39C862"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52C948D1" w14:textId="77777777" w:rsidR="00AB7AF9" w:rsidRPr="008B3051" w:rsidRDefault="00AB7AF9" w:rsidP="00AB7AF9">
      <w:pPr>
        <w:shd w:val="clear" w:color="auto" w:fill="FFFFFF"/>
        <w:rPr>
          <w:rFonts w:ascii="Verdana" w:hAnsi="Verdana"/>
        </w:rPr>
      </w:pPr>
      <w:r w:rsidRPr="008B3051">
        <w:rPr>
          <w:rFonts w:ascii="Verdana" w:hAnsi="Verdana"/>
        </w:rPr>
        <w:t>the Lifetime Learning Credit.</w:t>
      </w:r>
    </w:p>
    <w:p w14:paraId="0EFB6560"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Hope Scholarship Credit</w:t>
      </w:r>
    </w:p>
    <w:p w14:paraId="5D6CD97B" w14:textId="7C529E65"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Per student credit</w:t>
      </w:r>
      <w:r w:rsidRPr="008B3051">
        <w:rPr>
          <w:rStyle w:val="chapeau"/>
          <w:rFonts w:ascii="Verdana" w:hAnsi="Verdana"/>
        </w:rPr>
        <w:t>In the case of any </w:t>
      </w:r>
      <w:r w:rsidRPr="008B3051">
        <w:rPr>
          <w:rStyle w:val="Hyperlink"/>
          <w:rFonts w:ascii="Verdana" w:hAnsi="Verdana"/>
          <w:color w:val="auto"/>
        </w:rPr>
        <w:t>eligible student</w:t>
      </w:r>
      <w:r w:rsidRPr="008B3051">
        <w:rPr>
          <w:rStyle w:val="chapeau"/>
          <w:rFonts w:ascii="Verdana" w:hAnsi="Verdana"/>
        </w:rPr>
        <w:t> for whom an election is in effect under this section for any taxable year, the Hope Scholarship Credit is an amount equal to the sum of—</w:t>
      </w:r>
    </w:p>
    <w:p w14:paraId="33E03A12"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3C209E14" w14:textId="3F6716AB" w:rsidR="00AB7AF9" w:rsidRPr="008B3051" w:rsidRDefault="00AB7AF9" w:rsidP="00AB7AF9">
      <w:pPr>
        <w:shd w:val="clear" w:color="auto" w:fill="FFFFFF"/>
        <w:rPr>
          <w:rFonts w:ascii="Verdana" w:hAnsi="Verdana"/>
        </w:rPr>
      </w:pPr>
      <w:r w:rsidRPr="008B3051">
        <w:rPr>
          <w:rFonts w:ascii="Verdana" w:hAnsi="Verdana"/>
        </w:rPr>
        <w:t>100 percent of so much of the </w:t>
      </w:r>
      <w:r w:rsidRPr="008B3051">
        <w:rPr>
          <w:rStyle w:val="Hyperlink"/>
          <w:rFonts w:ascii="Verdana" w:hAnsi="Verdana"/>
          <w:color w:val="auto"/>
        </w:rPr>
        <w:t>qualified tuition and related expenses</w:t>
      </w:r>
      <w:r w:rsidRPr="008B3051">
        <w:rPr>
          <w:rFonts w:ascii="Verdana" w:hAnsi="Verdana"/>
        </w:rPr>
        <w:t xml:space="preserve"> paid by the taxpayer during the taxable year (for education furnished to the eligible student </w:t>
      </w:r>
      <w:r w:rsidRPr="008B3051">
        <w:rPr>
          <w:rFonts w:ascii="Verdana" w:hAnsi="Verdana"/>
        </w:rPr>
        <w:lastRenderedPageBreak/>
        <w:t>during any academic period beginning in such taxable year) as does not exceed $1,000, plus</w:t>
      </w:r>
    </w:p>
    <w:p w14:paraId="4A5D416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6A3DC78" w14:textId="202EA71B" w:rsidR="00AB7AF9" w:rsidRPr="008B3051" w:rsidRDefault="00AB7AF9" w:rsidP="00AB7AF9">
      <w:pPr>
        <w:shd w:val="clear" w:color="auto" w:fill="FFFFFF"/>
        <w:rPr>
          <w:rFonts w:ascii="Verdana" w:hAnsi="Verdana"/>
        </w:rPr>
      </w:pPr>
      <w:r w:rsidRPr="008B3051">
        <w:rPr>
          <w:rStyle w:val="Hyperlink"/>
          <w:rFonts w:ascii="Verdana" w:hAnsi="Verdana"/>
          <w:color w:val="auto"/>
        </w:rPr>
        <w:t>50 percent</w:t>
      </w:r>
      <w:r w:rsidRPr="008B3051">
        <w:rPr>
          <w:rFonts w:ascii="Verdana" w:hAnsi="Verdana"/>
        </w:rPr>
        <w:t> of such expenses so paid as exceeds $1,000 but does not exceed the applicable limit.</w:t>
      </w:r>
    </w:p>
    <w:p w14:paraId="074DDAB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Limitations applicable to Hope Scholarship Credit</w:t>
      </w:r>
    </w:p>
    <w:p w14:paraId="50CB456A"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Credit allowed only for 2 taxable years</w:t>
      </w:r>
    </w:p>
    <w:p w14:paraId="2132C52F" w14:textId="41D1069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An </w:t>
      </w:r>
      <w:r w:rsidRPr="008B3051">
        <w:rPr>
          <w:rStyle w:val="Hyperlink"/>
          <w:rFonts w:ascii="Verdana" w:hAnsi="Verdana"/>
          <w:color w:val="auto"/>
        </w:rPr>
        <w:t>election</w:t>
      </w:r>
      <w:r w:rsidRPr="008B3051">
        <w:rPr>
          <w:rFonts w:ascii="Verdana" w:hAnsi="Verdana"/>
        </w:rPr>
        <w:t> to have this section apply with respect to any </w:t>
      </w:r>
      <w:r w:rsidRPr="008B3051">
        <w:rPr>
          <w:rStyle w:val="Hyperlink"/>
          <w:rFonts w:ascii="Verdana" w:hAnsi="Verdana"/>
          <w:color w:val="auto"/>
        </w:rPr>
        <w:t>eligible student</w:t>
      </w:r>
      <w:r w:rsidRPr="008B3051">
        <w:rPr>
          <w:rFonts w:ascii="Verdana" w:hAnsi="Verdana"/>
        </w:rPr>
        <w:t> for purposes of the Hope Scholarship Credit under subsection (a)(1) may not be made for any taxable year if such an election (by the taxpayer or any other individual) is in effect with respect to such student for any 2 prior taxable years.</w:t>
      </w:r>
    </w:p>
    <w:p w14:paraId="33C34F1A"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Credit allowed for year only if individual is at least ½ time student for portion of year</w:t>
      </w:r>
    </w:p>
    <w:p w14:paraId="66BE66AB" w14:textId="779A4879"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Hope Scholarship Credit under subsection (a)(1) shall not be allowed for a </w:t>
      </w:r>
      <w:r w:rsidRPr="008B3051">
        <w:rPr>
          <w:rStyle w:val="Hyperlink"/>
          <w:rFonts w:ascii="Verdana" w:hAnsi="Verdana"/>
          <w:color w:val="auto"/>
        </w:rPr>
        <w:t>taxable year</w:t>
      </w:r>
      <w:r w:rsidRPr="008B3051">
        <w:rPr>
          <w:rFonts w:ascii="Verdana" w:hAnsi="Verdana"/>
        </w:rPr>
        <w:t> with respect to the </w:t>
      </w:r>
      <w:r w:rsidRPr="008B3051">
        <w:rPr>
          <w:rStyle w:val="Hyperlink"/>
          <w:rFonts w:ascii="Verdana" w:hAnsi="Verdana"/>
          <w:color w:val="auto"/>
        </w:rPr>
        <w:t>qualified tuition and related expenses</w:t>
      </w:r>
      <w:r w:rsidRPr="008B3051">
        <w:rPr>
          <w:rFonts w:ascii="Verdana" w:hAnsi="Verdana"/>
        </w:rPr>
        <w:t> of an individual unless such individual is an eligible student for at least one academic period which begins during such year.</w:t>
      </w:r>
    </w:p>
    <w:p w14:paraId="3175A03D"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Credit allowed only for first 2 years of postsecondary education</w:t>
      </w:r>
    </w:p>
    <w:p w14:paraId="08911024" w14:textId="3E0E9E9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Hope Scholarship Credit under subsection (a)(1) shall not be allowed for a </w:t>
      </w:r>
      <w:r w:rsidRPr="008B3051">
        <w:rPr>
          <w:rStyle w:val="Hyperlink"/>
          <w:rFonts w:ascii="Verdana" w:hAnsi="Verdana"/>
          <w:color w:val="auto"/>
        </w:rPr>
        <w:t>taxable year</w:t>
      </w:r>
      <w:r w:rsidRPr="008B3051">
        <w:rPr>
          <w:rFonts w:ascii="Verdana" w:hAnsi="Verdana"/>
        </w:rPr>
        <w:t> with respect to the </w:t>
      </w:r>
      <w:r w:rsidRPr="008B3051">
        <w:rPr>
          <w:rStyle w:val="Hyperlink"/>
          <w:rFonts w:ascii="Verdana" w:hAnsi="Verdana"/>
          <w:color w:val="auto"/>
        </w:rPr>
        <w:t>qualified tuition and related expenses</w:t>
      </w:r>
      <w:r w:rsidRPr="008B3051">
        <w:rPr>
          <w:rFonts w:ascii="Verdana" w:hAnsi="Verdana"/>
        </w:rPr>
        <w:t> of an eligible student if the student has completed (before the beginning of such taxable year) the first 2 years of postsecondary education at an eligible educational institution.</w:t>
      </w:r>
    </w:p>
    <w:p w14:paraId="4024EF99"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rPr>
        <w:t>Denial of credit if student convicted of a felony drug offense</w:t>
      </w:r>
    </w:p>
    <w:p w14:paraId="64089519" w14:textId="230A9AF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Hope Scholarship Credit under subsection (a)(1) shall not be allowed for </w:t>
      </w:r>
      <w:r w:rsidRPr="008B3051">
        <w:rPr>
          <w:rStyle w:val="Hyperlink"/>
          <w:rFonts w:ascii="Verdana" w:hAnsi="Verdana"/>
          <w:color w:val="auto"/>
        </w:rPr>
        <w:t>qualified tuition and related expenses</w:t>
      </w:r>
      <w:r w:rsidRPr="008B3051">
        <w:rPr>
          <w:rFonts w:ascii="Verdana" w:hAnsi="Verdana"/>
        </w:rPr>
        <w:t> for the enrollment or attendance of a student for any academic period if such student has been convicted of a Federal or State felony offense consisting of the possession or distribution of a controlled substance before the end of the taxable year with or within which such period ends.</w:t>
      </w:r>
    </w:p>
    <w:p w14:paraId="384CDC17" w14:textId="3002CE52"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Eligible student</w:t>
      </w:r>
      <w:r w:rsidRPr="008B3051">
        <w:rPr>
          <w:rStyle w:val="chapeau"/>
          <w:rFonts w:ascii="Verdana" w:hAnsi="Verdana"/>
        </w:rPr>
        <w:t>For purposes of this subsection, the term “</w:t>
      </w:r>
      <w:r w:rsidRPr="008B3051">
        <w:rPr>
          <w:rStyle w:val="Hyperlink"/>
          <w:rFonts w:ascii="Verdana" w:hAnsi="Verdana"/>
          <w:color w:val="auto"/>
        </w:rPr>
        <w:t>eligible student</w:t>
      </w:r>
      <w:r w:rsidRPr="008B3051">
        <w:rPr>
          <w:rStyle w:val="chapeau"/>
          <w:rFonts w:ascii="Verdana" w:hAnsi="Verdana"/>
        </w:rPr>
        <w:t>” means, with respect to any academic period, a student who—</w:t>
      </w:r>
    </w:p>
    <w:p w14:paraId="77A4296E"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6FD6614F" w14:textId="388D21CE" w:rsidR="00AB7AF9" w:rsidRPr="008B3051" w:rsidRDefault="00AB7AF9" w:rsidP="00AB7AF9">
      <w:pPr>
        <w:shd w:val="clear" w:color="auto" w:fill="FFFFFF"/>
        <w:rPr>
          <w:rFonts w:ascii="Verdana" w:hAnsi="Verdana"/>
        </w:rPr>
      </w:pPr>
      <w:r w:rsidRPr="008B3051">
        <w:rPr>
          <w:rFonts w:ascii="Verdana" w:hAnsi="Verdana"/>
        </w:rPr>
        <w:t>meets the requirements of section 484(a)(1) of the Higher Education Act of 1965 (</w:t>
      </w:r>
      <w:r w:rsidRPr="008B3051">
        <w:rPr>
          <w:rStyle w:val="Hyperlink"/>
          <w:rFonts w:ascii="Verdana" w:hAnsi="Verdana"/>
          <w:color w:val="auto"/>
        </w:rPr>
        <w:t>20 U.S.C. 1091(a)(1)</w:t>
      </w:r>
      <w:r w:rsidRPr="008B3051">
        <w:rPr>
          <w:rFonts w:ascii="Verdana" w:hAnsi="Verdana"/>
        </w:rPr>
        <w:t>), as in effect on the date of the enactment of this section, and</w:t>
      </w:r>
    </w:p>
    <w:p w14:paraId="0E6019C0"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17C88C95" w14:textId="64B4F181" w:rsidR="00AB7AF9" w:rsidRPr="008B3051" w:rsidRDefault="00AB7AF9" w:rsidP="00AB7AF9">
      <w:pPr>
        <w:shd w:val="clear" w:color="auto" w:fill="FFFFFF"/>
        <w:rPr>
          <w:rFonts w:ascii="Verdana" w:hAnsi="Verdana"/>
        </w:rPr>
      </w:pPr>
      <w:r w:rsidRPr="008B3051">
        <w:rPr>
          <w:rFonts w:ascii="Verdana" w:hAnsi="Verdana"/>
        </w:rPr>
        <w:lastRenderedPageBreak/>
        <w:t>is carrying at least ½ the normal full-time work load for the course of study the </w:t>
      </w:r>
      <w:r w:rsidRPr="008B3051">
        <w:rPr>
          <w:rStyle w:val="Hyperlink"/>
          <w:rFonts w:ascii="Verdana" w:hAnsi="Verdana"/>
          <w:color w:val="auto"/>
        </w:rPr>
        <w:t>student</w:t>
      </w:r>
      <w:r w:rsidRPr="008B3051">
        <w:rPr>
          <w:rFonts w:ascii="Verdana" w:hAnsi="Verdana"/>
        </w:rPr>
        <w:t> is pursuing.</w:t>
      </w:r>
    </w:p>
    <w:p w14:paraId="03C5DB97" w14:textId="77777777" w:rsidR="00AB7AF9" w:rsidRPr="008B3051" w:rsidRDefault="00AB7AF9" w:rsidP="00AB7AF9">
      <w:pPr>
        <w:shd w:val="clear" w:color="auto" w:fill="FFFFFF"/>
        <w:rPr>
          <w:rFonts w:ascii="Verdana" w:hAnsi="Verdana"/>
        </w:rPr>
      </w:pPr>
      <w:bookmarkStart w:id="386" w:name="b_4"/>
      <w:bookmarkEnd w:id="386"/>
      <w:r w:rsidRPr="008B3051">
        <w:rPr>
          <w:rStyle w:val="num"/>
          <w:rFonts w:ascii="Verdana" w:hAnsi="Verdana"/>
          <w:b/>
          <w:bCs/>
        </w:rPr>
        <w:t>(4)</w:t>
      </w:r>
      <w:r w:rsidRPr="008B3051">
        <w:rPr>
          <w:rStyle w:val="heading"/>
          <w:rFonts w:ascii="Verdana" w:hAnsi="Verdana"/>
          <w:b/>
          <w:bCs/>
          <w:smallCaps/>
        </w:rPr>
        <w:t>Applicable limit</w:t>
      </w:r>
    </w:p>
    <w:p w14:paraId="5885F0D1" w14:textId="799E029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paragraph (1)(B), the applicable limit for any </w:t>
      </w:r>
      <w:r w:rsidRPr="008B3051">
        <w:rPr>
          <w:rStyle w:val="Hyperlink"/>
          <w:rFonts w:ascii="Verdana" w:hAnsi="Verdana"/>
          <w:color w:val="auto"/>
        </w:rPr>
        <w:t>taxable year</w:t>
      </w:r>
      <w:r w:rsidRPr="008B3051">
        <w:rPr>
          <w:rFonts w:ascii="Verdana" w:hAnsi="Verdana"/>
        </w:rPr>
        <w:t> is an amount equal to 2 times the dollar amount in effect under paragraph (1)(A) for such </w:t>
      </w:r>
      <w:r w:rsidRPr="008B3051">
        <w:rPr>
          <w:rStyle w:val="Hyperlink"/>
          <w:rFonts w:ascii="Verdana" w:hAnsi="Verdana"/>
          <w:color w:val="auto"/>
        </w:rPr>
        <w:t>taxable year</w:t>
      </w:r>
      <w:r w:rsidRPr="008B3051">
        <w:rPr>
          <w:rFonts w:ascii="Verdana" w:hAnsi="Verdana"/>
        </w:rPr>
        <w:t>.</w:t>
      </w:r>
    </w:p>
    <w:p w14:paraId="25746E46"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Lifetime Learning Credit</w:t>
      </w:r>
    </w:p>
    <w:p w14:paraId="7EB73FEE"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Per taxpayer credit</w:t>
      </w:r>
    </w:p>
    <w:p w14:paraId="571C78C2" w14:textId="70F8F03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Lifetime Learning Credit for any </w:t>
      </w:r>
      <w:r w:rsidRPr="008B3051">
        <w:rPr>
          <w:rStyle w:val="Hyperlink"/>
          <w:rFonts w:ascii="Verdana" w:hAnsi="Verdana"/>
          <w:color w:val="auto"/>
        </w:rPr>
        <w:t>taxpayer</w:t>
      </w:r>
      <w:r w:rsidRPr="008B3051">
        <w:rPr>
          <w:rFonts w:ascii="Verdana" w:hAnsi="Verdana"/>
        </w:rPr>
        <w:t> for any </w:t>
      </w:r>
      <w:r w:rsidRPr="008B3051">
        <w:rPr>
          <w:rStyle w:val="Hyperlink"/>
          <w:rFonts w:ascii="Verdana" w:hAnsi="Verdana"/>
          <w:color w:val="auto"/>
        </w:rPr>
        <w:t>taxable year</w:t>
      </w:r>
      <w:r w:rsidRPr="008B3051">
        <w:rPr>
          <w:rFonts w:ascii="Verdana" w:hAnsi="Verdana"/>
        </w:rPr>
        <w:t> is an amount equal to 20 percent of so much of the </w:t>
      </w:r>
      <w:r w:rsidRPr="008B3051">
        <w:rPr>
          <w:rStyle w:val="Hyperlink"/>
          <w:rFonts w:ascii="Verdana" w:hAnsi="Verdana"/>
          <w:color w:val="auto"/>
        </w:rPr>
        <w:t>qualified tuition and related expenses</w:t>
      </w:r>
      <w:r w:rsidRPr="008B3051">
        <w:rPr>
          <w:rFonts w:ascii="Verdana" w:hAnsi="Verdana"/>
        </w:rPr>
        <w:t> paid by the taxpayer during the taxable year (for education furnished during any academic period beginning in such taxable year) as does not exceed $10,000 ($5,000 in the case of taxable years beginning before </w:t>
      </w:r>
      <w:r w:rsidRPr="008B3051">
        <w:rPr>
          <w:rStyle w:val="Date2"/>
          <w:rFonts w:ascii="Verdana" w:hAnsi="Verdana"/>
        </w:rPr>
        <w:t>January 1, 2003</w:t>
      </w:r>
      <w:r w:rsidRPr="008B3051">
        <w:rPr>
          <w:rFonts w:ascii="Verdana" w:hAnsi="Verdana"/>
        </w:rPr>
        <w:t>).</w:t>
      </w:r>
    </w:p>
    <w:p w14:paraId="7A518882"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Special rules for determining expenses</w:t>
      </w:r>
    </w:p>
    <w:p w14:paraId="24EEE1DB"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Coordination with Hope Scholarship</w:t>
      </w:r>
    </w:p>
    <w:p w14:paraId="7B5B677F" w14:textId="00C0E77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qualified tuition and related expenses</w:t>
      </w:r>
      <w:r w:rsidRPr="008B3051">
        <w:rPr>
          <w:rFonts w:ascii="Verdana" w:hAnsi="Verdana"/>
        </w:rPr>
        <w:t> with respect to an individual who is an eligible student for whom a Hope Scholarship Credit under subsection (a)(1) is allowed for the taxable year shall not be taken into account under this subsection.</w:t>
      </w:r>
    </w:p>
    <w:p w14:paraId="7C9E6446"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Expenses eligible for Lifetime Learning Credit</w:t>
      </w:r>
    </w:p>
    <w:p w14:paraId="6379DC6B" w14:textId="33325D81"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paragraph (1), </w:t>
      </w:r>
      <w:r w:rsidRPr="008B3051">
        <w:rPr>
          <w:rStyle w:val="Hyperlink"/>
          <w:rFonts w:ascii="Verdana" w:hAnsi="Verdana"/>
          <w:color w:val="auto"/>
        </w:rPr>
        <w:t>qualified tuition and related expenses</w:t>
      </w:r>
      <w:r w:rsidRPr="008B3051">
        <w:rPr>
          <w:rFonts w:ascii="Verdana" w:hAnsi="Verdana"/>
        </w:rPr>
        <w:t> shall include expenses described in subsection (f)(1) with respect to any course of instruction at an eligible educational institution to acquire or improve job skills of the individual.</w:t>
      </w:r>
    </w:p>
    <w:p w14:paraId="5509F2F9"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Limitation based on modified adjusted gross income</w:t>
      </w:r>
    </w:p>
    <w:p w14:paraId="79BB2F3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1D0E6ADB" w14:textId="2D059A9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amount which would (but for this subsection) be taken into account under subsection (a) for the </w:t>
      </w:r>
      <w:r w:rsidRPr="008B3051">
        <w:rPr>
          <w:rStyle w:val="Hyperlink"/>
          <w:rFonts w:ascii="Verdana" w:hAnsi="Verdana"/>
          <w:color w:val="auto"/>
        </w:rPr>
        <w:t>taxable year</w:t>
      </w:r>
      <w:r w:rsidRPr="008B3051">
        <w:rPr>
          <w:rFonts w:ascii="Verdana" w:hAnsi="Verdana"/>
        </w:rPr>
        <w:t> shall be reduced (but not below zero) by the amount determined under paragraph (2).</w:t>
      </w:r>
    </w:p>
    <w:p w14:paraId="4D26175E"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Amount of reduction</w:t>
      </w:r>
      <w:r w:rsidRPr="008B3051">
        <w:rPr>
          <w:rStyle w:val="chapeau"/>
          <w:rFonts w:ascii="Verdana" w:hAnsi="Verdana"/>
        </w:rPr>
        <w:t>The amount determined under this paragraph is the amount which bears the same ratio to the amount which would be so taken into account as—</w:t>
      </w:r>
    </w:p>
    <w:p w14:paraId="495B59C0"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chapeau"/>
          <w:rFonts w:ascii="Verdana" w:hAnsi="Verdana"/>
        </w:rPr>
        <w:t>the excess of—</w:t>
      </w:r>
    </w:p>
    <w:p w14:paraId="508EE41B"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14D1B2FB" w14:textId="75C83316"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modified adjusted gross income</w:t>
      </w:r>
      <w:r w:rsidRPr="008B3051">
        <w:rPr>
          <w:rFonts w:ascii="Verdana" w:hAnsi="Verdana"/>
        </w:rPr>
        <w:t> for such taxable year, over</w:t>
      </w:r>
    </w:p>
    <w:p w14:paraId="4BCC127C"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6EEE0DF0" w14:textId="0BA296AF" w:rsidR="00AB7AF9" w:rsidRPr="008B3051" w:rsidRDefault="00AB7AF9" w:rsidP="00AB7AF9">
      <w:pPr>
        <w:shd w:val="clear" w:color="auto" w:fill="FFFFFF"/>
        <w:rPr>
          <w:rFonts w:ascii="Verdana" w:hAnsi="Verdana"/>
        </w:rPr>
      </w:pPr>
      <w:r w:rsidRPr="008B3051">
        <w:rPr>
          <w:rFonts w:ascii="Verdana" w:hAnsi="Verdana"/>
        </w:rPr>
        <w:lastRenderedPageBreak/>
        <w:t>$40,000 ($80,000 in the case of a </w:t>
      </w:r>
      <w:r w:rsidRPr="008B3051">
        <w:rPr>
          <w:rStyle w:val="Hyperlink"/>
          <w:rFonts w:ascii="Verdana" w:hAnsi="Verdana"/>
          <w:color w:val="auto"/>
        </w:rPr>
        <w:t>joint return</w:t>
      </w:r>
      <w:r w:rsidRPr="008B3051">
        <w:rPr>
          <w:rFonts w:ascii="Verdana" w:hAnsi="Verdana"/>
        </w:rPr>
        <w:t>), bears to</w:t>
      </w:r>
    </w:p>
    <w:p w14:paraId="3D99A9CC"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4B13C975" w14:textId="0C7503C0" w:rsidR="00AB7AF9" w:rsidRPr="008B3051" w:rsidRDefault="00AB7AF9" w:rsidP="00AB7AF9">
      <w:pPr>
        <w:shd w:val="clear" w:color="auto" w:fill="FFFFFF"/>
        <w:rPr>
          <w:rFonts w:ascii="Verdana" w:hAnsi="Verdana"/>
        </w:rPr>
      </w:pPr>
      <w:r w:rsidRPr="008B3051">
        <w:rPr>
          <w:rFonts w:ascii="Verdana" w:hAnsi="Verdana"/>
        </w:rPr>
        <w:t>$10,000 ($20,000 in the case of a </w:t>
      </w:r>
      <w:r w:rsidRPr="008B3051">
        <w:rPr>
          <w:rStyle w:val="Hyperlink"/>
          <w:rFonts w:ascii="Verdana" w:hAnsi="Verdana"/>
          <w:color w:val="auto"/>
        </w:rPr>
        <w:t>joint return</w:t>
      </w:r>
      <w:r w:rsidRPr="008B3051">
        <w:rPr>
          <w:rFonts w:ascii="Verdana" w:hAnsi="Verdana"/>
        </w:rPr>
        <w:t>).</w:t>
      </w:r>
    </w:p>
    <w:p w14:paraId="512458E2"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Modified adjusted gross income</w:t>
      </w:r>
    </w:p>
    <w:p w14:paraId="7A72A599" w14:textId="7893624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modified adjusted gross income</w:t>
      </w:r>
      <w:r w:rsidRPr="008B3051">
        <w:rPr>
          <w:rFonts w:ascii="Verdana" w:hAnsi="Verdana"/>
        </w:rPr>
        <w:t>” means the adjusted gross income of the taxpayer for the taxable year increased by any amount excluded from gross income under section 911, 931, or 933.</w:t>
      </w:r>
    </w:p>
    <w:p w14:paraId="1B47D412"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Election not to have section apply</w:t>
      </w:r>
    </w:p>
    <w:p w14:paraId="2D9F8930" w14:textId="1A8CED2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 </w:t>
      </w:r>
      <w:r w:rsidRPr="008B3051">
        <w:rPr>
          <w:rStyle w:val="Hyperlink"/>
          <w:rFonts w:ascii="Verdana" w:hAnsi="Verdana"/>
          <w:color w:val="auto"/>
        </w:rPr>
        <w:t>taxpayer</w:t>
      </w:r>
      <w:r w:rsidRPr="008B3051">
        <w:rPr>
          <w:rFonts w:ascii="Verdana" w:hAnsi="Verdana"/>
        </w:rPr>
        <w:t> may elect not to have this section apply with respect to the </w:t>
      </w:r>
      <w:r w:rsidRPr="008B3051">
        <w:rPr>
          <w:rStyle w:val="Hyperlink"/>
          <w:rFonts w:ascii="Verdana" w:hAnsi="Verdana"/>
          <w:color w:val="auto"/>
        </w:rPr>
        <w:t>qualified tuition and related expenses</w:t>
      </w:r>
      <w:r w:rsidRPr="008B3051">
        <w:rPr>
          <w:rFonts w:ascii="Verdana" w:hAnsi="Verdana"/>
        </w:rPr>
        <w:t>of an individual for any taxable year.</w:t>
      </w:r>
    </w:p>
    <w:p w14:paraId="5C5EB753"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Definitions</w:t>
      </w:r>
      <w:r w:rsidRPr="008B3051">
        <w:rPr>
          <w:rStyle w:val="chapeau"/>
          <w:rFonts w:ascii="Verdana" w:hAnsi="Verdana"/>
        </w:rPr>
        <w:t>For purposes of this section—</w:t>
      </w:r>
    </w:p>
    <w:p w14:paraId="38ABD088"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Qualified tuition and related expenses</w:t>
      </w:r>
    </w:p>
    <w:p w14:paraId="326BC208" w14:textId="7086644A" w:rsidR="00AB7AF9" w:rsidRPr="008B3051" w:rsidRDefault="00AB7AF9" w:rsidP="00AB7AF9">
      <w:pPr>
        <w:shd w:val="clear" w:color="auto" w:fill="FFFFFF"/>
        <w:rPr>
          <w:rFonts w:ascii="Verdana" w:hAnsi="Verdana"/>
        </w:rPr>
      </w:pPr>
      <w:bookmarkStart w:id="387" w:name="f_1_A"/>
      <w:bookmarkEnd w:id="387"/>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w:t>
      </w:r>
      <w:r w:rsidRPr="008B3051">
        <w:rPr>
          <w:rStyle w:val="Hyperlink"/>
          <w:rFonts w:ascii="Verdana" w:hAnsi="Verdana"/>
          <w:color w:val="auto"/>
        </w:rPr>
        <w:t>qualified tuition and related expenses</w:t>
      </w:r>
      <w:r w:rsidRPr="008B3051">
        <w:rPr>
          <w:rStyle w:val="chapeau"/>
          <w:rFonts w:ascii="Verdana" w:hAnsi="Verdana"/>
        </w:rPr>
        <w:t>” means tuition and fees required for the enrollment or attendance of—</w:t>
      </w:r>
    </w:p>
    <w:p w14:paraId="6AFF7177" w14:textId="77777777" w:rsidR="00AB7AF9" w:rsidRPr="008B3051" w:rsidRDefault="00AB7AF9" w:rsidP="00AB7AF9">
      <w:pPr>
        <w:shd w:val="clear" w:color="auto" w:fill="FFFFFF"/>
        <w:rPr>
          <w:rFonts w:ascii="Verdana" w:hAnsi="Verdana"/>
        </w:rPr>
      </w:pPr>
      <w:bookmarkStart w:id="388" w:name="f_1_A_i"/>
      <w:bookmarkEnd w:id="388"/>
      <w:r w:rsidRPr="008B3051">
        <w:rPr>
          <w:rStyle w:val="num"/>
          <w:rFonts w:ascii="Verdana" w:hAnsi="Verdana"/>
          <w:b/>
          <w:bCs/>
        </w:rPr>
        <w:t>(i)</w:t>
      </w:r>
    </w:p>
    <w:p w14:paraId="64B0C3C9" w14:textId="061FE81E"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w:t>
      </w:r>
    </w:p>
    <w:p w14:paraId="6C53E30A" w14:textId="77777777" w:rsidR="00AB7AF9" w:rsidRPr="008B3051" w:rsidRDefault="00AB7AF9" w:rsidP="00AB7AF9">
      <w:pPr>
        <w:shd w:val="clear" w:color="auto" w:fill="FFFFFF"/>
        <w:rPr>
          <w:rFonts w:ascii="Verdana" w:hAnsi="Verdana"/>
        </w:rPr>
      </w:pPr>
      <w:bookmarkStart w:id="389" w:name="f_1_A_ii"/>
      <w:bookmarkEnd w:id="389"/>
      <w:r w:rsidRPr="008B3051">
        <w:rPr>
          <w:rStyle w:val="num"/>
          <w:rFonts w:ascii="Verdana" w:hAnsi="Verdana"/>
          <w:b/>
          <w:bCs/>
        </w:rPr>
        <w:t>(ii)</w:t>
      </w:r>
    </w:p>
    <w:p w14:paraId="6939DB7C" w14:textId="55C1EA31"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’s spouse, or</w:t>
      </w:r>
    </w:p>
    <w:p w14:paraId="6BA610C4" w14:textId="77777777" w:rsidR="00AB7AF9" w:rsidRPr="008B3051" w:rsidRDefault="00AB7AF9" w:rsidP="00AB7AF9">
      <w:pPr>
        <w:shd w:val="clear" w:color="auto" w:fill="FFFFFF"/>
        <w:rPr>
          <w:rFonts w:ascii="Verdana" w:hAnsi="Verdana"/>
        </w:rPr>
      </w:pPr>
      <w:bookmarkStart w:id="390" w:name="f_1_A_iii"/>
      <w:bookmarkEnd w:id="390"/>
      <w:r w:rsidRPr="008B3051">
        <w:rPr>
          <w:rStyle w:val="num"/>
          <w:rFonts w:ascii="Verdana" w:hAnsi="Verdana"/>
          <w:b/>
          <w:bCs/>
        </w:rPr>
        <w:t>(iii)</w:t>
      </w:r>
    </w:p>
    <w:p w14:paraId="5CDE1E8C" w14:textId="0B2A1CA8" w:rsidR="00AB7AF9" w:rsidRPr="008B3051" w:rsidRDefault="00AB7AF9" w:rsidP="00AB7AF9">
      <w:pPr>
        <w:shd w:val="clear" w:color="auto" w:fill="FFFFFF"/>
        <w:rPr>
          <w:rFonts w:ascii="Verdana" w:hAnsi="Verdana"/>
        </w:rPr>
      </w:pPr>
      <w:r w:rsidRPr="008B3051">
        <w:rPr>
          <w:rFonts w:ascii="Verdana" w:hAnsi="Verdana"/>
        </w:rPr>
        <w:t>any </w:t>
      </w:r>
      <w:r w:rsidRPr="008B3051">
        <w:rPr>
          <w:rStyle w:val="Hyperlink"/>
          <w:rFonts w:ascii="Verdana" w:hAnsi="Verdana"/>
          <w:color w:val="auto"/>
        </w:rPr>
        <w:t>dependent</w:t>
      </w:r>
      <w:r w:rsidRPr="008B3051">
        <w:rPr>
          <w:rFonts w:ascii="Verdana" w:hAnsi="Verdana"/>
        </w:rPr>
        <w:t> of the taxpayer with respect to whom the taxpayer is allowed a deduction under section 151,</w:t>
      </w:r>
    </w:p>
    <w:p w14:paraId="5046B7B3" w14:textId="31958907" w:rsidR="00AB7AF9" w:rsidRPr="008B3051" w:rsidRDefault="00AB7AF9" w:rsidP="00AB7AF9">
      <w:pPr>
        <w:shd w:val="clear" w:color="auto" w:fill="FFFFFF"/>
        <w:rPr>
          <w:rFonts w:ascii="Verdana" w:hAnsi="Verdana"/>
        </w:rPr>
      </w:pPr>
      <w:r w:rsidRPr="008B3051">
        <w:rPr>
          <w:rFonts w:ascii="Verdana" w:hAnsi="Verdana"/>
        </w:rPr>
        <w:t>at an </w:t>
      </w:r>
      <w:r w:rsidRPr="008B3051">
        <w:rPr>
          <w:rStyle w:val="Hyperlink"/>
          <w:rFonts w:ascii="Verdana" w:hAnsi="Verdana"/>
          <w:color w:val="auto"/>
        </w:rPr>
        <w:t>eligible educational institution</w:t>
      </w:r>
      <w:r w:rsidRPr="008B3051">
        <w:rPr>
          <w:rFonts w:ascii="Verdana" w:hAnsi="Verdana"/>
        </w:rPr>
        <w:t> for courses of instruction of such individual at such institution.</w:t>
      </w:r>
    </w:p>
    <w:p w14:paraId="44023BDF" w14:textId="77777777" w:rsidR="00AB7AF9" w:rsidRPr="008B3051" w:rsidRDefault="00AB7AF9" w:rsidP="00AB7AF9">
      <w:pPr>
        <w:shd w:val="clear" w:color="auto" w:fill="FFFFFF"/>
        <w:rPr>
          <w:rFonts w:ascii="Verdana" w:hAnsi="Verdana"/>
        </w:rPr>
      </w:pPr>
      <w:bookmarkStart w:id="391" w:name="f_1_B"/>
      <w:bookmarkEnd w:id="391"/>
      <w:r w:rsidRPr="008B3051">
        <w:rPr>
          <w:rStyle w:val="num"/>
          <w:rFonts w:ascii="Verdana" w:hAnsi="Verdana"/>
          <w:b/>
          <w:bCs/>
        </w:rPr>
        <w:t>(B)</w:t>
      </w:r>
      <w:r w:rsidRPr="008B3051">
        <w:rPr>
          <w:rStyle w:val="heading"/>
          <w:rFonts w:ascii="Verdana" w:hAnsi="Verdana"/>
          <w:b/>
          <w:bCs/>
        </w:rPr>
        <w:t>Exception for education involving sports, etc.</w:t>
      </w:r>
    </w:p>
    <w:p w14:paraId="24BFBECB"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Such term does not include expenses with respect to any course or other education involving sports, games, or hobbies, unless such course or other education is part of the individual’s degree program.</w:t>
      </w:r>
    </w:p>
    <w:p w14:paraId="6B0730FC" w14:textId="77777777" w:rsidR="00AB7AF9" w:rsidRPr="008B3051" w:rsidRDefault="00AB7AF9" w:rsidP="00AB7AF9">
      <w:pPr>
        <w:shd w:val="clear" w:color="auto" w:fill="FFFFFF"/>
        <w:rPr>
          <w:rFonts w:ascii="Verdana" w:hAnsi="Verdana"/>
        </w:rPr>
      </w:pPr>
      <w:bookmarkStart w:id="392" w:name="f_1_C"/>
      <w:bookmarkEnd w:id="392"/>
      <w:r w:rsidRPr="008B3051">
        <w:rPr>
          <w:rStyle w:val="num"/>
          <w:rFonts w:ascii="Verdana" w:hAnsi="Verdana"/>
          <w:b/>
          <w:bCs/>
        </w:rPr>
        <w:t>(C)</w:t>
      </w:r>
      <w:r w:rsidRPr="008B3051">
        <w:rPr>
          <w:rStyle w:val="heading"/>
          <w:rFonts w:ascii="Verdana" w:hAnsi="Verdana"/>
          <w:b/>
          <w:bCs/>
        </w:rPr>
        <w:t>Exception for nonacademic fees</w:t>
      </w:r>
    </w:p>
    <w:p w14:paraId="0DEF1914" w14:textId="22CB41F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Such term does not include </w:t>
      </w:r>
      <w:r w:rsidRPr="008B3051">
        <w:rPr>
          <w:rStyle w:val="Hyperlink"/>
          <w:rFonts w:ascii="Verdana" w:hAnsi="Verdana"/>
          <w:color w:val="auto"/>
        </w:rPr>
        <w:t>student</w:t>
      </w:r>
      <w:r w:rsidRPr="008B3051">
        <w:rPr>
          <w:rFonts w:ascii="Verdana" w:hAnsi="Verdana"/>
        </w:rPr>
        <w:t> activity fees, athletic fees, insurance expenses, or other expenses unrelated to an individual’s academic course of instruction.</w:t>
      </w:r>
    </w:p>
    <w:p w14:paraId="28A1CC8A" w14:textId="3AD89F5B"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Eligible educational institution</w:t>
      </w:r>
      <w:r w:rsidRPr="008B3051">
        <w:rPr>
          <w:rStyle w:val="chapeau"/>
          <w:rFonts w:ascii="Verdana" w:hAnsi="Verdana"/>
        </w:rPr>
        <w:t>The term “</w:t>
      </w:r>
      <w:r w:rsidRPr="008B3051">
        <w:rPr>
          <w:rStyle w:val="Hyperlink"/>
          <w:rFonts w:ascii="Verdana" w:hAnsi="Verdana"/>
          <w:color w:val="auto"/>
        </w:rPr>
        <w:t>eligible educational institution</w:t>
      </w:r>
      <w:r w:rsidRPr="008B3051">
        <w:rPr>
          <w:rStyle w:val="chapeau"/>
          <w:rFonts w:ascii="Verdana" w:hAnsi="Verdana"/>
        </w:rPr>
        <w:t>” means an institution—</w:t>
      </w:r>
    </w:p>
    <w:p w14:paraId="62308D6B"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(A)</w:t>
      </w:r>
    </w:p>
    <w:p w14:paraId="7BAE200D" w14:textId="4065F122" w:rsidR="00AB7AF9" w:rsidRPr="008B3051" w:rsidRDefault="00AB7AF9" w:rsidP="00AB7AF9">
      <w:pPr>
        <w:shd w:val="clear" w:color="auto" w:fill="FFFFFF"/>
        <w:rPr>
          <w:rFonts w:ascii="Verdana" w:hAnsi="Verdana"/>
        </w:rPr>
      </w:pPr>
      <w:r w:rsidRPr="008B3051">
        <w:rPr>
          <w:rFonts w:ascii="Verdana" w:hAnsi="Verdana"/>
        </w:rPr>
        <w:t>which is described in section 481 of the Higher Education Act of 1965 (</w:t>
      </w:r>
      <w:r w:rsidRPr="008B3051">
        <w:rPr>
          <w:rStyle w:val="Hyperlink"/>
          <w:rFonts w:ascii="Verdana" w:hAnsi="Verdana"/>
          <w:color w:val="auto"/>
        </w:rPr>
        <w:t>20 U.S.C. 1088</w:t>
      </w:r>
      <w:r w:rsidRPr="008B3051">
        <w:rPr>
          <w:rFonts w:ascii="Verdana" w:hAnsi="Verdana"/>
        </w:rPr>
        <w:t>), as in effect on the date of the enactment of this section, and</w:t>
      </w:r>
    </w:p>
    <w:p w14:paraId="62109F4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32BBAA6F" w14:textId="77777777" w:rsidR="00AB7AF9" w:rsidRPr="008B3051" w:rsidRDefault="00AB7AF9" w:rsidP="00AB7AF9">
      <w:pPr>
        <w:shd w:val="clear" w:color="auto" w:fill="FFFFFF"/>
        <w:rPr>
          <w:rFonts w:ascii="Verdana" w:hAnsi="Verdana"/>
        </w:rPr>
      </w:pPr>
      <w:r w:rsidRPr="008B3051">
        <w:rPr>
          <w:rFonts w:ascii="Verdana" w:hAnsi="Verdana"/>
        </w:rPr>
        <w:t>which is eligible to participate in a program under title IV of such Act.</w:t>
      </w:r>
    </w:p>
    <w:p w14:paraId="648621EA" w14:textId="77777777"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Special rules</w:t>
      </w:r>
    </w:p>
    <w:p w14:paraId="08CFF3B0"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Identification requirement</w:t>
      </w:r>
    </w:p>
    <w:p w14:paraId="2CC46D12" w14:textId="3F59345A"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to a </w:t>
      </w:r>
      <w:r w:rsidRPr="008B3051">
        <w:rPr>
          <w:rStyle w:val="Hyperlink"/>
          <w:rFonts w:ascii="Verdana" w:hAnsi="Verdana"/>
          <w:color w:val="auto"/>
        </w:rPr>
        <w:t>taxpayer</w:t>
      </w:r>
      <w:r w:rsidRPr="008B3051">
        <w:rPr>
          <w:rFonts w:ascii="Verdana" w:hAnsi="Verdana"/>
        </w:rPr>
        <w:t> with respect to the </w:t>
      </w:r>
      <w:r w:rsidRPr="008B3051">
        <w:rPr>
          <w:rStyle w:val="Hyperlink"/>
          <w:rFonts w:ascii="Verdana" w:hAnsi="Verdana"/>
          <w:color w:val="auto"/>
        </w:rPr>
        <w:t>qualified tuition and related expenses</w:t>
      </w:r>
      <w:r w:rsidRPr="008B3051">
        <w:rPr>
          <w:rFonts w:ascii="Verdana" w:hAnsi="Verdana"/>
        </w:rPr>
        <w:t> of an individual unless the taxpayer includes the name and taxpayer identification number of such individual on the return of tax for the taxable year.</w:t>
      </w:r>
    </w:p>
    <w:p w14:paraId="069925FB" w14:textId="2AD5B42B"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Adjustment for certain scholarships, etc.</w:t>
      </w:r>
      <w:r w:rsidRPr="008B3051">
        <w:rPr>
          <w:rStyle w:val="chapeau"/>
          <w:rFonts w:ascii="Verdana" w:hAnsi="Verdana"/>
        </w:rPr>
        <w:t>The amount of </w:t>
      </w:r>
      <w:r w:rsidRPr="008B3051">
        <w:rPr>
          <w:rStyle w:val="Hyperlink"/>
          <w:rFonts w:ascii="Verdana" w:hAnsi="Verdana"/>
          <w:color w:val="auto"/>
        </w:rPr>
        <w:t>qualified tuition and related expenses</w:t>
      </w:r>
      <w:r w:rsidRPr="008B3051">
        <w:rPr>
          <w:rStyle w:val="chapeau"/>
          <w:rFonts w:ascii="Verdana" w:hAnsi="Verdana"/>
        </w:rPr>
        <w:t>otherwise taken into account under subsection (a) with respect to an individual for an academic period shall be reduced (before the application of subsections (b), (c), and (d)) by the sum of any amounts paid for the benefit of such individual which are allocable to such period as—</w:t>
      </w:r>
    </w:p>
    <w:p w14:paraId="3C52CAE0"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4F3DD229" w14:textId="127FEF72" w:rsidR="00AB7AF9" w:rsidRPr="008B3051" w:rsidRDefault="00AB7AF9" w:rsidP="00AB7AF9">
      <w:pPr>
        <w:shd w:val="clear" w:color="auto" w:fill="FFFFFF"/>
        <w:rPr>
          <w:rFonts w:ascii="Verdana" w:hAnsi="Verdana"/>
        </w:rPr>
      </w:pPr>
      <w:r w:rsidRPr="008B3051">
        <w:rPr>
          <w:rFonts w:ascii="Verdana" w:hAnsi="Verdana"/>
        </w:rPr>
        <w:t>a qualified scholarship which is excludable from </w:t>
      </w:r>
      <w:r w:rsidRPr="008B3051">
        <w:rPr>
          <w:rStyle w:val="Hyperlink"/>
          <w:rFonts w:ascii="Verdana" w:hAnsi="Verdana"/>
          <w:color w:val="auto"/>
        </w:rPr>
        <w:t>gross income</w:t>
      </w:r>
      <w:r w:rsidRPr="008B3051">
        <w:rPr>
          <w:rFonts w:ascii="Verdana" w:hAnsi="Verdana"/>
        </w:rPr>
        <w:t> under section 117,</w:t>
      </w:r>
    </w:p>
    <w:p w14:paraId="11B4401F"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4B0C94D7" w14:textId="67343C96" w:rsidR="00AB7AF9" w:rsidRPr="008B3051" w:rsidRDefault="00AB7AF9" w:rsidP="00AB7AF9">
      <w:pPr>
        <w:shd w:val="clear" w:color="auto" w:fill="FFFFFF"/>
        <w:rPr>
          <w:rFonts w:ascii="Verdana" w:hAnsi="Verdana"/>
        </w:rPr>
      </w:pPr>
      <w:r w:rsidRPr="008B3051">
        <w:rPr>
          <w:rFonts w:ascii="Verdana" w:hAnsi="Verdana"/>
        </w:rPr>
        <w:t>an educational assistance allowance under chapter </w:t>
      </w:r>
      <w:r w:rsidRPr="008B3051">
        <w:rPr>
          <w:rStyle w:val="Hyperlink"/>
          <w:rFonts w:ascii="Verdana" w:hAnsi="Verdana"/>
          <w:color w:val="auto"/>
        </w:rPr>
        <w:t>30</w:t>
      </w:r>
      <w:r w:rsidRPr="008B3051">
        <w:rPr>
          <w:rFonts w:ascii="Verdana" w:hAnsi="Verdana"/>
        </w:rPr>
        <w:t>, </w:t>
      </w:r>
      <w:r w:rsidRPr="008B3051">
        <w:rPr>
          <w:rStyle w:val="Hyperlink"/>
          <w:rFonts w:ascii="Verdana" w:hAnsi="Verdana"/>
          <w:color w:val="auto"/>
        </w:rPr>
        <w:t>31</w:t>
      </w:r>
      <w:r w:rsidRPr="008B3051">
        <w:rPr>
          <w:rFonts w:ascii="Verdana" w:hAnsi="Verdana"/>
        </w:rPr>
        <w:t>, </w:t>
      </w:r>
      <w:r w:rsidRPr="008B3051">
        <w:rPr>
          <w:rStyle w:val="Hyperlink"/>
          <w:rFonts w:ascii="Verdana" w:hAnsi="Verdana"/>
          <w:color w:val="auto"/>
        </w:rPr>
        <w:t>32</w:t>
      </w:r>
      <w:r w:rsidRPr="008B3051">
        <w:rPr>
          <w:rFonts w:ascii="Verdana" w:hAnsi="Verdana"/>
        </w:rPr>
        <w:t>, </w:t>
      </w:r>
      <w:r w:rsidRPr="008B3051">
        <w:rPr>
          <w:rStyle w:val="Hyperlink"/>
          <w:rFonts w:ascii="Verdana" w:hAnsi="Verdana"/>
          <w:color w:val="auto"/>
        </w:rPr>
        <w:t>34</w:t>
      </w:r>
      <w:r w:rsidRPr="008B3051">
        <w:rPr>
          <w:rFonts w:ascii="Verdana" w:hAnsi="Verdana"/>
        </w:rPr>
        <w:t>, or </w:t>
      </w:r>
      <w:r w:rsidRPr="008B3051">
        <w:rPr>
          <w:rStyle w:val="Hyperlink"/>
          <w:rFonts w:ascii="Verdana" w:hAnsi="Verdana"/>
          <w:color w:val="auto"/>
        </w:rPr>
        <w:t>35</w:t>
      </w:r>
      <w:r w:rsidRPr="008B3051">
        <w:rPr>
          <w:rFonts w:ascii="Verdana" w:hAnsi="Verdana"/>
        </w:rPr>
        <w:t> of title </w:t>
      </w:r>
      <w:r w:rsidRPr="008B3051">
        <w:rPr>
          <w:rStyle w:val="Hyperlink"/>
          <w:rFonts w:ascii="Verdana" w:hAnsi="Verdana"/>
          <w:color w:val="auto"/>
        </w:rPr>
        <w:t>38</w:t>
      </w:r>
      <w:r w:rsidRPr="008B3051">
        <w:rPr>
          <w:rFonts w:ascii="Verdana" w:hAnsi="Verdana"/>
        </w:rPr>
        <w:t>, United States Code, or under </w:t>
      </w:r>
      <w:r w:rsidRPr="008B3051">
        <w:rPr>
          <w:rStyle w:val="Hyperlink"/>
          <w:rFonts w:ascii="Verdana" w:hAnsi="Verdana"/>
          <w:color w:val="auto"/>
        </w:rPr>
        <w:t>chapter 1606 of title 10,</w:t>
      </w:r>
      <w:r w:rsidRPr="008B3051">
        <w:rPr>
          <w:rFonts w:ascii="Verdana" w:hAnsi="Verdana"/>
        </w:rPr>
        <w:t> United States Code, and</w:t>
      </w:r>
    </w:p>
    <w:p w14:paraId="3CB6E30F"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4F317FF4" w14:textId="5DA52851" w:rsidR="00AB7AF9" w:rsidRPr="008B3051" w:rsidRDefault="00AB7AF9" w:rsidP="00AB7AF9">
      <w:pPr>
        <w:shd w:val="clear" w:color="auto" w:fill="FFFFFF"/>
        <w:rPr>
          <w:rFonts w:ascii="Verdana" w:hAnsi="Verdana"/>
        </w:rPr>
      </w:pPr>
      <w:r w:rsidRPr="008B3051">
        <w:rPr>
          <w:rFonts w:ascii="Verdana" w:hAnsi="Verdana"/>
        </w:rPr>
        <w:t>a </w:t>
      </w:r>
      <w:r w:rsidRPr="008B3051">
        <w:rPr>
          <w:rStyle w:val="Hyperlink"/>
          <w:rFonts w:ascii="Verdana" w:hAnsi="Verdana"/>
          <w:color w:val="auto"/>
        </w:rPr>
        <w:t>payment</w:t>
      </w:r>
      <w:r w:rsidRPr="008B3051">
        <w:rPr>
          <w:rFonts w:ascii="Verdana" w:hAnsi="Verdana"/>
        </w:rPr>
        <w:t> (other than a gift, bequest, devise, or inheritance within the meaning of section 102(a)) for such individual’s educational expenses, or attributable to such individual’s enrollment at an </w:t>
      </w:r>
      <w:r w:rsidRPr="008B3051">
        <w:rPr>
          <w:rStyle w:val="Hyperlink"/>
          <w:rFonts w:ascii="Verdana" w:hAnsi="Verdana"/>
          <w:color w:val="auto"/>
        </w:rPr>
        <w:t>eligible educational institution</w:t>
      </w:r>
      <w:r w:rsidRPr="008B3051">
        <w:rPr>
          <w:rFonts w:ascii="Verdana" w:hAnsi="Verdana"/>
        </w:rPr>
        <w:t>, which is excludable from gross income under any law of the United States.</w:t>
      </w:r>
    </w:p>
    <w:p w14:paraId="390694C0" w14:textId="11CDAE0A"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Treatment of expenses paid by dependent</w:t>
      </w:r>
      <w:r w:rsidRPr="008B3051">
        <w:rPr>
          <w:rStyle w:val="chapeau"/>
          <w:rFonts w:ascii="Verdana" w:hAnsi="Verdana"/>
        </w:rPr>
        <w:t>If a deduction under </w:t>
      </w:r>
      <w:r w:rsidRPr="008B3051">
        <w:rPr>
          <w:rStyle w:val="Hyperlink"/>
          <w:rFonts w:ascii="Verdana" w:hAnsi="Verdana"/>
          <w:color w:val="auto"/>
        </w:rPr>
        <w:t>section 151</w:t>
      </w:r>
      <w:r w:rsidRPr="008B3051">
        <w:rPr>
          <w:rStyle w:val="chapeau"/>
          <w:rFonts w:ascii="Verdana" w:hAnsi="Verdana"/>
        </w:rPr>
        <w:t> with respect to an individual is allowed to another taxpayer for a taxable year beginning in the calendar year in which such individual’s taxable year begins—</w:t>
      </w:r>
    </w:p>
    <w:p w14:paraId="4C854CCF"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30E090D8" w14:textId="795250B2" w:rsidR="00AB7AF9" w:rsidRPr="008B3051" w:rsidRDefault="00AB7AF9" w:rsidP="00AB7AF9">
      <w:pPr>
        <w:shd w:val="clear" w:color="auto" w:fill="FFFFFF"/>
        <w:rPr>
          <w:rFonts w:ascii="Verdana" w:hAnsi="Verdana"/>
        </w:rPr>
      </w:pPr>
      <w:r w:rsidRPr="008B3051">
        <w:rPr>
          <w:rFonts w:ascii="Verdana" w:hAnsi="Verdana"/>
        </w:rPr>
        <w:t>no credit shall be allowed under subsection (a) to such individual for such individual’s </w:t>
      </w:r>
      <w:r w:rsidRPr="008B3051">
        <w:rPr>
          <w:rStyle w:val="Hyperlink"/>
          <w:rFonts w:ascii="Verdana" w:hAnsi="Verdana"/>
          <w:color w:val="auto"/>
        </w:rPr>
        <w:t>taxable year</w:t>
      </w:r>
      <w:r w:rsidRPr="008B3051">
        <w:rPr>
          <w:rFonts w:ascii="Verdana" w:hAnsi="Verdana"/>
        </w:rPr>
        <w:t>,</w:t>
      </w:r>
    </w:p>
    <w:p w14:paraId="32217AAC"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496BE7E8" w14:textId="50ACFDC0" w:rsidR="00AB7AF9" w:rsidRPr="008B3051" w:rsidRDefault="00AB7AF9" w:rsidP="00AB7AF9">
      <w:pPr>
        <w:shd w:val="clear" w:color="auto" w:fill="FFFFFF"/>
        <w:rPr>
          <w:rFonts w:ascii="Verdana" w:hAnsi="Verdana"/>
        </w:rPr>
      </w:pPr>
      <w:r w:rsidRPr="008B3051">
        <w:rPr>
          <w:rStyle w:val="Hyperlink"/>
          <w:rFonts w:ascii="Verdana" w:hAnsi="Verdana"/>
          <w:color w:val="auto"/>
        </w:rPr>
        <w:lastRenderedPageBreak/>
        <w:t>qualified tuition and related expenses</w:t>
      </w:r>
      <w:r w:rsidRPr="008B3051">
        <w:rPr>
          <w:rFonts w:ascii="Verdana" w:hAnsi="Verdana"/>
        </w:rPr>
        <w:t> paid by such individual during such individual’s taxable year shall be treated for purposes of this section as paid by such other taxpayer, and</w:t>
      </w:r>
    </w:p>
    <w:p w14:paraId="4BAC9DCD"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382E983E" w14:textId="188CF21B" w:rsidR="00AB7AF9" w:rsidRPr="008B3051" w:rsidRDefault="00AB7AF9" w:rsidP="00AB7AF9">
      <w:pPr>
        <w:shd w:val="clear" w:color="auto" w:fill="FFFFFF"/>
        <w:rPr>
          <w:rFonts w:ascii="Verdana" w:hAnsi="Verdana"/>
        </w:rPr>
      </w:pPr>
      <w:r w:rsidRPr="008B3051">
        <w:rPr>
          <w:rFonts w:ascii="Verdana" w:hAnsi="Verdana"/>
        </w:rPr>
        <w:t>a statement described in paragraph (8) and received by such individual shall be treated as received by the </w:t>
      </w:r>
      <w:r w:rsidRPr="008B3051">
        <w:rPr>
          <w:rStyle w:val="Hyperlink"/>
          <w:rFonts w:ascii="Verdana" w:hAnsi="Verdana"/>
          <w:color w:val="auto"/>
        </w:rPr>
        <w:t>taxpayer</w:t>
      </w:r>
      <w:r w:rsidRPr="008B3051">
        <w:rPr>
          <w:rFonts w:ascii="Verdana" w:hAnsi="Verdana"/>
        </w:rPr>
        <w:t>.</w:t>
      </w:r>
    </w:p>
    <w:p w14:paraId="6E934309"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Treatment of certain prepayments</w:t>
      </w:r>
    </w:p>
    <w:p w14:paraId="227F992C" w14:textId="1D074DB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w:t>
      </w:r>
      <w:r w:rsidRPr="008B3051">
        <w:rPr>
          <w:rStyle w:val="Hyperlink"/>
          <w:rFonts w:ascii="Verdana" w:hAnsi="Verdana"/>
          <w:color w:val="auto"/>
        </w:rPr>
        <w:t>qualified tuition and related expenses</w:t>
      </w:r>
      <w:r w:rsidRPr="008B3051">
        <w:rPr>
          <w:rFonts w:ascii="Verdana" w:hAnsi="Verdana"/>
        </w:rPr>
        <w:t> are paid by the taxpayer during a taxable year for an academic period which begins during the first 3 months following such taxable year, such academic period shall be treated for purposes of this section as beginning during such taxable year.</w:t>
      </w:r>
    </w:p>
    <w:p w14:paraId="1423EBDA" w14:textId="77777777"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Denial of double benefit</w:t>
      </w:r>
    </w:p>
    <w:p w14:paraId="411BCCE2"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for any expense for which a deduction is allowed under any other provision of this chapter.</w:t>
      </w:r>
    </w:p>
    <w:p w14:paraId="628FC6E7" w14:textId="77777777" w:rsidR="00AB7AF9" w:rsidRPr="008B3051" w:rsidRDefault="00AB7AF9" w:rsidP="00AB7AF9">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No credit for married individuals filing separate returns</w:t>
      </w:r>
    </w:p>
    <w:p w14:paraId="40CE6CBA" w14:textId="761898B1"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the </w:t>
      </w:r>
      <w:r w:rsidRPr="008B3051">
        <w:rPr>
          <w:rStyle w:val="Hyperlink"/>
          <w:rFonts w:ascii="Verdana" w:hAnsi="Verdana"/>
          <w:color w:val="auto"/>
        </w:rPr>
        <w:t>taxpayer</w:t>
      </w:r>
      <w:r w:rsidRPr="008B3051">
        <w:rPr>
          <w:rFonts w:ascii="Verdana" w:hAnsi="Verdana"/>
        </w:rPr>
        <w:t> is a married individual (within the meaning of section 7703), this section shall apply only if the </w:t>
      </w:r>
      <w:r w:rsidRPr="008B3051">
        <w:rPr>
          <w:rStyle w:val="Hyperlink"/>
          <w:rFonts w:ascii="Verdana" w:hAnsi="Verdana"/>
          <w:color w:val="auto"/>
        </w:rPr>
        <w:t>taxpayer</w:t>
      </w:r>
      <w:r w:rsidRPr="008B3051">
        <w:rPr>
          <w:rFonts w:ascii="Verdana" w:hAnsi="Verdana"/>
        </w:rPr>
        <w:t> and the </w:t>
      </w:r>
      <w:r w:rsidRPr="008B3051">
        <w:rPr>
          <w:rStyle w:val="Hyperlink"/>
          <w:rFonts w:ascii="Verdana" w:hAnsi="Verdana"/>
          <w:color w:val="auto"/>
        </w:rPr>
        <w:t>taxpayer</w:t>
      </w:r>
      <w:r w:rsidRPr="008B3051">
        <w:rPr>
          <w:rFonts w:ascii="Verdana" w:hAnsi="Verdana"/>
        </w:rPr>
        <w:t>’s spouse file a </w:t>
      </w:r>
      <w:r w:rsidRPr="008B3051">
        <w:rPr>
          <w:rStyle w:val="Hyperlink"/>
          <w:rFonts w:ascii="Verdana" w:hAnsi="Verdana"/>
          <w:color w:val="auto"/>
        </w:rPr>
        <w:t>joint return</w:t>
      </w:r>
      <w:r w:rsidRPr="008B3051">
        <w:rPr>
          <w:rFonts w:ascii="Verdana" w:hAnsi="Verdana"/>
        </w:rPr>
        <w:t> for the taxable year.</w:t>
      </w:r>
    </w:p>
    <w:p w14:paraId="4A2DE91F" w14:textId="77777777" w:rsidR="00AB7AF9" w:rsidRPr="008B3051" w:rsidRDefault="00AB7AF9" w:rsidP="00AB7AF9">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Nonresident aliens</w:t>
      </w:r>
    </w:p>
    <w:p w14:paraId="5E552406" w14:textId="7BE7646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the </w:t>
      </w:r>
      <w:r w:rsidRPr="008B3051">
        <w:rPr>
          <w:rStyle w:val="Hyperlink"/>
          <w:rFonts w:ascii="Verdana" w:hAnsi="Verdana"/>
          <w:color w:val="auto"/>
        </w:rPr>
        <w:t>taxpayer</w:t>
      </w:r>
      <w:r w:rsidRPr="008B3051">
        <w:rPr>
          <w:rFonts w:ascii="Verdana" w:hAnsi="Verdana"/>
        </w:rPr>
        <w:t> is a nonresident alien individual for any portion of the </w:t>
      </w:r>
      <w:r w:rsidRPr="008B3051">
        <w:rPr>
          <w:rStyle w:val="Hyperlink"/>
          <w:rFonts w:ascii="Verdana" w:hAnsi="Verdana"/>
          <w:color w:val="auto"/>
        </w:rPr>
        <w:t>taxable year</w:t>
      </w:r>
      <w:r w:rsidRPr="008B3051">
        <w:rPr>
          <w:rFonts w:ascii="Verdana" w:hAnsi="Verdana"/>
        </w:rPr>
        <w:t>, this section shall apply only if such individual is treated as a resident alien of the </w:t>
      </w:r>
      <w:r w:rsidRPr="008B3051">
        <w:rPr>
          <w:rStyle w:val="Hyperlink"/>
          <w:rFonts w:ascii="Verdana" w:hAnsi="Verdana"/>
          <w:color w:val="auto"/>
        </w:rPr>
        <w:t>United States</w:t>
      </w:r>
      <w:r w:rsidRPr="008B3051">
        <w:rPr>
          <w:rFonts w:ascii="Verdana" w:hAnsi="Verdana"/>
        </w:rPr>
        <w:t> for purposes of this chapter by reason of an election under subsection (g) or (h) of section 6013.</w:t>
      </w:r>
    </w:p>
    <w:p w14:paraId="0353EB40" w14:textId="77777777" w:rsidR="00AB7AF9" w:rsidRPr="008B3051" w:rsidRDefault="00AB7AF9" w:rsidP="00AB7AF9">
      <w:pPr>
        <w:shd w:val="clear" w:color="auto" w:fill="FFFFFF"/>
        <w:rPr>
          <w:rFonts w:ascii="Verdana" w:hAnsi="Verdana"/>
        </w:rPr>
      </w:pPr>
      <w:bookmarkStart w:id="393" w:name="g_8"/>
      <w:bookmarkEnd w:id="393"/>
      <w:r w:rsidRPr="008B3051">
        <w:rPr>
          <w:rStyle w:val="num"/>
          <w:rFonts w:ascii="Verdana" w:hAnsi="Verdana"/>
          <w:b/>
          <w:bCs/>
        </w:rPr>
        <w:t>(8)</w:t>
      </w:r>
      <w:r w:rsidRPr="008B3051">
        <w:rPr>
          <w:rStyle w:val="heading"/>
          <w:rFonts w:ascii="Verdana" w:hAnsi="Verdana"/>
          <w:b/>
          <w:bCs/>
          <w:smallCaps/>
        </w:rPr>
        <w:t>Payee statement requirement</w:t>
      </w:r>
    </w:p>
    <w:p w14:paraId="4574AD66" w14:textId="58BC6680"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Except as otherwise provided by the </w:t>
      </w:r>
      <w:r w:rsidRPr="008B3051">
        <w:rPr>
          <w:rStyle w:val="Hyperlink"/>
          <w:rFonts w:ascii="Verdana" w:hAnsi="Verdana"/>
          <w:color w:val="auto"/>
        </w:rPr>
        <w:t>Secretary</w:t>
      </w:r>
      <w:r w:rsidRPr="008B3051">
        <w:rPr>
          <w:rFonts w:ascii="Verdana" w:hAnsi="Verdana"/>
        </w:rPr>
        <w:t>, no credit shall be allowed under this section unless the taxpayer receives a statement furnished under section 6050S(d) which contains all of the information required by paragraph (2) thereof.</w:t>
      </w:r>
    </w:p>
    <w:p w14:paraId="282CEFE9" w14:textId="77777777" w:rsidR="00AB7AF9" w:rsidRPr="008B3051" w:rsidRDefault="00AB7AF9" w:rsidP="00AB7AF9">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Inflation adjustments</w:t>
      </w:r>
    </w:p>
    <w:p w14:paraId="5EFC7D8F"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Dollar limitation on amount of credit</w:t>
      </w:r>
    </w:p>
    <w:p w14:paraId="1769AE78" w14:textId="184A0251"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In the case of a </w:t>
      </w:r>
      <w:r w:rsidRPr="008B3051">
        <w:rPr>
          <w:rStyle w:val="Hyperlink"/>
          <w:rFonts w:ascii="Verdana" w:hAnsi="Verdana"/>
          <w:color w:val="auto"/>
        </w:rPr>
        <w:t>taxable year</w:t>
      </w:r>
      <w:r w:rsidRPr="008B3051">
        <w:rPr>
          <w:rStyle w:val="chapeau"/>
          <w:rFonts w:ascii="Verdana" w:hAnsi="Verdana"/>
        </w:rPr>
        <w:t> beginning after 2001, each of the $1,000 amounts under subsection (b)(1) shall be increased by an amount equal to—</w:t>
      </w:r>
    </w:p>
    <w:p w14:paraId="4C56EB10"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3D84AADE" w14:textId="77777777" w:rsidR="00AB7AF9" w:rsidRPr="008B3051" w:rsidRDefault="00AB7AF9" w:rsidP="00AB7AF9">
      <w:pPr>
        <w:shd w:val="clear" w:color="auto" w:fill="FFFFFF"/>
        <w:rPr>
          <w:rFonts w:ascii="Verdana" w:hAnsi="Verdana"/>
        </w:rPr>
      </w:pPr>
      <w:r w:rsidRPr="008B3051">
        <w:rPr>
          <w:rFonts w:ascii="Verdana" w:hAnsi="Verdana"/>
        </w:rPr>
        <w:t>such dollar amount, multiplied by</w:t>
      </w:r>
    </w:p>
    <w:p w14:paraId="259BC943"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6484D52C" w14:textId="567C0EAA" w:rsidR="00AB7AF9" w:rsidRPr="008B3051" w:rsidRDefault="00AB7AF9" w:rsidP="00AB7AF9">
      <w:pPr>
        <w:shd w:val="clear" w:color="auto" w:fill="FFFFFF"/>
        <w:rPr>
          <w:rFonts w:ascii="Verdana" w:hAnsi="Verdana"/>
        </w:rPr>
      </w:pPr>
      <w:r w:rsidRPr="008B3051">
        <w:rPr>
          <w:rFonts w:ascii="Verdana" w:hAnsi="Verdana"/>
        </w:rPr>
        <w:lastRenderedPageBreak/>
        <w:t>the cost-of-living adjustment determined under section 1(f)(3) for the </w:t>
      </w:r>
      <w:r w:rsidRPr="008B3051">
        <w:rPr>
          <w:rStyle w:val="Hyperlink"/>
          <w:rFonts w:ascii="Verdana" w:hAnsi="Verdana"/>
          <w:color w:val="auto"/>
        </w:rPr>
        <w:t>calendar year</w:t>
      </w:r>
      <w:r w:rsidRPr="008B3051">
        <w:rPr>
          <w:rFonts w:ascii="Verdana" w:hAnsi="Verdana"/>
        </w:rPr>
        <w:t> in which the taxable year begins, determined by substituting “</w:t>
      </w:r>
      <w:r w:rsidRPr="008B3051">
        <w:rPr>
          <w:rStyle w:val="Hyperlink"/>
          <w:rFonts w:ascii="Verdana" w:hAnsi="Verdana"/>
          <w:color w:val="auto"/>
        </w:rPr>
        <w:t>calendar year</w:t>
      </w:r>
      <w:r w:rsidRPr="008B3051">
        <w:rPr>
          <w:rFonts w:ascii="Verdana" w:hAnsi="Verdana"/>
        </w:rPr>
        <w:t> 2000” for “</w:t>
      </w:r>
      <w:r w:rsidRPr="008B3051">
        <w:rPr>
          <w:rStyle w:val="Hyperlink"/>
          <w:rFonts w:ascii="Verdana" w:hAnsi="Verdana"/>
          <w:color w:val="auto"/>
        </w:rPr>
        <w:t>calendar year 2016</w:t>
      </w:r>
      <w:r w:rsidRPr="008B3051">
        <w:rPr>
          <w:rFonts w:ascii="Verdana" w:hAnsi="Verdana"/>
        </w:rPr>
        <w:t>” in subparagraph (A)(ii) thereof.</w:t>
      </w:r>
    </w:p>
    <w:p w14:paraId="56F2DDE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Rounding</w:t>
      </w:r>
    </w:p>
    <w:p w14:paraId="3E38272F"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any amount as adjusted under subparagraph (A) is not a multiple of $100, such amount shall be rounded to the next lowest multiple of $100.</w:t>
      </w:r>
    </w:p>
    <w:p w14:paraId="0B44135D"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Income limits</w:t>
      </w:r>
    </w:p>
    <w:p w14:paraId="4DA78FBB" w14:textId="105B40DD" w:rsidR="00AB7AF9" w:rsidRPr="008B3051" w:rsidRDefault="00AB7AF9" w:rsidP="00AB7AF9">
      <w:pPr>
        <w:shd w:val="clear" w:color="auto" w:fill="FFFFFF"/>
        <w:rPr>
          <w:rFonts w:ascii="Verdana" w:hAnsi="Verdana"/>
        </w:rPr>
      </w:pPr>
      <w:bookmarkStart w:id="394" w:name="h_2_A"/>
      <w:bookmarkEnd w:id="394"/>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In the case of a </w:t>
      </w:r>
      <w:r w:rsidRPr="008B3051">
        <w:rPr>
          <w:rStyle w:val="Hyperlink"/>
          <w:rFonts w:ascii="Verdana" w:hAnsi="Verdana"/>
          <w:color w:val="auto"/>
        </w:rPr>
        <w:t>taxable year</w:t>
      </w:r>
      <w:r w:rsidRPr="008B3051">
        <w:rPr>
          <w:rStyle w:val="chapeau"/>
          <w:rFonts w:ascii="Verdana" w:hAnsi="Verdana"/>
        </w:rPr>
        <w:t> beginning after 2001, the $40,000 and $80,000 amounts in subsection (d)(2) shall each be increased by an amount equal to—</w:t>
      </w:r>
    </w:p>
    <w:p w14:paraId="3041D492" w14:textId="77777777" w:rsidR="00AB7AF9" w:rsidRPr="008B3051" w:rsidRDefault="00AB7AF9" w:rsidP="00AB7AF9">
      <w:pPr>
        <w:shd w:val="clear" w:color="auto" w:fill="FFFFFF"/>
        <w:rPr>
          <w:rFonts w:ascii="Verdana" w:hAnsi="Verdana"/>
        </w:rPr>
      </w:pPr>
      <w:bookmarkStart w:id="395" w:name="h_2_A_i"/>
      <w:bookmarkEnd w:id="395"/>
      <w:r w:rsidRPr="008B3051">
        <w:rPr>
          <w:rStyle w:val="num"/>
          <w:rFonts w:ascii="Verdana" w:hAnsi="Verdana"/>
          <w:b/>
          <w:bCs/>
        </w:rPr>
        <w:t>(i)</w:t>
      </w:r>
    </w:p>
    <w:p w14:paraId="6884C47F" w14:textId="77777777" w:rsidR="00AB7AF9" w:rsidRPr="008B3051" w:rsidRDefault="00AB7AF9" w:rsidP="00AB7AF9">
      <w:pPr>
        <w:shd w:val="clear" w:color="auto" w:fill="FFFFFF"/>
        <w:rPr>
          <w:rFonts w:ascii="Verdana" w:hAnsi="Verdana"/>
        </w:rPr>
      </w:pPr>
      <w:r w:rsidRPr="008B3051">
        <w:rPr>
          <w:rFonts w:ascii="Verdana" w:hAnsi="Verdana"/>
        </w:rPr>
        <w:t>such dollar amount, multiplied by</w:t>
      </w:r>
    </w:p>
    <w:p w14:paraId="487325B6" w14:textId="77777777" w:rsidR="00AB7AF9" w:rsidRPr="008B3051" w:rsidRDefault="00AB7AF9" w:rsidP="00AB7AF9">
      <w:pPr>
        <w:shd w:val="clear" w:color="auto" w:fill="FFFFFF"/>
        <w:rPr>
          <w:rFonts w:ascii="Verdana" w:hAnsi="Verdana"/>
        </w:rPr>
      </w:pPr>
      <w:bookmarkStart w:id="396" w:name="h_2_A_ii"/>
      <w:bookmarkEnd w:id="396"/>
      <w:r w:rsidRPr="008B3051">
        <w:rPr>
          <w:rStyle w:val="num"/>
          <w:rFonts w:ascii="Verdana" w:hAnsi="Verdana"/>
          <w:b/>
          <w:bCs/>
        </w:rPr>
        <w:t>(ii)</w:t>
      </w:r>
    </w:p>
    <w:p w14:paraId="047A8E56" w14:textId="66126D8C" w:rsidR="00AB7AF9" w:rsidRPr="008B3051" w:rsidRDefault="00AB7AF9" w:rsidP="00AB7AF9">
      <w:pPr>
        <w:shd w:val="clear" w:color="auto" w:fill="FFFFFF"/>
        <w:rPr>
          <w:rFonts w:ascii="Verdana" w:hAnsi="Verdana"/>
        </w:rPr>
      </w:pPr>
      <w:r w:rsidRPr="008B3051">
        <w:rPr>
          <w:rFonts w:ascii="Verdana" w:hAnsi="Verdana"/>
        </w:rPr>
        <w:t>the cost-of-living adjustment determined under section 1(f)(3) for the </w:t>
      </w:r>
      <w:r w:rsidRPr="008B3051">
        <w:rPr>
          <w:rStyle w:val="Hyperlink"/>
          <w:rFonts w:ascii="Verdana" w:hAnsi="Verdana"/>
          <w:color w:val="auto"/>
        </w:rPr>
        <w:t>calendar year</w:t>
      </w:r>
      <w:r w:rsidRPr="008B3051">
        <w:rPr>
          <w:rFonts w:ascii="Verdana" w:hAnsi="Verdana"/>
        </w:rPr>
        <w:t> in which the taxable year begins, determined by substituting “</w:t>
      </w:r>
      <w:r w:rsidRPr="008B3051">
        <w:rPr>
          <w:rStyle w:val="Hyperlink"/>
          <w:rFonts w:ascii="Verdana" w:hAnsi="Verdana"/>
          <w:color w:val="auto"/>
        </w:rPr>
        <w:t>calendar year</w:t>
      </w:r>
      <w:r w:rsidRPr="008B3051">
        <w:rPr>
          <w:rFonts w:ascii="Verdana" w:hAnsi="Verdana"/>
        </w:rPr>
        <w:t> 2000” for “</w:t>
      </w:r>
      <w:r w:rsidRPr="008B3051">
        <w:rPr>
          <w:rStyle w:val="Hyperlink"/>
          <w:rFonts w:ascii="Verdana" w:hAnsi="Verdana"/>
          <w:color w:val="auto"/>
        </w:rPr>
        <w:t>calendar year 2016</w:t>
      </w:r>
      <w:r w:rsidRPr="008B3051">
        <w:rPr>
          <w:rFonts w:ascii="Verdana" w:hAnsi="Verdana"/>
        </w:rPr>
        <w:t>” in subparagraph (A)(ii) thereof.</w:t>
      </w:r>
    </w:p>
    <w:p w14:paraId="6CB33D33" w14:textId="77777777" w:rsidR="00AB7AF9" w:rsidRPr="008B3051" w:rsidRDefault="00AB7AF9" w:rsidP="00AB7AF9">
      <w:pPr>
        <w:shd w:val="clear" w:color="auto" w:fill="FFFFFF"/>
        <w:rPr>
          <w:rFonts w:ascii="Verdana" w:hAnsi="Verdana"/>
        </w:rPr>
      </w:pPr>
      <w:bookmarkStart w:id="397" w:name="h_2_B"/>
      <w:bookmarkEnd w:id="397"/>
      <w:r w:rsidRPr="008B3051">
        <w:rPr>
          <w:rStyle w:val="num"/>
          <w:rFonts w:ascii="Verdana" w:hAnsi="Verdana"/>
          <w:b/>
          <w:bCs/>
        </w:rPr>
        <w:t>(B)</w:t>
      </w:r>
      <w:r w:rsidRPr="008B3051">
        <w:rPr>
          <w:rStyle w:val="heading"/>
          <w:rFonts w:ascii="Verdana" w:hAnsi="Verdana"/>
          <w:b/>
          <w:bCs/>
        </w:rPr>
        <w:t>Rounding</w:t>
      </w:r>
    </w:p>
    <w:p w14:paraId="333FC411"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any amount as adjusted under subparagraph (A) is not a multiple of $1,000, such amount shall be rounded to the next lowest multiple of $1,000.</w:t>
      </w:r>
    </w:p>
    <w:p w14:paraId="30518171" w14:textId="77942FF2" w:rsidR="00AB7AF9" w:rsidRPr="008B3051" w:rsidRDefault="00AB7AF9" w:rsidP="00AB7AF9">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smallCaps/>
        </w:rPr>
        <w:t>American Opportunity Tax Credit</w:t>
      </w:r>
      <w:r w:rsidRPr="008B3051">
        <w:rPr>
          <w:rStyle w:val="chapeau"/>
          <w:rFonts w:ascii="Verdana" w:hAnsi="Verdana"/>
        </w:rPr>
        <w:t>In the case of any </w:t>
      </w:r>
      <w:r w:rsidRPr="008B3051">
        <w:rPr>
          <w:rStyle w:val="Hyperlink"/>
          <w:rFonts w:ascii="Verdana" w:hAnsi="Verdana"/>
          <w:color w:val="auto"/>
        </w:rPr>
        <w:t>taxable year</w:t>
      </w:r>
      <w:r w:rsidRPr="008B3051">
        <w:rPr>
          <w:rStyle w:val="chapeau"/>
          <w:rFonts w:ascii="Verdana" w:hAnsi="Verdana"/>
        </w:rPr>
        <w:t> beginning after 2008—</w:t>
      </w:r>
    </w:p>
    <w:p w14:paraId="41DF878B"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Increase in credit</w:t>
      </w:r>
      <w:r w:rsidRPr="008B3051">
        <w:rPr>
          <w:rStyle w:val="chapeau"/>
          <w:rFonts w:ascii="Verdana" w:hAnsi="Verdana"/>
        </w:rPr>
        <w:t>The Hope Scholarship Credit shall be an amount equal to the sum of—</w:t>
      </w:r>
    </w:p>
    <w:p w14:paraId="375FC1E1"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6F9D9B2B" w14:textId="7F1FEC60" w:rsidR="00AB7AF9" w:rsidRPr="008B3051" w:rsidRDefault="00AB7AF9" w:rsidP="00AB7AF9">
      <w:pPr>
        <w:shd w:val="clear" w:color="auto" w:fill="FFFFFF"/>
        <w:rPr>
          <w:rFonts w:ascii="Verdana" w:hAnsi="Verdana"/>
        </w:rPr>
      </w:pPr>
      <w:r w:rsidRPr="008B3051">
        <w:rPr>
          <w:rFonts w:ascii="Verdana" w:hAnsi="Verdana"/>
        </w:rPr>
        <w:t>100 percent of so much of the </w:t>
      </w:r>
      <w:r w:rsidRPr="008B3051">
        <w:rPr>
          <w:rStyle w:val="Hyperlink"/>
          <w:rFonts w:ascii="Verdana" w:hAnsi="Verdana"/>
          <w:color w:val="auto"/>
        </w:rPr>
        <w:t>qualified tuition and related expenses</w:t>
      </w:r>
      <w:r w:rsidRPr="008B3051">
        <w:rPr>
          <w:rFonts w:ascii="Verdana" w:hAnsi="Verdana"/>
        </w:rPr>
        <w:t> paid by the taxpayer during the taxable year (for education furnished to the eligible student during any academic period beginning in such taxable year) as does not exceed $2,000, plus</w:t>
      </w:r>
    </w:p>
    <w:p w14:paraId="0C56B6F0"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5B4C178" w14:textId="77777777" w:rsidR="00AB7AF9" w:rsidRPr="008B3051" w:rsidRDefault="00AB7AF9" w:rsidP="00AB7AF9">
      <w:pPr>
        <w:shd w:val="clear" w:color="auto" w:fill="FFFFFF"/>
        <w:rPr>
          <w:rFonts w:ascii="Verdana" w:hAnsi="Verdana"/>
        </w:rPr>
      </w:pPr>
      <w:r w:rsidRPr="008B3051">
        <w:rPr>
          <w:rFonts w:ascii="Verdana" w:hAnsi="Verdana"/>
        </w:rPr>
        <w:t>25 percent of such expenses so paid as exceeds $2,000 but does not exceed $4,000.</w:t>
      </w:r>
    </w:p>
    <w:p w14:paraId="326EFFD9"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Credit allowed for first 4 years of post-secondary education</w:t>
      </w:r>
    </w:p>
    <w:p w14:paraId="6759E6FF"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Subparagraphs (A) and (C) of subsection (b)(2) shall be applied by substituting “4” for “2”.</w:t>
      </w:r>
    </w:p>
    <w:p w14:paraId="7EFFA331"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Qualified tuition and related expenses to include required course materials</w:t>
      </w:r>
    </w:p>
    <w:p w14:paraId="302497D9"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determining the Hope Scholarship Credit, subsection (f)(1)(A) shall be applied by substituting “tuition, fees, and course materials” for “tuition and fees”.</w:t>
      </w:r>
    </w:p>
    <w:p w14:paraId="06E21BDA"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Increase in AGI limits for Hope Scholarship Credit</w:t>
      </w:r>
      <w:r w:rsidRPr="008B3051">
        <w:rPr>
          <w:rStyle w:val="chapeau"/>
          <w:rFonts w:ascii="Verdana" w:hAnsi="Verdana"/>
        </w:rPr>
        <w:t>In lieu of applying subsection (d) with respect to the Hope Scholarship Credit, such credit (determined without regard to this paragraph) shall be reduced (but not below zero) by the amount which bears the same ratio to such credit (as so determined) as—</w:t>
      </w:r>
    </w:p>
    <w:p w14:paraId="2B5340A1" w14:textId="77777777" w:rsidR="00AB7AF9" w:rsidRPr="008B3051" w:rsidRDefault="00AB7AF9" w:rsidP="00AB7AF9">
      <w:pPr>
        <w:shd w:val="clear" w:color="auto" w:fill="FFFFFF"/>
        <w:rPr>
          <w:rFonts w:ascii="Verdana" w:hAnsi="Verdana"/>
        </w:rPr>
      </w:pPr>
      <w:bookmarkStart w:id="398" w:name="i_4_A"/>
      <w:bookmarkEnd w:id="398"/>
      <w:r w:rsidRPr="008B3051">
        <w:rPr>
          <w:rStyle w:val="num"/>
          <w:rFonts w:ascii="Verdana" w:hAnsi="Verdana"/>
          <w:b/>
          <w:bCs/>
        </w:rPr>
        <w:t>(A)</w:t>
      </w:r>
      <w:r w:rsidRPr="008B3051">
        <w:rPr>
          <w:rStyle w:val="chapeau"/>
          <w:rFonts w:ascii="Verdana" w:hAnsi="Verdana"/>
        </w:rPr>
        <w:t>the excess of—</w:t>
      </w:r>
    </w:p>
    <w:p w14:paraId="33E33070" w14:textId="77777777" w:rsidR="00AB7AF9" w:rsidRPr="008B3051" w:rsidRDefault="00AB7AF9" w:rsidP="00AB7AF9">
      <w:pPr>
        <w:shd w:val="clear" w:color="auto" w:fill="FFFFFF"/>
        <w:rPr>
          <w:rFonts w:ascii="Verdana" w:hAnsi="Verdana"/>
        </w:rPr>
      </w:pPr>
      <w:bookmarkStart w:id="399" w:name="i_4_A_i"/>
      <w:bookmarkEnd w:id="399"/>
      <w:r w:rsidRPr="008B3051">
        <w:rPr>
          <w:rStyle w:val="num"/>
          <w:rFonts w:ascii="Verdana" w:hAnsi="Verdana"/>
          <w:b/>
          <w:bCs/>
        </w:rPr>
        <w:t>(i)</w:t>
      </w:r>
    </w:p>
    <w:p w14:paraId="2DC60B43" w14:textId="6F7EDC67"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modified adjusted gross income</w:t>
      </w:r>
      <w:r w:rsidRPr="008B3051">
        <w:rPr>
          <w:rFonts w:ascii="Verdana" w:hAnsi="Verdana"/>
        </w:rPr>
        <w:t> (as defined in subsection (d)(3)) for such taxable year, over</w:t>
      </w:r>
    </w:p>
    <w:p w14:paraId="21AAC343" w14:textId="77777777" w:rsidR="00AB7AF9" w:rsidRPr="008B3051" w:rsidRDefault="00AB7AF9" w:rsidP="00AB7AF9">
      <w:pPr>
        <w:shd w:val="clear" w:color="auto" w:fill="FFFFFF"/>
        <w:rPr>
          <w:rFonts w:ascii="Verdana" w:hAnsi="Verdana"/>
        </w:rPr>
      </w:pPr>
      <w:bookmarkStart w:id="400" w:name="i_4_A_ii"/>
      <w:bookmarkEnd w:id="400"/>
      <w:r w:rsidRPr="008B3051">
        <w:rPr>
          <w:rStyle w:val="num"/>
          <w:rFonts w:ascii="Verdana" w:hAnsi="Verdana"/>
          <w:b/>
          <w:bCs/>
        </w:rPr>
        <w:t>(ii)</w:t>
      </w:r>
    </w:p>
    <w:p w14:paraId="2F11A47A" w14:textId="4C1D4AFA" w:rsidR="00AB7AF9" w:rsidRPr="008B3051" w:rsidRDefault="00AB7AF9" w:rsidP="00AB7AF9">
      <w:pPr>
        <w:shd w:val="clear" w:color="auto" w:fill="FFFFFF"/>
        <w:rPr>
          <w:rFonts w:ascii="Verdana" w:hAnsi="Verdana"/>
        </w:rPr>
      </w:pPr>
      <w:r w:rsidRPr="008B3051">
        <w:rPr>
          <w:rFonts w:ascii="Verdana" w:hAnsi="Verdana"/>
        </w:rPr>
        <w:t>$80,000 ($160,000 in the case of a </w:t>
      </w:r>
      <w:r w:rsidRPr="008B3051">
        <w:rPr>
          <w:rStyle w:val="Hyperlink"/>
          <w:rFonts w:ascii="Verdana" w:hAnsi="Verdana"/>
          <w:color w:val="auto"/>
        </w:rPr>
        <w:t>joint return</w:t>
      </w:r>
      <w:r w:rsidRPr="008B3051">
        <w:rPr>
          <w:rFonts w:ascii="Verdana" w:hAnsi="Verdana"/>
        </w:rPr>
        <w:t>), bears to</w:t>
      </w:r>
    </w:p>
    <w:p w14:paraId="52DFAC91" w14:textId="77777777" w:rsidR="00AB7AF9" w:rsidRPr="008B3051" w:rsidRDefault="00AB7AF9" w:rsidP="00AB7AF9">
      <w:pPr>
        <w:shd w:val="clear" w:color="auto" w:fill="FFFFFF"/>
        <w:rPr>
          <w:rFonts w:ascii="Verdana" w:hAnsi="Verdana"/>
        </w:rPr>
      </w:pPr>
      <w:bookmarkStart w:id="401" w:name="i_4_B"/>
      <w:bookmarkEnd w:id="401"/>
      <w:r w:rsidRPr="008B3051">
        <w:rPr>
          <w:rStyle w:val="num"/>
          <w:rFonts w:ascii="Verdana" w:hAnsi="Verdana"/>
          <w:b/>
          <w:bCs/>
        </w:rPr>
        <w:t>(B)</w:t>
      </w:r>
    </w:p>
    <w:p w14:paraId="69EC251E" w14:textId="1A8D01BF" w:rsidR="00AB7AF9" w:rsidRPr="008B3051" w:rsidRDefault="00AB7AF9" w:rsidP="00AB7AF9">
      <w:pPr>
        <w:shd w:val="clear" w:color="auto" w:fill="FFFFFF"/>
        <w:rPr>
          <w:rFonts w:ascii="Verdana" w:hAnsi="Verdana"/>
        </w:rPr>
      </w:pPr>
      <w:r w:rsidRPr="008B3051">
        <w:rPr>
          <w:rFonts w:ascii="Verdana" w:hAnsi="Verdana"/>
        </w:rPr>
        <w:t>$10,000 ($20,000 in the case of a </w:t>
      </w:r>
      <w:r w:rsidRPr="008B3051">
        <w:rPr>
          <w:rStyle w:val="Hyperlink"/>
          <w:rFonts w:ascii="Verdana" w:hAnsi="Verdana"/>
          <w:color w:val="auto"/>
        </w:rPr>
        <w:t>joint return</w:t>
      </w:r>
      <w:r w:rsidRPr="008B3051">
        <w:rPr>
          <w:rFonts w:ascii="Verdana" w:hAnsi="Verdana"/>
        </w:rPr>
        <w:t>).</w:t>
      </w:r>
    </w:p>
    <w:p w14:paraId="2358E610" w14:textId="77777777" w:rsidR="00AB7AF9" w:rsidRPr="008B3051" w:rsidRDefault="00AB7AF9" w:rsidP="00AB7AF9">
      <w:pPr>
        <w:shd w:val="clear" w:color="auto" w:fill="FFFFFF"/>
        <w:rPr>
          <w:rFonts w:ascii="Verdana" w:hAnsi="Verdana"/>
        </w:rPr>
      </w:pPr>
      <w:bookmarkStart w:id="402" w:name="i_5"/>
      <w:bookmarkEnd w:id="402"/>
      <w:r w:rsidRPr="008B3051">
        <w:rPr>
          <w:rStyle w:val="num"/>
          <w:rFonts w:ascii="Verdana" w:hAnsi="Verdana"/>
          <w:b/>
          <w:bCs/>
        </w:rPr>
        <w:t>(5)</w:t>
      </w:r>
      <w:r w:rsidRPr="008B3051">
        <w:rPr>
          <w:rStyle w:val="heading"/>
          <w:rFonts w:ascii="Verdana" w:hAnsi="Verdana"/>
          <w:b/>
          <w:bCs/>
          <w:smallCaps/>
        </w:rPr>
        <w:t>Portion of credit made refundable</w:t>
      </w:r>
    </w:p>
    <w:p w14:paraId="247EB873" w14:textId="53A248E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40 percent of so much of the credit allowed under subsection (a) as is attributable to the Hope Scholarship Credit (determined after application of paragraph (4) and without regard to this paragraph and section 26(a)) shall be treated as a credit allowable under subpart C (and not allowed under subsection (a)). The preceding sentence shall not apply to any </w:t>
      </w:r>
      <w:r w:rsidRPr="008B3051">
        <w:rPr>
          <w:rStyle w:val="Hyperlink"/>
          <w:rFonts w:ascii="Verdana" w:hAnsi="Verdana"/>
          <w:color w:val="auto"/>
        </w:rPr>
        <w:t>taxpayer</w:t>
      </w:r>
      <w:r w:rsidRPr="008B3051">
        <w:rPr>
          <w:rFonts w:ascii="Verdana" w:hAnsi="Verdana"/>
        </w:rPr>
        <w:t> for any </w:t>
      </w:r>
      <w:r w:rsidRPr="008B3051">
        <w:rPr>
          <w:rStyle w:val="Hyperlink"/>
          <w:rFonts w:ascii="Verdana" w:hAnsi="Verdana"/>
          <w:color w:val="auto"/>
        </w:rPr>
        <w:t>taxable year</w:t>
      </w:r>
      <w:r w:rsidRPr="008B3051">
        <w:rPr>
          <w:rFonts w:ascii="Verdana" w:hAnsi="Verdana"/>
        </w:rPr>
        <w:t> if such taxpayer is a child to whom subsection (g) of section 1 applies for such </w:t>
      </w:r>
      <w:r w:rsidRPr="008B3051">
        <w:rPr>
          <w:rStyle w:val="Hyperlink"/>
          <w:rFonts w:ascii="Verdana" w:hAnsi="Verdana"/>
          <w:color w:val="auto"/>
        </w:rPr>
        <w:t>taxable year</w:t>
      </w:r>
      <w:r w:rsidRPr="008B3051">
        <w:rPr>
          <w:rFonts w:ascii="Verdana" w:hAnsi="Verdana"/>
        </w:rPr>
        <w:t>.</w:t>
      </w:r>
    </w:p>
    <w:p w14:paraId="2C76D5F1" w14:textId="77777777" w:rsidR="00AB7AF9" w:rsidRPr="008B3051" w:rsidRDefault="00AB7AF9" w:rsidP="00AB7AF9">
      <w:pPr>
        <w:shd w:val="clear" w:color="auto" w:fill="FFFFFF"/>
        <w:rPr>
          <w:rFonts w:ascii="Verdana" w:hAnsi="Verdana"/>
        </w:rPr>
      </w:pPr>
      <w:bookmarkStart w:id="403" w:name="i_6"/>
      <w:bookmarkEnd w:id="403"/>
      <w:r w:rsidRPr="008B3051">
        <w:rPr>
          <w:rStyle w:val="num"/>
          <w:rFonts w:ascii="Verdana" w:hAnsi="Verdana"/>
          <w:b/>
          <w:bCs/>
        </w:rPr>
        <w:t>(6)</w:t>
      </w:r>
      <w:r w:rsidRPr="008B3051">
        <w:rPr>
          <w:rStyle w:val="heading"/>
          <w:rFonts w:ascii="Verdana" w:hAnsi="Verdana"/>
          <w:b/>
          <w:bCs/>
          <w:smallCaps/>
        </w:rPr>
        <w:t>Identification numbers</w:t>
      </w:r>
    </w:p>
    <w:p w14:paraId="65FA40EF" w14:textId="77777777" w:rsidR="00AB7AF9" w:rsidRPr="008B3051" w:rsidRDefault="00AB7AF9" w:rsidP="00AB7AF9">
      <w:pPr>
        <w:shd w:val="clear" w:color="auto" w:fill="FFFFFF"/>
        <w:rPr>
          <w:rFonts w:ascii="Verdana" w:hAnsi="Verdana"/>
        </w:rPr>
      </w:pPr>
      <w:bookmarkStart w:id="404" w:name="i_6_A"/>
      <w:bookmarkEnd w:id="404"/>
      <w:r w:rsidRPr="008B3051">
        <w:rPr>
          <w:rStyle w:val="num"/>
          <w:rFonts w:ascii="Verdana" w:hAnsi="Verdana"/>
          <w:b/>
          <w:bCs/>
        </w:rPr>
        <w:t>(A)</w:t>
      </w:r>
      <w:r w:rsidRPr="008B3051">
        <w:rPr>
          <w:rStyle w:val="heading"/>
          <w:rFonts w:ascii="Verdana" w:hAnsi="Verdana"/>
          <w:b/>
          <w:bCs/>
        </w:rPr>
        <w:t>Student</w:t>
      </w:r>
    </w:p>
    <w:p w14:paraId="4C9A0E7B" w14:textId="05555EB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requirements of subsection (g)(1) shall not be treated as met with respect to the Hope Scholarship Credit unless the individual’s </w:t>
      </w:r>
      <w:r w:rsidRPr="008B3051">
        <w:rPr>
          <w:rStyle w:val="Hyperlink"/>
          <w:rFonts w:ascii="Verdana" w:hAnsi="Verdana"/>
          <w:color w:val="auto"/>
        </w:rPr>
        <w:t>taxpayer</w:t>
      </w:r>
      <w:r w:rsidRPr="008B3051">
        <w:rPr>
          <w:rFonts w:ascii="Verdana" w:hAnsi="Verdana"/>
        </w:rPr>
        <w:t> identification number was issued on or before the due date for filing the return of tax for the </w:t>
      </w:r>
      <w:r w:rsidRPr="008B3051">
        <w:rPr>
          <w:rStyle w:val="Hyperlink"/>
          <w:rFonts w:ascii="Verdana" w:hAnsi="Verdana"/>
          <w:color w:val="auto"/>
        </w:rPr>
        <w:t>taxable year</w:t>
      </w:r>
      <w:r w:rsidRPr="008B3051">
        <w:rPr>
          <w:rFonts w:ascii="Verdana" w:hAnsi="Verdana"/>
        </w:rPr>
        <w:t>.</w:t>
      </w:r>
    </w:p>
    <w:p w14:paraId="4D2A4F9D" w14:textId="77777777" w:rsidR="00AB7AF9" w:rsidRPr="008B3051" w:rsidRDefault="00AB7AF9" w:rsidP="00AB7AF9">
      <w:pPr>
        <w:shd w:val="clear" w:color="auto" w:fill="FFFFFF"/>
        <w:rPr>
          <w:rFonts w:ascii="Verdana" w:hAnsi="Verdana"/>
        </w:rPr>
      </w:pPr>
      <w:bookmarkStart w:id="405" w:name="i_6_B"/>
      <w:bookmarkEnd w:id="405"/>
      <w:r w:rsidRPr="008B3051">
        <w:rPr>
          <w:rStyle w:val="num"/>
          <w:rFonts w:ascii="Verdana" w:hAnsi="Verdana"/>
          <w:b/>
          <w:bCs/>
        </w:rPr>
        <w:t>(B)</w:t>
      </w:r>
      <w:r w:rsidRPr="008B3051">
        <w:rPr>
          <w:rStyle w:val="heading"/>
          <w:rFonts w:ascii="Verdana" w:hAnsi="Verdana"/>
          <w:b/>
          <w:bCs/>
        </w:rPr>
        <w:t>Taxpayer</w:t>
      </w:r>
    </w:p>
    <w:p w14:paraId="6B3D0616" w14:textId="6630916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Hope Scholarship Credit shall be allowed under this section if </w:t>
      </w:r>
      <w:r w:rsidRPr="008B3051">
        <w:rPr>
          <w:rStyle w:val="Hyperlink"/>
          <w:rFonts w:ascii="Verdana" w:hAnsi="Verdana"/>
          <w:color w:val="auto"/>
        </w:rPr>
        <w:t>the identifying number</w:t>
      </w:r>
      <w:r w:rsidRPr="008B3051">
        <w:rPr>
          <w:rFonts w:ascii="Verdana" w:hAnsi="Verdana"/>
        </w:rPr>
        <w:t> of the taxpayer was issued after the due date for filing the return for the taxable year.</w:t>
      </w:r>
    </w:p>
    <w:p w14:paraId="1F1F61D8" w14:textId="77777777" w:rsidR="00AB7AF9" w:rsidRPr="008B3051" w:rsidRDefault="00AB7AF9" w:rsidP="00AB7AF9">
      <w:pPr>
        <w:shd w:val="clear" w:color="auto" w:fill="FFFFFF"/>
        <w:rPr>
          <w:rFonts w:ascii="Verdana" w:hAnsi="Verdana"/>
        </w:rPr>
      </w:pPr>
      <w:bookmarkStart w:id="406" w:name="i_6_C"/>
      <w:bookmarkEnd w:id="406"/>
      <w:r w:rsidRPr="008B3051">
        <w:rPr>
          <w:rStyle w:val="num"/>
          <w:rFonts w:ascii="Verdana" w:hAnsi="Verdana"/>
          <w:b/>
          <w:bCs/>
        </w:rPr>
        <w:t>(C)</w:t>
      </w:r>
      <w:r w:rsidRPr="008B3051">
        <w:rPr>
          <w:rStyle w:val="heading"/>
          <w:rFonts w:ascii="Verdana" w:hAnsi="Verdana"/>
          <w:b/>
          <w:bCs/>
        </w:rPr>
        <w:t>Institution</w:t>
      </w:r>
    </w:p>
    <w:p w14:paraId="11F96C05" w14:textId="689CDF3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Hope Scholarship Credit shall be allowed under this section unless the </w:t>
      </w:r>
      <w:r w:rsidRPr="008B3051">
        <w:rPr>
          <w:rStyle w:val="Hyperlink"/>
          <w:rFonts w:ascii="Verdana" w:hAnsi="Verdana"/>
          <w:color w:val="auto"/>
        </w:rPr>
        <w:t>taxpayer</w:t>
      </w:r>
      <w:r w:rsidRPr="008B3051">
        <w:rPr>
          <w:rFonts w:ascii="Verdana" w:hAnsi="Verdana"/>
        </w:rPr>
        <w:t xml:space="preserve"> includes the employer identification number of any institution </w:t>
      </w:r>
      <w:r w:rsidRPr="008B3051">
        <w:rPr>
          <w:rFonts w:ascii="Verdana" w:hAnsi="Verdana"/>
        </w:rPr>
        <w:lastRenderedPageBreak/>
        <w:t>to which </w:t>
      </w:r>
      <w:r w:rsidRPr="008B3051">
        <w:rPr>
          <w:rStyle w:val="Hyperlink"/>
          <w:rFonts w:ascii="Verdana" w:hAnsi="Verdana"/>
          <w:color w:val="auto"/>
        </w:rPr>
        <w:t>qualified tuition and related expenses</w:t>
      </w:r>
      <w:r w:rsidRPr="008B3051">
        <w:rPr>
          <w:rFonts w:ascii="Verdana" w:hAnsi="Verdana"/>
        </w:rPr>
        <w:t> were paid with respect to the individual.</w:t>
      </w:r>
    </w:p>
    <w:p w14:paraId="28B1B969" w14:textId="77777777" w:rsidR="00AB7AF9" w:rsidRPr="008B3051" w:rsidRDefault="00AB7AF9" w:rsidP="00AB7AF9">
      <w:pPr>
        <w:shd w:val="clear" w:color="auto" w:fill="FFFFFF"/>
        <w:rPr>
          <w:rFonts w:ascii="Verdana" w:hAnsi="Verdana"/>
        </w:rPr>
      </w:pPr>
      <w:bookmarkStart w:id="407" w:name="i_7"/>
      <w:bookmarkEnd w:id="407"/>
      <w:r w:rsidRPr="008B3051">
        <w:rPr>
          <w:rStyle w:val="num"/>
          <w:rFonts w:ascii="Verdana" w:hAnsi="Verdana"/>
          <w:b/>
          <w:bCs/>
        </w:rPr>
        <w:t>(7)</w:t>
      </w:r>
      <w:r w:rsidRPr="008B3051">
        <w:rPr>
          <w:rStyle w:val="heading"/>
          <w:rFonts w:ascii="Verdana" w:hAnsi="Verdana"/>
          <w:b/>
          <w:bCs/>
          <w:smallCaps/>
        </w:rPr>
        <w:t>Restrictions on taxpayers who improperly claimed credit in prior year</w:t>
      </w:r>
    </w:p>
    <w:p w14:paraId="4522B075" w14:textId="77777777" w:rsidR="00AB7AF9" w:rsidRPr="008B3051" w:rsidRDefault="00AB7AF9" w:rsidP="00AB7AF9">
      <w:pPr>
        <w:shd w:val="clear" w:color="auto" w:fill="FFFFFF"/>
        <w:rPr>
          <w:rFonts w:ascii="Verdana" w:hAnsi="Verdana"/>
        </w:rPr>
      </w:pPr>
      <w:bookmarkStart w:id="408" w:name="i_7_A"/>
      <w:bookmarkEnd w:id="408"/>
      <w:r w:rsidRPr="008B3051">
        <w:rPr>
          <w:rStyle w:val="num"/>
          <w:rFonts w:ascii="Verdana" w:hAnsi="Verdana"/>
          <w:b/>
          <w:bCs/>
        </w:rPr>
        <w:t>(A)</w:t>
      </w:r>
      <w:r w:rsidRPr="008B3051">
        <w:rPr>
          <w:rStyle w:val="heading"/>
          <w:rFonts w:ascii="Verdana" w:hAnsi="Verdana"/>
          <w:b/>
          <w:bCs/>
        </w:rPr>
        <w:t>Taxpayers making prior fraudulent or reckless claims</w:t>
      </w:r>
    </w:p>
    <w:p w14:paraId="5ED86500" w14:textId="77777777" w:rsidR="00AB7AF9" w:rsidRPr="008B3051" w:rsidRDefault="00AB7AF9" w:rsidP="00AB7AF9">
      <w:pPr>
        <w:shd w:val="clear" w:color="auto" w:fill="FFFFFF"/>
        <w:rPr>
          <w:rFonts w:ascii="Verdana" w:hAnsi="Verdana"/>
        </w:rPr>
      </w:pPr>
      <w:bookmarkStart w:id="409" w:name="i_7_A_i"/>
      <w:bookmarkEnd w:id="409"/>
      <w:r w:rsidRPr="008B3051">
        <w:rPr>
          <w:rStyle w:val="num"/>
          <w:rFonts w:ascii="Verdana" w:hAnsi="Verdana"/>
          <w:b/>
          <w:bCs/>
        </w:rPr>
        <w:t>(i)</w:t>
      </w:r>
      <w:r w:rsidRPr="008B3051">
        <w:rPr>
          <w:rStyle w:val="heading"/>
          <w:rFonts w:ascii="Verdana" w:hAnsi="Verdana"/>
          <w:b/>
          <w:bCs/>
        </w:rPr>
        <w:t>In general</w:t>
      </w:r>
    </w:p>
    <w:p w14:paraId="2EA78B71" w14:textId="7F089A2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for any </w:t>
      </w:r>
      <w:r w:rsidRPr="008B3051">
        <w:rPr>
          <w:rStyle w:val="Hyperlink"/>
          <w:rFonts w:ascii="Verdana" w:hAnsi="Verdana"/>
          <w:color w:val="auto"/>
        </w:rPr>
        <w:t>taxable year</w:t>
      </w:r>
      <w:r w:rsidRPr="008B3051">
        <w:rPr>
          <w:rFonts w:ascii="Verdana" w:hAnsi="Verdana"/>
        </w:rPr>
        <w:t> in the disallowance period.</w:t>
      </w:r>
    </w:p>
    <w:p w14:paraId="6C9D2ABE" w14:textId="77777777" w:rsidR="00AB7AF9" w:rsidRPr="008B3051" w:rsidRDefault="00AB7AF9" w:rsidP="00AB7AF9">
      <w:pPr>
        <w:shd w:val="clear" w:color="auto" w:fill="FFFFFF"/>
        <w:rPr>
          <w:rFonts w:ascii="Verdana" w:hAnsi="Verdana"/>
        </w:rPr>
      </w:pPr>
      <w:bookmarkStart w:id="410" w:name="i_7_A_ii"/>
      <w:bookmarkEnd w:id="410"/>
      <w:r w:rsidRPr="008B3051">
        <w:rPr>
          <w:rStyle w:val="num"/>
          <w:rFonts w:ascii="Verdana" w:hAnsi="Verdana"/>
          <w:b/>
          <w:bCs/>
        </w:rPr>
        <w:t>(ii)</w:t>
      </w:r>
      <w:r w:rsidRPr="008B3051">
        <w:rPr>
          <w:rStyle w:val="heading"/>
          <w:rFonts w:ascii="Verdana" w:hAnsi="Verdana"/>
          <w:b/>
          <w:bCs/>
        </w:rPr>
        <w:t>Disallowance period</w:t>
      </w:r>
      <w:r w:rsidRPr="008B3051">
        <w:rPr>
          <w:rStyle w:val="chapeau"/>
          <w:rFonts w:ascii="Verdana" w:hAnsi="Verdana"/>
        </w:rPr>
        <w:t>For purposes of clause (i), the disallowance period is—</w:t>
      </w:r>
    </w:p>
    <w:p w14:paraId="647D99CE" w14:textId="77777777" w:rsidR="00AB7AF9" w:rsidRPr="008B3051" w:rsidRDefault="00AB7AF9" w:rsidP="00AB7AF9">
      <w:pPr>
        <w:shd w:val="clear" w:color="auto" w:fill="FFFFFF"/>
        <w:rPr>
          <w:rFonts w:ascii="Verdana" w:hAnsi="Verdana"/>
        </w:rPr>
      </w:pPr>
      <w:bookmarkStart w:id="411" w:name="i_7_A_ii_I"/>
      <w:bookmarkEnd w:id="411"/>
      <w:r w:rsidRPr="008B3051">
        <w:rPr>
          <w:rStyle w:val="num"/>
          <w:rFonts w:ascii="Verdana" w:hAnsi="Verdana"/>
          <w:b/>
          <w:bCs/>
        </w:rPr>
        <w:t>(I)</w:t>
      </w:r>
    </w:p>
    <w:p w14:paraId="41826B7F" w14:textId="66F2128D" w:rsidR="00AB7AF9" w:rsidRPr="008B3051" w:rsidRDefault="00AB7AF9" w:rsidP="00AB7AF9">
      <w:pPr>
        <w:shd w:val="clear" w:color="auto" w:fill="FFFFFF"/>
        <w:rPr>
          <w:rFonts w:ascii="Verdana" w:hAnsi="Verdana"/>
        </w:rPr>
      </w:pPr>
      <w:r w:rsidRPr="008B3051">
        <w:rPr>
          <w:rFonts w:ascii="Verdana" w:hAnsi="Verdana"/>
        </w:rPr>
        <w:t>the period of 10 </w:t>
      </w:r>
      <w:r w:rsidRPr="008B3051">
        <w:rPr>
          <w:rStyle w:val="Hyperlink"/>
          <w:rFonts w:ascii="Verdana" w:hAnsi="Verdana"/>
          <w:color w:val="auto"/>
        </w:rPr>
        <w:t>taxable years</w:t>
      </w:r>
      <w:r w:rsidRPr="008B3051">
        <w:rPr>
          <w:rFonts w:ascii="Verdana" w:hAnsi="Verdana"/>
        </w:rPr>
        <w:t> after the most recent </w:t>
      </w:r>
      <w:r w:rsidRPr="008B3051">
        <w:rPr>
          <w:rStyle w:val="Hyperlink"/>
          <w:rFonts w:ascii="Verdana" w:hAnsi="Verdana"/>
          <w:color w:val="auto"/>
        </w:rPr>
        <w:t>taxable year</w:t>
      </w:r>
      <w:r w:rsidRPr="008B3051">
        <w:rPr>
          <w:rFonts w:ascii="Verdana" w:hAnsi="Verdana"/>
        </w:rPr>
        <w:t> for which there was a final </w:t>
      </w:r>
      <w:r w:rsidRPr="008B3051">
        <w:rPr>
          <w:rStyle w:val="Hyperlink"/>
          <w:rFonts w:ascii="Verdana" w:hAnsi="Verdana"/>
          <w:color w:val="auto"/>
        </w:rPr>
        <w:t>determination</w:t>
      </w:r>
      <w:r w:rsidRPr="008B3051">
        <w:rPr>
          <w:rFonts w:ascii="Verdana" w:hAnsi="Verdana"/>
        </w:rPr>
        <w:t> that the taxpayer’s claim of credit under this section was due to fraud, and</w:t>
      </w:r>
    </w:p>
    <w:p w14:paraId="4362C40C" w14:textId="77777777" w:rsidR="00AB7AF9" w:rsidRPr="008B3051" w:rsidRDefault="00AB7AF9" w:rsidP="00AB7AF9">
      <w:pPr>
        <w:shd w:val="clear" w:color="auto" w:fill="FFFFFF"/>
        <w:rPr>
          <w:rFonts w:ascii="Verdana" w:hAnsi="Verdana"/>
        </w:rPr>
      </w:pPr>
      <w:bookmarkStart w:id="412" w:name="i_7_A_ii_II"/>
      <w:bookmarkEnd w:id="412"/>
      <w:r w:rsidRPr="008B3051">
        <w:rPr>
          <w:rStyle w:val="num"/>
          <w:rFonts w:ascii="Verdana" w:hAnsi="Verdana"/>
          <w:b/>
          <w:bCs/>
        </w:rPr>
        <w:t>(II)</w:t>
      </w:r>
    </w:p>
    <w:p w14:paraId="3F07E331" w14:textId="0C408C46" w:rsidR="00AB7AF9" w:rsidRPr="008B3051" w:rsidRDefault="00AB7AF9" w:rsidP="00AB7AF9">
      <w:pPr>
        <w:shd w:val="clear" w:color="auto" w:fill="FFFFFF"/>
        <w:rPr>
          <w:rFonts w:ascii="Verdana" w:hAnsi="Verdana"/>
        </w:rPr>
      </w:pPr>
      <w:r w:rsidRPr="008B3051">
        <w:rPr>
          <w:rFonts w:ascii="Verdana" w:hAnsi="Verdana"/>
        </w:rPr>
        <w:t>the period of 2 </w:t>
      </w:r>
      <w:r w:rsidRPr="008B3051">
        <w:rPr>
          <w:rStyle w:val="Hyperlink"/>
          <w:rFonts w:ascii="Verdana" w:hAnsi="Verdana"/>
          <w:color w:val="auto"/>
        </w:rPr>
        <w:t>taxable years</w:t>
      </w:r>
      <w:r w:rsidRPr="008B3051">
        <w:rPr>
          <w:rFonts w:ascii="Verdana" w:hAnsi="Verdana"/>
        </w:rPr>
        <w:t> after the most recent </w:t>
      </w:r>
      <w:r w:rsidRPr="008B3051">
        <w:rPr>
          <w:rStyle w:val="Hyperlink"/>
          <w:rFonts w:ascii="Verdana" w:hAnsi="Verdana"/>
          <w:color w:val="auto"/>
        </w:rPr>
        <w:t>taxable year</w:t>
      </w:r>
      <w:r w:rsidRPr="008B3051">
        <w:rPr>
          <w:rFonts w:ascii="Verdana" w:hAnsi="Verdana"/>
        </w:rPr>
        <w:t> for which there was a final </w:t>
      </w:r>
      <w:r w:rsidRPr="008B3051">
        <w:rPr>
          <w:rStyle w:val="Hyperlink"/>
          <w:rFonts w:ascii="Verdana" w:hAnsi="Verdana"/>
          <w:color w:val="auto"/>
        </w:rPr>
        <w:t>determination</w:t>
      </w:r>
      <w:r w:rsidRPr="008B3051">
        <w:rPr>
          <w:rFonts w:ascii="Verdana" w:hAnsi="Verdana"/>
        </w:rPr>
        <w:t> that the taxpayer’s claim of credit under this section was due to reckless or intentional disregard of rules and regulations (but not due to fraud).</w:t>
      </w:r>
    </w:p>
    <w:p w14:paraId="2CA398AE" w14:textId="77777777" w:rsidR="00AB7AF9" w:rsidRPr="008B3051" w:rsidRDefault="00AB7AF9" w:rsidP="00AB7AF9">
      <w:pPr>
        <w:shd w:val="clear" w:color="auto" w:fill="FFFFFF"/>
        <w:rPr>
          <w:rFonts w:ascii="Verdana" w:hAnsi="Verdana"/>
        </w:rPr>
      </w:pPr>
      <w:bookmarkStart w:id="413" w:name="i_7_B"/>
      <w:bookmarkEnd w:id="413"/>
      <w:r w:rsidRPr="008B3051">
        <w:rPr>
          <w:rStyle w:val="num"/>
          <w:rFonts w:ascii="Verdana" w:hAnsi="Verdana"/>
          <w:b/>
          <w:bCs/>
        </w:rPr>
        <w:t>(B)</w:t>
      </w:r>
      <w:r w:rsidRPr="008B3051">
        <w:rPr>
          <w:rStyle w:val="heading"/>
          <w:rFonts w:ascii="Verdana" w:hAnsi="Verdana"/>
          <w:b/>
          <w:bCs/>
        </w:rPr>
        <w:t>Taxpayers making improper prior claims</w:t>
      </w:r>
    </w:p>
    <w:p w14:paraId="1B2528CD" w14:textId="0F40FE4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 </w:t>
      </w:r>
      <w:r w:rsidRPr="008B3051">
        <w:rPr>
          <w:rStyle w:val="Hyperlink"/>
          <w:rFonts w:ascii="Verdana" w:hAnsi="Verdana"/>
          <w:color w:val="auto"/>
        </w:rPr>
        <w:t>taxpayer</w:t>
      </w:r>
      <w:r w:rsidRPr="008B3051">
        <w:rPr>
          <w:rFonts w:ascii="Verdana" w:hAnsi="Verdana"/>
        </w:rPr>
        <w:t> who is denied credit under this section for any </w:t>
      </w:r>
      <w:r w:rsidRPr="008B3051">
        <w:rPr>
          <w:rStyle w:val="Hyperlink"/>
          <w:rFonts w:ascii="Verdana" w:hAnsi="Verdana"/>
          <w:color w:val="auto"/>
        </w:rPr>
        <w:t>taxable year</w:t>
      </w:r>
      <w:r w:rsidRPr="008B3051">
        <w:rPr>
          <w:rFonts w:ascii="Verdana" w:hAnsi="Verdana"/>
        </w:rPr>
        <w:t> as a result of the deficiency procedures under subchapter B of chapter 63, no credit shall be allowed under this section for any subsequent </w:t>
      </w:r>
      <w:r w:rsidRPr="008B3051">
        <w:rPr>
          <w:rStyle w:val="Hyperlink"/>
          <w:rFonts w:ascii="Verdana" w:hAnsi="Verdana"/>
          <w:color w:val="auto"/>
        </w:rPr>
        <w:t>taxable year</w:t>
      </w:r>
      <w:r w:rsidRPr="008B3051">
        <w:rPr>
          <w:rFonts w:ascii="Verdana" w:hAnsi="Verdana"/>
        </w:rPr>
        <w:t> unless the taxpayer provides such information as the Secretary may require to demonstrate eligibility for such credit.</w:t>
      </w:r>
    </w:p>
    <w:p w14:paraId="7B9AEEED" w14:textId="77777777" w:rsidR="00AB7AF9" w:rsidRPr="008B3051" w:rsidRDefault="00AB7AF9" w:rsidP="00AB7AF9">
      <w:pPr>
        <w:shd w:val="clear" w:color="auto" w:fill="FFFFFF"/>
        <w:rPr>
          <w:rFonts w:ascii="Verdana" w:hAnsi="Verdana"/>
        </w:rPr>
      </w:pPr>
      <w:r w:rsidRPr="008B3051">
        <w:rPr>
          <w:rStyle w:val="num"/>
          <w:rFonts w:ascii="Verdana" w:hAnsi="Verdana"/>
          <w:b/>
          <w:bCs/>
        </w:rPr>
        <w:t>(j)</w:t>
      </w:r>
      <w:r w:rsidRPr="008B3051">
        <w:rPr>
          <w:rStyle w:val="heading"/>
          <w:rFonts w:ascii="Verdana" w:hAnsi="Verdana"/>
          <w:b/>
          <w:bCs/>
          <w:smallCaps/>
        </w:rPr>
        <w:t>Regulations</w:t>
      </w:r>
    </w:p>
    <w:p w14:paraId="01CCEB9E" w14:textId="0C20A400"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Secretary</w:t>
      </w:r>
      <w:r w:rsidRPr="008B3051">
        <w:rPr>
          <w:rFonts w:ascii="Verdana" w:hAnsi="Verdana"/>
        </w:rPr>
        <w:t> may prescribe such regulations as may be necessary or appropriate to carry out this section, including regulations providing for a recapture of the credit allowed under this section in cases where there is a refund in a subsequent </w:t>
      </w:r>
      <w:r w:rsidRPr="008B3051">
        <w:rPr>
          <w:rStyle w:val="Hyperlink"/>
          <w:rFonts w:ascii="Verdana" w:hAnsi="Verdana"/>
          <w:color w:val="auto"/>
        </w:rPr>
        <w:t>taxable year</w:t>
      </w:r>
      <w:r w:rsidRPr="008B3051">
        <w:rPr>
          <w:rFonts w:ascii="Verdana" w:hAnsi="Verdana"/>
        </w:rPr>
        <w:t> of any amount which was taken into account in determining the amount of such credit.</w:t>
      </w:r>
    </w:p>
    <w:p w14:paraId="2D77C712" w14:textId="0AA51A32"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105–34, title II</w:t>
      </w:r>
      <w:r w:rsidRPr="008B3051">
        <w:rPr>
          <w:rFonts w:ascii="Verdana" w:hAnsi="Verdana"/>
        </w:rPr>
        <w:t>, § 201(a), </w:t>
      </w:r>
      <w:r w:rsidRPr="008B3051">
        <w:rPr>
          <w:rStyle w:val="Date2"/>
          <w:rFonts w:ascii="Verdana" w:hAnsi="Verdana"/>
        </w:rPr>
        <w:t>Aug. 5, 1997</w:t>
      </w:r>
      <w:r w:rsidRPr="008B3051">
        <w:rPr>
          <w:rFonts w:ascii="Verdana" w:hAnsi="Verdana"/>
        </w:rPr>
        <w:t>, </w:t>
      </w:r>
      <w:r w:rsidRPr="008B3051">
        <w:rPr>
          <w:rStyle w:val="Hyperlink"/>
          <w:rFonts w:ascii="Verdana" w:hAnsi="Verdana"/>
          <w:color w:val="auto"/>
        </w:rPr>
        <w:t>111 Stat. 799</w:t>
      </w:r>
      <w:r w:rsidRPr="008B3051">
        <w:rPr>
          <w:rFonts w:ascii="Verdana" w:hAnsi="Verdana"/>
        </w:rPr>
        <w:t>; amended </w:t>
      </w:r>
      <w:r w:rsidRPr="008B3051">
        <w:rPr>
          <w:rStyle w:val="Hyperlink"/>
          <w:rFonts w:ascii="Verdana" w:hAnsi="Verdana"/>
          <w:color w:val="auto"/>
        </w:rPr>
        <w:t>Pub. L. 107–16, title IV</w:t>
      </w:r>
      <w:r w:rsidRPr="008B3051">
        <w:rPr>
          <w:rFonts w:ascii="Verdana" w:hAnsi="Verdana"/>
        </w:rPr>
        <w:t>, § 401(g)(2)(A),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59</w:t>
      </w:r>
      <w:r w:rsidRPr="008B3051">
        <w:rPr>
          <w:rFonts w:ascii="Verdana" w:hAnsi="Verdana"/>
        </w:rPr>
        <w:t>; </w:t>
      </w:r>
      <w:r w:rsidRPr="008B3051">
        <w:rPr>
          <w:rStyle w:val="Hyperlink"/>
          <w:rFonts w:ascii="Verdana" w:hAnsi="Verdana"/>
          <w:color w:val="auto"/>
        </w:rPr>
        <w:t>Pub. L. 111–5, div. B, title I</w:t>
      </w:r>
      <w:r w:rsidRPr="008B3051">
        <w:rPr>
          <w:rFonts w:ascii="Verdana" w:hAnsi="Verdana"/>
        </w:rPr>
        <w:t>, § 1004(a),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313</w:t>
      </w:r>
      <w:r w:rsidRPr="008B3051">
        <w:rPr>
          <w:rFonts w:ascii="Verdana" w:hAnsi="Verdana"/>
        </w:rPr>
        <w:t>; </w:t>
      </w:r>
      <w:r w:rsidRPr="008B3051">
        <w:rPr>
          <w:rStyle w:val="Hyperlink"/>
          <w:rFonts w:ascii="Verdana" w:hAnsi="Verdana"/>
          <w:color w:val="auto"/>
        </w:rPr>
        <w:t>Pub. L. 111–148, title X</w:t>
      </w:r>
      <w:r w:rsidRPr="008B3051">
        <w:rPr>
          <w:rFonts w:ascii="Verdana" w:hAnsi="Verdana"/>
        </w:rPr>
        <w:t>, § 10909(b)(2)(C),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1023</w:t>
      </w:r>
      <w:r w:rsidRPr="008B3051">
        <w:rPr>
          <w:rFonts w:ascii="Verdana" w:hAnsi="Verdana"/>
        </w:rPr>
        <w:t>; </w:t>
      </w:r>
      <w:r w:rsidRPr="008B3051">
        <w:rPr>
          <w:rStyle w:val="Hyperlink"/>
          <w:rFonts w:ascii="Verdana" w:hAnsi="Verdana"/>
          <w:color w:val="auto"/>
        </w:rPr>
        <w:t>Pub. L. 111–312, title I</w:t>
      </w:r>
      <w:r w:rsidRPr="008B3051">
        <w:rPr>
          <w:rFonts w:ascii="Verdana" w:hAnsi="Verdana"/>
        </w:rPr>
        <w:t>, §§ 101(b)(1), 103(a)(1),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3299; </w:t>
      </w:r>
      <w:r w:rsidRPr="008B3051">
        <w:rPr>
          <w:rStyle w:val="Hyperlink"/>
          <w:rFonts w:ascii="Verdana" w:hAnsi="Verdana"/>
          <w:color w:val="auto"/>
        </w:rPr>
        <w:t>Pub. L. 112–240, title I</w:t>
      </w:r>
      <w:r w:rsidRPr="008B3051">
        <w:rPr>
          <w:rFonts w:ascii="Verdana" w:hAnsi="Verdana"/>
        </w:rPr>
        <w:t>, §§ 103(a)(1), 104(c)(2)(D),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2319</w:t>
      </w:r>
      <w:r w:rsidRPr="008B3051">
        <w:rPr>
          <w:rFonts w:ascii="Verdana" w:hAnsi="Verdana"/>
        </w:rPr>
        <w:t>, 2322; </w:t>
      </w:r>
      <w:r w:rsidRPr="008B3051">
        <w:rPr>
          <w:rStyle w:val="Hyperlink"/>
          <w:rFonts w:ascii="Verdana" w:hAnsi="Verdana"/>
          <w:color w:val="auto"/>
        </w:rPr>
        <w:t>Pub. L. 113–295, div. A, title II</w:t>
      </w:r>
      <w:r w:rsidRPr="008B3051">
        <w:rPr>
          <w:rFonts w:ascii="Verdana" w:hAnsi="Verdana"/>
        </w:rPr>
        <w:t>, § 209(b), </w:t>
      </w:r>
      <w:r w:rsidRPr="008B3051">
        <w:rPr>
          <w:rStyle w:val="Date2"/>
          <w:rFonts w:ascii="Verdana" w:hAnsi="Verdana"/>
        </w:rPr>
        <w:t>Dec. 19, 2014</w:t>
      </w:r>
      <w:r w:rsidRPr="008B3051">
        <w:rPr>
          <w:rFonts w:ascii="Verdana" w:hAnsi="Verdana"/>
        </w:rPr>
        <w:t>, </w:t>
      </w:r>
      <w:r w:rsidRPr="008B3051">
        <w:rPr>
          <w:rStyle w:val="Hyperlink"/>
          <w:rFonts w:ascii="Verdana" w:hAnsi="Verdana"/>
          <w:color w:val="auto"/>
        </w:rPr>
        <w:t>128 Stat. 4028</w:t>
      </w:r>
      <w:r w:rsidRPr="008B3051">
        <w:rPr>
          <w:rFonts w:ascii="Verdana" w:hAnsi="Verdana"/>
        </w:rPr>
        <w:t>; </w:t>
      </w:r>
      <w:r w:rsidRPr="008B3051">
        <w:rPr>
          <w:rStyle w:val="Hyperlink"/>
          <w:rFonts w:ascii="Verdana" w:hAnsi="Verdana"/>
          <w:color w:val="auto"/>
        </w:rPr>
        <w:t>Pub. L. 114–27, title VIII</w:t>
      </w:r>
      <w:r w:rsidRPr="008B3051">
        <w:rPr>
          <w:rFonts w:ascii="Verdana" w:hAnsi="Verdana"/>
        </w:rPr>
        <w:t>, § 804(a), </w:t>
      </w:r>
      <w:r w:rsidRPr="008B3051">
        <w:rPr>
          <w:rStyle w:val="Date2"/>
          <w:rFonts w:ascii="Verdana" w:hAnsi="Verdana"/>
        </w:rPr>
        <w:t>June 29, 2015</w:t>
      </w:r>
      <w:r w:rsidRPr="008B3051">
        <w:rPr>
          <w:rFonts w:ascii="Verdana" w:hAnsi="Verdana"/>
        </w:rPr>
        <w:t>, </w:t>
      </w:r>
      <w:r w:rsidRPr="008B3051">
        <w:rPr>
          <w:rStyle w:val="Hyperlink"/>
          <w:rFonts w:ascii="Verdana" w:hAnsi="Verdana"/>
          <w:color w:val="auto"/>
        </w:rPr>
        <w:t>129 Stat. 415</w:t>
      </w:r>
      <w:r w:rsidRPr="008B3051">
        <w:rPr>
          <w:rFonts w:ascii="Verdana" w:hAnsi="Verdana"/>
        </w:rPr>
        <w:t>; </w:t>
      </w:r>
      <w:r w:rsidRPr="008B3051">
        <w:rPr>
          <w:rStyle w:val="Hyperlink"/>
          <w:rFonts w:ascii="Verdana" w:hAnsi="Verdana"/>
          <w:color w:val="auto"/>
        </w:rPr>
        <w:t>Pub. L. 114–113, div. Q, title I</w:t>
      </w:r>
      <w:r w:rsidRPr="008B3051">
        <w:rPr>
          <w:rFonts w:ascii="Verdana" w:hAnsi="Verdana"/>
        </w:rPr>
        <w:t>, § 102(a), title II, §§ 206(a), 208(a)(2), 211(a), </w:t>
      </w:r>
      <w:r w:rsidRPr="008B3051">
        <w:rPr>
          <w:rStyle w:val="Date2"/>
          <w:rFonts w:ascii="Verdana" w:hAnsi="Verdana"/>
        </w:rPr>
        <w:t>Dec. 18, 2015</w:t>
      </w:r>
      <w:r w:rsidRPr="008B3051">
        <w:rPr>
          <w:rFonts w:ascii="Verdana" w:hAnsi="Verdana"/>
        </w:rPr>
        <w:t>, </w:t>
      </w:r>
      <w:r w:rsidRPr="008B3051">
        <w:rPr>
          <w:rStyle w:val="Hyperlink"/>
          <w:rFonts w:ascii="Verdana" w:hAnsi="Verdana"/>
          <w:color w:val="auto"/>
        </w:rPr>
        <w:t>129 Stat. 3044</w:t>
      </w:r>
      <w:r w:rsidRPr="008B3051">
        <w:rPr>
          <w:rFonts w:ascii="Verdana" w:hAnsi="Verdana"/>
        </w:rPr>
        <w:t>, 3082, 3083, 3085; </w:t>
      </w:r>
      <w:r w:rsidRPr="008B3051">
        <w:rPr>
          <w:rStyle w:val="Hyperlink"/>
          <w:rFonts w:ascii="Verdana" w:hAnsi="Verdana"/>
          <w:color w:val="auto"/>
        </w:rPr>
        <w:t>Pub. L. 115–97, title I</w:t>
      </w:r>
      <w:r w:rsidRPr="008B3051">
        <w:rPr>
          <w:rFonts w:ascii="Verdana" w:hAnsi="Verdana"/>
        </w:rPr>
        <w:t>, § 11002(d)(1)(B),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2060</w:t>
      </w:r>
      <w:r w:rsidRPr="008B3051">
        <w:rPr>
          <w:rFonts w:ascii="Verdana" w:hAnsi="Verdana"/>
        </w:rPr>
        <w:t>.)</w:t>
      </w:r>
    </w:p>
    <w:p w14:paraId="12854C45" w14:textId="77777777" w:rsidR="00AB7AF9" w:rsidRPr="008B3051" w:rsidRDefault="00AB7AF9" w:rsidP="00AB7AF9">
      <w:pPr>
        <w:shd w:val="clear" w:color="auto" w:fill="FFFFFF"/>
        <w:spacing w:after="60" w:line="240" w:lineRule="auto"/>
        <w:ind w:left="720"/>
        <w:rPr>
          <w:rFonts w:ascii="Verdana" w:hAnsi="Verdana"/>
        </w:rPr>
      </w:pPr>
    </w:p>
    <w:p w14:paraId="567D085A" w14:textId="38915CC6"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25B - Elective deferrals and IRA contributions by certain individuals</w:t>
      </w:r>
    </w:p>
    <w:p w14:paraId="540A6041" w14:textId="2D1B86BD" w:rsidR="00AB7AF9" w:rsidRPr="008B3051" w:rsidRDefault="00AB7AF9" w:rsidP="00AB7AF9">
      <w:pPr>
        <w:shd w:val="clear" w:color="auto" w:fill="FFFFFF"/>
        <w:spacing w:after="60" w:line="240" w:lineRule="auto"/>
        <w:ind w:left="720"/>
        <w:rPr>
          <w:rFonts w:ascii="Verdana" w:hAnsi="Verdana"/>
        </w:rPr>
      </w:pPr>
    </w:p>
    <w:p w14:paraId="5C7EF9FB"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0E490BF2" w14:textId="0B88C93E"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w:t>
      </w:r>
      <w:r w:rsidRPr="008B3051">
        <w:rPr>
          <w:rStyle w:val="Hyperlink"/>
          <w:rFonts w:ascii="Verdana" w:hAnsi="Verdana"/>
          <w:color w:val="auto"/>
        </w:rPr>
        <w:t>eligible individual</w:t>
      </w:r>
      <w:r w:rsidRPr="008B3051">
        <w:rPr>
          <w:rFonts w:ascii="Verdana" w:hAnsi="Verdana"/>
        </w:rPr>
        <w:t>, there shall be allowed as a credit against the tax imposed by this subtitle for the taxable year an amount equal to the applicable percentage of so much of the </w:t>
      </w:r>
      <w:r w:rsidRPr="008B3051">
        <w:rPr>
          <w:rStyle w:val="Hyperlink"/>
          <w:rFonts w:ascii="Verdana" w:hAnsi="Verdana"/>
          <w:color w:val="auto"/>
        </w:rPr>
        <w:t>qualified retirement savings contributions</w:t>
      </w:r>
      <w:r w:rsidRPr="008B3051">
        <w:rPr>
          <w:rFonts w:ascii="Verdana" w:hAnsi="Verdana"/>
        </w:rPr>
        <w:t> of the eligible individual for the taxable year as do not exceed $2,000.</w:t>
      </w:r>
    </w:p>
    <w:p w14:paraId="235BFCC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Applicable percentage</w:t>
      </w:r>
      <w:r w:rsidRPr="008B3051">
        <w:rPr>
          <w:rStyle w:val="chapeau"/>
          <w:rFonts w:ascii="Verdana" w:hAnsi="Verdana"/>
        </w:rPr>
        <w:t>For purposes of this section—</w:t>
      </w:r>
    </w:p>
    <w:p w14:paraId="1AFC8103" w14:textId="277A6686"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Joint returns</w:t>
      </w:r>
      <w:r w:rsidRPr="008B3051">
        <w:rPr>
          <w:rStyle w:val="chapeau"/>
          <w:rFonts w:ascii="Verdana" w:hAnsi="Verdana"/>
        </w:rPr>
        <w:t>In the case of a </w:t>
      </w:r>
      <w:r w:rsidRPr="008B3051">
        <w:rPr>
          <w:rStyle w:val="Hyperlink"/>
          <w:rFonts w:ascii="Verdana" w:hAnsi="Verdana"/>
          <w:color w:val="auto"/>
        </w:rPr>
        <w:t>joint return</w:t>
      </w:r>
      <w:r w:rsidRPr="008B3051">
        <w:rPr>
          <w:rStyle w:val="chapeau"/>
          <w:rFonts w:ascii="Verdana" w:hAnsi="Verdana"/>
        </w:rPr>
        <w:t>, the </w:t>
      </w:r>
      <w:r w:rsidRPr="008B3051">
        <w:rPr>
          <w:rStyle w:val="Hyperlink"/>
          <w:rFonts w:ascii="Verdana" w:hAnsi="Verdana"/>
          <w:color w:val="auto"/>
        </w:rPr>
        <w:t>applicable percentage</w:t>
      </w:r>
      <w:r w:rsidRPr="008B3051">
        <w:rPr>
          <w:rStyle w:val="chapeau"/>
          <w:rFonts w:ascii="Verdana" w:hAnsi="Verdana"/>
        </w:rPr>
        <w:t> is—</w:t>
      </w:r>
    </w:p>
    <w:p w14:paraId="63EDFE18"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3C39CCCA" w14:textId="65443488" w:rsidR="00AB7AF9" w:rsidRPr="008B3051" w:rsidRDefault="00AB7AF9" w:rsidP="00AB7AF9">
      <w:pPr>
        <w:shd w:val="clear" w:color="auto" w:fill="FFFFFF"/>
        <w:rPr>
          <w:rFonts w:ascii="Verdana" w:hAnsi="Verdana"/>
        </w:rPr>
      </w:pPr>
      <w:r w:rsidRPr="008B3051">
        <w:rPr>
          <w:rFonts w:ascii="Verdana" w:hAnsi="Verdana"/>
        </w:rPr>
        <w:t>if the </w:t>
      </w:r>
      <w:r w:rsidRPr="008B3051">
        <w:rPr>
          <w:rStyle w:val="Hyperlink"/>
          <w:rFonts w:ascii="Verdana" w:hAnsi="Verdana"/>
          <w:color w:val="auto"/>
        </w:rPr>
        <w:t>adjusted gross income</w:t>
      </w:r>
      <w:r w:rsidRPr="008B3051">
        <w:rPr>
          <w:rFonts w:ascii="Verdana" w:hAnsi="Verdana"/>
        </w:rPr>
        <w:t> of the taxpayer is not over $30,000, 50 percent,</w:t>
      </w:r>
    </w:p>
    <w:p w14:paraId="107234B5"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085CB6A2" w14:textId="4281013C" w:rsidR="00AB7AF9" w:rsidRPr="008B3051" w:rsidRDefault="00AB7AF9" w:rsidP="00AB7AF9">
      <w:pPr>
        <w:shd w:val="clear" w:color="auto" w:fill="FFFFFF"/>
        <w:rPr>
          <w:rFonts w:ascii="Verdana" w:hAnsi="Verdana"/>
        </w:rPr>
      </w:pPr>
      <w:r w:rsidRPr="008B3051">
        <w:rPr>
          <w:rFonts w:ascii="Verdana" w:hAnsi="Verdana"/>
        </w:rPr>
        <w:t>if the </w:t>
      </w:r>
      <w:r w:rsidRPr="008B3051">
        <w:rPr>
          <w:rStyle w:val="Hyperlink"/>
          <w:rFonts w:ascii="Verdana" w:hAnsi="Verdana"/>
          <w:color w:val="auto"/>
        </w:rPr>
        <w:t>adjusted gross income</w:t>
      </w:r>
      <w:r w:rsidRPr="008B3051">
        <w:rPr>
          <w:rFonts w:ascii="Verdana" w:hAnsi="Verdana"/>
        </w:rPr>
        <w:t> of the taxpayer is over $30,000 but not over $32,500, 20 percent,</w:t>
      </w:r>
    </w:p>
    <w:p w14:paraId="67D72523"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43B8AA13" w14:textId="0590CC58" w:rsidR="00AB7AF9" w:rsidRPr="008B3051" w:rsidRDefault="00AB7AF9" w:rsidP="00AB7AF9">
      <w:pPr>
        <w:shd w:val="clear" w:color="auto" w:fill="FFFFFF"/>
        <w:rPr>
          <w:rFonts w:ascii="Verdana" w:hAnsi="Verdana"/>
        </w:rPr>
      </w:pPr>
      <w:r w:rsidRPr="008B3051">
        <w:rPr>
          <w:rFonts w:ascii="Verdana" w:hAnsi="Verdana"/>
        </w:rPr>
        <w:t>if the </w:t>
      </w:r>
      <w:r w:rsidRPr="008B3051">
        <w:rPr>
          <w:rStyle w:val="Hyperlink"/>
          <w:rFonts w:ascii="Verdana" w:hAnsi="Verdana"/>
          <w:color w:val="auto"/>
        </w:rPr>
        <w:t>adjusted gross income</w:t>
      </w:r>
      <w:r w:rsidRPr="008B3051">
        <w:rPr>
          <w:rFonts w:ascii="Verdana" w:hAnsi="Verdana"/>
        </w:rPr>
        <w:t> of the taxpayer is over $32,500 but not over $50,000, 10 percent, and</w:t>
      </w:r>
    </w:p>
    <w:p w14:paraId="1E616622" w14:textId="77777777" w:rsidR="00AB7AF9" w:rsidRPr="008B3051" w:rsidRDefault="00AB7AF9" w:rsidP="00AB7AF9">
      <w:pPr>
        <w:shd w:val="clear" w:color="auto" w:fill="FFFFFF"/>
        <w:rPr>
          <w:rFonts w:ascii="Verdana" w:hAnsi="Verdana"/>
        </w:rPr>
      </w:pPr>
      <w:bookmarkStart w:id="414" w:name="b_1_D"/>
      <w:bookmarkEnd w:id="414"/>
      <w:r w:rsidRPr="008B3051">
        <w:rPr>
          <w:rStyle w:val="num"/>
          <w:rFonts w:ascii="Verdana" w:hAnsi="Verdana"/>
          <w:b/>
          <w:bCs/>
        </w:rPr>
        <w:t>(D)</w:t>
      </w:r>
    </w:p>
    <w:p w14:paraId="1997E7EB" w14:textId="443C7029" w:rsidR="00AB7AF9" w:rsidRPr="008B3051" w:rsidRDefault="00AB7AF9" w:rsidP="00AB7AF9">
      <w:pPr>
        <w:shd w:val="clear" w:color="auto" w:fill="FFFFFF"/>
        <w:rPr>
          <w:rFonts w:ascii="Verdana" w:hAnsi="Verdana"/>
        </w:rPr>
      </w:pPr>
      <w:r w:rsidRPr="008B3051">
        <w:rPr>
          <w:rFonts w:ascii="Verdana" w:hAnsi="Verdana"/>
        </w:rPr>
        <w:t>if the </w:t>
      </w:r>
      <w:r w:rsidRPr="008B3051">
        <w:rPr>
          <w:rStyle w:val="Hyperlink"/>
          <w:rFonts w:ascii="Verdana" w:hAnsi="Verdana"/>
          <w:color w:val="auto"/>
        </w:rPr>
        <w:t>adjusted gross income</w:t>
      </w:r>
      <w:r w:rsidRPr="008B3051">
        <w:rPr>
          <w:rFonts w:ascii="Verdana" w:hAnsi="Verdana"/>
        </w:rPr>
        <w:t> of the taxpayer is over $50,000, zero percent.</w:t>
      </w:r>
    </w:p>
    <w:p w14:paraId="73A8D35F"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Other returns</w:t>
      </w:r>
      <w:r w:rsidRPr="008B3051">
        <w:rPr>
          <w:rStyle w:val="chapeau"/>
          <w:rFonts w:ascii="Verdana" w:hAnsi="Verdana"/>
        </w:rPr>
        <w:t>In the case of—</w:t>
      </w:r>
    </w:p>
    <w:p w14:paraId="2EC1DBC6"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5E1902EF" w14:textId="2C43FA58" w:rsidR="00AB7AF9" w:rsidRPr="008B3051" w:rsidRDefault="00AB7AF9" w:rsidP="00AB7AF9">
      <w:pPr>
        <w:shd w:val="clear" w:color="auto" w:fill="FFFFFF"/>
        <w:rPr>
          <w:rFonts w:ascii="Verdana" w:hAnsi="Verdana"/>
        </w:rPr>
      </w:pPr>
      <w:r w:rsidRPr="008B3051">
        <w:rPr>
          <w:rFonts w:ascii="Verdana" w:hAnsi="Verdana"/>
        </w:rPr>
        <w:t>a head of household, the </w:t>
      </w:r>
      <w:r w:rsidRPr="008B3051">
        <w:rPr>
          <w:rStyle w:val="Hyperlink"/>
          <w:rFonts w:ascii="Verdana" w:hAnsi="Verdana"/>
          <w:color w:val="auto"/>
        </w:rPr>
        <w:t>applicable percentage</w:t>
      </w:r>
      <w:r w:rsidRPr="008B3051">
        <w:rPr>
          <w:rFonts w:ascii="Verdana" w:hAnsi="Verdana"/>
        </w:rPr>
        <w:t> shall be determined under paragraph (1) except that such paragraph shall be applied by substituting for each dollar amount therein (as adjusted under paragraph (3)) a dollar amount equal to 75 percent of such dollar amount, and</w:t>
      </w:r>
    </w:p>
    <w:p w14:paraId="00927A06"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0E5FDA93" w14:textId="16E25248" w:rsidR="00AB7AF9" w:rsidRPr="008B3051" w:rsidRDefault="00AB7AF9" w:rsidP="00AB7AF9">
      <w:pPr>
        <w:shd w:val="clear" w:color="auto" w:fill="FFFFFF"/>
        <w:rPr>
          <w:rFonts w:ascii="Verdana" w:hAnsi="Verdana"/>
        </w:rPr>
      </w:pPr>
      <w:r w:rsidRPr="008B3051">
        <w:rPr>
          <w:rFonts w:ascii="Verdana" w:hAnsi="Verdana"/>
        </w:rPr>
        <w:t>any </w:t>
      </w:r>
      <w:r w:rsidRPr="008B3051">
        <w:rPr>
          <w:rStyle w:val="Hyperlink"/>
          <w:rFonts w:ascii="Verdana" w:hAnsi="Verdana"/>
          <w:color w:val="auto"/>
        </w:rPr>
        <w:t>taxpayer</w:t>
      </w:r>
      <w:r w:rsidRPr="008B3051">
        <w:rPr>
          <w:rFonts w:ascii="Verdana" w:hAnsi="Verdana"/>
        </w:rPr>
        <w:t> not described in paragraph (1) or subparagraph (A), the </w:t>
      </w:r>
      <w:r w:rsidRPr="008B3051">
        <w:rPr>
          <w:rStyle w:val="Hyperlink"/>
          <w:rFonts w:ascii="Verdana" w:hAnsi="Verdana"/>
          <w:color w:val="auto"/>
        </w:rPr>
        <w:t>applicable percentage</w:t>
      </w:r>
      <w:r w:rsidRPr="008B3051">
        <w:rPr>
          <w:rFonts w:ascii="Verdana" w:hAnsi="Verdana"/>
        </w:rPr>
        <w:t> shall be determined under paragraph (1) except that such paragraph shall be applied by substituting for each dollar amount therein (as adjusted under paragraph (3)) a dollar amount equal to 50 percent of such dollar amount.</w:t>
      </w:r>
    </w:p>
    <w:p w14:paraId="0E50FB32" w14:textId="10D8F01E"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Inflation adjustment</w:t>
      </w:r>
      <w:r w:rsidRPr="008B3051">
        <w:rPr>
          <w:rStyle w:val="chapeau"/>
          <w:rFonts w:ascii="Verdana" w:hAnsi="Verdana"/>
        </w:rPr>
        <w:t>In the case of any </w:t>
      </w:r>
      <w:r w:rsidRPr="008B3051">
        <w:rPr>
          <w:rStyle w:val="Hyperlink"/>
          <w:rFonts w:ascii="Verdana" w:hAnsi="Verdana"/>
          <w:color w:val="auto"/>
        </w:rPr>
        <w:t>taxable year</w:t>
      </w:r>
      <w:r w:rsidRPr="008B3051">
        <w:rPr>
          <w:rStyle w:val="chapeau"/>
          <w:rFonts w:ascii="Verdana" w:hAnsi="Verdana"/>
        </w:rPr>
        <w:t> beginning in a </w:t>
      </w:r>
      <w:r w:rsidRPr="008B3051">
        <w:rPr>
          <w:rStyle w:val="Hyperlink"/>
          <w:rFonts w:ascii="Verdana" w:hAnsi="Verdana"/>
          <w:color w:val="auto"/>
        </w:rPr>
        <w:t>calendar year</w:t>
      </w:r>
      <w:r w:rsidRPr="008B3051">
        <w:rPr>
          <w:rStyle w:val="chapeau"/>
          <w:rFonts w:ascii="Verdana" w:hAnsi="Verdana"/>
        </w:rPr>
        <w:t> after 2006, each of the dollar amounts in paragraph (1) shall be increased by an amount equal to—</w:t>
      </w:r>
    </w:p>
    <w:p w14:paraId="53C15836"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(A)</w:t>
      </w:r>
    </w:p>
    <w:p w14:paraId="3B61E3CD" w14:textId="77777777" w:rsidR="00AB7AF9" w:rsidRPr="008B3051" w:rsidRDefault="00AB7AF9" w:rsidP="00AB7AF9">
      <w:pPr>
        <w:shd w:val="clear" w:color="auto" w:fill="FFFFFF"/>
        <w:rPr>
          <w:rFonts w:ascii="Verdana" w:hAnsi="Verdana"/>
        </w:rPr>
      </w:pPr>
      <w:r w:rsidRPr="008B3051">
        <w:rPr>
          <w:rFonts w:ascii="Verdana" w:hAnsi="Verdana"/>
        </w:rPr>
        <w:t>such dollar amount, multiplied by</w:t>
      </w:r>
    </w:p>
    <w:p w14:paraId="356CF8E7"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3095900F" w14:textId="11FC81BF" w:rsidR="00AB7AF9" w:rsidRPr="008B3051" w:rsidRDefault="00AB7AF9" w:rsidP="00AB7AF9">
      <w:pPr>
        <w:shd w:val="clear" w:color="auto" w:fill="FFFFFF"/>
        <w:rPr>
          <w:rFonts w:ascii="Verdana" w:hAnsi="Verdana"/>
        </w:rPr>
      </w:pPr>
      <w:r w:rsidRPr="008B3051">
        <w:rPr>
          <w:rFonts w:ascii="Verdana" w:hAnsi="Verdana"/>
        </w:rPr>
        <w:t>the cost-of-living adjustment determined under section 1(f)(3) for the </w:t>
      </w:r>
      <w:r w:rsidRPr="008B3051">
        <w:rPr>
          <w:rStyle w:val="Hyperlink"/>
          <w:rFonts w:ascii="Verdana" w:hAnsi="Verdana"/>
          <w:color w:val="auto"/>
        </w:rPr>
        <w:t>calendar year</w:t>
      </w:r>
      <w:r w:rsidRPr="008B3051">
        <w:rPr>
          <w:rFonts w:ascii="Verdana" w:hAnsi="Verdana"/>
        </w:rPr>
        <w:t> in which the taxable year begins, determined by substituting “</w:t>
      </w:r>
      <w:r w:rsidRPr="008B3051">
        <w:rPr>
          <w:rStyle w:val="Hyperlink"/>
          <w:rFonts w:ascii="Verdana" w:hAnsi="Verdana"/>
          <w:color w:val="auto"/>
        </w:rPr>
        <w:t>calendar year</w:t>
      </w:r>
      <w:r w:rsidRPr="008B3051">
        <w:rPr>
          <w:rFonts w:ascii="Verdana" w:hAnsi="Verdana"/>
        </w:rPr>
        <w:t> 2005” for “</w:t>
      </w:r>
      <w:r w:rsidRPr="008B3051">
        <w:rPr>
          <w:rStyle w:val="Hyperlink"/>
          <w:rFonts w:ascii="Verdana" w:hAnsi="Verdana"/>
          <w:color w:val="auto"/>
        </w:rPr>
        <w:t>calendar year 2016</w:t>
      </w:r>
      <w:r w:rsidRPr="008B3051">
        <w:rPr>
          <w:rFonts w:ascii="Verdana" w:hAnsi="Verdana"/>
        </w:rPr>
        <w:t>” in subparagraph (A)(ii) thereof.</w:t>
      </w:r>
    </w:p>
    <w:p w14:paraId="74C456A1" w14:textId="77777777" w:rsidR="00AB7AF9" w:rsidRPr="008B3051" w:rsidRDefault="00AB7AF9" w:rsidP="00AB7AF9">
      <w:pPr>
        <w:shd w:val="clear" w:color="auto" w:fill="FFFFFF"/>
        <w:rPr>
          <w:rFonts w:ascii="Verdana" w:hAnsi="Verdana"/>
        </w:rPr>
      </w:pPr>
      <w:r w:rsidRPr="008B3051">
        <w:rPr>
          <w:rFonts w:ascii="Verdana" w:hAnsi="Verdana"/>
        </w:rPr>
        <w:t>Any increase determined under the preceding sentence shall be rounded to the nearest multiple of $500.</w:t>
      </w:r>
    </w:p>
    <w:p w14:paraId="2B3C4DC2"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Eligible individual</w:t>
      </w:r>
      <w:r w:rsidRPr="008B3051">
        <w:rPr>
          <w:rStyle w:val="chapeau"/>
          <w:rFonts w:ascii="Verdana" w:hAnsi="Verdana"/>
        </w:rPr>
        <w:t>For purposes of this section—</w:t>
      </w:r>
    </w:p>
    <w:p w14:paraId="437FDB46"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1B0BF76E" w14:textId="0CF727F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eligible individual</w:t>
      </w:r>
      <w:r w:rsidRPr="008B3051">
        <w:rPr>
          <w:rFonts w:ascii="Verdana" w:hAnsi="Verdana"/>
        </w:rPr>
        <w:t>” means any individual if such individual has attained the age of 18 as of the close of the taxable year.</w:t>
      </w:r>
    </w:p>
    <w:p w14:paraId="351FF920" w14:textId="401F65D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Dependents and full-time students not eligible</w:t>
      </w:r>
      <w:r w:rsidRPr="008B3051">
        <w:rPr>
          <w:rStyle w:val="chapeau"/>
          <w:rFonts w:ascii="Verdana" w:hAnsi="Verdana"/>
        </w:rPr>
        <w:t>The term “</w:t>
      </w:r>
      <w:r w:rsidRPr="008B3051">
        <w:rPr>
          <w:rStyle w:val="Hyperlink"/>
          <w:rFonts w:ascii="Verdana" w:hAnsi="Verdana"/>
          <w:color w:val="auto"/>
        </w:rPr>
        <w:t>eligible individual</w:t>
      </w:r>
      <w:r w:rsidRPr="008B3051">
        <w:rPr>
          <w:rStyle w:val="chapeau"/>
          <w:rFonts w:ascii="Verdana" w:hAnsi="Verdana"/>
        </w:rPr>
        <w:t>” shall not include—</w:t>
      </w:r>
    </w:p>
    <w:p w14:paraId="26A50303"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23716162" w14:textId="2AB28196" w:rsidR="00AB7AF9" w:rsidRPr="008B3051" w:rsidRDefault="00AB7AF9" w:rsidP="00AB7AF9">
      <w:pPr>
        <w:shd w:val="clear" w:color="auto" w:fill="FFFFFF"/>
        <w:rPr>
          <w:rFonts w:ascii="Verdana" w:hAnsi="Verdana"/>
        </w:rPr>
      </w:pPr>
      <w:r w:rsidRPr="008B3051">
        <w:rPr>
          <w:rFonts w:ascii="Verdana" w:hAnsi="Verdana"/>
        </w:rPr>
        <w:t>any individual with respect to whom a deduction under </w:t>
      </w:r>
      <w:r w:rsidRPr="008B3051">
        <w:rPr>
          <w:rStyle w:val="Hyperlink"/>
          <w:rFonts w:ascii="Verdana" w:hAnsi="Verdana"/>
          <w:color w:val="auto"/>
        </w:rPr>
        <w:t>section 151</w:t>
      </w:r>
      <w:r w:rsidRPr="008B3051">
        <w:rPr>
          <w:rFonts w:ascii="Verdana" w:hAnsi="Verdana"/>
        </w:rPr>
        <w:t> is allowed to another taxpayer for a taxable year beginning in the calendar year in which such individual’s taxable year begins, and</w:t>
      </w:r>
    </w:p>
    <w:p w14:paraId="4FB1B787"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6FDAA875" w14:textId="2C196696" w:rsidR="00AB7AF9" w:rsidRPr="008B3051" w:rsidRDefault="00AB7AF9" w:rsidP="00AB7AF9">
      <w:pPr>
        <w:shd w:val="clear" w:color="auto" w:fill="FFFFFF"/>
        <w:rPr>
          <w:rFonts w:ascii="Verdana" w:hAnsi="Verdana"/>
        </w:rPr>
      </w:pPr>
      <w:r w:rsidRPr="008B3051">
        <w:rPr>
          <w:rFonts w:ascii="Verdana" w:hAnsi="Verdana"/>
        </w:rPr>
        <w:t>any individual who is a </w:t>
      </w:r>
      <w:r w:rsidRPr="008B3051">
        <w:rPr>
          <w:rStyle w:val="Hyperlink"/>
          <w:rFonts w:ascii="Verdana" w:hAnsi="Verdana"/>
          <w:color w:val="auto"/>
        </w:rPr>
        <w:t>student</w:t>
      </w:r>
      <w:r w:rsidRPr="008B3051">
        <w:rPr>
          <w:rFonts w:ascii="Verdana" w:hAnsi="Verdana"/>
        </w:rPr>
        <w:t> (as defined in section 152(f)(2)).</w:t>
      </w:r>
    </w:p>
    <w:p w14:paraId="327D785B"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Qualified retirement savings contributions</w:t>
      </w:r>
      <w:r w:rsidRPr="008B3051">
        <w:rPr>
          <w:rStyle w:val="chapeau"/>
          <w:rFonts w:ascii="Verdana" w:hAnsi="Verdana"/>
        </w:rPr>
        <w:t>For purposes of this section—</w:t>
      </w:r>
    </w:p>
    <w:p w14:paraId="127F0B9C" w14:textId="7358B3FF"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 term “</w:t>
      </w:r>
      <w:r w:rsidRPr="008B3051">
        <w:rPr>
          <w:rStyle w:val="Hyperlink"/>
          <w:rFonts w:ascii="Verdana" w:hAnsi="Verdana"/>
          <w:color w:val="auto"/>
        </w:rPr>
        <w:t>qualified retirement savings contributions</w:t>
      </w:r>
      <w:r w:rsidRPr="008B3051">
        <w:rPr>
          <w:rStyle w:val="chapeau"/>
          <w:rFonts w:ascii="Verdana" w:hAnsi="Verdana"/>
        </w:rPr>
        <w:t>” means, with respect to any taxable year, the sum of—</w:t>
      </w:r>
    </w:p>
    <w:p w14:paraId="2EED1D44"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59887904" w14:textId="45709D24" w:rsidR="00AB7AF9" w:rsidRPr="008B3051" w:rsidRDefault="00AB7AF9" w:rsidP="00AB7AF9">
      <w:pPr>
        <w:shd w:val="clear" w:color="auto" w:fill="FFFFFF"/>
        <w:rPr>
          <w:rFonts w:ascii="Verdana" w:hAnsi="Verdana"/>
        </w:rPr>
      </w:pPr>
      <w:r w:rsidRPr="008B3051">
        <w:rPr>
          <w:rFonts w:ascii="Verdana" w:hAnsi="Verdana"/>
        </w:rPr>
        <w:t>the amount of the qualified retirement </w:t>
      </w:r>
      <w:r w:rsidRPr="008B3051">
        <w:rPr>
          <w:rStyle w:val="Hyperlink"/>
          <w:rFonts w:ascii="Verdana" w:hAnsi="Verdana"/>
          <w:color w:val="auto"/>
        </w:rPr>
        <w:t>contributions</w:t>
      </w:r>
      <w:r w:rsidRPr="008B3051">
        <w:rPr>
          <w:rFonts w:ascii="Verdana" w:hAnsi="Verdana"/>
        </w:rPr>
        <w:t> (as defined in section 219(e)) made by the </w:t>
      </w:r>
      <w:r w:rsidRPr="008B3051">
        <w:rPr>
          <w:rStyle w:val="Hyperlink"/>
          <w:rFonts w:ascii="Verdana" w:hAnsi="Verdana"/>
          <w:color w:val="auto"/>
        </w:rPr>
        <w:t>eligible individual</w:t>
      </w:r>
      <w:r w:rsidRPr="008B3051">
        <w:rPr>
          <w:rFonts w:ascii="Verdana" w:hAnsi="Verdana"/>
        </w:rPr>
        <w:t>,</w:t>
      </w:r>
    </w:p>
    <w:p w14:paraId="63977AF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chapeau"/>
          <w:rFonts w:ascii="Verdana" w:hAnsi="Verdana"/>
        </w:rPr>
        <w:t>the amount of—</w:t>
      </w:r>
    </w:p>
    <w:p w14:paraId="455496B7"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5926CD89" w14:textId="0D1A8B15" w:rsidR="00AB7AF9" w:rsidRPr="008B3051" w:rsidRDefault="00AB7AF9" w:rsidP="00AB7AF9">
      <w:pPr>
        <w:shd w:val="clear" w:color="auto" w:fill="FFFFFF"/>
        <w:rPr>
          <w:rFonts w:ascii="Verdana" w:hAnsi="Verdana"/>
        </w:rPr>
      </w:pPr>
      <w:r w:rsidRPr="008B3051">
        <w:rPr>
          <w:rFonts w:ascii="Verdana" w:hAnsi="Verdana"/>
        </w:rPr>
        <w:t>any </w:t>
      </w:r>
      <w:r w:rsidRPr="008B3051">
        <w:rPr>
          <w:rStyle w:val="Hyperlink"/>
          <w:rFonts w:ascii="Verdana" w:hAnsi="Verdana"/>
          <w:color w:val="auto"/>
        </w:rPr>
        <w:t>elective deferrals</w:t>
      </w:r>
      <w:r w:rsidRPr="008B3051">
        <w:rPr>
          <w:rFonts w:ascii="Verdana" w:hAnsi="Verdana"/>
        </w:rPr>
        <w:t> (as defined in section 402(g)(3)) of such individual, and</w:t>
      </w:r>
    </w:p>
    <w:p w14:paraId="40A7DF8E"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03381BD0" w14:textId="7EC38F8A" w:rsidR="00AB7AF9" w:rsidRPr="008B3051" w:rsidRDefault="00AB7AF9" w:rsidP="00AB7AF9">
      <w:pPr>
        <w:shd w:val="clear" w:color="auto" w:fill="FFFFFF"/>
        <w:rPr>
          <w:rFonts w:ascii="Verdana" w:hAnsi="Verdana"/>
        </w:rPr>
      </w:pPr>
      <w:r w:rsidRPr="008B3051">
        <w:rPr>
          <w:rFonts w:ascii="Verdana" w:hAnsi="Verdana"/>
        </w:rPr>
        <w:t>any </w:t>
      </w:r>
      <w:r w:rsidRPr="008B3051">
        <w:rPr>
          <w:rStyle w:val="Hyperlink"/>
          <w:rFonts w:ascii="Verdana" w:hAnsi="Verdana"/>
          <w:color w:val="auto"/>
        </w:rPr>
        <w:t>elective deferral</w:t>
      </w:r>
      <w:r w:rsidRPr="008B3051">
        <w:rPr>
          <w:rFonts w:ascii="Verdana" w:hAnsi="Verdana"/>
        </w:rPr>
        <w:t> of compensation by such individual under an eligible deferred compensation plan (as defined in section 457(b)) of an eligible employer described in section 457(e)(1)(A),</w:t>
      </w:r>
    </w:p>
    <w:p w14:paraId="1A8FAA25"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(C)</w:t>
      </w:r>
    </w:p>
    <w:p w14:paraId="147F0E09" w14:textId="2AA159D0" w:rsidR="00AB7AF9" w:rsidRPr="008B3051" w:rsidRDefault="00AB7AF9" w:rsidP="00AB7AF9">
      <w:pPr>
        <w:shd w:val="clear" w:color="auto" w:fill="FFFFFF"/>
        <w:rPr>
          <w:rFonts w:ascii="Verdana" w:hAnsi="Verdana"/>
        </w:rPr>
      </w:pPr>
      <w:r w:rsidRPr="008B3051">
        <w:rPr>
          <w:rFonts w:ascii="Verdana" w:hAnsi="Verdana"/>
        </w:rPr>
        <w:t>the amount of </w:t>
      </w:r>
      <w:r w:rsidRPr="008B3051">
        <w:rPr>
          <w:rStyle w:val="Hyperlink"/>
          <w:rFonts w:ascii="Verdana" w:hAnsi="Verdana"/>
          <w:color w:val="auto"/>
        </w:rPr>
        <w:t>voluntary employee contributions</w:t>
      </w:r>
      <w:r w:rsidRPr="008B3051">
        <w:rPr>
          <w:rFonts w:ascii="Verdana" w:hAnsi="Verdana"/>
        </w:rPr>
        <w:t> by such individual to any qualified retirement plan (as defined in section 4974(c)), and</w:t>
      </w:r>
    </w:p>
    <w:p w14:paraId="694A2969"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p>
    <w:p w14:paraId="5D239F8C" w14:textId="786FA4F3" w:rsidR="00AB7AF9" w:rsidRPr="008B3051" w:rsidRDefault="00AB7AF9" w:rsidP="00AB7AF9">
      <w:pPr>
        <w:shd w:val="clear" w:color="auto" w:fill="FFFFFF"/>
        <w:rPr>
          <w:rFonts w:ascii="Verdana" w:hAnsi="Verdana"/>
        </w:rPr>
      </w:pPr>
      <w:r w:rsidRPr="008B3051">
        <w:rPr>
          <w:rFonts w:ascii="Verdana" w:hAnsi="Verdana"/>
        </w:rPr>
        <w:t>the amount of </w:t>
      </w:r>
      <w:r w:rsidRPr="008B3051">
        <w:rPr>
          <w:rStyle w:val="Hyperlink"/>
          <w:rFonts w:ascii="Verdana" w:hAnsi="Verdana"/>
          <w:color w:val="auto"/>
        </w:rPr>
        <w:t>contributions</w:t>
      </w:r>
      <w:r w:rsidRPr="008B3051">
        <w:rPr>
          <w:rFonts w:ascii="Verdana" w:hAnsi="Verdana"/>
        </w:rPr>
        <w:t> made before </w:t>
      </w:r>
      <w:r w:rsidRPr="008B3051">
        <w:rPr>
          <w:rStyle w:val="Date2"/>
          <w:rFonts w:ascii="Verdana" w:hAnsi="Verdana"/>
        </w:rPr>
        <w:t>January 1, 2026</w:t>
      </w:r>
      <w:r w:rsidRPr="008B3051">
        <w:rPr>
          <w:rFonts w:ascii="Verdana" w:hAnsi="Verdana"/>
        </w:rPr>
        <w:t>, by such individual to the ABLE account (within the meaning of section 529A) of which such individual is the designated beneficiary.</w:t>
      </w:r>
    </w:p>
    <w:p w14:paraId="3AACA81C"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Reduction for certain distributions</w:t>
      </w:r>
    </w:p>
    <w:p w14:paraId="0CBA0361"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57206579" w14:textId="558811D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w:t>
      </w:r>
      <w:r w:rsidRPr="008B3051">
        <w:rPr>
          <w:rStyle w:val="Hyperlink"/>
          <w:rFonts w:ascii="Verdana" w:hAnsi="Verdana"/>
          <w:color w:val="auto"/>
        </w:rPr>
        <w:t>qualified retirement savings contributions</w:t>
      </w:r>
      <w:r w:rsidRPr="008B3051">
        <w:rPr>
          <w:rFonts w:ascii="Verdana" w:hAnsi="Verdana"/>
        </w:rPr>
        <w:t> determined under paragraph (1) shall be reduced (but not below zero) by the aggregate distributions received by the individual during the testing period from any entity of a type to which contributions under paragraph (1) may be made. The preceding sentence shall not apply to the portion of any distribution which is not includible in gross income by reason of a trustee-to-trustee transfer or a rollover distribution.</w:t>
      </w:r>
    </w:p>
    <w:p w14:paraId="10E1A681" w14:textId="4CD7E729"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Testing period</w:t>
      </w:r>
      <w:r w:rsidRPr="008B3051">
        <w:rPr>
          <w:rStyle w:val="chapeau"/>
          <w:rFonts w:ascii="Verdana" w:hAnsi="Verdana"/>
        </w:rPr>
        <w:t>For purposes of subparagraph (A), the </w:t>
      </w:r>
      <w:r w:rsidRPr="008B3051">
        <w:rPr>
          <w:rStyle w:val="Hyperlink"/>
          <w:rFonts w:ascii="Verdana" w:hAnsi="Verdana"/>
          <w:color w:val="auto"/>
        </w:rPr>
        <w:t>testing period</w:t>
      </w:r>
      <w:r w:rsidRPr="008B3051">
        <w:rPr>
          <w:rStyle w:val="chapeau"/>
          <w:rFonts w:ascii="Verdana" w:hAnsi="Verdana"/>
        </w:rPr>
        <w:t>, with respect to a taxable year, is the period which includes—</w:t>
      </w:r>
    </w:p>
    <w:p w14:paraId="3BBD6AA5" w14:textId="77777777" w:rsidR="00AB7AF9" w:rsidRPr="008B3051" w:rsidRDefault="00AB7AF9" w:rsidP="00AB7AF9">
      <w:pPr>
        <w:shd w:val="clear" w:color="auto" w:fill="FFFFFF"/>
        <w:rPr>
          <w:rFonts w:ascii="Verdana" w:hAnsi="Verdana"/>
        </w:rPr>
      </w:pPr>
      <w:bookmarkStart w:id="415" w:name="d_2_B_i"/>
      <w:bookmarkEnd w:id="415"/>
      <w:r w:rsidRPr="008B3051">
        <w:rPr>
          <w:rStyle w:val="num"/>
          <w:rFonts w:ascii="Verdana" w:hAnsi="Verdana"/>
          <w:b/>
          <w:bCs/>
        </w:rPr>
        <w:t>(i)</w:t>
      </w:r>
    </w:p>
    <w:p w14:paraId="6CB1163A" w14:textId="11C912FB" w:rsidR="00AB7AF9" w:rsidRPr="008B3051" w:rsidRDefault="00AB7AF9" w:rsidP="00AB7AF9">
      <w:pPr>
        <w:shd w:val="clear" w:color="auto" w:fill="FFFFFF"/>
        <w:rPr>
          <w:rFonts w:ascii="Verdana" w:hAnsi="Verdana"/>
        </w:rPr>
      </w:pPr>
      <w:r w:rsidRPr="008B3051">
        <w:rPr>
          <w:rFonts w:ascii="Verdana" w:hAnsi="Verdana"/>
        </w:rPr>
        <w:t>such </w:t>
      </w:r>
      <w:r w:rsidRPr="008B3051">
        <w:rPr>
          <w:rStyle w:val="Hyperlink"/>
          <w:rFonts w:ascii="Verdana" w:hAnsi="Verdana"/>
          <w:color w:val="auto"/>
        </w:rPr>
        <w:t>taxable year</w:t>
      </w:r>
      <w:r w:rsidRPr="008B3051">
        <w:rPr>
          <w:rFonts w:ascii="Verdana" w:hAnsi="Verdana"/>
        </w:rPr>
        <w:t>,</w:t>
      </w:r>
    </w:p>
    <w:p w14:paraId="60AEAA8D" w14:textId="77777777" w:rsidR="00AB7AF9" w:rsidRPr="008B3051" w:rsidRDefault="00AB7AF9" w:rsidP="00AB7AF9">
      <w:pPr>
        <w:shd w:val="clear" w:color="auto" w:fill="FFFFFF"/>
        <w:rPr>
          <w:rFonts w:ascii="Verdana" w:hAnsi="Verdana"/>
        </w:rPr>
      </w:pPr>
      <w:bookmarkStart w:id="416" w:name="d_2_B_ii"/>
      <w:bookmarkEnd w:id="416"/>
      <w:r w:rsidRPr="008B3051">
        <w:rPr>
          <w:rStyle w:val="num"/>
          <w:rFonts w:ascii="Verdana" w:hAnsi="Verdana"/>
          <w:b/>
          <w:bCs/>
        </w:rPr>
        <w:t>(ii)</w:t>
      </w:r>
    </w:p>
    <w:p w14:paraId="27D1CA40" w14:textId="12F2F8B0" w:rsidR="00AB7AF9" w:rsidRPr="008B3051" w:rsidRDefault="00AB7AF9" w:rsidP="00AB7AF9">
      <w:pPr>
        <w:shd w:val="clear" w:color="auto" w:fill="FFFFFF"/>
        <w:rPr>
          <w:rFonts w:ascii="Verdana" w:hAnsi="Verdana"/>
        </w:rPr>
      </w:pPr>
      <w:r w:rsidRPr="008B3051">
        <w:rPr>
          <w:rFonts w:ascii="Verdana" w:hAnsi="Verdana"/>
        </w:rPr>
        <w:t>the 2 </w:t>
      </w:r>
      <w:r w:rsidRPr="008B3051">
        <w:rPr>
          <w:rStyle w:val="Hyperlink"/>
          <w:rFonts w:ascii="Verdana" w:hAnsi="Verdana"/>
          <w:color w:val="auto"/>
        </w:rPr>
        <w:t>preceding taxable years</w:t>
      </w:r>
      <w:r w:rsidRPr="008B3051">
        <w:rPr>
          <w:rFonts w:ascii="Verdana" w:hAnsi="Verdana"/>
        </w:rPr>
        <w:t>, and</w:t>
      </w:r>
    </w:p>
    <w:p w14:paraId="3648C9B9" w14:textId="77777777" w:rsidR="00AB7AF9" w:rsidRPr="008B3051" w:rsidRDefault="00AB7AF9" w:rsidP="00AB7AF9">
      <w:pPr>
        <w:shd w:val="clear" w:color="auto" w:fill="FFFFFF"/>
        <w:rPr>
          <w:rFonts w:ascii="Verdana" w:hAnsi="Verdana"/>
        </w:rPr>
      </w:pPr>
      <w:bookmarkStart w:id="417" w:name="d_2_B_iii"/>
      <w:bookmarkEnd w:id="417"/>
      <w:r w:rsidRPr="008B3051">
        <w:rPr>
          <w:rStyle w:val="num"/>
          <w:rFonts w:ascii="Verdana" w:hAnsi="Verdana"/>
          <w:b/>
          <w:bCs/>
        </w:rPr>
        <w:t>(iii)</w:t>
      </w:r>
    </w:p>
    <w:p w14:paraId="216F9B32" w14:textId="43D4089B" w:rsidR="00AB7AF9" w:rsidRPr="008B3051" w:rsidRDefault="00AB7AF9" w:rsidP="00AB7AF9">
      <w:pPr>
        <w:shd w:val="clear" w:color="auto" w:fill="FFFFFF"/>
        <w:rPr>
          <w:rFonts w:ascii="Verdana" w:hAnsi="Verdana"/>
        </w:rPr>
      </w:pPr>
      <w:r w:rsidRPr="008B3051">
        <w:rPr>
          <w:rFonts w:ascii="Verdana" w:hAnsi="Verdana"/>
        </w:rPr>
        <w:t>the period after such </w:t>
      </w:r>
      <w:r w:rsidRPr="008B3051">
        <w:rPr>
          <w:rStyle w:val="Hyperlink"/>
          <w:rFonts w:ascii="Verdana" w:hAnsi="Verdana"/>
          <w:color w:val="auto"/>
        </w:rPr>
        <w:t>taxable year</w:t>
      </w:r>
      <w:r w:rsidRPr="008B3051">
        <w:rPr>
          <w:rFonts w:ascii="Verdana" w:hAnsi="Verdana"/>
        </w:rPr>
        <w:t> and before the due date (including extensions) for filing the return of tax for such </w:t>
      </w:r>
      <w:r w:rsidRPr="008B3051">
        <w:rPr>
          <w:rStyle w:val="Hyperlink"/>
          <w:rFonts w:ascii="Verdana" w:hAnsi="Verdana"/>
          <w:color w:val="auto"/>
        </w:rPr>
        <w:t>taxable year</w:t>
      </w:r>
      <w:r w:rsidRPr="008B3051">
        <w:rPr>
          <w:rFonts w:ascii="Verdana" w:hAnsi="Verdana"/>
        </w:rPr>
        <w:t>.</w:t>
      </w:r>
    </w:p>
    <w:p w14:paraId="51A19099"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Excepted distributions</w:t>
      </w:r>
      <w:r w:rsidRPr="008B3051">
        <w:rPr>
          <w:rStyle w:val="chapeau"/>
          <w:rFonts w:ascii="Verdana" w:hAnsi="Verdana"/>
        </w:rPr>
        <w:t>There shall not be taken into account under subparagraph (A)—</w:t>
      </w:r>
    </w:p>
    <w:p w14:paraId="3E3529B4" w14:textId="77777777" w:rsidR="00AB7AF9" w:rsidRPr="008B3051" w:rsidRDefault="00AB7AF9" w:rsidP="00AB7AF9">
      <w:pPr>
        <w:shd w:val="clear" w:color="auto" w:fill="FFFFFF"/>
        <w:rPr>
          <w:rFonts w:ascii="Verdana" w:hAnsi="Verdana"/>
        </w:rPr>
      </w:pPr>
      <w:bookmarkStart w:id="418" w:name="d_2_C_i"/>
      <w:bookmarkEnd w:id="418"/>
      <w:r w:rsidRPr="008B3051">
        <w:rPr>
          <w:rStyle w:val="num"/>
          <w:rFonts w:ascii="Verdana" w:hAnsi="Verdana"/>
          <w:b/>
          <w:bCs/>
        </w:rPr>
        <w:t>(i)</w:t>
      </w:r>
    </w:p>
    <w:p w14:paraId="188DBC5A" w14:textId="77777777" w:rsidR="00AB7AF9" w:rsidRPr="008B3051" w:rsidRDefault="00AB7AF9" w:rsidP="00AB7AF9">
      <w:pPr>
        <w:shd w:val="clear" w:color="auto" w:fill="FFFFFF"/>
        <w:rPr>
          <w:rFonts w:ascii="Verdana" w:hAnsi="Verdana"/>
        </w:rPr>
      </w:pPr>
      <w:r w:rsidRPr="008B3051">
        <w:rPr>
          <w:rFonts w:ascii="Verdana" w:hAnsi="Verdana"/>
        </w:rPr>
        <w:t>any distribution referred to in section 72(p), 401(k)(8), 401(m)(6), 402(g)(2), 404(k), or 408(d)(4), and</w:t>
      </w:r>
    </w:p>
    <w:p w14:paraId="107F99FF" w14:textId="77777777" w:rsidR="00AB7AF9" w:rsidRPr="008B3051" w:rsidRDefault="00AB7AF9" w:rsidP="00AB7AF9">
      <w:pPr>
        <w:shd w:val="clear" w:color="auto" w:fill="FFFFFF"/>
        <w:rPr>
          <w:rFonts w:ascii="Verdana" w:hAnsi="Verdana"/>
        </w:rPr>
      </w:pPr>
      <w:bookmarkStart w:id="419" w:name="d_2_C_ii"/>
      <w:bookmarkEnd w:id="419"/>
      <w:r w:rsidRPr="008B3051">
        <w:rPr>
          <w:rStyle w:val="num"/>
          <w:rFonts w:ascii="Verdana" w:hAnsi="Verdana"/>
          <w:b/>
          <w:bCs/>
        </w:rPr>
        <w:t>(ii)</w:t>
      </w:r>
    </w:p>
    <w:p w14:paraId="0A438230" w14:textId="079F17D9" w:rsidR="00AB7AF9" w:rsidRPr="008B3051" w:rsidRDefault="00AB7AF9" w:rsidP="00AB7AF9">
      <w:pPr>
        <w:shd w:val="clear" w:color="auto" w:fill="FFFFFF"/>
        <w:rPr>
          <w:rFonts w:ascii="Verdana" w:hAnsi="Verdana"/>
        </w:rPr>
      </w:pPr>
      <w:r w:rsidRPr="008B3051">
        <w:rPr>
          <w:rFonts w:ascii="Verdana" w:hAnsi="Verdana"/>
        </w:rPr>
        <w:t>any distribution to which </w:t>
      </w:r>
      <w:r w:rsidRPr="008B3051">
        <w:rPr>
          <w:rStyle w:val="Hyperlink"/>
          <w:rFonts w:ascii="Verdana" w:hAnsi="Verdana"/>
          <w:color w:val="auto"/>
        </w:rPr>
        <w:t>section 408A(d)(3)</w:t>
      </w:r>
      <w:r w:rsidRPr="008B3051">
        <w:rPr>
          <w:rFonts w:ascii="Verdana" w:hAnsi="Verdana"/>
        </w:rPr>
        <w:t> applies.</w:t>
      </w:r>
    </w:p>
    <w:p w14:paraId="5AE627E7" w14:textId="77777777" w:rsidR="00AB7AF9" w:rsidRPr="008B3051" w:rsidRDefault="00AB7AF9" w:rsidP="00AB7AF9">
      <w:pPr>
        <w:shd w:val="clear" w:color="auto" w:fill="FFFFFF"/>
        <w:rPr>
          <w:rFonts w:ascii="Verdana" w:hAnsi="Verdana"/>
        </w:rPr>
      </w:pPr>
      <w:bookmarkStart w:id="420" w:name="d_2_D"/>
      <w:bookmarkEnd w:id="420"/>
      <w:r w:rsidRPr="008B3051">
        <w:rPr>
          <w:rStyle w:val="num"/>
          <w:rFonts w:ascii="Verdana" w:hAnsi="Verdana"/>
          <w:b/>
          <w:bCs/>
        </w:rPr>
        <w:t>(D)</w:t>
      </w:r>
      <w:r w:rsidRPr="008B3051">
        <w:rPr>
          <w:rStyle w:val="heading"/>
          <w:rFonts w:ascii="Verdana" w:hAnsi="Verdana"/>
          <w:b/>
          <w:bCs/>
        </w:rPr>
        <w:t>Treatment of distributions received by spouse of individual</w:t>
      </w:r>
    </w:p>
    <w:p w14:paraId="4A95B929" w14:textId="2F6AA1E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determining distributions received by an individual under subparagraph (A) for any </w:t>
      </w:r>
      <w:r w:rsidRPr="008B3051">
        <w:rPr>
          <w:rStyle w:val="Hyperlink"/>
          <w:rFonts w:ascii="Verdana" w:hAnsi="Verdana"/>
          <w:color w:val="auto"/>
        </w:rPr>
        <w:t>taxable year</w:t>
      </w:r>
      <w:r w:rsidRPr="008B3051">
        <w:rPr>
          <w:rFonts w:ascii="Verdana" w:hAnsi="Verdana"/>
        </w:rPr>
        <w:t>, any distribution received by the spouse of such individual shall be treated as received by such individual if such individual and spouse file a </w:t>
      </w:r>
      <w:r w:rsidRPr="008B3051">
        <w:rPr>
          <w:rStyle w:val="Hyperlink"/>
          <w:rFonts w:ascii="Verdana" w:hAnsi="Verdana"/>
          <w:color w:val="auto"/>
        </w:rPr>
        <w:t>joint return</w:t>
      </w:r>
      <w:r w:rsidRPr="008B3051">
        <w:rPr>
          <w:rFonts w:ascii="Verdana" w:hAnsi="Verdana"/>
        </w:rPr>
        <w:t> for such taxable year and for the taxable year during which the spouse receives the distribution.</w:t>
      </w:r>
    </w:p>
    <w:p w14:paraId="6CED377A"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Adjusted gross income</w:t>
      </w:r>
    </w:p>
    <w:p w14:paraId="63763E80" w14:textId="7D2E3CC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section, </w:t>
      </w:r>
      <w:r w:rsidRPr="008B3051">
        <w:rPr>
          <w:rStyle w:val="Hyperlink"/>
          <w:rFonts w:ascii="Verdana" w:hAnsi="Verdana"/>
          <w:color w:val="auto"/>
        </w:rPr>
        <w:t>adjusted gross income</w:t>
      </w:r>
      <w:r w:rsidRPr="008B3051">
        <w:rPr>
          <w:rFonts w:ascii="Verdana" w:hAnsi="Verdana"/>
        </w:rPr>
        <w:t> shall be determined without regard to sections 911, 931, and 933.</w:t>
      </w:r>
    </w:p>
    <w:p w14:paraId="4A48A604"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Investment in the contract</w:t>
      </w:r>
    </w:p>
    <w:p w14:paraId="6015C869" w14:textId="6454C64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Notwithstanding any other provision of law, a qualified retirement savings </w:t>
      </w:r>
      <w:r w:rsidRPr="008B3051">
        <w:rPr>
          <w:rStyle w:val="Hyperlink"/>
          <w:rFonts w:ascii="Verdana" w:hAnsi="Verdana"/>
          <w:color w:val="auto"/>
        </w:rPr>
        <w:t>contribution</w:t>
      </w:r>
      <w:r w:rsidRPr="008B3051">
        <w:rPr>
          <w:rFonts w:ascii="Verdana" w:hAnsi="Verdana"/>
        </w:rPr>
        <w:t> shall not fail to be included in determining the investment in the contract for purposes of section 72 by reason of the credit under this section.</w:t>
      </w:r>
    </w:p>
    <w:p w14:paraId="3EB63FA2" w14:textId="20C50FA3" w:rsidR="00AB7AF9" w:rsidRPr="008B3051" w:rsidRDefault="00AB7AF9" w:rsidP="00AB7AF9">
      <w:pPr>
        <w:shd w:val="clear" w:color="auto" w:fill="FFFFFF"/>
        <w:rPr>
          <w:rFonts w:ascii="Verdana" w:hAnsi="Verdana"/>
        </w:rPr>
      </w:pPr>
      <w:r w:rsidRPr="008B3051">
        <w:rPr>
          <w:rFonts w:ascii="Verdana" w:hAnsi="Verdana"/>
        </w:rPr>
        <w:t>(Added and amended </w:t>
      </w:r>
      <w:r w:rsidRPr="008B3051">
        <w:rPr>
          <w:rStyle w:val="Hyperlink"/>
          <w:rFonts w:ascii="Verdana" w:hAnsi="Verdana"/>
          <w:color w:val="auto"/>
        </w:rPr>
        <w:t>Pub. L. 107–16, title VI</w:t>
      </w:r>
      <w:r w:rsidRPr="008B3051">
        <w:rPr>
          <w:rFonts w:ascii="Verdana" w:hAnsi="Verdana"/>
        </w:rPr>
        <w:t>, § 618(a), (b)(1),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106</w:t>
      </w:r>
      <w:r w:rsidRPr="008B3051">
        <w:rPr>
          <w:rFonts w:ascii="Verdana" w:hAnsi="Verdana"/>
        </w:rPr>
        <w:t>, 108; </w:t>
      </w:r>
      <w:r w:rsidRPr="008B3051">
        <w:rPr>
          <w:rStyle w:val="Hyperlink"/>
          <w:rFonts w:ascii="Verdana" w:hAnsi="Verdana"/>
          <w:color w:val="auto"/>
        </w:rPr>
        <w:t>Pub. L. 107–147, title IV</w:t>
      </w:r>
      <w:r w:rsidRPr="008B3051">
        <w:rPr>
          <w:rFonts w:ascii="Verdana" w:hAnsi="Verdana"/>
        </w:rPr>
        <w:t>, §§ 411(m), 417(1), </w:t>
      </w:r>
      <w:r w:rsidRPr="008B3051">
        <w:rPr>
          <w:rStyle w:val="Date2"/>
          <w:rFonts w:ascii="Verdana" w:hAnsi="Verdana"/>
        </w:rPr>
        <w:t>Mar. 9, 2002</w:t>
      </w:r>
      <w:r w:rsidRPr="008B3051">
        <w:rPr>
          <w:rFonts w:ascii="Verdana" w:hAnsi="Verdana"/>
        </w:rPr>
        <w:t>, </w:t>
      </w:r>
      <w:r w:rsidRPr="008B3051">
        <w:rPr>
          <w:rStyle w:val="Hyperlink"/>
          <w:rFonts w:ascii="Verdana" w:hAnsi="Verdana"/>
          <w:color w:val="auto"/>
        </w:rPr>
        <w:t>116 Stat. 48</w:t>
      </w:r>
      <w:r w:rsidRPr="008B3051">
        <w:rPr>
          <w:rFonts w:ascii="Verdana" w:hAnsi="Verdana"/>
        </w:rPr>
        <w:t>, 56; </w:t>
      </w:r>
      <w:r w:rsidRPr="008B3051">
        <w:rPr>
          <w:rStyle w:val="Hyperlink"/>
          <w:rFonts w:ascii="Verdana" w:hAnsi="Verdana"/>
          <w:color w:val="auto"/>
        </w:rPr>
        <w:t>Pub. L. 108–311, title II</w:t>
      </w:r>
      <w:r w:rsidRPr="008B3051">
        <w:rPr>
          <w:rFonts w:ascii="Verdana" w:hAnsi="Verdana"/>
        </w:rPr>
        <w:t>, § 207(4), </w:t>
      </w:r>
      <w:r w:rsidRPr="008B3051">
        <w:rPr>
          <w:rStyle w:val="Date2"/>
          <w:rFonts w:ascii="Verdana" w:hAnsi="Verdana"/>
        </w:rPr>
        <w:t>Oct. 4, 2004</w:t>
      </w:r>
      <w:r w:rsidRPr="008B3051">
        <w:rPr>
          <w:rFonts w:ascii="Verdana" w:hAnsi="Verdana"/>
        </w:rPr>
        <w:t>, </w:t>
      </w:r>
      <w:r w:rsidRPr="008B3051">
        <w:rPr>
          <w:rStyle w:val="Hyperlink"/>
          <w:rFonts w:ascii="Verdana" w:hAnsi="Verdana"/>
          <w:color w:val="auto"/>
        </w:rPr>
        <w:t>118 Stat. 1177</w:t>
      </w:r>
      <w:r w:rsidRPr="008B3051">
        <w:rPr>
          <w:rFonts w:ascii="Verdana" w:hAnsi="Verdana"/>
        </w:rPr>
        <w:t>; </w:t>
      </w:r>
      <w:r w:rsidRPr="008B3051">
        <w:rPr>
          <w:rStyle w:val="Hyperlink"/>
          <w:rFonts w:ascii="Verdana" w:hAnsi="Verdana"/>
          <w:color w:val="auto"/>
        </w:rPr>
        <w:t>Pub. L. 109–135, title IV</w:t>
      </w:r>
      <w:r w:rsidRPr="008B3051">
        <w:rPr>
          <w:rFonts w:ascii="Verdana" w:hAnsi="Verdana"/>
        </w:rPr>
        <w:t>, § 402(i)(3)(D),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2614</w:t>
      </w:r>
      <w:r w:rsidRPr="008B3051">
        <w:rPr>
          <w:rFonts w:ascii="Verdana" w:hAnsi="Verdana"/>
        </w:rPr>
        <w:t>; </w:t>
      </w:r>
      <w:r w:rsidRPr="008B3051">
        <w:rPr>
          <w:rStyle w:val="Hyperlink"/>
          <w:rFonts w:ascii="Verdana" w:hAnsi="Verdana"/>
          <w:color w:val="auto"/>
        </w:rPr>
        <w:t>Pub. L. 109–280, title VIII</w:t>
      </w:r>
      <w:r w:rsidRPr="008B3051">
        <w:rPr>
          <w:rFonts w:ascii="Verdana" w:hAnsi="Verdana"/>
        </w:rPr>
        <w:t>, §§ 812, 833(a), </w:t>
      </w:r>
      <w:r w:rsidRPr="008B3051">
        <w:rPr>
          <w:rStyle w:val="Date2"/>
          <w:rFonts w:ascii="Verdana" w:hAnsi="Verdana"/>
        </w:rPr>
        <w:t>Aug. 17, 2006</w:t>
      </w:r>
      <w:r w:rsidRPr="008B3051">
        <w:rPr>
          <w:rFonts w:ascii="Verdana" w:hAnsi="Verdana"/>
        </w:rPr>
        <w:t>, </w:t>
      </w:r>
      <w:r w:rsidRPr="008B3051">
        <w:rPr>
          <w:rStyle w:val="Hyperlink"/>
          <w:rFonts w:ascii="Verdana" w:hAnsi="Verdana"/>
          <w:color w:val="auto"/>
        </w:rPr>
        <w:t>120 Stat. 997</w:t>
      </w:r>
      <w:r w:rsidRPr="008B3051">
        <w:rPr>
          <w:rFonts w:ascii="Verdana" w:hAnsi="Verdana"/>
        </w:rPr>
        <w:t>, 1003; </w:t>
      </w:r>
      <w:r w:rsidRPr="008B3051">
        <w:rPr>
          <w:rStyle w:val="Hyperlink"/>
          <w:rFonts w:ascii="Verdana" w:hAnsi="Verdana"/>
          <w:color w:val="auto"/>
        </w:rPr>
        <w:t>Pub. L. 110–343, div. B, title I</w:t>
      </w:r>
      <w:r w:rsidRPr="008B3051">
        <w:rPr>
          <w:rFonts w:ascii="Verdana" w:hAnsi="Verdana"/>
        </w:rPr>
        <w:t>, § 106(e)(2)(C), title II, § 205(d)(1)(C),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3817</w:t>
      </w:r>
      <w:r w:rsidRPr="008B3051">
        <w:rPr>
          <w:rFonts w:ascii="Verdana" w:hAnsi="Verdana"/>
        </w:rPr>
        <w:t>, 3838; </w:t>
      </w:r>
      <w:r w:rsidRPr="008B3051">
        <w:rPr>
          <w:rStyle w:val="Hyperlink"/>
          <w:rFonts w:ascii="Verdana" w:hAnsi="Verdana"/>
          <w:color w:val="auto"/>
        </w:rPr>
        <w:t>Pub. L. 111–5, div. B, title I</w:t>
      </w:r>
      <w:r w:rsidRPr="008B3051">
        <w:rPr>
          <w:rFonts w:ascii="Verdana" w:hAnsi="Verdana"/>
        </w:rPr>
        <w:t>, §§ 1004(b)(4), 1142(b)(1)(C), 1144(b)(1)(C),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314</w:t>
      </w:r>
      <w:r w:rsidRPr="008B3051">
        <w:rPr>
          <w:rFonts w:ascii="Verdana" w:hAnsi="Verdana"/>
        </w:rPr>
        <w:t>, 330, 332; </w:t>
      </w:r>
      <w:r w:rsidRPr="008B3051">
        <w:rPr>
          <w:rStyle w:val="Hyperlink"/>
          <w:rFonts w:ascii="Verdana" w:hAnsi="Verdana"/>
          <w:color w:val="auto"/>
        </w:rPr>
        <w:t>Pub. L. 111–148, title X</w:t>
      </w:r>
      <w:r w:rsidRPr="008B3051">
        <w:rPr>
          <w:rFonts w:ascii="Verdana" w:hAnsi="Verdana"/>
        </w:rPr>
        <w:t>, § 10909(b)(2)(D),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1023</w:t>
      </w:r>
      <w:r w:rsidRPr="008B3051">
        <w:rPr>
          <w:rFonts w:ascii="Verdana" w:hAnsi="Verdana"/>
        </w:rPr>
        <w:t>; </w:t>
      </w:r>
      <w:r w:rsidRPr="008B3051">
        <w:rPr>
          <w:rStyle w:val="Hyperlink"/>
          <w:rFonts w:ascii="Verdana" w:hAnsi="Verdana"/>
          <w:color w:val="auto"/>
        </w:rPr>
        <w:t>Pub. L. 111–312, title I</w:t>
      </w:r>
      <w:r w:rsidRPr="008B3051">
        <w:rPr>
          <w:rFonts w:ascii="Verdana" w:hAnsi="Verdana"/>
        </w:rPr>
        <w:t>, § 101(b)(1),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w:t>
      </w:r>
      <w:r w:rsidRPr="008B3051">
        <w:rPr>
          <w:rStyle w:val="Hyperlink"/>
          <w:rFonts w:ascii="Verdana" w:hAnsi="Verdana"/>
          <w:color w:val="auto"/>
        </w:rPr>
        <w:t>Pub. L. 112–240, title I</w:t>
      </w:r>
      <w:r w:rsidRPr="008B3051">
        <w:rPr>
          <w:rFonts w:ascii="Verdana" w:hAnsi="Verdana"/>
        </w:rPr>
        <w:t>, § 104(c)(2)(E),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2322</w:t>
      </w:r>
      <w:r w:rsidRPr="008B3051">
        <w:rPr>
          <w:rFonts w:ascii="Verdana" w:hAnsi="Verdana"/>
        </w:rPr>
        <w:t>; </w:t>
      </w:r>
      <w:r w:rsidRPr="008B3051">
        <w:rPr>
          <w:rStyle w:val="Hyperlink"/>
          <w:rFonts w:ascii="Verdana" w:hAnsi="Verdana"/>
          <w:color w:val="auto"/>
        </w:rPr>
        <w:t>Pub. L. 115–97, title I</w:t>
      </w:r>
      <w:r w:rsidRPr="008B3051">
        <w:rPr>
          <w:rFonts w:ascii="Verdana" w:hAnsi="Verdana"/>
        </w:rPr>
        <w:t>, §§ 11002(d)(1)(C), 11024(b),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2060</w:t>
      </w:r>
      <w:r w:rsidRPr="008B3051">
        <w:rPr>
          <w:rFonts w:ascii="Verdana" w:hAnsi="Verdana"/>
        </w:rPr>
        <w:t>, 2076.)</w:t>
      </w:r>
    </w:p>
    <w:p w14:paraId="140CD46F" w14:textId="77777777" w:rsidR="00AB7AF9" w:rsidRPr="008B3051" w:rsidRDefault="00AB7AF9" w:rsidP="00AB7AF9">
      <w:pPr>
        <w:shd w:val="clear" w:color="auto" w:fill="FFFFFF"/>
        <w:spacing w:after="60" w:line="240" w:lineRule="auto"/>
        <w:ind w:left="720"/>
        <w:rPr>
          <w:rFonts w:ascii="Verdana" w:hAnsi="Verdana"/>
        </w:rPr>
      </w:pPr>
    </w:p>
    <w:p w14:paraId="15B64056" w14:textId="655F54B0"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25C - Nonbusiness energy property</w:t>
      </w:r>
    </w:p>
    <w:p w14:paraId="43BF5D54" w14:textId="1F6C360F" w:rsidR="00AB7AF9" w:rsidRPr="008B3051" w:rsidRDefault="00AB7AF9" w:rsidP="00AB7AF9">
      <w:pPr>
        <w:shd w:val="clear" w:color="auto" w:fill="FFFFFF"/>
        <w:spacing w:after="60" w:line="240" w:lineRule="auto"/>
        <w:ind w:left="720"/>
        <w:rPr>
          <w:rFonts w:ascii="Verdana" w:hAnsi="Verdana"/>
        </w:rPr>
      </w:pPr>
    </w:p>
    <w:p w14:paraId="45F7D54C" w14:textId="47C01764"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r w:rsidRPr="008B3051">
        <w:rPr>
          <w:rStyle w:val="chapeau"/>
          <w:rFonts w:ascii="Verdana" w:hAnsi="Verdana"/>
        </w:rPr>
        <w:t>In the case of an individual, there shall be allowed as a credit against the taximposed by this chapter for the </w:t>
      </w:r>
      <w:r w:rsidRPr="008B3051">
        <w:rPr>
          <w:rStyle w:val="Hyperlink"/>
          <w:rFonts w:ascii="Verdana" w:hAnsi="Verdana"/>
          <w:color w:val="auto"/>
        </w:rPr>
        <w:t>taxable year</w:t>
      </w:r>
      <w:r w:rsidRPr="008B3051">
        <w:rPr>
          <w:rStyle w:val="chapeau"/>
          <w:rFonts w:ascii="Verdana" w:hAnsi="Verdana"/>
        </w:rPr>
        <w:t> an amount equal to the sum of—</w:t>
      </w:r>
    </w:p>
    <w:p w14:paraId="4FBE90A9"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5CC08B3E" w14:textId="3100E553" w:rsidR="00AB7AF9" w:rsidRPr="008B3051" w:rsidRDefault="00AB7AF9" w:rsidP="00AB7AF9">
      <w:pPr>
        <w:shd w:val="clear" w:color="auto" w:fill="FFFFFF"/>
        <w:rPr>
          <w:rFonts w:ascii="Verdana" w:hAnsi="Verdana"/>
        </w:rPr>
      </w:pPr>
      <w:r w:rsidRPr="008B3051">
        <w:rPr>
          <w:rFonts w:ascii="Verdana" w:hAnsi="Verdana"/>
        </w:rPr>
        <w:t>10 percent of the amount </w:t>
      </w:r>
      <w:r w:rsidRPr="008B3051">
        <w:rPr>
          <w:rStyle w:val="Hyperlink"/>
          <w:rFonts w:ascii="Verdana" w:hAnsi="Verdana"/>
          <w:color w:val="auto"/>
        </w:rPr>
        <w:t>paid or incurred</w:t>
      </w:r>
      <w:r w:rsidRPr="008B3051">
        <w:rPr>
          <w:rFonts w:ascii="Verdana" w:hAnsi="Verdana"/>
        </w:rPr>
        <w:t> by the taxpayer for </w:t>
      </w:r>
      <w:r w:rsidRPr="008B3051">
        <w:rPr>
          <w:rStyle w:val="Hyperlink"/>
          <w:rFonts w:ascii="Verdana" w:hAnsi="Verdana"/>
          <w:color w:val="auto"/>
        </w:rPr>
        <w:t>qualified energy efficiency improvements</w:t>
      </w:r>
      <w:r w:rsidRPr="008B3051">
        <w:rPr>
          <w:rFonts w:ascii="Verdana" w:hAnsi="Verdana"/>
        </w:rPr>
        <w:t> installed during such taxable year, and</w:t>
      </w:r>
    </w:p>
    <w:p w14:paraId="61AAC048"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6E9F8689" w14:textId="4E2B4936" w:rsidR="00AB7AF9" w:rsidRPr="008B3051" w:rsidRDefault="00AB7AF9" w:rsidP="00AB7AF9">
      <w:pPr>
        <w:shd w:val="clear" w:color="auto" w:fill="FFFFFF"/>
        <w:rPr>
          <w:rFonts w:ascii="Verdana" w:hAnsi="Verdana"/>
        </w:rPr>
      </w:pPr>
      <w:r w:rsidRPr="008B3051">
        <w:rPr>
          <w:rFonts w:ascii="Verdana" w:hAnsi="Verdana"/>
        </w:rPr>
        <w:t>the amount of the </w:t>
      </w:r>
      <w:r w:rsidRPr="008B3051">
        <w:rPr>
          <w:rStyle w:val="Hyperlink"/>
          <w:rFonts w:ascii="Verdana" w:hAnsi="Verdana"/>
          <w:color w:val="auto"/>
        </w:rPr>
        <w:t>residential energy property expenditures</w:t>
      </w:r>
      <w:r w:rsidRPr="008B3051">
        <w:rPr>
          <w:rFonts w:ascii="Verdana" w:hAnsi="Verdana"/>
        </w:rPr>
        <w:t> paid or incurred by the taxpayer during such taxable year.</w:t>
      </w:r>
    </w:p>
    <w:p w14:paraId="78F923B0"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Limitations</w:t>
      </w:r>
    </w:p>
    <w:p w14:paraId="08DB02C3"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Lifetime limitation</w:t>
      </w:r>
    </w:p>
    <w:p w14:paraId="5505B500" w14:textId="471278F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The credit allowed under this section with respect to any </w:t>
      </w:r>
      <w:r w:rsidRPr="008B3051">
        <w:rPr>
          <w:rStyle w:val="Hyperlink"/>
          <w:rFonts w:ascii="Verdana" w:hAnsi="Verdana"/>
          <w:color w:val="auto"/>
        </w:rPr>
        <w:t>taxpayer</w:t>
      </w:r>
      <w:r w:rsidRPr="008B3051">
        <w:rPr>
          <w:rFonts w:ascii="Verdana" w:hAnsi="Verdana"/>
        </w:rPr>
        <w:t> for any </w:t>
      </w:r>
      <w:r w:rsidRPr="008B3051">
        <w:rPr>
          <w:rStyle w:val="Hyperlink"/>
          <w:rFonts w:ascii="Verdana" w:hAnsi="Verdana"/>
          <w:color w:val="auto"/>
        </w:rPr>
        <w:t>taxable year</w:t>
      </w:r>
      <w:r w:rsidRPr="008B3051">
        <w:rPr>
          <w:rFonts w:ascii="Verdana" w:hAnsi="Verdana"/>
        </w:rPr>
        <w:t> shall not exceed the excess (if any) of $500 over the aggregate credits allowed under this section with respect to such taxpayer for all prior </w:t>
      </w:r>
      <w:r w:rsidRPr="008B3051">
        <w:rPr>
          <w:rStyle w:val="Hyperlink"/>
          <w:rFonts w:ascii="Verdana" w:hAnsi="Verdana"/>
          <w:color w:val="auto"/>
        </w:rPr>
        <w:t>taxable years</w:t>
      </w:r>
      <w:r w:rsidRPr="008B3051">
        <w:rPr>
          <w:rFonts w:ascii="Verdana" w:hAnsi="Verdana"/>
        </w:rPr>
        <w:t> ending after </w:t>
      </w:r>
      <w:r w:rsidRPr="008B3051">
        <w:rPr>
          <w:rStyle w:val="Date2"/>
          <w:rFonts w:ascii="Verdana" w:hAnsi="Verdana"/>
        </w:rPr>
        <w:t>December 31, 2005</w:t>
      </w:r>
      <w:r w:rsidRPr="008B3051">
        <w:rPr>
          <w:rFonts w:ascii="Verdana" w:hAnsi="Verdana"/>
        </w:rPr>
        <w:t>.</w:t>
      </w:r>
    </w:p>
    <w:p w14:paraId="56FDA9C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Windows</w:t>
      </w:r>
    </w:p>
    <w:p w14:paraId="5C66020A" w14:textId="0200E83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amounts </w:t>
      </w:r>
      <w:r w:rsidRPr="008B3051">
        <w:rPr>
          <w:rStyle w:val="Hyperlink"/>
          <w:rFonts w:ascii="Verdana" w:hAnsi="Verdana"/>
          <w:color w:val="auto"/>
        </w:rPr>
        <w:t>paid or incurred</w:t>
      </w:r>
      <w:r w:rsidRPr="008B3051">
        <w:rPr>
          <w:rFonts w:ascii="Verdana" w:hAnsi="Verdana"/>
        </w:rPr>
        <w:t> for components described in subsection (c)(2)(B) </w:t>
      </w:r>
      <w:bookmarkStart w:id="421" w:name="fn002013-ref"/>
      <w:r w:rsidRPr="008B3051">
        <w:rPr>
          <w:rFonts w:ascii="Verdana" w:hAnsi="Verdana"/>
          <w:sz w:val="17"/>
          <w:szCs w:val="17"/>
        </w:rPr>
        <w:t>[1]</w:t>
      </w:r>
      <w:bookmarkEnd w:id="421"/>
      <w:r w:rsidRPr="008B3051">
        <w:rPr>
          <w:rFonts w:ascii="Verdana" w:hAnsi="Verdana"/>
        </w:rPr>
        <w:t> by any</w:t>
      </w:r>
      <w:r w:rsidRPr="008B3051">
        <w:rPr>
          <w:rStyle w:val="Hyperlink"/>
          <w:rFonts w:ascii="Verdana" w:hAnsi="Verdana"/>
          <w:color w:val="auto"/>
        </w:rPr>
        <w:t> taxpayer </w:t>
      </w:r>
      <w:r w:rsidRPr="008B3051">
        <w:rPr>
          <w:rFonts w:ascii="Verdana" w:hAnsi="Verdana"/>
        </w:rPr>
        <w:t>for any</w:t>
      </w:r>
      <w:r w:rsidRPr="008B3051">
        <w:rPr>
          <w:rStyle w:val="Hyperlink"/>
          <w:rFonts w:ascii="Verdana" w:hAnsi="Verdana"/>
          <w:color w:val="auto"/>
        </w:rPr>
        <w:t> taxable year,</w:t>
      </w:r>
      <w:r w:rsidRPr="008B3051">
        <w:rPr>
          <w:rFonts w:ascii="Verdana" w:hAnsi="Verdana"/>
        </w:rPr>
        <w:t> the credit allowed under this section with respect to such amounts for such year shall not exceed the excess (if any) of $200 over the aggregate credits allowed under this section with respect to such amounts for all prior</w:t>
      </w:r>
      <w:r w:rsidRPr="008B3051">
        <w:rPr>
          <w:rStyle w:val="Hyperlink"/>
          <w:rFonts w:ascii="Verdana" w:hAnsi="Verdana"/>
          <w:color w:val="auto"/>
        </w:rPr>
        <w:t> taxable years </w:t>
      </w:r>
      <w:r w:rsidRPr="008B3051">
        <w:rPr>
          <w:rFonts w:ascii="Verdana" w:hAnsi="Verdana"/>
        </w:rPr>
        <w:t>ending after </w:t>
      </w:r>
      <w:r w:rsidRPr="008B3051">
        <w:rPr>
          <w:rStyle w:val="Date2"/>
          <w:rFonts w:ascii="Verdana" w:hAnsi="Verdana"/>
        </w:rPr>
        <w:t>December 31, 2005</w:t>
      </w:r>
      <w:r w:rsidRPr="008B3051">
        <w:rPr>
          <w:rFonts w:ascii="Verdana" w:hAnsi="Verdana"/>
        </w:rPr>
        <w:t>.</w:t>
      </w:r>
    </w:p>
    <w:p w14:paraId="50692AEC"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Limitation on residential energy property expenditures</w:t>
      </w:r>
      <w:r w:rsidRPr="008B3051">
        <w:rPr>
          <w:rStyle w:val="chapeau"/>
          <w:rFonts w:ascii="Verdana" w:hAnsi="Verdana"/>
        </w:rPr>
        <w:t>The amount of the credit allowed under this section by reason of subsection (a)(2) shall not exceed—</w:t>
      </w:r>
    </w:p>
    <w:p w14:paraId="6DA09226"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4413A3A8" w14:textId="5BF1622B" w:rsidR="00AB7AF9" w:rsidRPr="008B3051" w:rsidRDefault="00AB7AF9" w:rsidP="00AB7AF9">
      <w:pPr>
        <w:shd w:val="clear" w:color="auto" w:fill="FFFFFF"/>
        <w:rPr>
          <w:rFonts w:ascii="Verdana" w:hAnsi="Verdana"/>
        </w:rPr>
      </w:pPr>
      <w:r w:rsidRPr="008B3051">
        <w:rPr>
          <w:rFonts w:ascii="Verdana" w:hAnsi="Verdana"/>
        </w:rPr>
        <w:t>$50 for any </w:t>
      </w:r>
      <w:r w:rsidRPr="008B3051">
        <w:rPr>
          <w:rStyle w:val="Hyperlink"/>
          <w:rFonts w:ascii="Verdana" w:hAnsi="Verdana"/>
          <w:color w:val="auto"/>
        </w:rPr>
        <w:t>advanced main air circulating fan</w:t>
      </w:r>
      <w:r w:rsidRPr="008B3051">
        <w:rPr>
          <w:rFonts w:ascii="Verdana" w:hAnsi="Verdana"/>
        </w:rPr>
        <w:t>,</w:t>
      </w:r>
    </w:p>
    <w:p w14:paraId="407A3494"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2B3FF5B9" w14:textId="44FC1BB6" w:rsidR="00AB7AF9" w:rsidRPr="008B3051" w:rsidRDefault="00AB7AF9" w:rsidP="00AB7AF9">
      <w:pPr>
        <w:shd w:val="clear" w:color="auto" w:fill="FFFFFF"/>
        <w:rPr>
          <w:rFonts w:ascii="Verdana" w:hAnsi="Verdana"/>
        </w:rPr>
      </w:pPr>
      <w:r w:rsidRPr="008B3051">
        <w:rPr>
          <w:rFonts w:ascii="Verdana" w:hAnsi="Verdana"/>
        </w:rPr>
        <w:t>$150 for any </w:t>
      </w:r>
      <w:r w:rsidRPr="008B3051">
        <w:rPr>
          <w:rStyle w:val="Hyperlink"/>
          <w:rFonts w:ascii="Verdana" w:hAnsi="Verdana"/>
          <w:color w:val="auto"/>
        </w:rPr>
        <w:t>qualified natural gas, propane, or oil furnace or hot water boiler</w:t>
      </w:r>
      <w:r w:rsidRPr="008B3051">
        <w:rPr>
          <w:rFonts w:ascii="Verdana" w:hAnsi="Verdana"/>
        </w:rPr>
        <w:t>, and</w:t>
      </w:r>
    </w:p>
    <w:p w14:paraId="4FC27985" w14:textId="77777777" w:rsidR="00AB7AF9" w:rsidRPr="008B3051" w:rsidRDefault="00AB7AF9" w:rsidP="00AB7AF9">
      <w:pPr>
        <w:shd w:val="clear" w:color="auto" w:fill="FFFFFF"/>
        <w:rPr>
          <w:rFonts w:ascii="Verdana" w:hAnsi="Verdana"/>
        </w:rPr>
      </w:pPr>
      <w:bookmarkStart w:id="422" w:name="b_3_C"/>
      <w:bookmarkEnd w:id="422"/>
      <w:r w:rsidRPr="008B3051">
        <w:rPr>
          <w:rStyle w:val="num"/>
          <w:rFonts w:ascii="Verdana" w:hAnsi="Verdana"/>
          <w:b/>
          <w:bCs/>
        </w:rPr>
        <w:t>(C)</w:t>
      </w:r>
    </w:p>
    <w:p w14:paraId="72BCCFCF" w14:textId="0EE28645" w:rsidR="00AB7AF9" w:rsidRPr="008B3051" w:rsidRDefault="00AB7AF9" w:rsidP="00AB7AF9">
      <w:pPr>
        <w:shd w:val="clear" w:color="auto" w:fill="FFFFFF"/>
        <w:rPr>
          <w:rFonts w:ascii="Verdana" w:hAnsi="Verdana"/>
        </w:rPr>
      </w:pPr>
      <w:r w:rsidRPr="008B3051">
        <w:rPr>
          <w:rFonts w:ascii="Verdana" w:hAnsi="Verdana"/>
        </w:rPr>
        <w:t>$300 for any item of </w:t>
      </w:r>
      <w:r w:rsidRPr="008B3051">
        <w:rPr>
          <w:rStyle w:val="Hyperlink"/>
          <w:rFonts w:ascii="Verdana" w:hAnsi="Verdana"/>
          <w:color w:val="auto"/>
        </w:rPr>
        <w:t>energy-efficient building property</w:t>
      </w:r>
      <w:r w:rsidRPr="008B3051">
        <w:rPr>
          <w:rFonts w:ascii="Verdana" w:hAnsi="Verdana"/>
        </w:rPr>
        <w:t>.</w:t>
      </w:r>
    </w:p>
    <w:p w14:paraId="507D3900"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Qualified energy efficiency improvements</w:t>
      </w:r>
      <w:r w:rsidRPr="008B3051">
        <w:rPr>
          <w:rStyle w:val="chapeau"/>
          <w:rFonts w:ascii="Verdana" w:hAnsi="Verdana"/>
        </w:rPr>
        <w:t>For purposes of this section—</w:t>
      </w:r>
    </w:p>
    <w:p w14:paraId="6F009821" w14:textId="7D5536A0"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 term “</w:t>
      </w:r>
      <w:r w:rsidRPr="008B3051">
        <w:rPr>
          <w:rStyle w:val="Hyperlink"/>
          <w:rFonts w:ascii="Verdana" w:hAnsi="Verdana"/>
          <w:color w:val="auto"/>
        </w:rPr>
        <w:t>qualified energy efficiency improvements</w:t>
      </w:r>
      <w:r w:rsidRPr="008B3051">
        <w:rPr>
          <w:rStyle w:val="chapeau"/>
          <w:rFonts w:ascii="Verdana" w:hAnsi="Verdana"/>
        </w:rPr>
        <w:t>” means any </w:t>
      </w:r>
      <w:r w:rsidRPr="008B3051">
        <w:rPr>
          <w:rStyle w:val="Hyperlink"/>
          <w:rFonts w:ascii="Verdana" w:hAnsi="Verdana"/>
          <w:color w:val="auto"/>
        </w:rPr>
        <w:t>energy efficient building envelope component</w:t>
      </w:r>
      <w:r w:rsidRPr="008B3051">
        <w:rPr>
          <w:rStyle w:val="chapeau"/>
          <w:rFonts w:ascii="Verdana" w:hAnsi="Verdana"/>
        </w:rPr>
        <w:t>, if—</w:t>
      </w:r>
    </w:p>
    <w:p w14:paraId="04D90FBF"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163DB947" w14:textId="399E9770" w:rsidR="00AB7AF9" w:rsidRPr="008B3051" w:rsidRDefault="00AB7AF9" w:rsidP="00AB7AF9">
      <w:pPr>
        <w:shd w:val="clear" w:color="auto" w:fill="FFFFFF"/>
        <w:rPr>
          <w:rFonts w:ascii="Verdana" w:hAnsi="Verdana"/>
        </w:rPr>
      </w:pPr>
      <w:r w:rsidRPr="008B3051">
        <w:rPr>
          <w:rFonts w:ascii="Verdana" w:hAnsi="Verdana"/>
        </w:rPr>
        <w:t>such component is installed in or on a </w:t>
      </w:r>
      <w:r w:rsidRPr="008B3051">
        <w:rPr>
          <w:rStyle w:val="Hyperlink"/>
          <w:rFonts w:ascii="Verdana" w:hAnsi="Verdana"/>
          <w:color w:val="auto"/>
        </w:rPr>
        <w:t>dwelling unit</w:t>
      </w:r>
      <w:r w:rsidRPr="008B3051">
        <w:rPr>
          <w:rFonts w:ascii="Verdana" w:hAnsi="Verdana"/>
        </w:rPr>
        <w:t> located in the United States and owned and used by the taxpayer as the taxpayer’s principal residence (within the meaning of section 121),</w:t>
      </w:r>
    </w:p>
    <w:p w14:paraId="58F996AF"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A1692C2" w14:textId="69F7BC43" w:rsidR="00AB7AF9" w:rsidRPr="008B3051" w:rsidRDefault="00AB7AF9" w:rsidP="00AB7AF9">
      <w:pPr>
        <w:shd w:val="clear" w:color="auto" w:fill="FFFFFF"/>
        <w:rPr>
          <w:rFonts w:ascii="Verdana" w:hAnsi="Verdana"/>
        </w:rPr>
      </w:pPr>
      <w:r w:rsidRPr="008B3051">
        <w:rPr>
          <w:rFonts w:ascii="Verdana" w:hAnsi="Verdana"/>
        </w:rPr>
        <w:t>the original use of such component commences with the </w:t>
      </w:r>
      <w:r w:rsidRPr="008B3051">
        <w:rPr>
          <w:rStyle w:val="Hyperlink"/>
          <w:rFonts w:ascii="Verdana" w:hAnsi="Verdana"/>
          <w:color w:val="auto"/>
        </w:rPr>
        <w:t>taxpayer</w:t>
      </w:r>
      <w:r w:rsidRPr="008B3051">
        <w:rPr>
          <w:rFonts w:ascii="Verdana" w:hAnsi="Verdana"/>
        </w:rPr>
        <w:t>, and</w:t>
      </w:r>
    </w:p>
    <w:p w14:paraId="4F091EDA"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2BF16D22" w14:textId="12CEE70A" w:rsidR="00AB7AF9" w:rsidRPr="008B3051" w:rsidRDefault="00AB7AF9" w:rsidP="00AB7AF9">
      <w:pPr>
        <w:shd w:val="clear" w:color="auto" w:fill="FFFFFF"/>
        <w:rPr>
          <w:rFonts w:ascii="Verdana" w:hAnsi="Verdana"/>
        </w:rPr>
      </w:pPr>
      <w:r w:rsidRPr="008B3051">
        <w:rPr>
          <w:rFonts w:ascii="Verdana" w:hAnsi="Verdana"/>
        </w:rPr>
        <w:t>such component reasonably can be expected to remain in use for at least 5 </w:t>
      </w:r>
      <w:r w:rsidRPr="008B3051">
        <w:rPr>
          <w:rStyle w:val="Hyperlink"/>
          <w:rFonts w:ascii="Verdana" w:hAnsi="Verdana"/>
          <w:color w:val="auto"/>
        </w:rPr>
        <w:t>years</w:t>
      </w:r>
      <w:r w:rsidRPr="008B3051">
        <w:rPr>
          <w:rFonts w:ascii="Verdana" w:hAnsi="Verdana"/>
        </w:rPr>
        <w:t>.</w:t>
      </w:r>
    </w:p>
    <w:p w14:paraId="67F48651" w14:textId="69B81576"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Energy efficient building envelope component</w:t>
      </w:r>
      <w:r w:rsidRPr="008B3051">
        <w:rPr>
          <w:rStyle w:val="chapeau"/>
          <w:rFonts w:ascii="Verdana" w:hAnsi="Verdana"/>
        </w:rPr>
        <w:t>The term “</w:t>
      </w:r>
      <w:r w:rsidRPr="008B3051">
        <w:rPr>
          <w:rStyle w:val="Hyperlink"/>
          <w:rFonts w:ascii="Verdana" w:hAnsi="Verdana"/>
          <w:color w:val="auto"/>
        </w:rPr>
        <w:t>energy efficient building envelope component</w:t>
      </w:r>
      <w:r w:rsidRPr="008B3051">
        <w:rPr>
          <w:rStyle w:val="chapeau"/>
          <w:rFonts w:ascii="Verdana" w:hAnsi="Verdana"/>
        </w:rPr>
        <w:t>” means a building envelope component which meets—</w:t>
      </w:r>
    </w:p>
    <w:p w14:paraId="2AD1D0E1"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4E472074" w14:textId="77777777" w:rsidR="00AB7AF9" w:rsidRPr="008B3051" w:rsidRDefault="00AB7AF9" w:rsidP="00AB7AF9">
      <w:pPr>
        <w:shd w:val="clear" w:color="auto" w:fill="FFFFFF"/>
        <w:rPr>
          <w:rFonts w:ascii="Verdana" w:hAnsi="Verdana"/>
        </w:rPr>
      </w:pPr>
      <w:r w:rsidRPr="008B3051">
        <w:rPr>
          <w:rFonts w:ascii="Verdana" w:hAnsi="Verdana"/>
        </w:rPr>
        <w:lastRenderedPageBreak/>
        <w:t>applicable Energy Star program requirements, in the case of a roof or roof products,</w:t>
      </w:r>
    </w:p>
    <w:p w14:paraId="19B4DE61"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4AC3F9B7" w14:textId="77777777" w:rsidR="00AB7AF9" w:rsidRPr="008B3051" w:rsidRDefault="00AB7AF9" w:rsidP="00AB7AF9">
      <w:pPr>
        <w:shd w:val="clear" w:color="auto" w:fill="FFFFFF"/>
        <w:rPr>
          <w:rFonts w:ascii="Verdana" w:hAnsi="Verdana"/>
        </w:rPr>
      </w:pPr>
      <w:r w:rsidRPr="008B3051">
        <w:rPr>
          <w:rFonts w:ascii="Verdana" w:hAnsi="Verdana"/>
        </w:rPr>
        <w:t>version 6.0 Energy Star program requirements, in the case of an exterior window, a skylight, or an exterior door, and</w:t>
      </w:r>
    </w:p>
    <w:p w14:paraId="5B4FD073" w14:textId="77777777" w:rsidR="00AB7AF9" w:rsidRPr="008B3051" w:rsidRDefault="00AB7AF9" w:rsidP="00AB7AF9">
      <w:pPr>
        <w:shd w:val="clear" w:color="auto" w:fill="FFFFFF"/>
        <w:rPr>
          <w:rFonts w:ascii="Verdana" w:hAnsi="Verdana"/>
        </w:rPr>
      </w:pPr>
      <w:bookmarkStart w:id="423" w:name="c_2_C"/>
      <w:bookmarkEnd w:id="423"/>
      <w:r w:rsidRPr="008B3051">
        <w:rPr>
          <w:rStyle w:val="num"/>
          <w:rFonts w:ascii="Verdana" w:hAnsi="Verdana"/>
          <w:b/>
          <w:bCs/>
        </w:rPr>
        <w:t>(C)</w:t>
      </w:r>
    </w:p>
    <w:p w14:paraId="1FFCA5FE" w14:textId="6DC95FED" w:rsidR="00AB7AF9" w:rsidRPr="008B3051" w:rsidRDefault="00AB7AF9" w:rsidP="00AB7AF9">
      <w:pPr>
        <w:shd w:val="clear" w:color="auto" w:fill="FFFFFF"/>
        <w:rPr>
          <w:rFonts w:ascii="Verdana" w:hAnsi="Verdana"/>
        </w:rPr>
      </w:pPr>
      <w:r w:rsidRPr="008B3051">
        <w:rPr>
          <w:rFonts w:ascii="Verdana" w:hAnsi="Verdana"/>
        </w:rPr>
        <w:t>the prescriptive criteria for such component established by the 2009 International Energy Conservation Code, as such Code (including supplements) is in effect on the date of the enactment of the American Recovery and Reinvestment </w:t>
      </w:r>
      <w:r w:rsidRPr="008B3051">
        <w:rPr>
          <w:rStyle w:val="Hyperlink"/>
          <w:rFonts w:ascii="Verdana" w:hAnsi="Verdana"/>
          <w:color w:val="auto"/>
        </w:rPr>
        <w:t>Tax</w:t>
      </w:r>
      <w:r w:rsidRPr="008B3051">
        <w:rPr>
          <w:rFonts w:ascii="Verdana" w:hAnsi="Verdana"/>
        </w:rPr>
        <w:t> Act of 2009, in the case of any other component.</w:t>
      </w:r>
    </w:p>
    <w:p w14:paraId="3A78CF6D" w14:textId="0B602625"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Building envelope component</w:t>
      </w:r>
      <w:r w:rsidRPr="008B3051">
        <w:rPr>
          <w:rStyle w:val="chapeau"/>
          <w:rFonts w:ascii="Verdana" w:hAnsi="Verdana"/>
        </w:rPr>
        <w:t>The term “</w:t>
      </w:r>
      <w:r w:rsidRPr="008B3051">
        <w:rPr>
          <w:rStyle w:val="Hyperlink"/>
          <w:rFonts w:ascii="Verdana" w:hAnsi="Verdana"/>
          <w:color w:val="auto"/>
        </w:rPr>
        <w:t>building envelope component</w:t>
      </w:r>
      <w:r w:rsidRPr="008B3051">
        <w:rPr>
          <w:rStyle w:val="chapeau"/>
          <w:rFonts w:ascii="Verdana" w:hAnsi="Verdana"/>
        </w:rPr>
        <w:t>” means—</w:t>
      </w:r>
    </w:p>
    <w:p w14:paraId="47BA4D62"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513778B3" w14:textId="09105F49" w:rsidR="00AB7AF9" w:rsidRPr="008B3051" w:rsidRDefault="00AB7AF9" w:rsidP="00AB7AF9">
      <w:pPr>
        <w:shd w:val="clear" w:color="auto" w:fill="FFFFFF"/>
        <w:rPr>
          <w:rFonts w:ascii="Verdana" w:hAnsi="Verdana"/>
        </w:rPr>
      </w:pPr>
      <w:r w:rsidRPr="008B3051">
        <w:rPr>
          <w:rFonts w:ascii="Verdana" w:hAnsi="Verdana"/>
        </w:rPr>
        <w:t>any insulation material or system which is specifically and primarily designed to reduce the heat </w:t>
      </w:r>
      <w:r w:rsidRPr="008B3051">
        <w:rPr>
          <w:rStyle w:val="Hyperlink"/>
          <w:rFonts w:ascii="Verdana" w:hAnsi="Verdana"/>
          <w:color w:val="auto"/>
        </w:rPr>
        <w:t>loss</w:t>
      </w:r>
      <w:r w:rsidRPr="008B3051">
        <w:rPr>
          <w:rFonts w:ascii="Verdana" w:hAnsi="Verdana"/>
        </w:rPr>
        <w:t> or </w:t>
      </w:r>
      <w:r w:rsidRPr="008B3051">
        <w:rPr>
          <w:rStyle w:val="Hyperlink"/>
          <w:rFonts w:ascii="Verdana" w:hAnsi="Verdana"/>
          <w:color w:val="auto"/>
        </w:rPr>
        <w:t>gain</w:t>
      </w:r>
      <w:r w:rsidRPr="008B3051">
        <w:rPr>
          <w:rFonts w:ascii="Verdana" w:hAnsi="Verdana"/>
        </w:rPr>
        <w:t> of a </w:t>
      </w:r>
      <w:r w:rsidRPr="008B3051">
        <w:rPr>
          <w:rStyle w:val="Hyperlink"/>
          <w:rFonts w:ascii="Verdana" w:hAnsi="Verdana"/>
          <w:color w:val="auto"/>
        </w:rPr>
        <w:t>dwelling unit</w:t>
      </w:r>
      <w:r w:rsidRPr="008B3051">
        <w:rPr>
          <w:rFonts w:ascii="Verdana" w:hAnsi="Verdana"/>
        </w:rPr>
        <w:t> when installed in or on such </w:t>
      </w:r>
      <w:r w:rsidRPr="008B3051">
        <w:rPr>
          <w:rStyle w:val="Hyperlink"/>
          <w:rFonts w:ascii="Verdana" w:hAnsi="Verdana"/>
          <w:color w:val="auto"/>
        </w:rPr>
        <w:t>dwelling unit</w:t>
      </w:r>
      <w:r w:rsidRPr="008B3051">
        <w:rPr>
          <w:rFonts w:ascii="Verdana" w:hAnsi="Verdana"/>
        </w:rPr>
        <w:t>,</w:t>
      </w:r>
    </w:p>
    <w:p w14:paraId="581E4B8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1D449ED0" w14:textId="77777777" w:rsidR="00AB7AF9" w:rsidRPr="008B3051" w:rsidRDefault="00AB7AF9" w:rsidP="00AB7AF9">
      <w:pPr>
        <w:shd w:val="clear" w:color="auto" w:fill="FFFFFF"/>
        <w:rPr>
          <w:rFonts w:ascii="Verdana" w:hAnsi="Verdana"/>
        </w:rPr>
      </w:pPr>
      <w:r w:rsidRPr="008B3051">
        <w:rPr>
          <w:rFonts w:ascii="Verdana" w:hAnsi="Verdana"/>
        </w:rPr>
        <w:t>exterior windows (including skylights),</w:t>
      </w:r>
    </w:p>
    <w:p w14:paraId="6C8D5572" w14:textId="77777777" w:rsidR="00AB7AF9" w:rsidRPr="008B3051" w:rsidRDefault="00AB7AF9" w:rsidP="00AB7AF9">
      <w:pPr>
        <w:shd w:val="clear" w:color="auto" w:fill="FFFFFF"/>
        <w:rPr>
          <w:rFonts w:ascii="Verdana" w:hAnsi="Verdana"/>
        </w:rPr>
      </w:pPr>
      <w:bookmarkStart w:id="424" w:name="c_3_C"/>
      <w:bookmarkEnd w:id="424"/>
      <w:r w:rsidRPr="008B3051">
        <w:rPr>
          <w:rStyle w:val="num"/>
          <w:rFonts w:ascii="Verdana" w:hAnsi="Verdana"/>
          <w:b/>
          <w:bCs/>
        </w:rPr>
        <w:t>(C)</w:t>
      </w:r>
    </w:p>
    <w:p w14:paraId="0513E5FC" w14:textId="77777777" w:rsidR="00AB7AF9" w:rsidRPr="008B3051" w:rsidRDefault="00AB7AF9" w:rsidP="00AB7AF9">
      <w:pPr>
        <w:shd w:val="clear" w:color="auto" w:fill="FFFFFF"/>
        <w:rPr>
          <w:rFonts w:ascii="Verdana" w:hAnsi="Verdana"/>
        </w:rPr>
      </w:pPr>
      <w:r w:rsidRPr="008B3051">
        <w:rPr>
          <w:rFonts w:ascii="Verdana" w:hAnsi="Verdana"/>
        </w:rPr>
        <w:t>exterior doors, and</w:t>
      </w:r>
    </w:p>
    <w:p w14:paraId="676AB9DA" w14:textId="77777777" w:rsidR="00AB7AF9" w:rsidRPr="008B3051" w:rsidRDefault="00AB7AF9" w:rsidP="00AB7AF9">
      <w:pPr>
        <w:shd w:val="clear" w:color="auto" w:fill="FFFFFF"/>
        <w:rPr>
          <w:rFonts w:ascii="Verdana" w:hAnsi="Verdana"/>
        </w:rPr>
      </w:pPr>
      <w:bookmarkStart w:id="425" w:name="c_3_D"/>
      <w:bookmarkEnd w:id="425"/>
      <w:r w:rsidRPr="008B3051">
        <w:rPr>
          <w:rStyle w:val="num"/>
          <w:rFonts w:ascii="Verdana" w:hAnsi="Verdana"/>
          <w:b/>
          <w:bCs/>
        </w:rPr>
        <w:t>(D)</w:t>
      </w:r>
    </w:p>
    <w:p w14:paraId="0468E113" w14:textId="0755BFCA" w:rsidR="00AB7AF9" w:rsidRPr="008B3051" w:rsidRDefault="00AB7AF9" w:rsidP="00AB7AF9">
      <w:pPr>
        <w:shd w:val="clear" w:color="auto" w:fill="FFFFFF"/>
        <w:rPr>
          <w:rFonts w:ascii="Verdana" w:hAnsi="Verdana"/>
        </w:rPr>
      </w:pPr>
      <w:r w:rsidRPr="008B3051">
        <w:rPr>
          <w:rFonts w:ascii="Verdana" w:hAnsi="Verdana"/>
        </w:rPr>
        <w:t>any metal roof or asphalt roof installed on a </w:t>
      </w:r>
      <w:r w:rsidRPr="008B3051">
        <w:rPr>
          <w:rStyle w:val="Hyperlink"/>
          <w:rFonts w:ascii="Verdana" w:hAnsi="Verdana"/>
          <w:color w:val="auto"/>
        </w:rPr>
        <w:t>dwelling unit</w:t>
      </w:r>
      <w:r w:rsidRPr="008B3051">
        <w:rPr>
          <w:rFonts w:ascii="Verdana" w:hAnsi="Verdana"/>
        </w:rPr>
        <w:t>, but only if such roof has appropriate pigmented coatings or cooling granules which are specifically and primarily designed to reduce the heat gain of such </w:t>
      </w:r>
      <w:r w:rsidRPr="008B3051">
        <w:rPr>
          <w:rStyle w:val="Hyperlink"/>
          <w:rFonts w:ascii="Verdana" w:hAnsi="Verdana"/>
          <w:color w:val="auto"/>
        </w:rPr>
        <w:t>dwelling unit</w:t>
      </w:r>
      <w:r w:rsidRPr="008B3051">
        <w:rPr>
          <w:rFonts w:ascii="Verdana" w:hAnsi="Verdana"/>
        </w:rPr>
        <w:t>.</w:t>
      </w:r>
    </w:p>
    <w:p w14:paraId="468F5990" w14:textId="77777777" w:rsidR="00AB7AF9" w:rsidRPr="008B3051" w:rsidRDefault="00AB7AF9" w:rsidP="00AB7AF9">
      <w:pPr>
        <w:shd w:val="clear" w:color="auto" w:fill="FFFFFF"/>
        <w:rPr>
          <w:rFonts w:ascii="Verdana" w:hAnsi="Verdana"/>
        </w:rPr>
      </w:pPr>
      <w:bookmarkStart w:id="426" w:name="c_4"/>
      <w:bookmarkEnd w:id="426"/>
      <w:r w:rsidRPr="008B3051">
        <w:rPr>
          <w:rStyle w:val="num"/>
          <w:rFonts w:ascii="Verdana" w:hAnsi="Verdana"/>
          <w:b/>
          <w:bCs/>
        </w:rPr>
        <w:t>(4)</w:t>
      </w:r>
      <w:r w:rsidRPr="008B3051">
        <w:rPr>
          <w:rStyle w:val="heading"/>
          <w:rFonts w:ascii="Verdana" w:hAnsi="Verdana"/>
          <w:b/>
          <w:bCs/>
          <w:smallCaps/>
        </w:rPr>
        <w:t>Manufactured homes included</w:t>
      </w:r>
    </w:p>
    <w:p w14:paraId="046BC3FB" w14:textId="5CF1AAA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dwelling unit</w:t>
      </w:r>
      <w:r w:rsidRPr="008B3051">
        <w:rPr>
          <w:rFonts w:ascii="Verdana" w:hAnsi="Verdana"/>
        </w:rPr>
        <w:t>” includes a manufactured home which conforms to Federal Manufactured Home Construction and Safety Standards (</w:t>
      </w:r>
      <w:r w:rsidRPr="008B3051">
        <w:rPr>
          <w:rStyle w:val="Hyperlink"/>
          <w:rFonts w:ascii="Verdana" w:hAnsi="Verdana"/>
          <w:color w:val="auto"/>
        </w:rPr>
        <w:t>part 3280 of title 24,</w:t>
      </w:r>
      <w:r w:rsidRPr="008B3051">
        <w:rPr>
          <w:rFonts w:ascii="Verdana" w:hAnsi="Verdana"/>
        </w:rPr>
        <w:t> Code of Federal Regulations).</w:t>
      </w:r>
    </w:p>
    <w:p w14:paraId="354A1F6B"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Residential energy property expenditures</w:t>
      </w:r>
      <w:r w:rsidRPr="008B3051">
        <w:rPr>
          <w:rStyle w:val="chapeau"/>
          <w:rFonts w:ascii="Verdana" w:hAnsi="Verdana"/>
        </w:rPr>
        <w:t>For purposes of this section—</w:t>
      </w:r>
    </w:p>
    <w:p w14:paraId="77A41E4A" w14:textId="6F489553"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 term “</w:t>
      </w:r>
      <w:r w:rsidRPr="008B3051">
        <w:rPr>
          <w:rStyle w:val="Hyperlink"/>
          <w:rFonts w:ascii="Verdana" w:hAnsi="Verdana"/>
          <w:color w:val="auto"/>
        </w:rPr>
        <w:t>residential energy property expenditures</w:t>
      </w:r>
      <w:r w:rsidRPr="008B3051">
        <w:rPr>
          <w:rStyle w:val="chapeau"/>
          <w:rFonts w:ascii="Verdana" w:hAnsi="Verdana"/>
        </w:rPr>
        <w:t>” means expenditures made by the taxpayer for qualified energy property which is—</w:t>
      </w:r>
    </w:p>
    <w:p w14:paraId="6E2AF597"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011C93AD" w14:textId="6F08A1AE" w:rsidR="00AB7AF9" w:rsidRPr="008B3051" w:rsidRDefault="00AB7AF9" w:rsidP="00AB7AF9">
      <w:pPr>
        <w:shd w:val="clear" w:color="auto" w:fill="FFFFFF"/>
        <w:rPr>
          <w:rFonts w:ascii="Verdana" w:hAnsi="Verdana"/>
        </w:rPr>
      </w:pPr>
      <w:r w:rsidRPr="008B3051">
        <w:rPr>
          <w:rFonts w:ascii="Verdana" w:hAnsi="Verdana"/>
        </w:rPr>
        <w:lastRenderedPageBreak/>
        <w:t>installed on or in connection with a </w:t>
      </w:r>
      <w:r w:rsidRPr="008B3051">
        <w:rPr>
          <w:rStyle w:val="Hyperlink"/>
          <w:rFonts w:ascii="Verdana" w:hAnsi="Verdana"/>
          <w:color w:val="auto"/>
        </w:rPr>
        <w:t>dwelling unit</w:t>
      </w:r>
      <w:r w:rsidRPr="008B3051">
        <w:rPr>
          <w:rFonts w:ascii="Verdana" w:hAnsi="Verdana"/>
        </w:rPr>
        <w:t> located in the United States and owned and used by the taxpayer as the taxpayer’s principal residence (within the meaning of section 121), and</w:t>
      </w:r>
    </w:p>
    <w:p w14:paraId="405A0407"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58595284" w14:textId="23C45F77" w:rsidR="00AB7AF9" w:rsidRPr="008B3051" w:rsidRDefault="00AB7AF9" w:rsidP="00AB7AF9">
      <w:pPr>
        <w:shd w:val="clear" w:color="auto" w:fill="FFFFFF"/>
        <w:rPr>
          <w:rFonts w:ascii="Verdana" w:hAnsi="Verdana"/>
        </w:rPr>
      </w:pPr>
      <w:r w:rsidRPr="008B3051">
        <w:rPr>
          <w:rFonts w:ascii="Verdana" w:hAnsi="Verdana"/>
        </w:rPr>
        <w:t>originally placed in service by the </w:t>
      </w:r>
      <w:r w:rsidRPr="008B3051">
        <w:rPr>
          <w:rStyle w:val="Hyperlink"/>
          <w:rFonts w:ascii="Verdana" w:hAnsi="Verdana"/>
          <w:color w:val="auto"/>
        </w:rPr>
        <w:t>taxpayer</w:t>
      </w:r>
      <w:r w:rsidRPr="008B3051">
        <w:rPr>
          <w:rFonts w:ascii="Verdana" w:hAnsi="Verdana"/>
        </w:rPr>
        <w:t>.</w:t>
      </w:r>
    </w:p>
    <w:p w14:paraId="75BF6C50" w14:textId="0A547624" w:rsidR="00AB7AF9" w:rsidRPr="008B3051" w:rsidRDefault="00AB7AF9" w:rsidP="00AB7AF9">
      <w:pPr>
        <w:shd w:val="clear" w:color="auto" w:fill="FFFFFF"/>
        <w:rPr>
          <w:rFonts w:ascii="Verdana" w:hAnsi="Verdana"/>
        </w:rPr>
      </w:pPr>
      <w:r w:rsidRPr="008B3051">
        <w:rPr>
          <w:rFonts w:ascii="Verdana" w:hAnsi="Verdana"/>
        </w:rPr>
        <w:t>Such term includes </w:t>
      </w:r>
      <w:r w:rsidRPr="008B3051">
        <w:rPr>
          <w:rStyle w:val="Hyperlink"/>
          <w:rFonts w:ascii="Verdana" w:hAnsi="Verdana"/>
          <w:color w:val="auto"/>
        </w:rPr>
        <w:t>expenditures</w:t>
      </w:r>
      <w:r w:rsidRPr="008B3051">
        <w:rPr>
          <w:rFonts w:ascii="Verdana" w:hAnsi="Verdana"/>
        </w:rPr>
        <w:t> for labor costs properly allocable to the onsite preparation, assembly, or original installation of the property.</w:t>
      </w:r>
    </w:p>
    <w:p w14:paraId="4BAB3B83"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Qualified energy property</w:t>
      </w:r>
    </w:p>
    <w:p w14:paraId="0316F393" w14:textId="34BDCAC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w:t>
      </w:r>
      <w:r w:rsidRPr="008B3051">
        <w:rPr>
          <w:rStyle w:val="Hyperlink"/>
          <w:rFonts w:ascii="Verdana" w:hAnsi="Verdana"/>
          <w:color w:val="auto"/>
        </w:rPr>
        <w:t>qualified energy property</w:t>
      </w:r>
      <w:r w:rsidRPr="008B3051">
        <w:rPr>
          <w:rStyle w:val="chapeau"/>
          <w:rFonts w:ascii="Verdana" w:hAnsi="Verdana"/>
        </w:rPr>
        <w:t>” means—</w:t>
      </w:r>
    </w:p>
    <w:p w14:paraId="228AFFDB"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498649E7" w14:textId="358C5ECB" w:rsidR="00AB7AF9" w:rsidRPr="008B3051" w:rsidRDefault="00AB7AF9" w:rsidP="00AB7AF9">
      <w:pPr>
        <w:shd w:val="clear" w:color="auto" w:fill="FFFFFF"/>
        <w:rPr>
          <w:rFonts w:ascii="Verdana" w:hAnsi="Verdana"/>
        </w:rPr>
      </w:pPr>
      <w:r w:rsidRPr="008B3051">
        <w:rPr>
          <w:rStyle w:val="Hyperlink"/>
          <w:rFonts w:ascii="Verdana" w:hAnsi="Verdana"/>
          <w:color w:val="auto"/>
        </w:rPr>
        <w:t>energy-efficient building property</w:t>
      </w:r>
      <w:r w:rsidRPr="008B3051">
        <w:rPr>
          <w:rFonts w:ascii="Verdana" w:hAnsi="Verdana"/>
        </w:rPr>
        <w:t>,</w:t>
      </w:r>
    </w:p>
    <w:p w14:paraId="3FCE0F7D"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5F350FD1" w14:textId="7962492D" w:rsidR="00AB7AF9" w:rsidRPr="008B3051" w:rsidRDefault="00AB7AF9" w:rsidP="00AB7AF9">
      <w:pPr>
        <w:shd w:val="clear" w:color="auto" w:fill="FFFFFF"/>
        <w:rPr>
          <w:rFonts w:ascii="Verdana" w:hAnsi="Verdana"/>
        </w:rPr>
      </w:pPr>
      <w:r w:rsidRPr="008B3051">
        <w:rPr>
          <w:rFonts w:ascii="Verdana" w:hAnsi="Verdana"/>
        </w:rPr>
        <w:t>a </w:t>
      </w:r>
      <w:r w:rsidRPr="008B3051">
        <w:rPr>
          <w:rStyle w:val="Hyperlink"/>
          <w:rFonts w:ascii="Verdana" w:hAnsi="Verdana"/>
          <w:color w:val="auto"/>
        </w:rPr>
        <w:t>qualified natural gas, propane, or oil furnace or hot water boiler</w:t>
      </w:r>
      <w:r w:rsidRPr="008B3051">
        <w:rPr>
          <w:rFonts w:ascii="Verdana" w:hAnsi="Verdana"/>
        </w:rPr>
        <w:t>, or</w:t>
      </w:r>
    </w:p>
    <w:p w14:paraId="11ACA3DD" w14:textId="77777777" w:rsidR="00AB7AF9" w:rsidRPr="008B3051" w:rsidRDefault="00AB7AF9" w:rsidP="00AB7AF9">
      <w:pPr>
        <w:shd w:val="clear" w:color="auto" w:fill="FFFFFF"/>
        <w:rPr>
          <w:rFonts w:ascii="Verdana" w:hAnsi="Verdana"/>
        </w:rPr>
      </w:pPr>
      <w:r w:rsidRPr="008B3051">
        <w:rPr>
          <w:rStyle w:val="num"/>
          <w:rFonts w:ascii="Verdana" w:hAnsi="Verdana"/>
          <w:b/>
          <w:bCs/>
        </w:rPr>
        <w:t>(iii)</w:t>
      </w:r>
    </w:p>
    <w:p w14:paraId="27170E15" w14:textId="479DA2A3" w:rsidR="00AB7AF9" w:rsidRPr="008B3051" w:rsidRDefault="00AB7AF9" w:rsidP="00AB7AF9">
      <w:pPr>
        <w:shd w:val="clear" w:color="auto" w:fill="FFFFFF"/>
        <w:rPr>
          <w:rFonts w:ascii="Verdana" w:hAnsi="Verdana"/>
        </w:rPr>
      </w:pPr>
      <w:r w:rsidRPr="008B3051">
        <w:rPr>
          <w:rFonts w:ascii="Verdana" w:hAnsi="Verdana"/>
        </w:rPr>
        <w:t>an </w:t>
      </w:r>
      <w:r w:rsidRPr="008B3051">
        <w:rPr>
          <w:rStyle w:val="Hyperlink"/>
          <w:rFonts w:ascii="Verdana" w:hAnsi="Verdana"/>
          <w:color w:val="auto"/>
        </w:rPr>
        <w:t>advanced main air circulating fan</w:t>
      </w:r>
      <w:r w:rsidRPr="008B3051">
        <w:rPr>
          <w:rFonts w:ascii="Verdana" w:hAnsi="Verdana"/>
        </w:rPr>
        <w:t>.</w:t>
      </w:r>
    </w:p>
    <w:p w14:paraId="3A840955"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Performance and quality standards</w:t>
      </w:r>
      <w:r w:rsidRPr="008B3051">
        <w:rPr>
          <w:rStyle w:val="chapeau"/>
          <w:rFonts w:ascii="Verdana" w:hAnsi="Verdana"/>
        </w:rPr>
        <w:t>Property described under subparagraph (A) shall meet the performance and quality standards, and the certification requirements (if any), which—</w:t>
      </w:r>
    </w:p>
    <w:p w14:paraId="7666C337"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5F5BFDCE" w14:textId="2AE89FAD" w:rsidR="00AB7AF9" w:rsidRPr="008B3051" w:rsidRDefault="00AB7AF9" w:rsidP="00AB7AF9">
      <w:pPr>
        <w:shd w:val="clear" w:color="auto" w:fill="FFFFFF"/>
        <w:rPr>
          <w:rFonts w:ascii="Verdana" w:hAnsi="Verdana"/>
        </w:rPr>
      </w:pPr>
      <w:r w:rsidRPr="008B3051">
        <w:rPr>
          <w:rFonts w:ascii="Verdana" w:hAnsi="Verdana"/>
        </w:rPr>
        <w:t>have been prescribed by the </w:t>
      </w:r>
      <w:r w:rsidRPr="008B3051">
        <w:rPr>
          <w:rStyle w:val="Hyperlink"/>
          <w:rFonts w:ascii="Verdana" w:hAnsi="Verdana"/>
          <w:color w:val="auto"/>
        </w:rPr>
        <w:t>Secretary</w:t>
      </w:r>
      <w:r w:rsidRPr="008B3051">
        <w:rPr>
          <w:rFonts w:ascii="Verdana" w:hAnsi="Verdana"/>
        </w:rPr>
        <w:t> by regulations (after consultation with the </w:t>
      </w:r>
      <w:r w:rsidRPr="008B3051">
        <w:rPr>
          <w:rStyle w:val="Hyperlink"/>
          <w:rFonts w:ascii="Verdana" w:hAnsi="Verdana"/>
          <w:color w:val="auto"/>
        </w:rPr>
        <w:t>Secretary</w:t>
      </w:r>
      <w:r w:rsidRPr="008B3051">
        <w:rPr>
          <w:rFonts w:ascii="Verdana" w:hAnsi="Verdana"/>
        </w:rPr>
        <w:t> of Energy or the Administrator of the Environmental Protection Agency, as appropriate), and</w:t>
      </w:r>
    </w:p>
    <w:p w14:paraId="6724A62B" w14:textId="77777777" w:rsidR="00AB7AF9" w:rsidRPr="008B3051" w:rsidRDefault="00AB7AF9" w:rsidP="00AB7AF9">
      <w:pPr>
        <w:shd w:val="clear" w:color="auto" w:fill="FFFFFF"/>
        <w:rPr>
          <w:rFonts w:ascii="Verdana" w:hAnsi="Verdana"/>
        </w:rPr>
      </w:pPr>
      <w:r w:rsidRPr="008B3051">
        <w:rPr>
          <w:rStyle w:val="num"/>
          <w:rFonts w:ascii="Verdana" w:hAnsi="Verdana"/>
          <w:b/>
          <w:bCs/>
        </w:rPr>
        <w:t>(ii)</w:t>
      </w:r>
    </w:p>
    <w:p w14:paraId="0407B3C4" w14:textId="5F1F3270" w:rsidR="00AB7AF9" w:rsidRPr="008B3051" w:rsidRDefault="00AB7AF9" w:rsidP="00AB7AF9">
      <w:pPr>
        <w:shd w:val="clear" w:color="auto" w:fill="FFFFFF"/>
        <w:rPr>
          <w:rFonts w:ascii="Verdana" w:hAnsi="Verdana"/>
        </w:rPr>
      </w:pPr>
      <w:r w:rsidRPr="008B3051">
        <w:rPr>
          <w:rFonts w:ascii="Verdana" w:hAnsi="Verdana"/>
        </w:rPr>
        <w:t>are in effect at the time of the </w:t>
      </w:r>
      <w:r w:rsidRPr="008B3051">
        <w:rPr>
          <w:rStyle w:val="Hyperlink"/>
          <w:rFonts w:ascii="Verdana" w:hAnsi="Verdana"/>
          <w:color w:val="auto"/>
        </w:rPr>
        <w:t>acquisition</w:t>
      </w:r>
      <w:r w:rsidRPr="008B3051">
        <w:rPr>
          <w:rFonts w:ascii="Verdana" w:hAnsi="Verdana"/>
        </w:rPr>
        <w:t> of the property, or at the time of the completion of the construction, reconstruction, or erection of the property, as the case may be.</w:t>
      </w:r>
    </w:p>
    <w:p w14:paraId="36880826" w14:textId="747A25A8"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Requirements and standards for air conditioners and heat pumps</w:t>
      </w:r>
      <w:r w:rsidRPr="008B3051">
        <w:rPr>
          <w:rStyle w:val="chapeau"/>
          <w:rFonts w:ascii="Verdana" w:hAnsi="Verdana"/>
        </w:rPr>
        <w:t>The standards and requirements prescribed by the </w:t>
      </w:r>
      <w:r w:rsidRPr="008B3051">
        <w:rPr>
          <w:rStyle w:val="Hyperlink"/>
          <w:rFonts w:ascii="Verdana" w:hAnsi="Verdana"/>
          <w:color w:val="auto"/>
        </w:rPr>
        <w:t>Secretary</w:t>
      </w:r>
      <w:r w:rsidRPr="008B3051">
        <w:rPr>
          <w:rStyle w:val="chapeau"/>
          <w:rFonts w:ascii="Verdana" w:hAnsi="Verdana"/>
        </w:rPr>
        <w:t> under subparagraph (B) with respect to the energy efficiency ratio (EER) for central air conditioners and electric heat pumps—</w:t>
      </w:r>
    </w:p>
    <w:p w14:paraId="1BAD5826" w14:textId="77777777" w:rsidR="00AB7AF9" w:rsidRPr="008B3051" w:rsidRDefault="00AB7AF9" w:rsidP="00AB7AF9">
      <w:pPr>
        <w:shd w:val="clear" w:color="auto" w:fill="FFFFFF"/>
        <w:rPr>
          <w:rFonts w:ascii="Verdana" w:hAnsi="Verdana"/>
        </w:rPr>
      </w:pPr>
      <w:r w:rsidRPr="008B3051">
        <w:rPr>
          <w:rStyle w:val="num"/>
          <w:rFonts w:ascii="Verdana" w:hAnsi="Verdana"/>
          <w:b/>
          <w:bCs/>
        </w:rPr>
        <w:t>(i)</w:t>
      </w:r>
    </w:p>
    <w:p w14:paraId="641B6213" w14:textId="4AD87E17" w:rsidR="00AB7AF9" w:rsidRPr="008B3051" w:rsidRDefault="00AB7AF9" w:rsidP="00AB7AF9">
      <w:pPr>
        <w:shd w:val="clear" w:color="auto" w:fill="FFFFFF"/>
        <w:rPr>
          <w:rFonts w:ascii="Verdana" w:hAnsi="Verdana"/>
        </w:rPr>
      </w:pPr>
      <w:r w:rsidRPr="008B3051">
        <w:rPr>
          <w:rFonts w:ascii="Verdana" w:hAnsi="Verdana"/>
        </w:rPr>
        <w:t>shall require measurements to be based on published data which is tested by </w:t>
      </w:r>
      <w:r w:rsidRPr="008B3051">
        <w:rPr>
          <w:rStyle w:val="Hyperlink"/>
          <w:rFonts w:ascii="Verdana" w:hAnsi="Verdana"/>
          <w:color w:val="auto"/>
        </w:rPr>
        <w:t>manufacturers</w:t>
      </w:r>
      <w:r w:rsidRPr="008B3051">
        <w:rPr>
          <w:rFonts w:ascii="Verdana" w:hAnsi="Verdana"/>
        </w:rPr>
        <w:t> at 95 degrees Fahrenheit, and</w:t>
      </w:r>
    </w:p>
    <w:p w14:paraId="098E5C8E" w14:textId="77777777" w:rsidR="00AB7AF9" w:rsidRPr="008B3051" w:rsidRDefault="00AB7AF9" w:rsidP="00AB7AF9">
      <w:pPr>
        <w:shd w:val="clear" w:color="auto" w:fill="FFFFFF"/>
        <w:rPr>
          <w:rFonts w:ascii="Verdana" w:hAnsi="Verdana"/>
        </w:rPr>
      </w:pPr>
      <w:r w:rsidRPr="008B3051">
        <w:rPr>
          <w:rStyle w:val="num"/>
          <w:rFonts w:ascii="Verdana" w:hAnsi="Verdana"/>
          <w:b/>
          <w:bCs/>
        </w:rPr>
        <w:lastRenderedPageBreak/>
        <w:t>(ii)</w:t>
      </w:r>
    </w:p>
    <w:p w14:paraId="35816B69" w14:textId="1F7C663A" w:rsidR="00AB7AF9" w:rsidRPr="008B3051" w:rsidRDefault="00AB7AF9" w:rsidP="00AB7AF9">
      <w:pPr>
        <w:shd w:val="clear" w:color="auto" w:fill="FFFFFF"/>
        <w:rPr>
          <w:rFonts w:ascii="Verdana" w:hAnsi="Verdana"/>
        </w:rPr>
      </w:pPr>
      <w:r w:rsidRPr="008B3051">
        <w:rPr>
          <w:rFonts w:ascii="Verdana" w:hAnsi="Verdana"/>
        </w:rPr>
        <w:t>may be based on the certified data of the Air Conditioning and Refrigeration Institute that are prepared in </w:t>
      </w:r>
      <w:r w:rsidRPr="008B3051">
        <w:rPr>
          <w:rStyle w:val="Hyperlink"/>
          <w:rFonts w:ascii="Verdana" w:hAnsi="Verdana"/>
          <w:color w:val="auto"/>
        </w:rPr>
        <w:t>partnership</w:t>
      </w:r>
      <w:r w:rsidRPr="008B3051">
        <w:rPr>
          <w:rFonts w:ascii="Verdana" w:hAnsi="Verdana"/>
        </w:rPr>
        <w:t> with the Consortium for Energy Efficiency.</w:t>
      </w:r>
    </w:p>
    <w:p w14:paraId="41025AFC" w14:textId="7159ED02"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Energy-efficient building property</w:t>
      </w:r>
      <w:r w:rsidRPr="008B3051">
        <w:rPr>
          <w:rStyle w:val="chapeau"/>
          <w:rFonts w:ascii="Verdana" w:hAnsi="Verdana"/>
        </w:rPr>
        <w:t>The term “</w:t>
      </w:r>
      <w:r w:rsidRPr="008B3051">
        <w:rPr>
          <w:rStyle w:val="Hyperlink"/>
          <w:rFonts w:ascii="Verdana" w:hAnsi="Verdana"/>
          <w:color w:val="auto"/>
        </w:rPr>
        <w:t>energy-efficient building property</w:t>
      </w:r>
      <w:r w:rsidRPr="008B3051">
        <w:rPr>
          <w:rStyle w:val="chapeau"/>
          <w:rFonts w:ascii="Verdana" w:hAnsi="Verdana"/>
        </w:rPr>
        <w:t>” means—</w:t>
      </w:r>
    </w:p>
    <w:p w14:paraId="12694619"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6BB2EAAC" w14:textId="77777777" w:rsidR="00AB7AF9" w:rsidRPr="008B3051" w:rsidRDefault="00AB7AF9" w:rsidP="00AB7AF9">
      <w:pPr>
        <w:shd w:val="clear" w:color="auto" w:fill="FFFFFF"/>
        <w:rPr>
          <w:rFonts w:ascii="Verdana" w:hAnsi="Verdana"/>
        </w:rPr>
      </w:pPr>
      <w:r w:rsidRPr="008B3051">
        <w:rPr>
          <w:rFonts w:ascii="Verdana" w:hAnsi="Verdana"/>
        </w:rPr>
        <w:t>an electric heat pump water heater which yields an energy factor of at least 2.0 in the standard Department of Energy test procedure,</w:t>
      </w:r>
    </w:p>
    <w:p w14:paraId="49E1AE29"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1E34777" w14:textId="587F3212" w:rsidR="00AB7AF9" w:rsidRPr="008B3051" w:rsidRDefault="00AB7AF9" w:rsidP="00AB7AF9">
      <w:pPr>
        <w:shd w:val="clear" w:color="auto" w:fill="FFFFFF"/>
        <w:rPr>
          <w:rFonts w:ascii="Verdana" w:hAnsi="Verdana"/>
        </w:rPr>
      </w:pPr>
      <w:r w:rsidRPr="008B3051">
        <w:rPr>
          <w:rFonts w:ascii="Verdana" w:hAnsi="Verdana"/>
        </w:rPr>
        <w:t>an electric heat pump which achieves the highest efficiency tier established by the Consortium for Energy Efficiency, as in effect on </w:t>
      </w:r>
      <w:r w:rsidRPr="008B3051">
        <w:rPr>
          <w:rStyle w:val="Date2"/>
          <w:rFonts w:ascii="Verdana" w:hAnsi="Verdana"/>
        </w:rPr>
        <w:t>January 1, 2009</w:t>
      </w:r>
      <w:r w:rsidRPr="008B3051">
        <w:rPr>
          <w:rFonts w:ascii="Verdana" w:hAnsi="Verdana"/>
        </w:rPr>
        <w:t>.</w:t>
      </w:r>
      <w:bookmarkStart w:id="427" w:name="fn002014-ref"/>
      <w:r w:rsidRPr="008B3051">
        <w:rPr>
          <w:rFonts w:ascii="Verdana" w:hAnsi="Verdana"/>
          <w:sz w:val="17"/>
          <w:szCs w:val="17"/>
        </w:rPr>
        <w:t>[2]</w:t>
      </w:r>
      <w:bookmarkEnd w:id="427"/>
    </w:p>
    <w:p w14:paraId="373981A3"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342F2926" w14:textId="77777777" w:rsidR="00AB7AF9" w:rsidRPr="008B3051" w:rsidRDefault="00AB7AF9" w:rsidP="00AB7AF9">
      <w:pPr>
        <w:shd w:val="clear" w:color="auto" w:fill="FFFFFF"/>
        <w:rPr>
          <w:rFonts w:ascii="Verdana" w:hAnsi="Verdana"/>
        </w:rPr>
      </w:pPr>
      <w:r w:rsidRPr="008B3051">
        <w:rPr>
          <w:rFonts w:ascii="Verdana" w:hAnsi="Verdana"/>
        </w:rPr>
        <w:t>a central air conditioner which achieves the highest efficiency tier established by the Consortium for Energy Efficiency, as in effect on </w:t>
      </w:r>
      <w:r w:rsidRPr="008B3051">
        <w:rPr>
          <w:rStyle w:val="Date2"/>
          <w:rFonts w:ascii="Verdana" w:hAnsi="Verdana"/>
        </w:rPr>
        <w:t>January 1, 2009</w:t>
      </w:r>
      <w:r w:rsidRPr="008B3051">
        <w:rPr>
          <w:rFonts w:ascii="Verdana" w:hAnsi="Verdana"/>
        </w:rPr>
        <w:t>,</w:t>
      </w:r>
    </w:p>
    <w:p w14:paraId="104A75F8" w14:textId="77777777" w:rsidR="00AB7AF9" w:rsidRPr="008B3051" w:rsidRDefault="00AB7AF9" w:rsidP="00AB7AF9">
      <w:pPr>
        <w:shd w:val="clear" w:color="auto" w:fill="FFFFFF"/>
        <w:rPr>
          <w:rFonts w:ascii="Verdana" w:hAnsi="Verdana"/>
        </w:rPr>
      </w:pPr>
      <w:bookmarkStart w:id="428" w:name="d_3_D"/>
      <w:bookmarkEnd w:id="428"/>
      <w:r w:rsidRPr="008B3051">
        <w:rPr>
          <w:rStyle w:val="num"/>
          <w:rFonts w:ascii="Verdana" w:hAnsi="Verdana"/>
          <w:b/>
          <w:bCs/>
        </w:rPr>
        <w:t>(D)</w:t>
      </w:r>
    </w:p>
    <w:p w14:paraId="139C526F" w14:textId="4013A9B6" w:rsidR="00AB7AF9" w:rsidRPr="008B3051" w:rsidRDefault="00AB7AF9" w:rsidP="00AB7AF9">
      <w:pPr>
        <w:shd w:val="clear" w:color="auto" w:fill="FFFFFF"/>
        <w:rPr>
          <w:rFonts w:ascii="Verdana" w:hAnsi="Verdana"/>
        </w:rPr>
      </w:pPr>
      <w:r w:rsidRPr="008B3051">
        <w:rPr>
          <w:rFonts w:ascii="Verdana" w:hAnsi="Verdana"/>
        </w:rPr>
        <w:t>a natural gas, propane, or oil water heater which has either an energy factor of at least 0.82 or a thermal efficiency of at least 90 percent.</w:t>
      </w:r>
      <w:bookmarkStart w:id="429" w:name="fn002015-ref"/>
      <w:r w:rsidRPr="008B3051">
        <w:rPr>
          <w:rFonts w:ascii="Verdana" w:hAnsi="Verdana"/>
          <w:sz w:val="17"/>
          <w:szCs w:val="17"/>
        </w:rPr>
        <w:t>[3]</w:t>
      </w:r>
      <w:bookmarkEnd w:id="429"/>
    </w:p>
    <w:p w14:paraId="6F132DA9" w14:textId="77777777" w:rsidR="00AB7AF9" w:rsidRPr="008B3051" w:rsidRDefault="00AB7AF9" w:rsidP="00AB7AF9">
      <w:pPr>
        <w:shd w:val="clear" w:color="auto" w:fill="FFFFFF"/>
        <w:rPr>
          <w:rFonts w:ascii="Verdana" w:hAnsi="Verdana"/>
        </w:rPr>
      </w:pPr>
      <w:bookmarkStart w:id="430" w:name="d_3_E"/>
      <w:bookmarkEnd w:id="430"/>
      <w:r w:rsidRPr="008B3051">
        <w:rPr>
          <w:rStyle w:val="num"/>
          <w:rFonts w:ascii="Verdana" w:hAnsi="Verdana"/>
          <w:b/>
          <w:bCs/>
        </w:rPr>
        <w:t>(E)</w:t>
      </w:r>
    </w:p>
    <w:p w14:paraId="4DCB9538" w14:textId="424FDF9C" w:rsidR="00AB7AF9" w:rsidRPr="008B3051" w:rsidRDefault="00AB7AF9" w:rsidP="00AB7AF9">
      <w:pPr>
        <w:shd w:val="clear" w:color="auto" w:fill="FFFFFF"/>
        <w:rPr>
          <w:rFonts w:ascii="Verdana" w:hAnsi="Verdana"/>
        </w:rPr>
      </w:pPr>
      <w:r w:rsidRPr="008B3051">
        <w:rPr>
          <w:rFonts w:ascii="Verdana" w:hAnsi="Verdana"/>
        </w:rPr>
        <w:t>a stove which uses the burning of </w:t>
      </w:r>
      <w:r w:rsidRPr="008B3051">
        <w:rPr>
          <w:rStyle w:val="Hyperlink"/>
          <w:rFonts w:ascii="Verdana" w:hAnsi="Verdana"/>
          <w:color w:val="auto"/>
        </w:rPr>
        <w:t>biomass fuel</w:t>
      </w:r>
      <w:r w:rsidRPr="008B3051">
        <w:rPr>
          <w:rFonts w:ascii="Verdana" w:hAnsi="Verdana"/>
        </w:rPr>
        <w:t> to heat a </w:t>
      </w:r>
      <w:r w:rsidRPr="008B3051">
        <w:rPr>
          <w:rStyle w:val="Hyperlink"/>
          <w:rFonts w:ascii="Verdana" w:hAnsi="Verdana"/>
          <w:color w:val="auto"/>
        </w:rPr>
        <w:t>dwelling unit</w:t>
      </w:r>
      <w:r w:rsidRPr="008B3051">
        <w:rPr>
          <w:rFonts w:ascii="Verdana" w:hAnsi="Verdana"/>
        </w:rPr>
        <w:t> located in the United States and used as a residence by the taxpayer, or to heat water for use in such a </w:t>
      </w:r>
      <w:r w:rsidRPr="008B3051">
        <w:rPr>
          <w:rStyle w:val="Hyperlink"/>
          <w:rFonts w:ascii="Verdana" w:hAnsi="Verdana"/>
          <w:color w:val="auto"/>
        </w:rPr>
        <w:t>dwelling unit</w:t>
      </w:r>
      <w:r w:rsidRPr="008B3051">
        <w:rPr>
          <w:rFonts w:ascii="Verdana" w:hAnsi="Verdana"/>
        </w:rPr>
        <w:t>, and which has a thermal efficiency rating of at least 75 percent.</w:t>
      </w:r>
    </w:p>
    <w:p w14:paraId="162863AE" w14:textId="77777777" w:rsidR="00AB7AF9" w:rsidRPr="008B3051" w:rsidRDefault="00AB7AF9" w:rsidP="00AB7AF9">
      <w:pPr>
        <w:shd w:val="clear" w:color="auto" w:fill="FFFFFF"/>
        <w:rPr>
          <w:rFonts w:ascii="Verdana" w:hAnsi="Verdana"/>
        </w:rPr>
      </w:pPr>
      <w:bookmarkStart w:id="431" w:name="d_4"/>
      <w:bookmarkEnd w:id="431"/>
      <w:r w:rsidRPr="008B3051">
        <w:rPr>
          <w:rStyle w:val="num"/>
          <w:rFonts w:ascii="Verdana" w:hAnsi="Verdana"/>
          <w:b/>
          <w:bCs/>
        </w:rPr>
        <w:t>(4)</w:t>
      </w:r>
      <w:r w:rsidRPr="008B3051">
        <w:rPr>
          <w:rStyle w:val="heading"/>
          <w:rFonts w:ascii="Verdana" w:hAnsi="Verdana"/>
          <w:b/>
          <w:bCs/>
          <w:smallCaps/>
        </w:rPr>
        <w:t>Qualified natural gas, propane, or oil furnace or hot water boiler</w:t>
      </w:r>
    </w:p>
    <w:p w14:paraId="2684D7FD" w14:textId="7E19BBA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natural gas, propane, or oil furnace or hot water boiler</w:t>
      </w:r>
      <w:r w:rsidRPr="008B3051">
        <w:rPr>
          <w:rFonts w:ascii="Verdana" w:hAnsi="Verdana"/>
        </w:rPr>
        <w:t>” means a natural gas, propane, or oil furnace or hot water boiler which achieves an annual fuel utilization efficiency rate of not less than 95.</w:t>
      </w:r>
    </w:p>
    <w:p w14:paraId="515ECD37" w14:textId="77777777"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Advanced main air circulating fan</w:t>
      </w:r>
    </w:p>
    <w:p w14:paraId="3CF39BAF" w14:textId="366B86F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advanced main air circulating fan</w:t>
      </w:r>
      <w:r w:rsidRPr="008B3051">
        <w:rPr>
          <w:rFonts w:ascii="Verdana" w:hAnsi="Verdana"/>
        </w:rPr>
        <w:t>” means a fan used in a natural gas, propane, or oil furnace and which has an annual electricity use of no more than 2 percent of the total annual energy use of the furnace (as determined in the standard Department of Energy test procedures).</w:t>
      </w:r>
    </w:p>
    <w:p w14:paraId="68A86735" w14:textId="77777777" w:rsidR="00AB7AF9" w:rsidRPr="008B3051" w:rsidRDefault="00AB7AF9" w:rsidP="00AB7AF9">
      <w:pPr>
        <w:shd w:val="clear" w:color="auto" w:fill="FFFFFF"/>
        <w:rPr>
          <w:rFonts w:ascii="Verdana" w:hAnsi="Verdana"/>
        </w:rPr>
      </w:pPr>
      <w:bookmarkStart w:id="432" w:name="d_6"/>
      <w:bookmarkEnd w:id="432"/>
      <w:r w:rsidRPr="008B3051">
        <w:rPr>
          <w:rStyle w:val="num"/>
          <w:rFonts w:ascii="Verdana" w:hAnsi="Verdana"/>
          <w:b/>
          <w:bCs/>
        </w:rPr>
        <w:t>(6)</w:t>
      </w:r>
      <w:r w:rsidRPr="008B3051">
        <w:rPr>
          <w:rStyle w:val="heading"/>
          <w:rFonts w:ascii="Verdana" w:hAnsi="Verdana"/>
          <w:b/>
          <w:bCs/>
          <w:smallCaps/>
        </w:rPr>
        <w:t>Biomass fuel</w:t>
      </w:r>
    </w:p>
    <w:p w14:paraId="1F8C45E8" w14:textId="34130A8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biomass fuel</w:t>
      </w:r>
      <w:r w:rsidRPr="008B3051">
        <w:rPr>
          <w:rFonts w:ascii="Verdana" w:hAnsi="Verdana"/>
        </w:rPr>
        <w:t xml:space="preserve">” means any plant-derived fuel available on a renewable or recurring basis, including agricultural crops and trees, wood </w:t>
      </w:r>
      <w:r w:rsidRPr="008B3051">
        <w:rPr>
          <w:rFonts w:ascii="Verdana" w:hAnsi="Verdana"/>
        </w:rPr>
        <w:lastRenderedPageBreak/>
        <w:t>and wood waste and residues (including wood pellets), plants (including aquatic plants), grasses, residues, and fibers.</w:t>
      </w:r>
    </w:p>
    <w:p w14:paraId="63628D1A"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w:t>
      </w:r>
      <w:r w:rsidRPr="008B3051">
        <w:rPr>
          <w:rStyle w:val="chapeau"/>
          <w:rFonts w:ascii="Verdana" w:hAnsi="Verdana"/>
        </w:rPr>
        <w:t>For purposes of this section—</w:t>
      </w:r>
    </w:p>
    <w:p w14:paraId="56CC04A5"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Application of rules</w:t>
      </w:r>
    </w:p>
    <w:p w14:paraId="6BDB24DA" w14:textId="12BCB12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Rules similar to the rules under paragraphs (4), (5), (6), (7), and (8) of </w:t>
      </w:r>
      <w:r w:rsidRPr="008B3051">
        <w:rPr>
          <w:rStyle w:val="Hyperlink"/>
          <w:rFonts w:ascii="Verdana" w:hAnsi="Verdana"/>
          <w:color w:val="auto"/>
        </w:rPr>
        <w:t>section 25D(e)</w:t>
      </w:r>
      <w:r w:rsidRPr="008B3051">
        <w:rPr>
          <w:rFonts w:ascii="Verdana" w:hAnsi="Verdana"/>
        </w:rPr>
        <w:t> shall apply.</w:t>
      </w:r>
    </w:p>
    <w:p w14:paraId="5121A326"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Joint ownership of energy items</w:t>
      </w:r>
    </w:p>
    <w:p w14:paraId="127CCEA3" w14:textId="77777777" w:rsidR="00AB7AF9" w:rsidRPr="008B3051" w:rsidRDefault="00AB7AF9" w:rsidP="00AB7AF9">
      <w:pPr>
        <w:shd w:val="clear" w:color="auto" w:fill="FFFFFF"/>
        <w:rPr>
          <w:rFonts w:ascii="Verdana" w:hAnsi="Verdana"/>
        </w:rPr>
      </w:pPr>
      <w:bookmarkStart w:id="433" w:name="e_2_A"/>
      <w:bookmarkEnd w:id="433"/>
      <w:r w:rsidRPr="008B3051">
        <w:rPr>
          <w:rStyle w:val="num"/>
          <w:rFonts w:ascii="Verdana" w:hAnsi="Verdana"/>
          <w:b/>
          <w:bCs/>
        </w:rPr>
        <w:t>(A)</w:t>
      </w:r>
      <w:r w:rsidRPr="008B3051">
        <w:rPr>
          <w:rStyle w:val="heading"/>
          <w:rFonts w:ascii="Verdana" w:hAnsi="Verdana"/>
          <w:b/>
          <w:bCs/>
        </w:rPr>
        <w:t>In general</w:t>
      </w:r>
    </w:p>
    <w:p w14:paraId="590FF0EB" w14:textId="22747355"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Any expenditure otherwise qualifying as an expenditure under this section shall not be treated as failing to so qualify merely because such expenditure was made with respect to two or more </w:t>
      </w:r>
      <w:r w:rsidRPr="008B3051">
        <w:rPr>
          <w:rStyle w:val="Hyperlink"/>
          <w:rFonts w:ascii="Verdana" w:hAnsi="Verdana"/>
          <w:color w:val="auto"/>
        </w:rPr>
        <w:t>dwelling units</w:t>
      </w:r>
      <w:r w:rsidRPr="008B3051">
        <w:rPr>
          <w:rFonts w:ascii="Verdana" w:hAnsi="Verdana"/>
        </w:rPr>
        <w:t>.</w:t>
      </w:r>
    </w:p>
    <w:p w14:paraId="539A5FEE" w14:textId="77777777" w:rsidR="00AB7AF9" w:rsidRPr="008B3051" w:rsidRDefault="00AB7AF9" w:rsidP="00AB7AF9">
      <w:pPr>
        <w:shd w:val="clear" w:color="auto" w:fill="FFFFFF"/>
        <w:rPr>
          <w:rFonts w:ascii="Verdana" w:hAnsi="Verdana"/>
        </w:rPr>
      </w:pPr>
      <w:bookmarkStart w:id="434" w:name="e_2_B"/>
      <w:bookmarkEnd w:id="434"/>
      <w:r w:rsidRPr="008B3051">
        <w:rPr>
          <w:rStyle w:val="num"/>
          <w:rFonts w:ascii="Verdana" w:hAnsi="Verdana"/>
          <w:b/>
          <w:bCs/>
        </w:rPr>
        <w:t>(B)</w:t>
      </w:r>
      <w:r w:rsidRPr="008B3051">
        <w:rPr>
          <w:rStyle w:val="heading"/>
          <w:rFonts w:ascii="Verdana" w:hAnsi="Verdana"/>
          <w:b/>
          <w:bCs/>
        </w:rPr>
        <w:t>Limits applied separately</w:t>
      </w:r>
    </w:p>
    <w:p w14:paraId="645F1143" w14:textId="144CF6F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any expenditure described in subparagraph (A), the amount of the credit allowable under subsection (a) shall (subject to paragraph (1)) be computed separately with respect to the amount of the expenditure made for each </w:t>
      </w:r>
      <w:r w:rsidRPr="008B3051">
        <w:rPr>
          <w:rStyle w:val="Hyperlink"/>
          <w:rFonts w:ascii="Verdana" w:hAnsi="Verdana"/>
          <w:color w:val="auto"/>
        </w:rPr>
        <w:t>dwelling unit</w:t>
      </w:r>
      <w:r w:rsidRPr="008B3051">
        <w:rPr>
          <w:rFonts w:ascii="Verdana" w:hAnsi="Verdana"/>
        </w:rPr>
        <w:t>.</w:t>
      </w:r>
    </w:p>
    <w:p w14:paraId="2E263572"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Property financed by subsidized energy financing</w:t>
      </w:r>
    </w:p>
    <w:p w14:paraId="0ADD24CB" w14:textId="2E73C96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determining the amount of </w:t>
      </w:r>
      <w:r w:rsidRPr="008B3051">
        <w:rPr>
          <w:rStyle w:val="Hyperlink"/>
          <w:rFonts w:ascii="Verdana" w:hAnsi="Verdana"/>
          <w:color w:val="auto"/>
        </w:rPr>
        <w:t>expenditures</w:t>
      </w:r>
      <w:r w:rsidRPr="008B3051">
        <w:rPr>
          <w:rFonts w:ascii="Verdana" w:hAnsi="Verdana"/>
        </w:rPr>
        <w:t> made by any individual with respect to any property, there shall not be taken into account </w:t>
      </w:r>
      <w:r w:rsidRPr="008B3051">
        <w:rPr>
          <w:rStyle w:val="Hyperlink"/>
          <w:rFonts w:ascii="Verdana" w:hAnsi="Verdana"/>
          <w:color w:val="auto"/>
        </w:rPr>
        <w:t>expenditures</w:t>
      </w:r>
      <w:r w:rsidRPr="008B3051">
        <w:rPr>
          <w:rFonts w:ascii="Verdana" w:hAnsi="Verdana"/>
        </w:rPr>
        <w:t> which are made from subsidized energy financing (as defined in section 48(a)(4)(C)).</w:t>
      </w:r>
    </w:p>
    <w:p w14:paraId="60D93312"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Basis adjustments</w:t>
      </w:r>
    </w:p>
    <w:p w14:paraId="078923A4" w14:textId="0818826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subtitle, if a credit is allowed under this section for any expenditure with respect to any </w:t>
      </w:r>
      <w:r w:rsidRPr="008B3051">
        <w:rPr>
          <w:rStyle w:val="Hyperlink"/>
          <w:rFonts w:ascii="Verdana" w:hAnsi="Verdana"/>
          <w:color w:val="auto"/>
        </w:rPr>
        <w:t>property</w:t>
      </w:r>
      <w:r w:rsidRPr="008B3051">
        <w:rPr>
          <w:rFonts w:ascii="Verdana" w:hAnsi="Verdana"/>
        </w:rPr>
        <w:t>, the increase in the basis of such </w:t>
      </w:r>
      <w:r w:rsidRPr="008B3051">
        <w:rPr>
          <w:rStyle w:val="Hyperlink"/>
          <w:rFonts w:ascii="Verdana" w:hAnsi="Verdana"/>
          <w:color w:val="auto"/>
        </w:rPr>
        <w:t>property</w:t>
      </w:r>
      <w:r w:rsidRPr="008B3051">
        <w:rPr>
          <w:rFonts w:ascii="Verdana" w:hAnsi="Verdana"/>
        </w:rPr>
        <w:t> which would (but for this subsection) result from such expenditure shall be reduced by the amount of the credit so allowed.</w:t>
      </w:r>
    </w:p>
    <w:p w14:paraId="332905D9" w14:textId="4BBAA6B8"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Termination</w:t>
      </w:r>
      <w:r w:rsidRPr="008B3051">
        <w:rPr>
          <w:rStyle w:val="chapeau"/>
          <w:rFonts w:ascii="Verdana" w:hAnsi="Verdana"/>
        </w:rPr>
        <w:t>This section shall not apply with respect to any </w:t>
      </w:r>
      <w:r w:rsidRPr="008B3051">
        <w:rPr>
          <w:rStyle w:val="Hyperlink"/>
          <w:rFonts w:ascii="Verdana" w:hAnsi="Verdana"/>
          <w:color w:val="auto"/>
        </w:rPr>
        <w:t>property</w:t>
      </w:r>
      <w:r w:rsidRPr="008B3051">
        <w:rPr>
          <w:rStyle w:val="chapeau"/>
          <w:rFonts w:ascii="Verdana" w:hAnsi="Verdana"/>
        </w:rPr>
        <w:t> placed in service—</w:t>
      </w:r>
    </w:p>
    <w:p w14:paraId="47D2234F"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63A1607E" w14:textId="77777777" w:rsidR="00AB7AF9" w:rsidRPr="008B3051" w:rsidRDefault="00AB7AF9" w:rsidP="00AB7AF9">
      <w:pPr>
        <w:shd w:val="clear" w:color="auto" w:fill="FFFFFF"/>
        <w:rPr>
          <w:rFonts w:ascii="Verdana" w:hAnsi="Verdana"/>
        </w:rPr>
      </w:pPr>
      <w:r w:rsidRPr="008B3051">
        <w:rPr>
          <w:rFonts w:ascii="Verdana" w:hAnsi="Verdana"/>
        </w:rPr>
        <w:t>after </w:t>
      </w:r>
      <w:r w:rsidRPr="008B3051">
        <w:rPr>
          <w:rStyle w:val="Date2"/>
          <w:rFonts w:ascii="Verdana" w:hAnsi="Verdana"/>
        </w:rPr>
        <w:t>December 31, 2007</w:t>
      </w:r>
      <w:r w:rsidRPr="008B3051">
        <w:rPr>
          <w:rFonts w:ascii="Verdana" w:hAnsi="Verdana"/>
        </w:rPr>
        <w:t>, and before </w:t>
      </w:r>
      <w:r w:rsidRPr="008B3051">
        <w:rPr>
          <w:rStyle w:val="Date2"/>
          <w:rFonts w:ascii="Verdana" w:hAnsi="Verdana"/>
        </w:rPr>
        <w:t>January 1, 2009</w:t>
      </w:r>
      <w:r w:rsidRPr="008B3051">
        <w:rPr>
          <w:rFonts w:ascii="Verdana" w:hAnsi="Verdana"/>
        </w:rPr>
        <w:t>, or</w:t>
      </w:r>
    </w:p>
    <w:p w14:paraId="40FFB6F6"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2D1AD881" w14:textId="1520B7E7" w:rsidR="00AB7AF9" w:rsidRPr="008B3051" w:rsidRDefault="00AB7AF9" w:rsidP="00AB7AF9">
      <w:pPr>
        <w:shd w:val="clear" w:color="auto" w:fill="FFFFFF"/>
        <w:rPr>
          <w:rFonts w:ascii="Verdana" w:hAnsi="Verdana"/>
        </w:rPr>
      </w:pPr>
      <w:r w:rsidRPr="008B3051">
        <w:rPr>
          <w:rFonts w:ascii="Verdana" w:hAnsi="Verdana"/>
        </w:rPr>
        <w:t>after </w:t>
      </w:r>
      <w:r w:rsidRPr="008B3051">
        <w:rPr>
          <w:rStyle w:val="Date2"/>
          <w:rFonts w:ascii="Verdana" w:hAnsi="Verdana"/>
        </w:rPr>
        <w:t>December 31, 2016</w:t>
      </w:r>
      <w:r w:rsidRPr="008B3051">
        <w:rPr>
          <w:rFonts w:ascii="Verdana" w:hAnsi="Verdana"/>
        </w:rPr>
        <w:t>..</w:t>
      </w:r>
      <w:bookmarkStart w:id="435" w:name="fn002016-ref"/>
      <w:r w:rsidRPr="008B3051">
        <w:rPr>
          <w:rFonts w:ascii="Verdana" w:hAnsi="Verdana"/>
          <w:sz w:val="17"/>
          <w:szCs w:val="17"/>
        </w:rPr>
        <w:t>[4]</w:t>
      </w:r>
      <w:bookmarkEnd w:id="435"/>
    </w:p>
    <w:p w14:paraId="79F09E3B" w14:textId="1CC47325"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109–58, title XIII</w:t>
      </w:r>
      <w:r w:rsidRPr="008B3051">
        <w:rPr>
          <w:rFonts w:ascii="Verdana" w:hAnsi="Verdana"/>
        </w:rPr>
        <w:t>, § 1333(a), </w:t>
      </w:r>
      <w:r w:rsidRPr="008B3051">
        <w:rPr>
          <w:rStyle w:val="Date2"/>
          <w:rFonts w:ascii="Verdana" w:hAnsi="Verdana"/>
        </w:rPr>
        <w:t>Aug. 8, 2005</w:t>
      </w:r>
      <w:r w:rsidRPr="008B3051">
        <w:rPr>
          <w:rFonts w:ascii="Verdana" w:hAnsi="Verdana"/>
        </w:rPr>
        <w:t>, </w:t>
      </w:r>
      <w:r w:rsidRPr="008B3051">
        <w:rPr>
          <w:rStyle w:val="Hyperlink"/>
          <w:rFonts w:ascii="Verdana" w:hAnsi="Verdana"/>
          <w:color w:val="auto"/>
        </w:rPr>
        <w:t>119 Stat. 1026</w:t>
      </w:r>
      <w:r w:rsidRPr="008B3051">
        <w:rPr>
          <w:rFonts w:ascii="Verdana" w:hAnsi="Verdana"/>
        </w:rPr>
        <w:t>; amended </w:t>
      </w:r>
      <w:r w:rsidRPr="008B3051">
        <w:rPr>
          <w:rStyle w:val="Hyperlink"/>
          <w:rFonts w:ascii="Verdana" w:hAnsi="Verdana"/>
          <w:color w:val="auto"/>
        </w:rPr>
        <w:t>Pub. L. 109–135, title IV</w:t>
      </w:r>
      <w:r w:rsidRPr="008B3051">
        <w:rPr>
          <w:rFonts w:ascii="Verdana" w:hAnsi="Verdana"/>
        </w:rPr>
        <w:t>, § 412(b),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2636</w:t>
      </w:r>
      <w:r w:rsidRPr="008B3051">
        <w:rPr>
          <w:rFonts w:ascii="Verdana" w:hAnsi="Verdana"/>
        </w:rPr>
        <w:t>; </w:t>
      </w:r>
      <w:r w:rsidRPr="008B3051">
        <w:rPr>
          <w:rStyle w:val="Hyperlink"/>
          <w:rFonts w:ascii="Verdana" w:hAnsi="Verdana"/>
          <w:color w:val="auto"/>
        </w:rPr>
        <w:t>Pub. L. 110–172</w:t>
      </w:r>
      <w:r w:rsidRPr="008B3051">
        <w:rPr>
          <w:rFonts w:ascii="Verdana" w:hAnsi="Verdana"/>
        </w:rPr>
        <w:t>, § 11(a)(2), </w:t>
      </w:r>
      <w:r w:rsidRPr="008B3051">
        <w:rPr>
          <w:rStyle w:val="Date2"/>
          <w:rFonts w:ascii="Verdana" w:hAnsi="Verdana"/>
        </w:rPr>
        <w:t>Dec. 29, 2007</w:t>
      </w:r>
      <w:r w:rsidRPr="008B3051">
        <w:rPr>
          <w:rFonts w:ascii="Verdana" w:hAnsi="Verdana"/>
        </w:rPr>
        <w:t>, </w:t>
      </w:r>
      <w:r w:rsidRPr="008B3051">
        <w:rPr>
          <w:rStyle w:val="Hyperlink"/>
          <w:rFonts w:ascii="Verdana" w:hAnsi="Verdana"/>
          <w:color w:val="auto"/>
        </w:rPr>
        <w:t>121 Stat. 2484</w:t>
      </w:r>
      <w:r w:rsidRPr="008B3051">
        <w:rPr>
          <w:rFonts w:ascii="Verdana" w:hAnsi="Verdana"/>
        </w:rPr>
        <w:t>; </w:t>
      </w:r>
      <w:r w:rsidRPr="008B3051">
        <w:rPr>
          <w:rStyle w:val="Hyperlink"/>
          <w:rFonts w:ascii="Verdana" w:hAnsi="Verdana"/>
          <w:color w:val="auto"/>
        </w:rPr>
        <w:t>Pub. L. 110–343, div. B, title III</w:t>
      </w:r>
      <w:r w:rsidRPr="008B3051">
        <w:rPr>
          <w:rFonts w:ascii="Verdana" w:hAnsi="Verdana"/>
        </w:rPr>
        <w:t>, § 302(a)–(e),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3844</w:t>
      </w:r>
      <w:r w:rsidRPr="008B3051">
        <w:rPr>
          <w:rFonts w:ascii="Verdana" w:hAnsi="Verdana"/>
        </w:rPr>
        <w:t>, 3845; </w:t>
      </w:r>
      <w:r w:rsidRPr="008B3051">
        <w:rPr>
          <w:rStyle w:val="Hyperlink"/>
          <w:rFonts w:ascii="Verdana" w:hAnsi="Verdana"/>
          <w:color w:val="auto"/>
        </w:rPr>
        <w:t>Pub. L. 111–5, div. B, title I</w:t>
      </w:r>
      <w:r w:rsidRPr="008B3051">
        <w:rPr>
          <w:rFonts w:ascii="Verdana" w:hAnsi="Verdana"/>
        </w:rPr>
        <w:t>, §§ 1103(b)(2)(A), 1121(a)–(e),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320</w:t>
      </w:r>
      <w:r w:rsidRPr="008B3051">
        <w:rPr>
          <w:rFonts w:ascii="Verdana" w:hAnsi="Verdana"/>
        </w:rPr>
        <w:t>, 322–324; </w:t>
      </w:r>
      <w:r w:rsidRPr="008B3051">
        <w:rPr>
          <w:rStyle w:val="Hyperlink"/>
          <w:rFonts w:ascii="Verdana" w:hAnsi="Verdana"/>
          <w:color w:val="auto"/>
        </w:rPr>
        <w:t>Pub. L. 111–312, title VII</w:t>
      </w:r>
      <w:r w:rsidRPr="008B3051">
        <w:rPr>
          <w:rFonts w:ascii="Verdana" w:hAnsi="Verdana"/>
        </w:rPr>
        <w:t>, § 710(a), (b),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3314</w:t>
      </w:r>
      <w:r w:rsidRPr="008B3051">
        <w:rPr>
          <w:rFonts w:ascii="Verdana" w:hAnsi="Verdana"/>
        </w:rPr>
        <w:t>; </w:t>
      </w:r>
      <w:r w:rsidRPr="008B3051">
        <w:rPr>
          <w:rStyle w:val="Hyperlink"/>
          <w:rFonts w:ascii="Verdana" w:hAnsi="Verdana"/>
          <w:color w:val="auto"/>
        </w:rPr>
        <w:t xml:space="preserve">Pub. </w:t>
      </w:r>
      <w:r w:rsidRPr="008B3051">
        <w:rPr>
          <w:rStyle w:val="Hyperlink"/>
          <w:rFonts w:ascii="Verdana" w:hAnsi="Verdana"/>
          <w:color w:val="auto"/>
        </w:rPr>
        <w:lastRenderedPageBreak/>
        <w:t>L. 112–240, title IV</w:t>
      </w:r>
      <w:r w:rsidRPr="008B3051">
        <w:rPr>
          <w:rFonts w:ascii="Verdana" w:hAnsi="Verdana"/>
        </w:rPr>
        <w:t>, § 401(a),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2337</w:t>
      </w:r>
      <w:r w:rsidRPr="008B3051">
        <w:rPr>
          <w:rFonts w:ascii="Verdana" w:hAnsi="Verdana"/>
        </w:rPr>
        <w:t>; </w:t>
      </w:r>
      <w:r w:rsidRPr="008B3051">
        <w:rPr>
          <w:rStyle w:val="Hyperlink"/>
          <w:rFonts w:ascii="Verdana" w:hAnsi="Verdana"/>
          <w:color w:val="auto"/>
        </w:rPr>
        <w:t>Pub. L. 113–295, div. A, title I</w:t>
      </w:r>
      <w:r w:rsidRPr="008B3051">
        <w:rPr>
          <w:rFonts w:ascii="Verdana" w:hAnsi="Verdana"/>
        </w:rPr>
        <w:t>, § 151(a), </w:t>
      </w:r>
      <w:r w:rsidRPr="008B3051">
        <w:rPr>
          <w:rStyle w:val="Date2"/>
          <w:rFonts w:ascii="Verdana" w:hAnsi="Verdana"/>
        </w:rPr>
        <w:t>Dec. 19, 2014</w:t>
      </w:r>
      <w:r w:rsidRPr="008B3051">
        <w:rPr>
          <w:rFonts w:ascii="Verdana" w:hAnsi="Verdana"/>
        </w:rPr>
        <w:t>, </w:t>
      </w:r>
      <w:r w:rsidRPr="008B3051">
        <w:rPr>
          <w:rStyle w:val="Hyperlink"/>
          <w:rFonts w:ascii="Verdana" w:hAnsi="Verdana"/>
          <w:color w:val="auto"/>
        </w:rPr>
        <w:t>128 Stat. 4021</w:t>
      </w:r>
      <w:r w:rsidRPr="008B3051">
        <w:rPr>
          <w:rFonts w:ascii="Verdana" w:hAnsi="Verdana"/>
        </w:rPr>
        <w:t>; </w:t>
      </w:r>
      <w:r w:rsidRPr="008B3051">
        <w:rPr>
          <w:rStyle w:val="Hyperlink"/>
          <w:rFonts w:ascii="Verdana" w:hAnsi="Verdana"/>
          <w:color w:val="auto"/>
        </w:rPr>
        <w:t>Pub. L. 114–113, div. Q, title I</w:t>
      </w:r>
      <w:r w:rsidRPr="008B3051">
        <w:rPr>
          <w:rFonts w:ascii="Verdana" w:hAnsi="Verdana"/>
        </w:rPr>
        <w:t>, § 181(a), (b), </w:t>
      </w:r>
      <w:r w:rsidRPr="008B3051">
        <w:rPr>
          <w:rStyle w:val="Date2"/>
          <w:rFonts w:ascii="Verdana" w:hAnsi="Verdana"/>
        </w:rPr>
        <w:t>Dec. 18, 2015</w:t>
      </w:r>
      <w:r w:rsidRPr="008B3051">
        <w:rPr>
          <w:rFonts w:ascii="Verdana" w:hAnsi="Verdana"/>
        </w:rPr>
        <w:t>, </w:t>
      </w:r>
      <w:r w:rsidRPr="008B3051">
        <w:rPr>
          <w:rStyle w:val="Hyperlink"/>
          <w:rFonts w:ascii="Verdana" w:hAnsi="Verdana"/>
          <w:color w:val="auto"/>
        </w:rPr>
        <w:t>129 Stat. 3072</w:t>
      </w:r>
      <w:r w:rsidRPr="008B3051">
        <w:rPr>
          <w:rFonts w:ascii="Verdana" w:hAnsi="Verdana"/>
        </w:rPr>
        <w:t>.)</w:t>
      </w:r>
    </w:p>
    <w:p w14:paraId="1EF347AE" w14:textId="77777777" w:rsidR="00AB7AF9" w:rsidRPr="008B3051" w:rsidRDefault="007677B2" w:rsidP="00AB7AF9">
      <w:pPr>
        <w:spacing w:before="300" w:after="300"/>
        <w:rPr>
          <w:rFonts w:ascii="Times New Roman" w:hAnsi="Times New Roman"/>
        </w:rPr>
      </w:pPr>
      <w:r>
        <w:pict w14:anchorId="118211F6">
          <v:rect id="_x0000_i1025" style="width:0;height:1.5pt" o:hralign="center" o:hrstd="t" o:hrnoshade="t" o:hr="t" fillcolor="#333" stroked="f"/>
        </w:pict>
      </w:r>
    </w:p>
    <w:p w14:paraId="1562AF6C" w14:textId="488BA4AC" w:rsidR="00AB7AF9" w:rsidRPr="008B3051" w:rsidRDefault="00AB7AF9" w:rsidP="00AB7AF9">
      <w:pPr>
        <w:shd w:val="clear" w:color="auto" w:fill="FFFFFF"/>
        <w:spacing w:after="60" w:line="240" w:lineRule="auto"/>
        <w:ind w:left="720"/>
        <w:rPr>
          <w:rFonts w:ascii="Verdana" w:hAnsi="Verdana"/>
        </w:rPr>
      </w:pPr>
      <w:r w:rsidRPr="008B3051">
        <w:rPr>
          <w:rFonts w:ascii="Verdana" w:hAnsi="Verdana"/>
        </w:rPr>
        <w:br/>
      </w:r>
      <w:bookmarkStart w:id="436" w:name="fn002013"/>
      <w:r w:rsidRPr="008B3051">
        <w:rPr>
          <w:rFonts w:ascii="Verdana" w:hAnsi="Verdana"/>
          <w:sz w:val="19"/>
          <w:szCs w:val="19"/>
          <w:shd w:val="clear" w:color="auto" w:fill="FFFFFF"/>
        </w:rPr>
        <w:t>[1] </w:t>
      </w:r>
      <w:bookmarkEnd w:id="436"/>
      <w:r w:rsidRPr="008B3051">
        <w:rPr>
          <w:rStyle w:val="footnote"/>
          <w:rFonts w:ascii="Verdana" w:hAnsi="Verdana"/>
          <w:shd w:val="clear" w:color="auto" w:fill="FFFFFF"/>
        </w:rPr>
        <w:t> See References in Text note below.</w:t>
      </w:r>
      <w:r w:rsidRPr="008B3051">
        <w:rPr>
          <w:rFonts w:ascii="Verdana" w:hAnsi="Verdana"/>
        </w:rPr>
        <w:br/>
      </w:r>
      <w:r w:rsidRPr="008B3051">
        <w:rPr>
          <w:rFonts w:ascii="Verdana" w:hAnsi="Verdana"/>
        </w:rPr>
        <w:br/>
      </w:r>
      <w:bookmarkStart w:id="437" w:name="fn002014"/>
      <w:r w:rsidRPr="008B3051">
        <w:rPr>
          <w:rFonts w:ascii="Verdana" w:hAnsi="Verdana"/>
          <w:sz w:val="19"/>
          <w:szCs w:val="19"/>
          <w:shd w:val="clear" w:color="auto" w:fill="FFFFFF"/>
        </w:rPr>
        <w:t>[2] </w:t>
      </w:r>
      <w:bookmarkEnd w:id="437"/>
      <w:r w:rsidRPr="008B3051">
        <w:rPr>
          <w:rStyle w:val="footnote"/>
          <w:rFonts w:ascii="Verdana" w:hAnsi="Verdana"/>
          <w:shd w:val="clear" w:color="auto" w:fill="FFFFFF"/>
        </w:rPr>
        <w:t> So in original. The period probably should be a comma.</w:t>
      </w:r>
      <w:r w:rsidRPr="008B3051">
        <w:rPr>
          <w:rFonts w:ascii="Verdana" w:hAnsi="Verdana"/>
        </w:rPr>
        <w:br/>
      </w:r>
      <w:r w:rsidRPr="008B3051">
        <w:rPr>
          <w:rFonts w:ascii="Verdana" w:hAnsi="Verdana"/>
        </w:rPr>
        <w:br/>
      </w:r>
      <w:bookmarkStart w:id="438" w:name="fn002015"/>
      <w:r w:rsidRPr="008B3051">
        <w:rPr>
          <w:rFonts w:ascii="Verdana" w:hAnsi="Verdana"/>
          <w:sz w:val="19"/>
          <w:szCs w:val="19"/>
          <w:shd w:val="clear" w:color="auto" w:fill="FFFFFF"/>
        </w:rPr>
        <w:t>[3] </w:t>
      </w:r>
      <w:bookmarkEnd w:id="438"/>
      <w:r w:rsidRPr="008B3051">
        <w:rPr>
          <w:rStyle w:val="footnote"/>
          <w:rFonts w:ascii="Verdana" w:hAnsi="Verdana"/>
          <w:shd w:val="clear" w:color="auto" w:fill="FFFFFF"/>
        </w:rPr>
        <w:t> So in original. The period probably should be “,</w:t>
      </w:r>
      <w:r w:rsidRPr="008B3051">
        <w:rPr>
          <w:rStyle w:val="footnote"/>
          <w:rFonts w:ascii="Arial" w:hAnsi="Arial" w:cs="Arial"/>
          <w:shd w:val="clear" w:color="auto" w:fill="FFFFFF"/>
        </w:rPr>
        <w:t> </w:t>
      </w:r>
      <w:r w:rsidRPr="008B3051">
        <w:rPr>
          <w:rStyle w:val="footnote"/>
          <w:rFonts w:ascii="Verdana" w:hAnsi="Verdana"/>
          <w:shd w:val="clear" w:color="auto" w:fill="FFFFFF"/>
        </w:rPr>
        <w:t>and</w:t>
      </w:r>
      <w:r w:rsidRPr="008B3051">
        <w:rPr>
          <w:rStyle w:val="footnote"/>
          <w:rFonts w:ascii="Verdana" w:hAnsi="Verdana" w:cs="Verdana"/>
          <w:shd w:val="clear" w:color="auto" w:fill="FFFFFF"/>
        </w:rPr>
        <w:t>”</w:t>
      </w:r>
      <w:r w:rsidRPr="008B3051">
        <w:rPr>
          <w:rStyle w:val="footnote"/>
          <w:rFonts w:ascii="Verdana" w:hAnsi="Verdana"/>
          <w:shd w:val="clear" w:color="auto" w:fill="FFFFFF"/>
        </w:rPr>
        <w:t>.</w:t>
      </w:r>
      <w:r w:rsidRPr="008B3051">
        <w:rPr>
          <w:rFonts w:ascii="Verdana" w:hAnsi="Verdana"/>
        </w:rPr>
        <w:br/>
      </w:r>
      <w:r w:rsidRPr="008B3051">
        <w:rPr>
          <w:rFonts w:ascii="Verdana" w:hAnsi="Verdana"/>
        </w:rPr>
        <w:br/>
      </w:r>
      <w:bookmarkStart w:id="439" w:name="fn002016"/>
      <w:r w:rsidRPr="008B3051">
        <w:rPr>
          <w:rFonts w:ascii="Verdana" w:hAnsi="Verdana"/>
          <w:sz w:val="19"/>
          <w:szCs w:val="19"/>
          <w:shd w:val="clear" w:color="auto" w:fill="FFFFFF"/>
        </w:rPr>
        <w:t>[4] </w:t>
      </w:r>
      <w:bookmarkEnd w:id="439"/>
      <w:r w:rsidRPr="008B3051">
        <w:rPr>
          <w:rStyle w:val="footnote"/>
          <w:rFonts w:ascii="Verdana" w:hAnsi="Verdana"/>
          <w:shd w:val="clear" w:color="auto" w:fill="FFFFFF"/>
        </w:rPr>
        <w:t> So in original.</w:t>
      </w:r>
    </w:p>
    <w:p w14:paraId="0BCEDC57" w14:textId="58AA85EC" w:rsidR="00963B91" w:rsidRPr="008B3051" w:rsidRDefault="00963B91"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25D - Residential energy efficient property</w:t>
      </w:r>
    </w:p>
    <w:p w14:paraId="12A62CD9" w14:textId="0C13416C" w:rsidR="00AB7AF9" w:rsidRPr="008B3051" w:rsidRDefault="00AB7AF9" w:rsidP="00AB7AF9">
      <w:pPr>
        <w:shd w:val="clear" w:color="auto" w:fill="FFFFFF"/>
        <w:spacing w:after="60" w:line="240" w:lineRule="auto"/>
        <w:ind w:left="720"/>
        <w:rPr>
          <w:rFonts w:ascii="Verdana" w:hAnsi="Verdana"/>
        </w:rPr>
      </w:pPr>
    </w:p>
    <w:p w14:paraId="58A48F85" w14:textId="59E24181"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r w:rsidRPr="008B3051">
        <w:rPr>
          <w:rStyle w:val="chapeau"/>
          <w:rFonts w:ascii="Verdana" w:hAnsi="Verdana"/>
        </w:rPr>
        <w:t>In the case of an individual, there shall be allowed as a credit against the taximposed by this chapter for the </w:t>
      </w:r>
      <w:r w:rsidRPr="008B3051">
        <w:rPr>
          <w:rStyle w:val="Hyperlink"/>
          <w:rFonts w:ascii="Verdana" w:hAnsi="Verdana"/>
          <w:color w:val="auto"/>
        </w:rPr>
        <w:t>taxable year</w:t>
      </w:r>
      <w:r w:rsidRPr="008B3051">
        <w:rPr>
          <w:rStyle w:val="chapeau"/>
          <w:rFonts w:ascii="Verdana" w:hAnsi="Verdana"/>
        </w:rPr>
        <w:t> an amount equal to the sum of—</w:t>
      </w:r>
    </w:p>
    <w:p w14:paraId="3C22C98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1D99367A" w14:textId="0D568F58"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applicable percentage</w:t>
      </w:r>
      <w:r w:rsidRPr="008B3051">
        <w:rPr>
          <w:rFonts w:ascii="Verdana" w:hAnsi="Verdana"/>
        </w:rPr>
        <w:t> of the </w:t>
      </w:r>
      <w:r w:rsidRPr="008B3051">
        <w:rPr>
          <w:rStyle w:val="Hyperlink"/>
          <w:rFonts w:ascii="Verdana" w:hAnsi="Verdana"/>
          <w:color w:val="auto"/>
        </w:rPr>
        <w:t>qualified solar electric property expenditures</w:t>
      </w:r>
      <w:r w:rsidRPr="008B3051">
        <w:rPr>
          <w:rFonts w:ascii="Verdana" w:hAnsi="Verdana"/>
        </w:rPr>
        <w:t> made by the taxpayer during such year,</w:t>
      </w:r>
    </w:p>
    <w:p w14:paraId="19CBAD48"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35C35728" w14:textId="40BA24AB"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applicable percentage</w:t>
      </w:r>
      <w:r w:rsidRPr="008B3051">
        <w:rPr>
          <w:rFonts w:ascii="Verdana" w:hAnsi="Verdana"/>
        </w:rPr>
        <w:t> of the </w:t>
      </w:r>
      <w:r w:rsidRPr="008B3051">
        <w:rPr>
          <w:rStyle w:val="Hyperlink"/>
          <w:rFonts w:ascii="Verdana" w:hAnsi="Verdana"/>
          <w:color w:val="auto"/>
        </w:rPr>
        <w:t>qualified solar water heating property expenditures</w:t>
      </w:r>
      <w:r w:rsidRPr="008B3051">
        <w:rPr>
          <w:rFonts w:ascii="Verdana" w:hAnsi="Verdana"/>
        </w:rPr>
        <w:t> made by the taxpayer during such year,</w:t>
      </w:r>
    </w:p>
    <w:p w14:paraId="21F3759F"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p>
    <w:p w14:paraId="13F4114F" w14:textId="1AA208AB" w:rsidR="00AB7AF9" w:rsidRPr="008B3051" w:rsidRDefault="00AB7AF9" w:rsidP="00AB7AF9">
      <w:pPr>
        <w:shd w:val="clear" w:color="auto" w:fill="FFFFFF"/>
        <w:rPr>
          <w:rFonts w:ascii="Verdana" w:hAnsi="Verdana"/>
        </w:rPr>
      </w:pPr>
      <w:r w:rsidRPr="008B3051">
        <w:rPr>
          <w:rFonts w:ascii="Verdana" w:hAnsi="Verdana"/>
        </w:rPr>
        <w:t>30 percent of the </w:t>
      </w:r>
      <w:r w:rsidRPr="008B3051">
        <w:rPr>
          <w:rStyle w:val="Hyperlink"/>
          <w:rFonts w:ascii="Verdana" w:hAnsi="Verdana"/>
          <w:color w:val="auto"/>
        </w:rPr>
        <w:t>qualified fuel cell property expenditures</w:t>
      </w:r>
      <w:r w:rsidRPr="008B3051">
        <w:rPr>
          <w:rFonts w:ascii="Verdana" w:hAnsi="Verdana"/>
        </w:rPr>
        <w:t> made by the taxpayer during such year,</w:t>
      </w:r>
    </w:p>
    <w:p w14:paraId="1548AE30"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p>
    <w:p w14:paraId="204F1A8A" w14:textId="1EEC10BF" w:rsidR="00AB7AF9" w:rsidRPr="008B3051" w:rsidRDefault="00AB7AF9" w:rsidP="00AB7AF9">
      <w:pPr>
        <w:shd w:val="clear" w:color="auto" w:fill="FFFFFF"/>
        <w:rPr>
          <w:rFonts w:ascii="Verdana" w:hAnsi="Verdana"/>
        </w:rPr>
      </w:pPr>
      <w:r w:rsidRPr="008B3051">
        <w:rPr>
          <w:rFonts w:ascii="Verdana" w:hAnsi="Verdana"/>
        </w:rPr>
        <w:t>30 percent of the </w:t>
      </w:r>
      <w:r w:rsidRPr="008B3051">
        <w:rPr>
          <w:rStyle w:val="Hyperlink"/>
          <w:rFonts w:ascii="Verdana" w:hAnsi="Verdana"/>
          <w:color w:val="auto"/>
        </w:rPr>
        <w:t>qualified small wind energy property expenditures</w:t>
      </w:r>
      <w:r w:rsidRPr="008B3051">
        <w:rPr>
          <w:rFonts w:ascii="Verdana" w:hAnsi="Verdana"/>
        </w:rPr>
        <w:t> made by the taxpayer during such year, and</w:t>
      </w:r>
    </w:p>
    <w:p w14:paraId="15B9F554" w14:textId="77777777" w:rsidR="00AB7AF9" w:rsidRPr="008B3051" w:rsidRDefault="00AB7AF9" w:rsidP="00AB7AF9">
      <w:pPr>
        <w:shd w:val="clear" w:color="auto" w:fill="FFFFFF"/>
        <w:rPr>
          <w:rFonts w:ascii="Verdana" w:hAnsi="Verdana"/>
        </w:rPr>
      </w:pPr>
      <w:bookmarkStart w:id="440" w:name="a_5"/>
      <w:bookmarkEnd w:id="440"/>
      <w:r w:rsidRPr="008B3051">
        <w:rPr>
          <w:rStyle w:val="num"/>
          <w:rFonts w:ascii="Verdana" w:hAnsi="Verdana"/>
          <w:b/>
          <w:bCs/>
        </w:rPr>
        <w:t>(5)</w:t>
      </w:r>
    </w:p>
    <w:p w14:paraId="1A055F26" w14:textId="68642922" w:rsidR="00AB7AF9" w:rsidRPr="008B3051" w:rsidRDefault="00AB7AF9" w:rsidP="00AB7AF9">
      <w:pPr>
        <w:shd w:val="clear" w:color="auto" w:fill="FFFFFF"/>
        <w:rPr>
          <w:rFonts w:ascii="Verdana" w:hAnsi="Verdana"/>
        </w:rPr>
      </w:pPr>
      <w:r w:rsidRPr="008B3051">
        <w:rPr>
          <w:rFonts w:ascii="Verdana" w:hAnsi="Verdana"/>
        </w:rPr>
        <w:t>30 percent of the </w:t>
      </w:r>
      <w:r w:rsidRPr="008B3051">
        <w:rPr>
          <w:rStyle w:val="Hyperlink"/>
          <w:rFonts w:ascii="Verdana" w:hAnsi="Verdana"/>
          <w:color w:val="auto"/>
        </w:rPr>
        <w:t>qualified geothermal heat pump property expenditures</w:t>
      </w:r>
      <w:r w:rsidRPr="008B3051">
        <w:rPr>
          <w:rFonts w:ascii="Verdana" w:hAnsi="Verdana"/>
        </w:rPr>
        <w:t> made by the taxpayer during such year.</w:t>
      </w:r>
    </w:p>
    <w:p w14:paraId="5B200128"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Limitations</w:t>
      </w:r>
    </w:p>
    <w:p w14:paraId="75D938E4"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Maximum credit for fuel cells</w:t>
      </w:r>
    </w:p>
    <w:p w14:paraId="2968691B" w14:textId="3675628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In the case of any </w:t>
      </w:r>
      <w:r w:rsidRPr="008B3051">
        <w:rPr>
          <w:rStyle w:val="Hyperlink"/>
          <w:rFonts w:ascii="Verdana" w:hAnsi="Verdana"/>
          <w:color w:val="auto"/>
        </w:rPr>
        <w:t>qualified fuel cell property expenditure</w:t>
      </w:r>
      <w:r w:rsidRPr="008B3051">
        <w:rPr>
          <w:rFonts w:ascii="Verdana" w:hAnsi="Verdana"/>
        </w:rPr>
        <w:t>, the credit allowed under subsection (a) (determined without regard to subsection (c)) for any taxable year shall not exceed $500 with respect to each half kilowatt of capacity of the qualified fuel cell property (as defined in section 48(c)(1)) to which such expenditure relates.</w:t>
      </w:r>
    </w:p>
    <w:p w14:paraId="25950867"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Certification of solar water heating property</w:t>
      </w:r>
    </w:p>
    <w:p w14:paraId="617017DB" w14:textId="3F1B3883"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this section for an item of </w:t>
      </w:r>
      <w:r w:rsidRPr="008B3051">
        <w:rPr>
          <w:rStyle w:val="Hyperlink"/>
          <w:rFonts w:ascii="Verdana" w:hAnsi="Verdana"/>
          <w:color w:val="auto"/>
        </w:rPr>
        <w:t>property</w:t>
      </w:r>
      <w:r w:rsidRPr="008B3051">
        <w:rPr>
          <w:rFonts w:ascii="Verdana" w:hAnsi="Verdana"/>
        </w:rPr>
        <w:t> described in subsection (d)(1) unless such </w:t>
      </w:r>
      <w:r w:rsidRPr="008B3051">
        <w:rPr>
          <w:rStyle w:val="Hyperlink"/>
          <w:rFonts w:ascii="Verdana" w:hAnsi="Verdana"/>
          <w:color w:val="auto"/>
        </w:rPr>
        <w:t>property</w:t>
      </w:r>
      <w:r w:rsidRPr="008B3051">
        <w:rPr>
          <w:rFonts w:ascii="Verdana" w:hAnsi="Verdana"/>
        </w:rPr>
        <w:t> is certified for performance by the non-profit Solar Rating Certification </w:t>
      </w:r>
      <w:r w:rsidRPr="008B3051">
        <w:rPr>
          <w:rStyle w:val="Hyperlink"/>
          <w:rFonts w:ascii="Verdana" w:hAnsi="Verdana"/>
          <w:color w:val="auto"/>
        </w:rPr>
        <w:t>Corporation</w:t>
      </w:r>
      <w:r w:rsidRPr="008B3051">
        <w:rPr>
          <w:rFonts w:ascii="Verdana" w:hAnsi="Verdana"/>
        </w:rPr>
        <w:t> or a comparable entity endorsed by the government of the State in which such property is installed.</w:t>
      </w:r>
    </w:p>
    <w:p w14:paraId="24500E7E"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Carryforward of unused credit</w:t>
      </w:r>
    </w:p>
    <w:p w14:paraId="2E48BAC3" w14:textId="459AFDE0"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If the credit allowable under subsection (a) exceeds the limitation imposed by section 26(a) for such </w:t>
      </w:r>
      <w:r w:rsidRPr="008B3051">
        <w:rPr>
          <w:rStyle w:val="Hyperlink"/>
          <w:rFonts w:ascii="Verdana" w:hAnsi="Verdana"/>
          <w:color w:val="auto"/>
        </w:rPr>
        <w:t>taxable year</w:t>
      </w:r>
      <w:r w:rsidRPr="008B3051">
        <w:rPr>
          <w:rFonts w:ascii="Verdana" w:hAnsi="Verdana"/>
        </w:rPr>
        <w:t> reduced by the sum of the credits allowable under this subpart (other than this section), such excess shall be carried to the succeeding </w:t>
      </w:r>
      <w:r w:rsidRPr="008B3051">
        <w:rPr>
          <w:rStyle w:val="Hyperlink"/>
          <w:rFonts w:ascii="Verdana" w:hAnsi="Verdana"/>
          <w:color w:val="auto"/>
        </w:rPr>
        <w:t>taxable year</w:t>
      </w:r>
      <w:r w:rsidRPr="008B3051">
        <w:rPr>
          <w:rFonts w:ascii="Verdana" w:hAnsi="Verdana"/>
        </w:rPr>
        <w:t> and added to the credit allowable under subsection (a) for such succeeding </w:t>
      </w:r>
      <w:r w:rsidRPr="008B3051">
        <w:rPr>
          <w:rStyle w:val="Hyperlink"/>
          <w:rFonts w:ascii="Verdana" w:hAnsi="Verdana"/>
          <w:color w:val="auto"/>
        </w:rPr>
        <w:t>taxable year</w:t>
      </w:r>
      <w:r w:rsidRPr="008B3051">
        <w:rPr>
          <w:rFonts w:ascii="Verdana" w:hAnsi="Verdana"/>
        </w:rPr>
        <w:t>.</w:t>
      </w:r>
    </w:p>
    <w:p w14:paraId="37318D27"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Definitions</w:t>
      </w:r>
      <w:r w:rsidRPr="008B3051">
        <w:rPr>
          <w:rStyle w:val="chapeau"/>
          <w:rFonts w:ascii="Verdana" w:hAnsi="Verdana"/>
        </w:rPr>
        <w:t>For purposes of this section—</w:t>
      </w:r>
    </w:p>
    <w:p w14:paraId="0300E17F"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Qualified solar water heating property expenditure</w:t>
      </w:r>
    </w:p>
    <w:p w14:paraId="53D76DD2" w14:textId="41A08A1F"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solar water heating property expenditure</w:t>
      </w:r>
      <w:r w:rsidRPr="008B3051">
        <w:rPr>
          <w:rFonts w:ascii="Verdana" w:hAnsi="Verdana"/>
        </w:rPr>
        <w:t>” means an expenditure for property to heat water for use in a dwelling unit located in the United States and used as a residence by the taxpayer if at least half of the energy used by such property for such purpose is derived from the sun.</w:t>
      </w:r>
    </w:p>
    <w:p w14:paraId="0A9D0356"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Qualified solar electric property expenditure</w:t>
      </w:r>
    </w:p>
    <w:p w14:paraId="4495AFE4" w14:textId="0E712AB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solar electric property expenditure</w:t>
      </w:r>
      <w:r w:rsidRPr="008B3051">
        <w:rPr>
          <w:rFonts w:ascii="Verdana" w:hAnsi="Verdana"/>
        </w:rPr>
        <w:t>” means an expenditure for property which uses solar energy to generate electricity for use in a dwelling unit located in the United States and used as a residence by the taxpayer.</w:t>
      </w:r>
    </w:p>
    <w:p w14:paraId="3D8999C4"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Qualified fuel cell property expenditure</w:t>
      </w:r>
    </w:p>
    <w:p w14:paraId="62DCC92C" w14:textId="3E66D7AD"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fuel cell property expenditure</w:t>
      </w:r>
      <w:r w:rsidRPr="008B3051">
        <w:rPr>
          <w:rFonts w:ascii="Verdana" w:hAnsi="Verdana"/>
        </w:rPr>
        <w:t>” means an expenditure for qualified fuel cell property (as defined in section 48(c)(1)) installed on or in connection with a dwelling unit located in the United States and used as a principal residence (within the meaning of section 121) by the taxpayer.</w:t>
      </w:r>
    </w:p>
    <w:p w14:paraId="4B1E7613" w14:textId="77777777"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Qualified small wind energy property expenditure</w:t>
      </w:r>
    </w:p>
    <w:p w14:paraId="6AA48F9D" w14:textId="5DDD915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qualified small wind energy property expenditure</w:t>
      </w:r>
      <w:r w:rsidRPr="008B3051">
        <w:rPr>
          <w:rFonts w:ascii="Verdana" w:hAnsi="Verdana"/>
        </w:rPr>
        <w:t>” means an expenditure for property which uses a wind turbine to generate electricity for use in connection with a dwelling unit located in the United States and used as a residence by the taxpayer.</w:t>
      </w:r>
    </w:p>
    <w:p w14:paraId="46267CA3" w14:textId="77777777"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Qualified geothermal heat pump property expenditure</w:t>
      </w:r>
    </w:p>
    <w:p w14:paraId="4D8843B1" w14:textId="77777777" w:rsidR="00AB7AF9" w:rsidRPr="008B3051" w:rsidRDefault="00AB7AF9" w:rsidP="00AB7AF9">
      <w:pPr>
        <w:shd w:val="clear" w:color="auto" w:fill="FFFFFF"/>
        <w:rPr>
          <w:rFonts w:ascii="Verdana" w:hAnsi="Verdana"/>
        </w:rPr>
      </w:pPr>
      <w:bookmarkStart w:id="441" w:name="d_5_A"/>
      <w:bookmarkEnd w:id="441"/>
      <w:r w:rsidRPr="008B3051">
        <w:rPr>
          <w:rStyle w:val="num"/>
          <w:rFonts w:ascii="Verdana" w:hAnsi="Verdana"/>
          <w:b/>
          <w:bCs/>
        </w:rPr>
        <w:t>(A)</w:t>
      </w:r>
      <w:r w:rsidRPr="008B3051">
        <w:rPr>
          <w:rStyle w:val="heading"/>
          <w:rFonts w:ascii="Verdana" w:hAnsi="Verdana"/>
          <w:b/>
          <w:bCs/>
        </w:rPr>
        <w:t>In general</w:t>
      </w:r>
    </w:p>
    <w:p w14:paraId="7F99CC44" w14:textId="22F71B8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The term “</w:t>
      </w:r>
      <w:r w:rsidRPr="008B3051">
        <w:rPr>
          <w:rStyle w:val="Hyperlink"/>
          <w:rFonts w:ascii="Verdana" w:hAnsi="Verdana"/>
          <w:color w:val="auto"/>
        </w:rPr>
        <w:t>qualified geothermal heat pump property expenditure</w:t>
      </w:r>
      <w:r w:rsidRPr="008B3051">
        <w:rPr>
          <w:rFonts w:ascii="Verdana" w:hAnsi="Verdana"/>
        </w:rPr>
        <w:t>” means an expenditure for qualified geothermal heat pump property installed on or in connection with a dwelling unit located in the United States and used as a residence by the taxpayer.</w:t>
      </w:r>
    </w:p>
    <w:p w14:paraId="4A3E4D48" w14:textId="62A4B2F2" w:rsidR="00AB7AF9" w:rsidRPr="008B3051" w:rsidRDefault="00AB7AF9" w:rsidP="00AB7AF9">
      <w:pPr>
        <w:shd w:val="clear" w:color="auto" w:fill="FFFFFF"/>
        <w:rPr>
          <w:rFonts w:ascii="Verdana" w:hAnsi="Verdana"/>
        </w:rPr>
      </w:pPr>
      <w:bookmarkStart w:id="442" w:name="d_5_B"/>
      <w:bookmarkEnd w:id="442"/>
      <w:r w:rsidRPr="008B3051">
        <w:rPr>
          <w:rStyle w:val="num"/>
          <w:rFonts w:ascii="Verdana" w:hAnsi="Verdana"/>
          <w:b/>
          <w:bCs/>
        </w:rPr>
        <w:t>(B)</w:t>
      </w:r>
      <w:r w:rsidRPr="008B3051">
        <w:rPr>
          <w:rStyle w:val="heading"/>
          <w:rFonts w:ascii="Verdana" w:hAnsi="Verdana"/>
          <w:b/>
          <w:bCs/>
        </w:rPr>
        <w:t>Qualified geothermal heat pump property</w:t>
      </w:r>
      <w:r w:rsidRPr="008B3051">
        <w:rPr>
          <w:rStyle w:val="chapeau"/>
          <w:rFonts w:ascii="Verdana" w:hAnsi="Verdana"/>
        </w:rPr>
        <w:t>The term “</w:t>
      </w:r>
      <w:r w:rsidRPr="008B3051">
        <w:rPr>
          <w:rStyle w:val="Hyperlink"/>
          <w:rFonts w:ascii="Verdana" w:hAnsi="Verdana"/>
          <w:color w:val="auto"/>
        </w:rPr>
        <w:t>qualified geothermal heat pump property</w:t>
      </w:r>
      <w:r w:rsidRPr="008B3051">
        <w:rPr>
          <w:rStyle w:val="chapeau"/>
          <w:rFonts w:ascii="Verdana" w:hAnsi="Verdana"/>
        </w:rPr>
        <w:t>” means any equipment which—</w:t>
      </w:r>
    </w:p>
    <w:p w14:paraId="5327914E" w14:textId="77777777" w:rsidR="00AB7AF9" w:rsidRPr="008B3051" w:rsidRDefault="00AB7AF9" w:rsidP="00AB7AF9">
      <w:pPr>
        <w:shd w:val="clear" w:color="auto" w:fill="FFFFFF"/>
        <w:rPr>
          <w:rFonts w:ascii="Verdana" w:hAnsi="Verdana"/>
        </w:rPr>
      </w:pPr>
      <w:bookmarkStart w:id="443" w:name="d_5_B_i"/>
      <w:bookmarkEnd w:id="443"/>
      <w:r w:rsidRPr="008B3051">
        <w:rPr>
          <w:rStyle w:val="num"/>
          <w:rFonts w:ascii="Verdana" w:hAnsi="Verdana"/>
          <w:b/>
          <w:bCs/>
        </w:rPr>
        <w:t>(i)</w:t>
      </w:r>
    </w:p>
    <w:p w14:paraId="2FFE487C" w14:textId="69B0A4BF" w:rsidR="00AB7AF9" w:rsidRPr="008B3051" w:rsidRDefault="00AB7AF9" w:rsidP="00AB7AF9">
      <w:pPr>
        <w:shd w:val="clear" w:color="auto" w:fill="FFFFFF"/>
        <w:rPr>
          <w:rFonts w:ascii="Verdana" w:hAnsi="Verdana"/>
        </w:rPr>
      </w:pPr>
      <w:r w:rsidRPr="008B3051">
        <w:rPr>
          <w:rFonts w:ascii="Verdana" w:hAnsi="Verdana"/>
        </w:rPr>
        <w:t>uses the ground or ground water as a thermal energy source to heat the </w:t>
      </w:r>
      <w:r w:rsidRPr="008B3051">
        <w:rPr>
          <w:rStyle w:val="Hyperlink"/>
          <w:rFonts w:ascii="Verdana" w:hAnsi="Verdana"/>
          <w:color w:val="auto"/>
        </w:rPr>
        <w:t>dwelling unit</w:t>
      </w:r>
      <w:r w:rsidRPr="008B3051">
        <w:rPr>
          <w:rFonts w:ascii="Verdana" w:hAnsi="Verdana"/>
        </w:rPr>
        <w:t> referred to in subparagraph (A) or as a thermal energy sink to cool such </w:t>
      </w:r>
      <w:r w:rsidRPr="008B3051">
        <w:rPr>
          <w:rStyle w:val="Hyperlink"/>
          <w:rFonts w:ascii="Verdana" w:hAnsi="Verdana"/>
          <w:color w:val="auto"/>
        </w:rPr>
        <w:t>dwelling unit</w:t>
      </w:r>
      <w:r w:rsidRPr="008B3051">
        <w:rPr>
          <w:rFonts w:ascii="Verdana" w:hAnsi="Verdana"/>
        </w:rPr>
        <w:t>, and</w:t>
      </w:r>
    </w:p>
    <w:p w14:paraId="492F8D25" w14:textId="77777777" w:rsidR="00AB7AF9" w:rsidRPr="008B3051" w:rsidRDefault="00AB7AF9" w:rsidP="00AB7AF9">
      <w:pPr>
        <w:shd w:val="clear" w:color="auto" w:fill="FFFFFF"/>
        <w:rPr>
          <w:rFonts w:ascii="Verdana" w:hAnsi="Verdana"/>
        </w:rPr>
      </w:pPr>
      <w:bookmarkStart w:id="444" w:name="d_5_B_ii"/>
      <w:bookmarkEnd w:id="444"/>
      <w:r w:rsidRPr="008B3051">
        <w:rPr>
          <w:rStyle w:val="num"/>
          <w:rFonts w:ascii="Verdana" w:hAnsi="Verdana"/>
          <w:b/>
          <w:bCs/>
        </w:rPr>
        <w:t>(ii)</w:t>
      </w:r>
    </w:p>
    <w:p w14:paraId="4046A4F3" w14:textId="77777777" w:rsidR="00AB7AF9" w:rsidRPr="008B3051" w:rsidRDefault="00AB7AF9" w:rsidP="00AB7AF9">
      <w:pPr>
        <w:shd w:val="clear" w:color="auto" w:fill="FFFFFF"/>
        <w:rPr>
          <w:rFonts w:ascii="Verdana" w:hAnsi="Verdana"/>
        </w:rPr>
      </w:pPr>
      <w:r w:rsidRPr="008B3051">
        <w:rPr>
          <w:rFonts w:ascii="Verdana" w:hAnsi="Verdana"/>
        </w:rPr>
        <w:t>meets the requirements of the Energy Star program which are in effect at the time that the expenditure for such equipment is made.</w:t>
      </w:r>
    </w:p>
    <w:p w14:paraId="7132D651" w14:textId="77777777" w:rsidR="00AB7AF9" w:rsidRPr="008B3051" w:rsidRDefault="00AB7AF9" w:rsidP="00AB7AF9">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w:t>
      </w:r>
      <w:r w:rsidRPr="008B3051">
        <w:rPr>
          <w:rStyle w:val="chapeau"/>
          <w:rFonts w:ascii="Verdana" w:hAnsi="Verdana"/>
        </w:rPr>
        <w:t>For purposes of this section—</w:t>
      </w:r>
    </w:p>
    <w:p w14:paraId="4654CBAD"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Labor costs</w:t>
      </w:r>
    </w:p>
    <w:p w14:paraId="3E167534" w14:textId="0B0A67E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Expenditures for labor costs properly allocable to the onsite preparation, assembly, or original installation of the </w:t>
      </w:r>
      <w:r w:rsidRPr="008B3051">
        <w:rPr>
          <w:rStyle w:val="Hyperlink"/>
          <w:rFonts w:ascii="Verdana" w:hAnsi="Verdana"/>
          <w:color w:val="auto"/>
        </w:rPr>
        <w:t>property</w:t>
      </w:r>
      <w:r w:rsidRPr="008B3051">
        <w:rPr>
          <w:rFonts w:ascii="Verdana" w:hAnsi="Verdana"/>
        </w:rPr>
        <w:t> described in subsection (d) and for piping or wiring to interconnect such </w:t>
      </w:r>
      <w:r w:rsidRPr="008B3051">
        <w:rPr>
          <w:rStyle w:val="Hyperlink"/>
          <w:rFonts w:ascii="Verdana" w:hAnsi="Verdana"/>
          <w:color w:val="auto"/>
        </w:rPr>
        <w:t>property</w:t>
      </w:r>
      <w:r w:rsidRPr="008B3051">
        <w:rPr>
          <w:rFonts w:ascii="Verdana" w:hAnsi="Verdana"/>
        </w:rPr>
        <w:t> to the </w:t>
      </w:r>
      <w:r w:rsidRPr="008B3051">
        <w:rPr>
          <w:rStyle w:val="Hyperlink"/>
          <w:rFonts w:ascii="Verdana" w:hAnsi="Verdana"/>
          <w:color w:val="auto"/>
        </w:rPr>
        <w:t>dwelling unit</w:t>
      </w:r>
      <w:r w:rsidRPr="008B3051">
        <w:rPr>
          <w:rFonts w:ascii="Verdana" w:hAnsi="Verdana"/>
        </w:rPr>
        <w:t> shall be taken into account for purposes of this section.</w:t>
      </w:r>
    </w:p>
    <w:p w14:paraId="7E9B1F0F"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Solar panels</w:t>
      </w:r>
    </w:p>
    <w:p w14:paraId="2003741E" w14:textId="2149295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No expenditure relating to a solar panel or other </w:t>
      </w:r>
      <w:r w:rsidRPr="008B3051">
        <w:rPr>
          <w:rStyle w:val="Hyperlink"/>
          <w:rFonts w:ascii="Verdana" w:hAnsi="Verdana"/>
          <w:color w:val="auto"/>
        </w:rPr>
        <w:t>property</w:t>
      </w:r>
      <w:r w:rsidRPr="008B3051">
        <w:rPr>
          <w:rFonts w:ascii="Verdana" w:hAnsi="Verdana"/>
        </w:rPr>
        <w:t> installed as a roof (or portion thereof) shall fail to be treated as </w:t>
      </w:r>
      <w:r w:rsidRPr="008B3051">
        <w:rPr>
          <w:rStyle w:val="Hyperlink"/>
          <w:rFonts w:ascii="Verdana" w:hAnsi="Verdana"/>
          <w:color w:val="auto"/>
        </w:rPr>
        <w:t>property</w:t>
      </w:r>
      <w:r w:rsidRPr="008B3051">
        <w:rPr>
          <w:rFonts w:ascii="Verdana" w:hAnsi="Verdana"/>
        </w:rPr>
        <w:t> described in paragraph (1) or (2) of subsection (d) solely because it constitutes a structural component of the structure on which it is installed.</w:t>
      </w:r>
    </w:p>
    <w:p w14:paraId="3F8A6B81"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Swimming pools, etc., used as storage medium</w:t>
      </w:r>
    </w:p>
    <w:p w14:paraId="3C4B0E14"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Expenditures which are properly allocable to a swimming pool, hot tub, or any other energy storage medium which has a function other than the function of such storage shall not be taken into account for purposes of this section.</w:t>
      </w:r>
    </w:p>
    <w:p w14:paraId="2667E36B" w14:textId="3850D753" w:rsidR="00AB7AF9" w:rsidRPr="008B3051" w:rsidRDefault="00AB7AF9" w:rsidP="00AB7AF9">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Fuel cell expenditure limitations in case of joint occupancy</w:t>
      </w:r>
      <w:r w:rsidRPr="008B3051">
        <w:rPr>
          <w:rStyle w:val="chapeau"/>
          <w:rFonts w:ascii="Verdana" w:hAnsi="Verdana"/>
        </w:rPr>
        <w:t>In the case of any </w:t>
      </w:r>
      <w:r w:rsidRPr="008B3051">
        <w:rPr>
          <w:rStyle w:val="Hyperlink"/>
          <w:rFonts w:ascii="Verdana" w:hAnsi="Verdana"/>
          <w:color w:val="auto"/>
        </w:rPr>
        <w:t>dwelling unit</w:t>
      </w:r>
      <w:r w:rsidRPr="008B3051">
        <w:rPr>
          <w:rStyle w:val="chapeau"/>
          <w:rFonts w:ascii="Verdana" w:hAnsi="Verdana"/>
        </w:rPr>
        <w:t>with respect to which </w:t>
      </w:r>
      <w:r w:rsidRPr="008B3051">
        <w:rPr>
          <w:rStyle w:val="Hyperlink"/>
          <w:rFonts w:ascii="Verdana" w:hAnsi="Verdana"/>
          <w:color w:val="auto"/>
        </w:rPr>
        <w:t>qualified fuel cell property expenditures</w:t>
      </w:r>
      <w:r w:rsidRPr="008B3051">
        <w:rPr>
          <w:rStyle w:val="chapeau"/>
          <w:rFonts w:ascii="Verdana" w:hAnsi="Verdana"/>
        </w:rPr>
        <w:t> are made and which is jointly occupied and used during any calendar year as a residence by two or more individuals, the following rules shall apply:</w:t>
      </w:r>
    </w:p>
    <w:p w14:paraId="7A8C44A7"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Maximum expenditures for fuel cells</w:t>
      </w:r>
    </w:p>
    <w:p w14:paraId="7232B120" w14:textId="5EBA952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maximum amount of such </w:t>
      </w:r>
      <w:r w:rsidRPr="008B3051">
        <w:rPr>
          <w:rStyle w:val="Hyperlink"/>
          <w:rFonts w:ascii="Verdana" w:hAnsi="Verdana"/>
          <w:color w:val="auto"/>
        </w:rPr>
        <w:t>expenditures</w:t>
      </w:r>
      <w:r w:rsidRPr="008B3051">
        <w:rPr>
          <w:rFonts w:ascii="Verdana" w:hAnsi="Verdana"/>
        </w:rPr>
        <w:t> which may be taken into account under subsection (a) by all such individuals with respect to such </w:t>
      </w:r>
      <w:r w:rsidRPr="008B3051">
        <w:rPr>
          <w:rStyle w:val="Hyperlink"/>
          <w:rFonts w:ascii="Verdana" w:hAnsi="Verdana"/>
          <w:color w:val="auto"/>
        </w:rPr>
        <w:t>dwelling unit</w:t>
      </w:r>
      <w:r w:rsidRPr="008B3051">
        <w:rPr>
          <w:rFonts w:ascii="Verdana" w:hAnsi="Verdana"/>
        </w:rPr>
        <w:t xml:space="preserve"> during such calendar year shall be $1,667 in the case of </w:t>
      </w:r>
      <w:r w:rsidRPr="008B3051">
        <w:rPr>
          <w:rFonts w:ascii="Verdana" w:hAnsi="Verdana"/>
        </w:rPr>
        <w:lastRenderedPageBreak/>
        <w:t>each half kilowatt of capacity of qualified fuel cell property (as defined in section 48(c)(1)) with respect to which such expenditures relate.</w:t>
      </w:r>
    </w:p>
    <w:p w14:paraId="1DC21F93" w14:textId="2B275C0A"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Allocation of expenditures</w:t>
      </w:r>
      <w:r w:rsidRPr="008B3051">
        <w:rPr>
          <w:rStyle w:val="chapeau"/>
          <w:rFonts w:ascii="Verdana" w:hAnsi="Verdana"/>
        </w:rPr>
        <w:t>The </w:t>
      </w:r>
      <w:r w:rsidRPr="008B3051">
        <w:rPr>
          <w:rStyle w:val="Hyperlink"/>
          <w:rFonts w:ascii="Verdana" w:hAnsi="Verdana"/>
          <w:color w:val="auto"/>
        </w:rPr>
        <w:t>expenditures</w:t>
      </w:r>
      <w:r w:rsidRPr="008B3051">
        <w:rPr>
          <w:rStyle w:val="chapeau"/>
          <w:rFonts w:ascii="Verdana" w:hAnsi="Verdana"/>
        </w:rPr>
        <w:t> allocated to any individual for the </w:t>
      </w:r>
      <w:r w:rsidRPr="008B3051">
        <w:rPr>
          <w:rStyle w:val="Hyperlink"/>
          <w:rFonts w:ascii="Verdana" w:hAnsi="Verdana"/>
          <w:color w:val="auto"/>
        </w:rPr>
        <w:t>taxable year</w:t>
      </w:r>
      <w:r w:rsidRPr="008B3051">
        <w:rPr>
          <w:rStyle w:val="chapeau"/>
          <w:rFonts w:ascii="Verdana" w:hAnsi="Verdana"/>
        </w:rPr>
        <w:t> in which such </w:t>
      </w:r>
      <w:r w:rsidRPr="008B3051">
        <w:rPr>
          <w:rStyle w:val="Hyperlink"/>
          <w:rFonts w:ascii="Verdana" w:hAnsi="Verdana"/>
          <w:color w:val="auto"/>
        </w:rPr>
        <w:t>calendar year</w:t>
      </w:r>
      <w:r w:rsidRPr="008B3051">
        <w:rPr>
          <w:rStyle w:val="chapeau"/>
          <w:rFonts w:ascii="Verdana" w:hAnsi="Verdana"/>
        </w:rPr>
        <w:t> ends shall be an amount equal to the lesser of—</w:t>
      </w:r>
    </w:p>
    <w:p w14:paraId="3B420320" w14:textId="77777777" w:rsidR="00AB7AF9" w:rsidRPr="008B3051" w:rsidRDefault="00AB7AF9" w:rsidP="00AB7AF9">
      <w:pPr>
        <w:shd w:val="clear" w:color="auto" w:fill="FFFFFF"/>
        <w:rPr>
          <w:rFonts w:ascii="Verdana" w:hAnsi="Verdana"/>
        </w:rPr>
      </w:pPr>
      <w:bookmarkStart w:id="445" w:name="e_4_B_i"/>
      <w:bookmarkEnd w:id="445"/>
      <w:r w:rsidRPr="008B3051">
        <w:rPr>
          <w:rStyle w:val="num"/>
          <w:rFonts w:ascii="Verdana" w:hAnsi="Verdana"/>
          <w:b/>
          <w:bCs/>
        </w:rPr>
        <w:t>(i)</w:t>
      </w:r>
    </w:p>
    <w:p w14:paraId="6E7EA95B" w14:textId="676A00C1" w:rsidR="00AB7AF9" w:rsidRPr="008B3051" w:rsidRDefault="00AB7AF9" w:rsidP="00AB7AF9">
      <w:pPr>
        <w:shd w:val="clear" w:color="auto" w:fill="FFFFFF"/>
        <w:rPr>
          <w:rFonts w:ascii="Verdana" w:hAnsi="Verdana"/>
        </w:rPr>
      </w:pPr>
      <w:r w:rsidRPr="008B3051">
        <w:rPr>
          <w:rFonts w:ascii="Verdana" w:hAnsi="Verdana"/>
        </w:rPr>
        <w:t>the amount of </w:t>
      </w:r>
      <w:r w:rsidRPr="008B3051">
        <w:rPr>
          <w:rStyle w:val="Hyperlink"/>
          <w:rFonts w:ascii="Verdana" w:hAnsi="Verdana"/>
          <w:color w:val="auto"/>
        </w:rPr>
        <w:t>expenditures</w:t>
      </w:r>
      <w:r w:rsidRPr="008B3051">
        <w:rPr>
          <w:rFonts w:ascii="Verdana" w:hAnsi="Verdana"/>
        </w:rPr>
        <w:t> made by such individual with respect to such dwelling during such </w:t>
      </w:r>
      <w:r w:rsidRPr="008B3051">
        <w:rPr>
          <w:rStyle w:val="Hyperlink"/>
          <w:rFonts w:ascii="Verdana" w:hAnsi="Verdana"/>
          <w:color w:val="auto"/>
        </w:rPr>
        <w:t>calendar year</w:t>
      </w:r>
      <w:r w:rsidRPr="008B3051">
        <w:rPr>
          <w:rFonts w:ascii="Verdana" w:hAnsi="Verdana"/>
        </w:rPr>
        <w:t>, or</w:t>
      </w:r>
    </w:p>
    <w:p w14:paraId="0C33F3E2" w14:textId="332F3F2E" w:rsidR="00AB7AF9" w:rsidRPr="008B3051" w:rsidRDefault="00AB7AF9" w:rsidP="00AB7AF9">
      <w:pPr>
        <w:shd w:val="clear" w:color="auto" w:fill="FFFFFF"/>
        <w:rPr>
          <w:rFonts w:ascii="Verdana" w:hAnsi="Verdana"/>
        </w:rPr>
      </w:pPr>
      <w:bookmarkStart w:id="446" w:name="e_4_B_ii"/>
      <w:bookmarkEnd w:id="446"/>
      <w:r w:rsidRPr="008B3051">
        <w:rPr>
          <w:rStyle w:val="num"/>
          <w:rFonts w:ascii="Verdana" w:hAnsi="Verdana"/>
          <w:b/>
          <w:bCs/>
        </w:rPr>
        <w:t>(ii)</w:t>
      </w:r>
      <w:r w:rsidRPr="008B3051">
        <w:rPr>
          <w:rStyle w:val="chapeau"/>
          <w:rFonts w:ascii="Verdana" w:hAnsi="Verdana"/>
        </w:rPr>
        <w:t>the maximum amount of such </w:t>
      </w:r>
      <w:r w:rsidRPr="008B3051">
        <w:rPr>
          <w:rStyle w:val="Hyperlink"/>
          <w:rFonts w:ascii="Verdana" w:hAnsi="Verdana"/>
          <w:color w:val="auto"/>
        </w:rPr>
        <w:t>expenditures</w:t>
      </w:r>
      <w:r w:rsidRPr="008B3051">
        <w:rPr>
          <w:rStyle w:val="chapeau"/>
          <w:rFonts w:ascii="Verdana" w:hAnsi="Verdana"/>
        </w:rPr>
        <w:t> set forth in subparagraph (A) multiplied by a fraction—</w:t>
      </w:r>
    </w:p>
    <w:p w14:paraId="401FE743" w14:textId="77777777" w:rsidR="00AB7AF9" w:rsidRPr="008B3051" w:rsidRDefault="00AB7AF9" w:rsidP="00AB7AF9">
      <w:pPr>
        <w:shd w:val="clear" w:color="auto" w:fill="FFFFFF"/>
        <w:rPr>
          <w:rFonts w:ascii="Verdana" w:hAnsi="Verdana"/>
        </w:rPr>
      </w:pPr>
      <w:bookmarkStart w:id="447" w:name="e_4_B_ii_I"/>
      <w:bookmarkEnd w:id="447"/>
      <w:r w:rsidRPr="008B3051">
        <w:rPr>
          <w:rStyle w:val="num"/>
          <w:rFonts w:ascii="Verdana" w:hAnsi="Verdana"/>
          <w:b/>
          <w:bCs/>
        </w:rPr>
        <w:t>(I)</w:t>
      </w:r>
    </w:p>
    <w:p w14:paraId="22F7DE17" w14:textId="6FBA411C" w:rsidR="00AB7AF9" w:rsidRPr="008B3051" w:rsidRDefault="00AB7AF9" w:rsidP="00AB7AF9">
      <w:pPr>
        <w:shd w:val="clear" w:color="auto" w:fill="FFFFFF"/>
        <w:rPr>
          <w:rFonts w:ascii="Verdana" w:hAnsi="Verdana"/>
        </w:rPr>
      </w:pPr>
      <w:r w:rsidRPr="008B3051">
        <w:rPr>
          <w:rFonts w:ascii="Verdana" w:hAnsi="Verdana"/>
        </w:rPr>
        <w:t>the numerator of which is the amount of such </w:t>
      </w:r>
      <w:r w:rsidRPr="008B3051">
        <w:rPr>
          <w:rStyle w:val="Hyperlink"/>
          <w:rFonts w:ascii="Verdana" w:hAnsi="Verdana"/>
          <w:color w:val="auto"/>
        </w:rPr>
        <w:t>expenditures</w:t>
      </w:r>
      <w:r w:rsidRPr="008B3051">
        <w:rPr>
          <w:rFonts w:ascii="Verdana" w:hAnsi="Verdana"/>
        </w:rPr>
        <w:t> with respect to such dwelling made by such individual during such </w:t>
      </w:r>
      <w:r w:rsidRPr="008B3051">
        <w:rPr>
          <w:rStyle w:val="Hyperlink"/>
          <w:rFonts w:ascii="Verdana" w:hAnsi="Verdana"/>
          <w:color w:val="auto"/>
        </w:rPr>
        <w:t>calendar year</w:t>
      </w:r>
      <w:r w:rsidRPr="008B3051">
        <w:rPr>
          <w:rFonts w:ascii="Verdana" w:hAnsi="Verdana"/>
        </w:rPr>
        <w:t>, and</w:t>
      </w:r>
    </w:p>
    <w:p w14:paraId="1A0FEFA6" w14:textId="77777777" w:rsidR="00AB7AF9" w:rsidRPr="008B3051" w:rsidRDefault="00AB7AF9" w:rsidP="00AB7AF9">
      <w:pPr>
        <w:shd w:val="clear" w:color="auto" w:fill="FFFFFF"/>
        <w:rPr>
          <w:rFonts w:ascii="Verdana" w:hAnsi="Verdana"/>
        </w:rPr>
      </w:pPr>
      <w:bookmarkStart w:id="448" w:name="e_4_B_ii_II"/>
      <w:bookmarkEnd w:id="448"/>
      <w:r w:rsidRPr="008B3051">
        <w:rPr>
          <w:rStyle w:val="num"/>
          <w:rFonts w:ascii="Verdana" w:hAnsi="Verdana"/>
          <w:b/>
          <w:bCs/>
        </w:rPr>
        <w:t>(II)</w:t>
      </w:r>
    </w:p>
    <w:p w14:paraId="70697E3B" w14:textId="1C441FCA" w:rsidR="00AB7AF9" w:rsidRPr="008B3051" w:rsidRDefault="00AB7AF9" w:rsidP="00AB7AF9">
      <w:pPr>
        <w:shd w:val="clear" w:color="auto" w:fill="FFFFFF"/>
        <w:rPr>
          <w:rFonts w:ascii="Verdana" w:hAnsi="Verdana"/>
        </w:rPr>
      </w:pPr>
      <w:r w:rsidRPr="008B3051">
        <w:rPr>
          <w:rFonts w:ascii="Verdana" w:hAnsi="Verdana"/>
        </w:rPr>
        <w:t>the denominator of which is the total </w:t>
      </w:r>
      <w:r w:rsidRPr="008B3051">
        <w:rPr>
          <w:rStyle w:val="Hyperlink"/>
          <w:rFonts w:ascii="Verdana" w:hAnsi="Verdana"/>
          <w:color w:val="auto"/>
        </w:rPr>
        <w:t>expenditures</w:t>
      </w:r>
      <w:r w:rsidRPr="008B3051">
        <w:rPr>
          <w:rFonts w:ascii="Verdana" w:hAnsi="Verdana"/>
        </w:rPr>
        <w:t> made by all such individuals with respect to such dwelling during such </w:t>
      </w:r>
      <w:r w:rsidRPr="008B3051">
        <w:rPr>
          <w:rStyle w:val="Hyperlink"/>
          <w:rFonts w:ascii="Verdana" w:hAnsi="Verdana"/>
          <w:color w:val="auto"/>
        </w:rPr>
        <w:t>calendar year</w:t>
      </w:r>
      <w:r w:rsidRPr="008B3051">
        <w:rPr>
          <w:rFonts w:ascii="Verdana" w:hAnsi="Verdana"/>
        </w:rPr>
        <w:t>.</w:t>
      </w:r>
    </w:p>
    <w:p w14:paraId="1A1C8FDA" w14:textId="77777777" w:rsidR="00AB7AF9" w:rsidRPr="008B3051" w:rsidRDefault="00AB7AF9" w:rsidP="00AB7AF9">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Tenant-stockholder in cooperative housing corporation</w:t>
      </w:r>
    </w:p>
    <w:p w14:paraId="54C75FC2" w14:textId="1CC08BB8"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individual who is a tenant-stockholder (as defined in section 216) in a cooperative housing </w:t>
      </w:r>
      <w:r w:rsidRPr="008B3051">
        <w:rPr>
          <w:rStyle w:val="Hyperlink"/>
          <w:rFonts w:ascii="Verdana" w:hAnsi="Verdana"/>
          <w:color w:val="auto"/>
        </w:rPr>
        <w:t>corporation</w:t>
      </w:r>
      <w:r w:rsidRPr="008B3051">
        <w:rPr>
          <w:rFonts w:ascii="Verdana" w:hAnsi="Verdana"/>
        </w:rPr>
        <w:t> (as defined in such section), such individual shall be treated as having made his tenant-stockholder’s proportionate share (as defined in section 216(b)(3)) of any </w:t>
      </w:r>
      <w:r w:rsidRPr="008B3051">
        <w:rPr>
          <w:rStyle w:val="Hyperlink"/>
          <w:rFonts w:ascii="Verdana" w:hAnsi="Verdana"/>
          <w:color w:val="auto"/>
        </w:rPr>
        <w:t>expenditures</w:t>
      </w:r>
      <w:r w:rsidRPr="008B3051">
        <w:rPr>
          <w:rFonts w:ascii="Verdana" w:hAnsi="Verdana"/>
        </w:rPr>
        <w:t> of such corporation.</w:t>
      </w:r>
    </w:p>
    <w:p w14:paraId="7FB16CD7" w14:textId="77777777" w:rsidR="00AB7AF9" w:rsidRPr="008B3051" w:rsidRDefault="00AB7AF9" w:rsidP="00AB7AF9">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Condominiums</w:t>
      </w:r>
    </w:p>
    <w:p w14:paraId="54A96C5D"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02AF1A29" w14:textId="127F7BA4"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individual who is a member of a condominium management association with respect to a condominium which the individual owns, such individual shall be treated as having made the individual’s proportionate share of any </w:t>
      </w:r>
      <w:r w:rsidRPr="008B3051">
        <w:rPr>
          <w:rStyle w:val="Hyperlink"/>
          <w:rFonts w:ascii="Verdana" w:hAnsi="Verdana"/>
          <w:color w:val="auto"/>
        </w:rPr>
        <w:t>expenditures</w:t>
      </w:r>
      <w:r w:rsidRPr="008B3051">
        <w:rPr>
          <w:rFonts w:ascii="Verdana" w:hAnsi="Verdana"/>
        </w:rPr>
        <w:t> of such association.</w:t>
      </w:r>
    </w:p>
    <w:p w14:paraId="128B395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Condominium management association</w:t>
      </w:r>
    </w:p>
    <w:p w14:paraId="02246D8C" w14:textId="3C33E56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paragraph, the term “</w:t>
      </w:r>
      <w:r w:rsidRPr="008B3051">
        <w:rPr>
          <w:rStyle w:val="Hyperlink"/>
          <w:rFonts w:ascii="Verdana" w:hAnsi="Verdana"/>
          <w:color w:val="auto"/>
        </w:rPr>
        <w:t>condominium management association</w:t>
      </w:r>
      <w:r w:rsidRPr="008B3051">
        <w:rPr>
          <w:rFonts w:ascii="Verdana" w:hAnsi="Verdana"/>
        </w:rPr>
        <w:t>” means an organization which meets the requirements of paragraph (1) of section 528(c) (other than subparagraph (E) thereof) with respect to a condominium project substantially all of the units of which are used as residences.</w:t>
      </w:r>
    </w:p>
    <w:p w14:paraId="4A8B4649" w14:textId="77777777" w:rsidR="00AB7AF9" w:rsidRPr="008B3051" w:rsidRDefault="00AB7AF9" w:rsidP="00AB7AF9">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Allocation in certain cases</w:t>
      </w:r>
    </w:p>
    <w:p w14:paraId="5C1441BA" w14:textId="2F55CEBB"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lastRenderedPageBreak/>
        <w:t>If less than 80 percent of the use of an item is for nonbusiness purposes, only that </w:t>
      </w:r>
      <w:r w:rsidRPr="008B3051">
        <w:rPr>
          <w:rStyle w:val="Hyperlink"/>
          <w:rFonts w:ascii="Verdana" w:hAnsi="Verdana"/>
          <w:color w:val="auto"/>
        </w:rPr>
        <w:t>portion</w:t>
      </w:r>
      <w:r w:rsidRPr="008B3051">
        <w:rPr>
          <w:rFonts w:ascii="Verdana" w:hAnsi="Verdana"/>
        </w:rPr>
        <w:t> of the </w:t>
      </w:r>
      <w:r w:rsidRPr="008B3051">
        <w:rPr>
          <w:rStyle w:val="Hyperlink"/>
          <w:rFonts w:ascii="Verdana" w:hAnsi="Verdana"/>
          <w:color w:val="auto"/>
        </w:rPr>
        <w:t>expenditures</w:t>
      </w:r>
      <w:r w:rsidRPr="008B3051">
        <w:rPr>
          <w:rFonts w:ascii="Verdana" w:hAnsi="Verdana"/>
        </w:rPr>
        <w:t> for such item which is properly allocable to use for nonbusiness purposes shall be taken into account.</w:t>
      </w:r>
    </w:p>
    <w:p w14:paraId="102A59EF" w14:textId="77777777" w:rsidR="00AB7AF9" w:rsidRPr="008B3051" w:rsidRDefault="00AB7AF9" w:rsidP="00AB7AF9">
      <w:pPr>
        <w:shd w:val="clear" w:color="auto" w:fill="FFFFFF"/>
        <w:rPr>
          <w:rFonts w:ascii="Verdana" w:hAnsi="Verdana"/>
        </w:rPr>
      </w:pPr>
      <w:r w:rsidRPr="008B3051">
        <w:rPr>
          <w:rStyle w:val="num"/>
          <w:rFonts w:ascii="Verdana" w:hAnsi="Verdana"/>
          <w:b/>
          <w:bCs/>
        </w:rPr>
        <w:t>(8)</w:t>
      </w:r>
      <w:r w:rsidRPr="008B3051">
        <w:rPr>
          <w:rStyle w:val="heading"/>
          <w:rFonts w:ascii="Verdana" w:hAnsi="Verdana"/>
          <w:b/>
          <w:bCs/>
          <w:smallCaps/>
        </w:rPr>
        <w:t>When expenditure made; amount of expenditure</w:t>
      </w:r>
    </w:p>
    <w:p w14:paraId="43C8E5BD"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p>
    <w:p w14:paraId="0D225B2E" w14:textId="77777777"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Except as provided in subparagraph (B), an expenditure with respect to an item shall be treated as made when the original installation of the item is completed.</w:t>
      </w:r>
    </w:p>
    <w:p w14:paraId="7A10AD2D"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Expenditures part of building construction</w:t>
      </w:r>
    </w:p>
    <w:p w14:paraId="6CD0A3C3" w14:textId="2329CAC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In the case of an expenditure in connection with the construction or reconstruction of a structure, such expenditure shall be treated as made when the original use of the constructed or reconstructed structure by the </w:t>
      </w:r>
      <w:r w:rsidRPr="008B3051">
        <w:rPr>
          <w:rStyle w:val="Hyperlink"/>
          <w:rFonts w:ascii="Verdana" w:hAnsi="Verdana"/>
          <w:color w:val="auto"/>
        </w:rPr>
        <w:t>taxpayer</w:t>
      </w:r>
      <w:r w:rsidRPr="008B3051">
        <w:rPr>
          <w:rFonts w:ascii="Verdana" w:hAnsi="Verdana"/>
        </w:rPr>
        <w:t> begins.</w:t>
      </w:r>
    </w:p>
    <w:p w14:paraId="1B2758F8" w14:textId="77777777" w:rsidR="00AB7AF9" w:rsidRPr="008B3051" w:rsidRDefault="00AB7AF9" w:rsidP="00AB7AF9">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Basis adjustments</w:t>
      </w:r>
    </w:p>
    <w:p w14:paraId="4F8CCF93" w14:textId="1583212C"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subtitle, if a credit is allowed under this section for any expenditure with respect to any </w:t>
      </w:r>
      <w:r w:rsidRPr="008B3051">
        <w:rPr>
          <w:rStyle w:val="Hyperlink"/>
          <w:rFonts w:ascii="Verdana" w:hAnsi="Verdana"/>
          <w:color w:val="auto"/>
        </w:rPr>
        <w:t>property</w:t>
      </w:r>
      <w:r w:rsidRPr="008B3051">
        <w:rPr>
          <w:rFonts w:ascii="Verdana" w:hAnsi="Verdana"/>
        </w:rPr>
        <w:t>, the increase in the basis of such </w:t>
      </w:r>
      <w:r w:rsidRPr="008B3051">
        <w:rPr>
          <w:rStyle w:val="Hyperlink"/>
          <w:rFonts w:ascii="Verdana" w:hAnsi="Verdana"/>
          <w:color w:val="auto"/>
        </w:rPr>
        <w:t>property</w:t>
      </w:r>
      <w:r w:rsidRPr="008B3051">
        <w:rPr>
          <w:rFonts w:ascii="Verdana" w:hAnsi="Verdana"/>
        </w:rPr>
        <w:t> which would (but for this subsection) result from such expenditure shall be reduced by the amount of the credit so allowed.</w:t>
      </w:r>
    </w:p>
    <w:p w14:paraId="68041E0E" w14:textId="397AF384" w:rsidR="00AB7AF9" w:rsidRPr="008B3051" w:rsidRDefault="00AB7AF9" w:rsidP="00AB7AF9">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Applicable percentage</w:t>
      </w:r>
      <w:r w:rsidRPr="008B3051">
        <w:rPr>
          <w:rStyle w:val="chapeau"/>
          <w:rFonts w:ascii="Verdana" w:hAnsi="Verdana"/>
        </w:rPr>
        <w:t>For purposes of paragraphs (1) and (2) of subsection (a), the </w:t>
      </w:r>
      <w:r w:rsidRPr="008B3051">
        <w:rPr>
          <w:rStyle w:val="Hyperlink"/>
          <w:rFonts w:ascii="Verdana" w:hAnsi="Verdana"/>
          <w:color w:val="auto"/>
        </w:rPr>
        <w:t>applicable percentage</w:t>
      </w:r>
      <w:r w:rsidRPr="008B3051">
        <w:rPr>
          <w:rStyle w:val="chapeau"/>
          <w:rFonts w:ascii="Verdana" w:hAnsi="Verdana"/>
        </w:rPr>
        <w:t> shall be—</w:t>
      </w:r>
    </w:p>
    <w:p w14:paraId="0101EF42"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4244673B" w14:textId="69981E4F" w:rsidR="00AB7AF9" w:rsidRPr="008B3051" w:rsidRDefault="00AB7AF9" w:rsidP="00AB7AF9">
      <w:pPr>
        <w:shd w:val="clear" w:color="auto" w:fill="FFFFFF"/>
        <w:rPr>
          <w:rFonts w:ascii="Verdana" w:hAnsi="Verdana"/>
        </w:rPr>
      </w:pPr>
      <w:r w:rsidRPr="008B3051">
        <w:rPr>
          <w:rFonts w:ascii="Verdana" w:hAnsi="Verdana"/>
        </w:rPr>
        <w:t>in the case of </w:t>
      </w:r>
      <w:r w:rsidRPr="008B3051">
        <w:rPr>
          <w:rStyle w:val="Hyperlink"/>
          <w:rFonts w:ascii="Verdana" w:hAnsi="Verdana"/>
          <w:color w:val="auto"/>
        </w:rPr>
        <w:t>property</w:t>
      </w:r>
      <w:r w:rsidRPr="008B3051">
        <w:rPr>
          <w:rFonts w:ascii="Verdana" w:hAnsi="Verdana"/>
        </w:rPr>
        <w:t> placed in service after </w:t>
      </w:r>
      <w:r w:rsidRPr="008B3051">
        <w:rPr>
          <w:rStyle w:val="Date2"/>
          <w:rFonts w:ascii="Verdana" w:hAnsi="Verdana"/>
        </w:rPr>
        <w:t>December 31, 2016</w:t>
      </w:r>
      <w:r w:rsidRPr="008B3051">
        <w:rPr>
          <w:rFonts w:ascii="Verdana" w:hAnsi="Verdana"/>
        </w:rPr>
        <w:t>, and before </w:t>
      </w:r>
      <w:r w:rsidRPr="008B3051">
        <w:rPr>
          <w:rStyle w:val="Date2"/>
          <w:rFonts w:ascii="Verdana" w:hAnsi="Verdana"/>
        </w:rPr>
        <w:t>January 1, 2020</w:t>
      </w:r>
      <w:r w:rsidRPr="008B3051">
        <w:rPr>
          <w:rFonts w:ascii="Verdana" w:hAnsi="Verdana"/>
        </w:rPr>
        <w:t>, 30 percent,</w:t>
      </w:r>
    </w:p>
    <w:p w14:paraId="55391B60"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0ADC081F" w14:textId="780E7925" w:rsidR="00AB7AF9" w:rsidRPr="008B3051" w:rsidRDefault="00AB7AF9" w:rsidP="00AB7AF9">
      <w:pPr>
        <w:shd w:val="clear" w:color="auto" w:fill="FFFFFF"/>
        <w:rPr>
          <w:rFonts w:ascii="Verdana" w:hAnsi="Verdana"/>
        </w:rPr>
      </w:pPr>
      <w:r w:rsidRPr="008B3051">
        <w:rPr>
          <w:rFonts w:ascii="Verdana" w:hAnsi="Verdana"/>
        </w:rPr>
        <w:t>in the case of </w:t>
      </w:r>
      <w:r w:rsidRPr="008B3051">
        <w:rPr>
          <w:rStyle w:val="Hyperlink"/>
          <w:rFonts w:ascii="Verdana" w:hAnsi="Verdana"/>
          <w:color w:val="auto"/>
        </w:rPr>
        <w:t>property</w:t>
      </w:r>
      <w:r w:rsidRPr="008B3051">
        <w:rPr>
          <w:rFonts w:ascii="Verdana" w:hAnsi="Verdana"/>
        </w:rPr>
        <w:t> placed in service after </w:t>
      </w:r>
      <w:r w:rsidRPr="008B3051">
        <w:rPr>
          <w:rStyle w:val="Date2"/>
          <w:rFonts w:ascii="Verdana" w:hAnsi="Verdana"/>
        </w:rPr>
        <w:t>December 31, 2019</w:t>
      </w:r>
      <w:r w:rsidRPr="008B3051">
        <w:rPr>
          <w:rFonts w:ascii="Verdana" w:hAnsi="Verdana"/>
        </w:rPr>
        <w:t>, and before </w:t>
      </w:r>
      <w:r w:rsidRPr="008B3051">
        <w:rPr>
          <w:rStyle w:val="Date2"/>
          <w:rFonts w:ascii="Verdana" w:hAnsi="Verdana"/>
        </w:rPr>
        <w:t>January 1, 2021</w:t>
      </w:r>
      <w:r w:rsidRPr="008B3051">
        <w:rPr>
          <w:rFonts w:ascii="Verdana" w:hAnsi="Verdana"/>
        </w:rPr>
        <w:t>, 26 percent, and</w:t>
      </w:r>
    </w:p>
    <w:p w14:paraId="3630435C" w14:textId="77777777" w:rsidR="00AB7AF9" w:rsidRPr="008B3051" w:rsidRDefault="00AB7AF9" w:rsidP="00AB7AF9">
      <w:pPr>
        <w:shd w:val="clear" w:color="auto" w:fill="FFFFFF"/>
        <w:rPr>
          <w:rFonts w:ascii="Verdana" w:hAnsi="Verdana"/>
        </w:rPr>
      </w:pPr>
      <w:r w:rsidRPr="008B3051">
        <w:rPr>
          <w:rStyle w:val="num"/>
          <w:rFonts w:ascii="Verdana" w:hAnsi="Verdana"/>
          <w:b/>
          <w:bCs/>
        </w:rPr>
        <w:t>(3)</w:t>
      </w:r>
    </w:p>
    <w:p w14:paraId="7494FFCD" w14:textId="57CD2E3E" w:rsidR="00AB7AF9" w:rsidRPr="008B3051" w:rsidRDefault="00AB7AF9" w:rsidP="00AB7AF9">
      <w:pPr>
        <w:shd w:val="clear" w:color="auto" w:fill="FFFFFF"/>
        <w:rPr>
          <w:rFonts w:ascii="Verdana" w:hAnsi="Verdana"/>
        </w:rPr>
      </w:pPr>
      <w:r w:rsidRPr="008B3051">
        <w:rPr>
          <w:rFonts w:ascii="Verdana" w:hAnsi="Verdana"/>
        </w:rPr>
        <w:t>in the case of </w:t>
      </w:r>
      <w:r w:rsidRPr="008B3051">
        <w:rPr>
          <w:rStyle w:val="Hyperlink"/>
          <w:rFonts w:ascii="Verdana" w:hAnsi="Verdana"/>
          <w:color w:val="auto"/>
        </w:rPr>
        <w:t>property</w:t>
      </w:r>
      <w:r w:rsidRPr="008B3051">
        <w:rPr>
          <w:rFonts w:ascii="Verdana" w:hAnsi="Verdana"/>
        </w:rPr>
        <w:t> placed in service after </w:t>
      </w:r>
      <w:r w:rsidRPr="008B3051">
        <w:rPr>
          <w:rStyle w:val="Date2"/>
          <w:rFonts w:ascii="Verdana" w:hAnsi="Verdana"/>
        </w:rPr>
        <w:t>December 31, 2020</w:t>
      </w:r>
      <w:r w:rsidRPr="008B3051">
        <w:rPr>
          <w:rFonts w:ascii="Verdana" w:hAnsi="Verdana"/>
        </w:rPr>
        <w:t>, and before </w:t>
      </w:r>
      <w:r w:rsidRPr="008B3051">
        <w:rPr>
          <w:rStyle w:val="Date2"/>
          <w:rFonts w:ascii="Verdana" w:hAnsi="Verdana"/>
        </w:rPr>
        <w:t>January 1, 2022</w:t>
      </w:r>
      <w:r w:rsidRPr="008B3051">
        <w:rPr>
          <w:rFonts w:ascii="Verdana" w:hAnsi="Verdana"/>
        </w:rPr>
        <w:t>, 22 percent.</w:t>
      </w:r>
    </w:p>
    <w:p w14:paraId="13266472" w14:textId="77777777" w:rsidR="00AB7AF9" w:rsidRPr="008B3051" w:rsidRDefault="00AB7AF9" w:rsidP="00AB7AF9">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Termination</w:t>
      </w:r>
    </w:p>
    <w:p w14:paraId="42E81E63" w14:textId="2BFD43B2"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credit allowed under this section shall not apply to </w:t>
      </w:r>
      <w:r w:rsidRPr="008B3051">
        <w:rPr>
          <w:rStyle w:val="Hyperlink"/>
          <w:rFonts w:ascii="Verdana" w:hAnsi="Verdana"/>
          <w:color w:val="auto"/>
        </w:rPr>
        <w:t>property</w:t>
      </w:r>
      <w:r w:rsidRPr="008B3051">
        <w:rPr>
          <w:rFonts w:ascii="Verdana" w:hAnsi="Verdana"/>
        </w:rPr>
        <w:t> placed in service after </w:t>
      </w:r>
      <w:r w:rsidRPr="008B3051">
        <w:rPr>
          <w:rStyle w:val="Date2"/>
          <w:rFonts w:ascii="Verdana" w:hAnsi="Verdana"/>
        </w:rPr>
        <w:t>December 31, 2016</w:t>
      </w:r>
      <w:r w:rsidRPr="008B3051">
        <w:rPr>
          <w:rFonts w:ascii="Verdana" w:hAnsi="Verdana"/>
        </w:rPr>
        <w:t>(</w:t>
      </w:r>
      <w:r w:rsidRPr="008B3051">
        <w:rPr>
          <w:rStyle w:val="Date2"/>
          <w:rFonts w:ascii="Verdana" w:hAnsi="Verdana"/>
        </w:rPr>
        <w:t>December 31, 2021</w:t>
      </w:r>
      <w:r w:rsidRPr="008B3051">
        <w:rPr>
          <w:rFonts w:ascii="Verdana" w:hAnsi="Verdana"/>
        </w:rPr>
        <w:t>, in the case of any qualified solar electric property expenditures and qualified solar water heating property expenditures).</w:t>
      </w:r>
    </w:p>
    <w:p w14:paraId="5DE2A5E9" w14:textId="49462E77" w:rsidR="00AB7AF9" w:rsidRPr="008B3051" w:rsidRDefault="00AB7AF9" w:rsidP="00AB7AF9">
      <w:pPr>
        <w:shd w:val="clear" w:color="auto" w:fill="FFFFFF"/>
        <w:rPr>
          <w:rFonts w:ascii="Verdana" w:hAnsi="Verdana"/>
        </w:rPr>
      </w:pPr>
      <w:r w:rsidRPr="008B3051">
        <w:rPr>
          <w:rFonts w:ascii="Verdana" w:hAnsi="Verdana"/>
        </w:rPr>
        <w:t>(Added </w:t>
      </w:r>
      <w:r w:rsidRPr="008B3051">
        <w:rPr>
          <w:rStyle w:val="Hyperlink"/>
          <w:rFonts w:ascii="Verdana" w:hAnsi="Verdana"/>
          <w:color w:val="auto"/>
        </w:rPr>
        <w:t>Pub. L. 109–58, title XIII</w:t>
      </w:r>
      <w:r w:rsidRPr="008B3051">
        <w:rPr>
          <w:rFonts w:ascii="Verdana" w:hAnsi="Verdana"/>
        </w:rPr>
        <w:t>, § 1335(a), </w:t>
      </w:r>
      <w:r w:rsidRPr="008B3051">
        <w:rPr>
          <w:rStyle w:val="Date2"/>
          <w:rFonts w:ascii="Verdana" w:hAnsi="Verdana"/>
        </w:rPr>
        <w:t>Aug. 8, 2005</w:t>
      </w:r>
      <w:r w:rsidRPr="008B3051">
        <w:rPr>
          <w:rFonts w:ascii="Verdana" w:hAnsi="Verdana"/>
        </w:rPr>
        <w:t>, </w:t>
      </w:r>
      <w:r w:rsidRPr="008B3051">
        <w:rPr>
          <w:rStyle w:val="Hyperlink"/>
          <w:rFonts w:ascii="Verdana" w:hAnsi="Verdana"/>
          <w:color w:val="auto"/>
        </w:rPr>
        <w:t>119 Stat. 1033</w:t>
      </w:r>
      <w:r w:rsidRPr="008B3051">
        <w:rPr>
          <w:rFonts w:ascii="Verdana" w:hAnsi="Verdana"/>
        </w:rPr>
        <w:t>; amended </w:t>
      </w:r>
      <w:r w:rsidRPr="008B3051">
        <w:rPr>
          <w:rStyle w:val="Hyperlink"/>
          <w:rFonts w:ascii="Verdana" w:hAnsi="Verdana"/>
          <w:color w:val="auto"/>
        </w:rPr>
        <w:t>Pub. L. 109–135, title IV</w:t>
      </w:r>
      <w:r w:rsidRPr="008B3051">
        <w:rPr>
          <w:rFonts w:ascii="Verdana" w:hAnsi="Verdana"/>
        </w:rPr>
        <w:t>, § 402(i)(1), (2), (3)(E),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2612</w:t>
      </w:r>
      <w:r w:rsidRPr="008B3051">
        <w:rPr>
          <w:rFonts w:ascii="Verdana" w:hAnsi="Verdana"/>
        </w:rPr>
        <w:t>, 2614; </w:t>
      </w:r>
      <w:r w:rsidRPr="008B3051">
        <w:rPr>
          <w:rStyle w:val="Hyperlink"/>
          <w:rFonts w:ascii="Verdana" w:hAnsi="Verdana"/>
          <w:color w:val="auto"/>
        </w:rPr>
        <w:t>Pub. L. 109–432, div. A, title II</w:t>
      </w:r>
      <w:r w:rsidRPr="008B3051">
        <w:rPr>
          <w:rFonts w:ascii="Verdana" w:hAnsi="Verdana"/>
        </w:rPr>
        <w:t>, § 206, </w:t>
      </w:r>
      <w:r w:rsidRPr="008B3051">
        <w:rPr>
          <w:rStyle w:val="Date2"/>
          <w:rFonts w:ascii="Verdana" w:hAnsi="Verdana"/>
        </w:rPr>
        <w:t>Dec. 20, 2006</w:t>
      </w:r>
      <w:r w:rsidRPr="008B3051">
        <w:rPr>
          <w:rFonts w:ascii="Verdana" w:hAnsi="Verdana"/>
        </w:rPr>
        <w:t>, </w:t>
      </w:r>
      <w:r w:rsidRPr="008B3051">
        <w:rPr>
          <w:rStyle w:val="Hyperlink"/>
          <w:rFonts w:ascii="Verdana" w:hAnsi="Verdana"/>
          <w:color w:val="auto"/>
        </w:rPr>
        <w:t>120 Stat. 2945</w:t>
      </w:r>
      <w:r w:rsidRPr="008B3051">
        <w:rPr>
          <w:rFonts w:ascii="Verdana" w:hAnsi="Verdana"/>
        </w:rPr>
        <w:t>; </w:t>
      </w:r>
      <w:r w:rsidRPr="008B3051">
        <w:rPr>
          <w:rStyle w:val="Hyperlink"/>
          <w:rFonts w:ascii="Verdana" w:hAnsi="Verdana"/>
          <w:color w:val="auto"/>
        </w:rPr>
        <w:t>Pub. L. 110–343, div. B, title I</w:t>
      </w:r>
      <w:r w:rsidRPr="008B3051">
        <w:rPr>
          <w:rFonts w:ascii="Verdana" w:hAnsi="Verdana"/>
        </w:rPr>
        <w:t>, § 106(a)–(c)(3)(A), (c)(4)–(e)(1), </w:t>
      </w:r>
      <w:r w:rsidRPr="008B3051">
        <w:rPr>
          <w:rStyle w:val="Date2"/>
          <w:rFonts w:ascii="Verdana" w:hAnsi="Verdana"/>
        </w:rPr>
        <w:t xml:space="preserve">Oct. 3, </w:t>
      </w:r>
      <w:r w:rsidRPr="008B3051">
        <w:rPr>
          <w:rStyle w:val="Date2"/>
          <w:rFonts w:ascii="Verdana" w:hAnsi="Verdana"/>
        </w:rPr>
        <w:lastRenderedPageBreak/>
        <w:t>2008</w:t>
      </w:r>
      <w:r w:rsidRPr="008B3051">
        <w:rPr>
          <w:rFonts w:ascii="Verdana" w:hAnsi="Verdana"/>
        </w:rPr>
        <w:t>, </w:t>
      </w:r>
      <w:r w:rsidRPr="008B3051">
        <w:rPr>
          <w:rStyle w:val="Hyperlink"/>
          <w:rFonts w:ascii="Verdana" w:hAnsi="Verdana"/>
          <w:color w:val="auto"/>
        </w:rPr>
        <w:t>122 Stat. 3814–3816</w:t>
      </w:r>
      <w:r w:rsidRPr="008B3051">
        <w:rPr>
          <w:rFonts w:ascii="Verdana" w:hAnsi="Verdana"/>
        </w:rPr>
        <w:t>; </w:t>
      </w:r>
      <w:r w:rsidRPr="008B3051">
        <w:rPr>
          <w:rStyle w:val="Hyperlink"/>
          <w:rFonts w:ascii="Verdana" w:hAnsi="Verdana"/>
          <w:color w:val="auto"/>
        </w:rPr>
        <w:t>Pub. L. 111–5, div. B, title I</w:t>
      </w:r>
      <w:r w:rsidRPr="008B3051">
        <w:rPr>
          <w:rFonts w:ascii="Verdana" w:hAnsi="Verdana"/>
        </w:rPr>
        <w:t>, §§ 1103(b)(2)(B), 1122(a),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320</w:t>
      </w:r>
      <w:r w:rsidRPr="008B3051">
        <w:rPr>
          <w:rFonts w:ascii="Verdana" w:hAnsi="Verdana"/>
        </w:rPr>
        <w:t>, 324; </w:t>
      </w:r>
      <w:r w:rsidRPr="008B3051">
        <w:rPr>
          <w:rStyle w:val="Hyperlink"/>
          <w:rFonts w:ascii="Verdana" w:hAnsi="Verdana"/>
          <w:color w:val="auto"/>
        </w:rPr>
        <w:t>Pub. L. 112–240, title I</w:t>
      </w:r>
      <w:r w:rsidRPr="008B3051">
        <w:rPr>
          <w:rFonts w:ascii="Verdana" w:hAnsi="Verdana"/>
        </w:rPr>
        <w:t>, § 104(c)(2)(F),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2322</w:t>
      </w:r>
      <w:r w:rsidRPr="008B3051">
        <w:rPr>
          <w:rFonts w:ascii="Verdana" w:hAnsi="Verdana"/>
        </w:rPr>
        <w:t>; </w:t>
      </w:r>
      <w:r w:rsidRPr="008B3051">
        <w:rPr>
          <w:rStyle w:val="Hyperlink"/>
          <w:rFonts w:ascii="Verdana" w:hAnsi="Verdana"/>
          <w:color w:val="auto"/>
        </w:rPr>
        <w:t>Pub. L. 114–113, div. P, title III</w:t>
      </w:r>
      <w:r w:rsidRPr="008B3051">
        <w:rPr>
          <w:rFonts w:ascii="Verdana" w:hAnsi="Verdana"/>
        </w:rPr>
        <w:t>, § 304(a), </w:t>
      </w:r>
      <w:r w:rsidRPr="008B3051">
        <w:rPr>
          <w:rStyle w:val="Date2"/>
          <w:rFonts w:ascii="Verdana" w:hAnsi="Verdana"/>
        </w:rPr>
        <w:t>Dec. 18, 2015</w:t>
      </w:r>
      <w:r w:rsidRPr="008B3051">
        <w:rPr>
          <w:rFonts w:ascii="Verdana" w:hAnsi="Verdana"/>
        </w:rPr>
        <w:t>, </w:t>
      </w:r>
      <w:r w:rsidRPr="008B3051">
        <w:rPr>
          <w:rStyle w:val="Hyperlink"/>
          <w:rFonts w:ascii="Verdana" w:hAnsi="Verdana"/>
          <w:color w:val="auto"/>
        </w:rPr>
        <w:t>129 Stat. 3039</w:t>
      </w:r>
      <w:r w:rsidRPr="008B3051">
        <w:rPr>
          <w:rFonts w:ascii="Verdana" w:hAnsi="Verdana"/>
        </w:rPr>
        <w:t>.)</w:t>
      </w:r>
    </w:p>
    <w:p w14:paraId="59C195BD" w14:textId="77777777" w:rsidR="00AB7AF9" w:rsidRPr="008B3051" w:rsidRDefault="00AB7AF9" w:rsidP="00AB7AF9">
      <w:pPr>
        <w:shd w:val="clear" w:color="auto" w:fill="FFFFFF"/>
        <w:spacing w:after="60" w:line="240" w:lineRule="auto"/>
        <w:ind w:left="720"/>
        <w:rPr>
          <w:rFonts w:ascii="Verdana" w:hAnsi="Verdana"/>
        </w:rPr>
      </w:pPr>
    </w:p>
    <w:p w14:paraId="19E7B8D2" w14:textId="547D263C" w:rsidR="00963B91" w:rsidRPr="008B3051" w:rsidRDefault="00963B91" w:rsidP="000805FD">
      <w:pPr>
        <w:pStyle w:val="la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26 - Limitation based on tax liability; definition of tax liability</w:t>
      </w:r>
    </w:p>
    <w:p w14:paraId="3D2A301C" w14:textId="16847439" w:rsidR="00AB7AF9" w:rsidRPr="008B3051" w:rsidRDefault="00AB7AF9" w:rsidP="00AB7AF9">
      <w:pPr>
        <w:pStyle w:val="last"/>
        <w:shd w:val="clear" w:color="auto" w:fill="FFFFFF"/>
        <w:spacing w:before="0" w:beforeAutospacing="0" w:after="60" w:afterAutospacing="0"/>
        <w:ind w:left="720"/>
        <w:rPr>
          <w:rFonts w:ascii="Verdana" w:hAnsi="Verdana"/>
        </w:rPr>
      </w:pPr>
    </w:p>
    <w:p w14:paraId="125940F0" w14:textId="70850640" w:rsidR="00AB7AF9" w:rsidRPr="008B3051" w:rsidRDefault="00AB7AF9" w:rsidP="00AB7AF9">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Limitation based on amount of tax</w:t>
      </w:r>
      <w:r w:rsidRPr="008B3051">
        <w:rPr>
          <w:rStyle w:val="chapeau"/>
          <w:rFonts w:ascii="Verdana" w:hAnsi="Verdana"/>
        </w:rPr>
        <w:t>The aggregate amount of credits allowed by this subpart for the </w:t>
      </w:r>
      <w:r w:rsidRPr="008B3051">
        <w:rPr>
          <w:rStyle w:val="Hyperlink"/>
          <w:rFonts w:ascii="Verdana" w:hAnsi="Verdana"/>
          <w:color w:val="auto"/>
        </w:rPr>
        <w:t>taxable year</w:t>
      </w:r>
      <w:r w:rsidRPr="008B3051">
        <w:rPr>
          <w:rStyle w:val="chapeau"/>
          <w:rFonts w:ascii="Verdana" w:hAnsi="Verdana"/>
        </w:rPr>
        <w:t> shall not exceed the sum of—</w:t>
      </w:r>
    </w:p>
    <w:p w14:paraId="051CEC51"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p>
    <w:p w14:paraId="41A28A96" w14:textId="40285D5B"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taxpayer</w:t>
      </w:r>
      <w:r w:rsidRPr="008B3051">
        <w:rPr>
          <w:rFonts w:ascii="Verdana" w:hAnsi="Verdana"/>
        </w:rPr>
        <w:t>’s </w:t>
      </w:r>
      <w:r w:rsidRPr="008B3051">
        <w:rPr>
          <w:rStyle w:val="Hyperlink"/>
          <w:rFonts w:ascii="Verdana" w:hAnsi="Verdana"/>
          <w:color w:val="auto"/>
        </w:rPr>
        <w:t>regular tax liability</w:t>
      </w:r>
      <w:r w:rsidRPr="008B3051">
        <w:rPr>
          <w:rFonts w:ascii="Verdana" w:hAnsi="Verdana"/>
        </w:rPr>
        <w:t> for the taxable year reduced by the foreign tax credit allowable under section 27(a), and</w:t>
      </w:r>
    </w:p>
    <w:p w14:paraId="13AB67F3" w14:textId="77777777" w:rsidR="00AB7AF9" w:rsidRPr="008B3051" w:rsidRDefault="00AB7AF9" w:rsidP="00AB7AF9">
      <w:pPr>
        <w:shd w:val="clear" w:color="auto" w:fill="FFFFFF"/>
        <w:rPr>
          <w:rFonts w:ascii="Verdana" w:hAnsi="Verdana"/>
        </w:rPr>
      </w:pPr>
      <w:r w:rsidRPr="008B3051">
        <w:rPr>
          <w:rStyle w:val="num"/>
          <w:rFonts w:ascii="Verdana" w:hAnsi="Verdana"/>
          <w:b/>
          <w:bCs/>
        </w:rPr>
        <w:t>(2)</w:t>
      </w:r>
    </w:p>
    <w:p w14:paraId="31BF8562" w14:textId="06844CFB" w:rsidR="00AB7AF9" w:rsidRPr="008B3051" w:rsidRDefault="00AB7AF9" w:rsidP="00AB7AF9">
      <w:pPr>
        <w:shd w:val="clear" w:color="auto" w:fill="FFFFFF"/>
        <w:rPr>
          <w:rFonts w:ascii="Verdana" w:hAnsi="Verdana"/>
        </w:rPr>
      </w:pPr>
      <w:r w:rsidRPr="008B3051">
        <w:rPr>
          <w:rFonts w:ascii="Verdana" w:hAnsi="Verdana"/>
        </w:rPr>
        <w:t>the </w:t>
      </w:r>
      <w:r w:rsidRPr="008B3051">
        <w:rPr>
          <w:rStyle w:val="Hyperlink"/>
          <w:rFonts w:ascii="Verdana" w:hAnsi="Verdana"/>
          <w:color w:val="auto"/>
        </w:rPr>
        <w:t>tax</w:t>
      </w:r>
      <w:r w:rsidRPr="008B3051">
        <w:rPr>
          <w:rFonts w:ascii="Verdana" w:hAnsi="Verdana"/>
        </w:rPr>
        <w:t> imposed by </w:t>
      </w:r>
      <w:r w:rsidRPr="008B3051">
        <w:rPr>
          <w:rStyle w:val="Hyperlink"/>
          <w:rFonts w:ascii="Verdana" w:hAnsi="Verdana"/>
          <w:color w:val="auto"/>
        </w:rPr>
        <w:t>section 55(a)</w:t>
      </w:r>
      <w:r w:rsidRPr="008B3051">
        <w:rPr>
          <w:rFonts w:ascii="Verdana" w:hAnsi="Verdana"/>
        </w:rPr>
        <w:t> for the taxable year.</w:t>
      </w:r>
    </w:p>
    <w:p w14:paraId="1B6CCB9B"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Regular tax liability</w:t>
      </w:r>
      <w:r w:rsidRPr="008B3051">
        <w:rPr>
          <w:rStyle w:val="chapeau"/>
          <w:rFonts w:ascii="Verdana" w:hAnsi="Verdana"/>
        </w:rPr>
        <w:t>For purposes of this part—</w:t>
      </w:r>
    </w:p>
    <w:p w14:paraId="37CBCC54" w14:textId="77777777" w:rsidR="00AB7AF9" w:rsidRPr="008B3051" w:rsidRDefault="00AB7AF9" w:rsidP="00AB7AF9">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206A963F" w14:textId="6C76B306"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The term “</w:t>
      </w:r>
      <w:r w:rsidRPr="008B3051">
        <w:rPr>
          <w:rStyle w:val="Hyperlink"/>
          <w:rFonts w:ascii="Verdana" w:hAnsi="Verdana"/>
          <w:color w:val="auto"/>
        </w:rPr>
        <w:t>regular tax liability</w:t>
      </w:r>
      <w:r w:rsidRPr="008B3051">
        <w:rPr>
          <w:rFonts w:ascii="Verdana" w:hAnsi="Verdana"/>
        </w:rPr>
        <w:t>” means the tax imposed by this chapter for the taxable year.</w:t>
      </w:r>
    </w:p>
    <w:p w14:paraId="3412BFA9" w14:textId="32631336" w:rsidR="00AB7AF9" w:rsidRPr="008B3051" w:rsidRDefault="00AB7AF9" w:rsidP="00AB7AF9">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Exception for certain taxes</w:t>
      </w:r>
      <w:r w:rsidRPr="008B3051">
        <w:rPr>
          <w:rStyle w:val="chapeau"/>
          <w:rFonts w:ascii="Verdana" w:hAnsi="Verdana"/>
        </w:rPr>
        <w:t>For purposes of paragraph (1), any </w:t>
      </w:r>
      <w:r w:rsidRPr="008B3051">
        <w:rPr>
          <w:rStyle w:val="Hyperlink"/>
          <w:rFonts w:ascii="Verdana" w:hAnsi="Verdana"/>
          <w:color w:val="auto"/>
        </w:rPr>
        <w:t>tax</w:t>
      </w:r>
      <w:r w:rsidRPr="008B3051">
        <w:rPr>
          <w:rStyle w:val="chapeau"/>
          <w:rFonts w:ascii="Verdana" w:hAnsi="Verdana"/>
        </w:rPr>
        <w:t> imposed by any of the following provisions shall not be treated as </w:t>
      </w:r>
      <w:r w:rsidRPr="008B3051">
        <w:rPr>
          <w:rStyle w:val="Hyperlink"/>
          <w:rFonts w:ascii="Verdana" w:hAnsi="Verdana"/>
          <w:color w:val="auto"/>
        </w:rPr>
        <w:t>tax</w:t>
      </w:r>
      <w:r w:rsidRPr="008B3051">
        <w:rPr>
          <w:rStyle w:val="chapeau"/>
          <w:rFonts w:ascii="Verdana" w:hAnsi="Verdana"/>
        </w:rPr>
        <w:t> imposed by this chapter:</w:t>
      </w:r>
    </w:p>
    <w:p w14:paraId="4E4F88E4" w14:textId="77777777" w:rsidR="00AB7AF9" w:rsidRPr="008B3051" w:rsidRDefault="00AB7AF9" w:rsidP="00AB7AF9">
      <w:pPr>
        <w:shd w:val="clear" w:color="auto" w:fill="FFFFFF"/>
        <w:rPr>
          <w:rFonts w:ascii="Verdana" w:hAnsi="Verdana"/>
        </w:rPr>
      </w:pPr>
      <w:r w:rsidRPr="008B3051">
        <w:rPr>
          <w:rStyle w:val="num"/>
          <w:rFonts w:ascii="Verdana" w:hAnsi="Verdana"/>
          <w:b/>
          <w:bCs/>
        </w:rPr>
        <w:t>(A)</w:t>
      </w:r>
    </w:p>
    <w:p w14:paraId="5C436C24" w14:textId="46669BF9" w:rsidR="00AB7AF9" w:rsidRPr="008B3051" w:rsidRDefault="00AB7AF9" w:rsidP="00AB7AF9">
      <w:pPr>
        <w:shd w:val="clear" w:color="auto" w:fill="FFFFFF"/>
        <w:rPr>
          <w:rFonts w:ascii="Verdana" w:hAnsi="Verdana"/>
        </w:rPr>
      </w:pPr>
      <w:r w:rsidRPr="008B3051">
        <w:rPr>
          <w:rFonts w:ascii="Verdana" w:hAnsi="Verdana"/>
        </w:rPr>
        <w:t>section 55 (relating to minimum </w:t>
      </w:r>
      <w:r w:rsidRPr="008B3051">
        <w:rPr>
          <w:rStyle w:val="Hyperlink"/>
          <w:rFonts w:ascii="Verdana" w:hAnsi="Verdana"/>
          <w:color w:val="auto"/>
        </w:rPr>
        <w:t>tax</w:t>
      </w:r>
      <w:r w:rsidRPr="008B3051">
        <w:rPr>
          <w:rFonts w:ascii="Verdana" w:hAnsi="Verdana"/>
        </w:rPr>
        <w:t>),</w:t>
      </w:r>
    </w:p>
    <w:p w14:paraId="21988EB3" w14:textId="77777777" w:rsidR="00AB7AF9" w:rsidRPr="008B3051" w:rsidRDefault="00AB7AF9" w:rsidP="00AB7AF9">
      <w:pPr>
        <w:shd w:val="clear" w:color="auto" w:fill="FFFFFF"/>
        <w:rPr>
          <w:rFonts w:ascii="Verdana" w:hAnsi="Verdana"/>
        </w:rPr>
      </w:pPr>
      <w:r w:rsidRPr="008B3051">
        <w:rPr>
          <w:rStyle w:val="num"/>
          <w:rFonts w:ascii="Verdana" w:hAnsi="Verdana"/>
          <w:b/>
          <w:bCs/>
        </w:rPr>
        <w:t>(B)</w:t>
      </w:r>
    </w:p>
    <w:p w14:paraId="74A738E6" w14:textId="2C7679EC" w:rsidR="00AB7AF9" w:rsidRPr="008B3051" w:rsidRDefault="00AB7AF9" w:rsidP="00AB7AF9">
      <w:pPr>
        <w:shd w:val="clear" w:color="auto" w:fill="FFFFFF"/>
        <w:rPr>
          <w:rFonts w:ascii="Verdana" w:hAnsi="Verdana"/>
        </w:rPr>
      </w:pPr>
      <w:r w:rsidRPr="008B3051">
        <w:rPr>
          <w:rFonts w:ascii="Verdana" w:hAnsi="Verdana"/>
        </w:rPr>
        <w:t>section 59A (relating to base erosion and anti-abuse </w:t>
      </w:r>
      <w:r w:rsidRPr="008B3051">
        <w:rPr>
          <w:rStyle w:val="Hyperlink"/>
          <w:rFonts w:ascii="Verdana" w:hAnsi="Verdana"/>
          <w:color w:val="auto"/>
        </w:rPr>
        <w:t>tax</w:t>
      </w:r>
      <w:r w:rsidRPr="008B3051">
        <w:rPr>
          <w:rFonts w:ascii="Verdana" w:hAnsi="Verdana"/>
        </w:rPr>
        <w:t>),</w:t>
      </w:r>
    </w:p>
    <w:p w14:paraId="4E3EC185"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p>
    <w:p w14:paraId="5892EFCB" w14:textId="1DD4B769" w:rsidR="00AB7AF9" w:rsidRPr="008B3051" w:rsidRDefault="00AB7AF9" w:rsidP="00AB7AF9">
      <w:pPr>
        <w:shd w:val="clear" w:color="auto" w:fill="FFFFFF"/>
        <w:rPr>
          <w:rFonts w:ascii="Verdana" w:hAnsi="Verdana"/>
        </w:rPr>
      </w:pPr>
      <w:r w:rsidRPr="008B3051">
        <w:rPr>
          <w:rFonts w:ascii="Verdana" w:hAnsi="Verdana"/>
        </w:rPr>
        <w:t>subsection (m)(5)(B), (q), (t), or (v) of section 72 (relating to additional </w:t>
      </w:r>
      <w:r w:rsidRPr="008B3051">
        <w:rPr>
          <w:rStyle w:val="Hyperlink"/>
          <w:rFonts w:ascii="Verdana" w:hAnsi="Verdana"/>
          <w:color w:val="auto"/>
        </w:rPr>
        <w:t>taxes</w:t>
      </w:r>
      <w:r w:rsidRPr="008B3051">
        <w:rPr>
          <w:rFonts w:ascii="Verdana" w:hAnsi="Verdana"/>
        </w:rPr>
        <w:t> on certain distributions),</w:t>
      </w:r>
    </w:p>
    <w:p w14:paraId="18062ED7" w14:textId="77777777" w:rsidR="00AB7AF9" w:rsidRPr="008B3051" w:rsidRDefault="00AB7AF9" w:rsidP="00AB7AF9">
      <w:pPr>
        <w:shd w:val="clear" w:color="auto" w:fill="FFFFFF"/>
        <w:rPr>
          <w:rFonts w:ascii="Verdana" w:hAnsi="Verdana"/>
        </w:rPr>
      </w:pPr>
      <w:r w:rsidRPr="008B3051">
        <w:rPr>
          <w:rStyle w:val="num"/>
          <w:rFonts w:ascii="Verdana" w:hAnsi="Verdana"/>
          <w:b/>
          <w:bCs/>
        </w:rPr>
        <w:t>(D)</w:t>
      </w:r>
    </w:p>
    <w:p w14:paraId="403FBDC1" w14:textId="586049ED" w:rsidR="00AB7AF9" w:rsidRPr="008B3051" w:rsidRDefault="00AB7AF9" w:rsidP="00AB7AF9">
      <w:pPr>
        <w:shd w:val="clear" w:color="auto" w:fill="FFFFFF"/>
        <w:rPr>
          <w:rFonts w:ascii="Verdana" w:hAnsi="Verdana"/>
        </w:rPr>
      </w:pPr>
      <w:r w:rsidRPr="008B3051">
        <w:rPr>
          <w:rFonts w:ascii="Verdana" w:hAnsi="Verdana"/>
        </w:rPr>
        <w:t>section 143(m) (relating to recapture of proration of Federal subsidy from use of mortgage bondsand </w:t>
      </w:r>
      <w:r w:rsidRPr="008B3051">
        <w:rPr>
          <w:rStyle w:val="Hyperlink"/>
          <w:rFonts w:ascii="Verdana" w:hAnsi="Verdana"/>
          <w:color w:val="auto"/>
        </w:rPr>
        <w:t>mortgage credit certificates</w:t>
      </w:r>
      <w:r w:rsidRPr="008B3051">
        <w:rPr>
          <w:rFonts w:ascii="Verdana" w:hAnsi="Verdana"/>
        </w:rPr>
        <w:t>),</w:t>
      </w:r>
    </w:p>
    <w:p w14:paraId="685F722C" w14:textId="77777777" w:rsidR="00AB7AF9" w:rsidRPr="008B3051" w:rsidRDefault="00AB7AF9" w:rsidP="00AB7AF9">
      <w:pPr>
        <w:shd w:val="clear" w:color="auto" w:fill="FFFFFF"/>
        <w:rPr>
          <w:rFonts w:ascii="Verdana" w:hAnsi="Verdana"/>
        </w:rPr>
      </w:pPr>
      <w:bookmarkStart w:id="449" w:name="b_2_E"/>
      <w:bookmarkEnd w:id="449"/>
      <w:r w:rsidRPr="008B3051">
        <w:rPr>
          <w:rStyle w:val="num"/>
          <w:rFonts w:ascii="Verdana" w:hAnsi="Verdana"/>
          <w:b/>
          <w:bCs/>
        </w:rPr>
        <w:t>(E)</w:t>
      </w:r>
    </w:p>
    <w:p w14:paraId="30ABF2C1" w14:textId="699AC2C1" w:rsidR="00AB7AF9" w:rsidRPr="008B3051" w:rsidRDefault="00AB7AF9" w:rsidP="00AB7AF9">
      <w:pPr>
        <w:shd w:val="clear" w:color="auto" w:fill="FFFFFF"/>
        <w:rPr>
          <w:rFonts w:ascii="Verdana" w:hAnsi="Verdana"/>
        </w:rPr>
      </w:pPr>
      <w:r w:rsidRPr="008B3051">
        <w:rPr>
          <w:rFonts w:ascii="Verdana" w:hAnsi="Verdana"/>
        </w:rPr>
        <w:t>section 530(d)(4) (relating to additional </w:t>
      </w:r>
      <w:r w:rsidRPr="008B3051">
        <w:rPr>
          <w:rStyle w:val="Hyperlink"/>
          <w:rFonts w:ascii="Verdana" w:hAnsi="Verdana"/>
          <w:color w:val="auto"/>
        </w:rPr>
        <w:t>tax</w:t>
      </w:r>
      <w:r w:rsidRPr="008B3051">
        <w:rPr>
          <w:rFonts w:ascii="Verdana" w:hAnsi="Verdana"/>
        </w:rPr>
        <w:t> on certain distributions from Coverdell education savings accounts),</w:t>
      </w:r>
    </w:p>
    <w:p w14:paraId="4F8C97C0" w14:textId="77777777" w:rsidR="00AB7AF9" w:rsidRPr="008B3051" w:rsidRDefault="00AB7AF9" w:rsidP="00AB7AF9">
      <w:pPr>
        <w:shd w:val="clear" w:color="auto" w:fill="FFFFFF"/>
        <w:rPr>
          <w:rFonts w:ascii="Verdana" w:hAnsi="Verdana"/>
        </w:rPr>
      </w:pPr>
      <w:bookmarkStart w:id="450" w:name="b_2_F"/>
      <w:bookmarkEnd w:id="450"/>
      <w:r w:rsidRPr="008B3051">
        <w:rPr>
          <w:rStyle w:val="num"/>
          <w:rFonts w:ascii="Verdana" w:hAnsi="Verdana"/>
          <w:b/>
          <w:bCs/>
        </w:rPr>
        <w:lastRenderedPageBreak/>
        <w:t>(F)</w:t>
      </w:r>
    </w:p>
    <w:p w14:paraId="5FA67F15" w14:textId="6DC2B6C1" w:rsidR="00AB7AF9" w:rsidRPr="008B3051" w:rsidRDefault="00AB7AF9" w:rsidP="00AB7AF9">
      <w:pPr>
        <w:shd w:val="clear" w:color="auto" w:fill="FFFFFF"/>
        <w:rPr>
          <w:rFonts w:ascii="Verdana" w:hAnsi="Verdana"/>
        </w:rPr>
      </w:pPr>
      <w:r w:rsidRPr="008B3051">
        <w:rPr>
          <w:rFonts w:ascii="Verdana" w:hAnsi="Verdana"/>
        </w:rPr>
        <w:t>section 531 (relating to accumulated earnings </w:t>
      </w:r>
      <w:r w:rsidRPr="008B3051">
        <w:rPr>
          <w:rStyle w:val="Hyperlink"/>
          <w:rFonts w:ascii="Verdana" w:hAnsi="Verdana"/>
          <w:color w:val="auto"/>
        </w:rPr>
        <w:t>tax</w:t>
      </w:r>
      <w:r w:rsidRPr="008B3051">
        <w:rPr>
          <w:rFonts w:ascii="Verdana" w:hAnsi="Verdana"/>
        </w:rPr>
        <w:t>),</w:t>
      </w:r>
    </w:p>
    <w:p w14:paraId="11663CC5" w14:textId="77777777" w:rsidR="00AB7AF9" w:rsidRPr="008B3051" w:rsidRDefault="00AB7AF9" w:rsidP="00AB7AF9">
      <w:pPr>
        <w:shd w:val="clear" w:color="auto" w:fill="FFFFFF"/>
        <w:rPr>
          <w:rFonts w:ascii="Verdana" w:hAnsi="Verdana"/>
        </w:rPr>
      </w:pPr>
      <w:bookmarkStart w:id="451" w:name="b_2_G"/>
      <w:bookmarkEnd w:id="451"/>
      <w:r w:rsidRPr="008B3051">
        <w:rPr>
          <w:rStyle w:val="num"/>
          <w:rFonts w:ascii="Verdana" w:hAnsi="Verdana"/>
          <w:b/>
          <w:bCs/>
        </w:rPr>
        <w:t>(G)</w:t>
      </w:r>
    </w:p>
    <w:p w14:paraId="1A3619E0" w14:textId="73A2AB5E" w:rsidR="00AB7AF9" w:rsidRPr="008B3051" w:rsidRDefault="00AB7AF9" w:rsidP="00AB7AF9">
      <w:pPr>
        <w:shd w:val="clear" w:color="auto" w:fill="FFFFFF"/>
        <w:rPr>
          <w:rFonts w:ascii="Verdana" w:hAnsi="Verdana"/>
        </w:rPr>
      </w:pPr>
      <w:r w:rsidRPr="008B3051">
        <w:rPr>
          <w:rFonts w:ascii="Verdana" w:hAnsi="Verdana"/>
        </w:rPr>
        <w:t>section 541 (relating to </w:t>
      </w:r>
      <w:r w:rsidRPr="008B3051">
        <w:rPr>
          <w:rStyle w:val="Hyperlink"/>
          <w:rFonts w:ascii="Verdana" w:hAnsi="Verdana"/>
          <w:color w:val="auto"/>
        </w:rPr>
        <w:t>personal holding company</w:t>
      </w:r>
      <w:r w:rsidRPr="008B3051">
        <w:rPr>
          <w:rFonts w:ascii="Verdana" w:hAnsi="Verdana"/>
        </w:rPr>
        <w:t> tax),</w:t>
      </w:r>
    </w:p>
    <w:p w14:paraId="288B64B8" w14:textId="77777777" w:rsidR="00AB7AF9" w:rsidRPr="008B3051" w:rsidRDefault="00AB7AF9" w:rsidP="00AB7AF9">
      <w:pPr>
        <w:shd w:val="clear" w:color="auto" w:fill="FFFFFF"/>
        <w:rPr>
          <w:rFonts w:ascii="Verdana" w:hAnsi="Verdana"/>
        </w:rPr>
      </w:pPr>
      <w:bookmarkStart w:id="452" w:name="b_2_H"/>
      <w:bookmarkEnd w:id="452"/>
      <w:r w:rsidRPr="008B3051">
        <w:rPr>
          <w:rStyle w:val="num"/>
          <w:rFonts w:ascii="Verdana" w:hAnsi="Verdana"/>
          <w:b/>
          <w:bCs/>
        </w:rPr>
        <w:t>(H)</w:t>
      </w:r>
    </w:p>
    <w:p w14:paraId="06A39F1E" w14:textId="7EF0A9CF" w:rsidR="00AB7AF9" w:rsidRPr="008B3051" w:rsidRDefault="00AB7AF9" w:rsidP="00AB7AF9">
      <w:pPr>
        <w:shd w:val="clear" w:color="auto" w:fill="FFFFFF"/>
        <w:rPr>
          <w:rFonts w:ascii="Verdana" w:hAnsi="Verdana"/>
        </w:rPr>
      </w:pPr>
      <w:r w:rsidRPr="008B3051">
        <w:rPr>
          <w:rFonts w:ascii="Verdana" w:hAnsi="Verdana"/>
        </w:rPr>
        <w:t>section 1351(d)(1) (relating to recoveries of </w:t>
      </w:r>
      <w:r w:rsidRPr="008B3051">
        <w:rPr>
          <w:rStyle w:val="Hyperlink"/>
          <w:rFonts w:ascii="Verdana" w:hAnsi="Verdana"/>
          <w:color w:val="auto"/>
        </w:rPr>
        <w:t>foreign</w:t>
      </w:r>
      <w:r w:rsidRPr="008B3051">
        <w:rPr>
          <w:rFonts w:ascii="Verdana" w:hAnsi="Verdana"/>
        </w:rPr>
        <w:t> expropriation losses),</w:t>
      </w:r>
    </w:p>
    <w:p w14:paraId="4E1C052F" w14:textId="77777777" w:rsidR="00AB7AF9" w:rsidRPr="008B3051" w:rsidRDefault="00AB7AF9" w:rsidP="00AB7AF9">
      <w:pPr>
        <w:shd w:val="clear" w:color="auto" w:fill="FFFFFF"/>
        <w:rPr>
          <w:rFonts w:ascii="Verdana" w:hAnsi="Verdana"/>
        </w:rPr>
      </w:pPr>
      <w:bookmarkStart w:id="453" w:name="b_2_I"/>
      <w:bookmarkEnd w:id="453"/>
      <w:r w:rsidRPr="008B3051">
        <w:rPr>
          <w:rStyle w:val="num"/>
          <w:rFonts w:ascii="Verdana" w:hAnsi="Verdana"/>
          <w:b/>
          <w:bCs/>
        </w:rPr>
        <w:t>(I)</w:t>
      </w:r>
    </w:p>
    <w:p w14:paraId="23FFBA43" w14:textId="252B4102" w:rsidR="00AB7AF9" w:rsidRPr="008B3051" w:rsidRDefault="00AB7AF9" w:rsidP="00AB7AF9">
      <w:pPr>
        <w:shd w:val="clear" w:color="auto" w:fill="FFFFFF"/>
        <w:rPr>
          <w:rFonts w:ascii="Verdana" w:hAnsi="Verdana"/>
        </w:rPr>
      </w:pPr>
      <w:r w:rsidRPr="008B3051">
        <w:rPr>
          <w:rFonts w:ascii="Verdana" w:hAnsi="Verdana"/>
        </w:rPr>
        <w:t>section 1374 (relating to </w:t>
      </w:r>
      <w:r w:rsidRPr="008B3051">
        <w:rPr>
          <w:rStyle w:val="Hyperlink"/>
          <w:rFonts w:ascii="Verdana" w:hAnsi="Verdana"/>
          <w:color w:val="auto"/>
        </w:rPr>
        <w:t>tax</w:t>
      </w:r>
      <w:r w:rsidRPr="008B3051">
        <w:rPr>
          <w:rFonts w:ascii="Verdana" w:hAnsi="Verdana"/>
        </w:rPr>
        <w:t> on certain built-in </w:t>
      </w:r>
      <w:r w:rsidRPr="008B3051">
        <w:rPr>
          <w:rStyle w:val="Hyperlink"/>
          <w:rFonts w:ascii="Verdana" w:hAnsi="Verdana"/>
          <w:color w:val="auto"/>
        </w:rPr>
        <w:t>gains</w:t>
      </w:r>
      <w:r w:rsidRPr="008B3051">
        <w:rPr>
          <w:rFonts w:ascii="Verdana" w:hAnsi="Verdana"/>
        </w:rPr>
        <w:t> of </w:t>
      </w:r>
      <w:r w:rsidRPr="008B3051">
        <w:rPr>
          <w:rStyle w:val="Hyperlink"/>
          <w:rFonts w:ascii="Verdana" w:hAnsi="Verdana"/>
          <w:color w:val="auto"/>
        </w:rPr>
        <w:t>S corporations</w:t>
      </w:r>
      <w:r w:rsidRPr="008B3051">
        <w:rPr>
          <w:rFonts w:ascii="Verdana" w:hAnsi="Verdana"/>
        </w:rPr>
        <w:t>),</w:t>
      </w:r>
    </w:p>
    <w:p w14:paraId="24995C2E" w14:textId="77777777" w:rsidR="00AB7AF9" w:rsidRPr="008B3051" w:rsidRDefault="00AB7AF9" w:rsidP="00AB7AF9">
      <w:pPr>
        <w:shd w:val="clear" w:color="auto" w:fill="FFFFFF"/>
        <w:rPr>
          <w:rFonts w:ascii="Verdana" w:hAnsi="Verdana"/>
        </w:rPr>
      </w:pPr>
      <w:bookmarkStart w:id="454" w:name="b_2_J"/>
      <w:bookmarkEnd w:id="454"/>
      <w:r w:rsidRPr="008B3051">
        <w:rPr>
          <w:rStyle w:val="num"/>
          <w:rFonts w:ascii="Verdana" w:hAnsi="Verdana"/>
          <w:b/>
          <w:bCs/>
        </w:rPr>
        <w:t>(J)</w:t>
      </w:r>
    </w:p>
    <w:p w14:paraId="2A722143" w14:textId="19527421" w:rsidR="00AB7AF9" w:rsidRPr="008B3051" w:rsidRDefault="00AB7AF9" w:rsidP="00AB7AF9">
      <w:pPr>
        <w:shd w:val="clear" w:color="auto" w:fill="FFFFFF"/>
        <w:rPr>
          <w:rFonts w:ascii="Verdana" w:hAnsi="Verdana"/>
        </w:rPr>
      </w:pPr>
      <w:r w:rsidRPr="008B3051">
        <w:rPr>
          <w:rFonts w:ascii="Verdana" w:hAnsi="Verdana"/>
        </w:rPr>
        <w:t>section 1375 (relating to </w:t>
      </w:r>
      <w:r w:rsidRPr="008B3051">
        <w:rPr>
          <w:rStyle w:val="Hyperlink"/>
          <w:rFonts w:ascii="Verdana" w:hAnsi="Verdana"/>
          <w:color w:val="auto"/>
        </w:rPr>
        <w:t>tax</w:t>
      </w:r>
      <w:r w:rsidRPr="008B3051">
        <w:rPr>
          <w:rFonts w:ascii="Verdana" w:hAnsi="Verdana"/>
        </w:rPr>
        <w:t> imposed when </w:t>
      </w:r>
      <w:r w:rsidRPr="008B3051">
        <w:rPr>
          <w:rStyle w:val="Hyperlink"/>
          <w:rFonts w:ascii="Verdana" w:hAnsi="Verdana"/>
          <w:color w:val="auto"/>
        </w:rPr>
        <w:t>passive investment income</w:t>
      </w:r>
      <w:r w:rsidRPr="008B3051">
        <w:rPr>
          <w:rFonts w:ascii="Verdana" w:hAnsi="Verdana"/>
        </w:rPr>
        <w:t> of corporation having subchapter C earnings and profits exceeds 25 percent of gross receipts),</w:t>
      </w:r>
    </w:p>
    <w:p w14:paraId="7772C4EE" w14:textId="77777777" w:rsidR="00AB7AF9" w:rsidRPr="008B3051" w:rsidRDefault="00AB7AF9" w:rsidP="00AB7AF9">
      <w:pPr>
        <w:shd w:val="clear" w:color="auto" w:fill="FFFFFF"/>
        <w:rPr>
          <w:rFonts w:ascii="Verdana" w:hAnsi="Verdana"/>
        </w:rPr>
      </w:pPr>
      <w:bookmarkStart w:id="455" w:name="b_2_K"/>
      <w:bookmarkEnd w:id="455"/>
      <w:r w:rsidRPr="008B3051">
        <w:rPr>
          <w:rStyle w:val="num"/>
          <w:rFonts w:ascii="Verdana" w:hAnsi="Verdana"/>
          <w:b/>
          <w:bCs/>
        </w:rPr>
        <w:t>(K)</w:t>
      </w:r>
    </w:p>
    <w:p w14:paraId="08F9C424" w14:textId="77777777" w:rsidR="00AB7AF9" w:rsidRPr="008B3051" w:rsidRDefault="00AB7AF9" w:rsidP="00AB7AF9">
      <w:pPr>
        <w:shd w:val="clear" w:color="auto" w:fill="FFFFFF"/>
        <w:rPr>
          <w:rFonts w:ascii="Verdana" w:hAnsi="Verdana"/>
        </w:rPr>
      </w:pPr>
      <w:r w:rsidRPr="008B3051">
        <w:rPr>
          <w:rFonts w:ascii="Verdana" w:hAnsi="Verdana"/>
        </w:rPr>
        <w:t>subparagraph (A) of section 7518(g)(6) (relating to nonqualified withdrawals from capital construction funds taxed at highest marginal rate),</w:t>
      </w:r>
    </w:p>
    <w:p w14:paraId="70E65F49" w14:textId="77777777" w:rsidR="00AB7AF9" w:rsidRPr="008B3051" w:rsidRDefault="00AB7AF9" w:rsidP="00AB7AF9">
      <w:pPr>
        <w:shd w:val="clear" w:color="auto" w:fill="FFFFFF"/>
        <w:rPr>
          <w:rFonts w:ascii="Verdana" w:hAnsi="Verdana"/>
        </w:rPr>
      </w:pPr>
      <w:bookmarkStart w:id="456" w:name="b_2_L"/>
      <w:bookmarkEnd w:id="456"/>
      <w:r w:rsidRPr="008B3051">
        <w:rPr>
          <w:rStyle w:val="num"/>
          <w:rFonts w:ascii="Verdana" w:hAnsi="Verdana"/>
          <w:b/>
          <w:bCs/>
        </w:rPr>
        <w:t>(L)</w:t>
      </w:r>
    </w:p>
    <w:p w14:paraId="50E254ED" w14:textId="28BE2455" w:rsidR="00AB7AF9" w:rsidRPr="008B3051" w:rsidRDefault="00AB7AF9" w:rsidP="00AB7AF9">
      <w:pPr>
        <w:shd w:val="clear" w:color="auto" w:fill="FFFFFF"/>
        <w:rPr>
          <w:rFonts w:ascii="Verdana" w:hAnsi="Verdana"/>
        </w:rPr>
      </w:pPr>
      <w:r w:rsidRPr="008B3051">
        <w:rPr>
          <w:rFonts w:ascii="Verdana" w:hAnsi="Verdana"/>
        </w:rPr>
        <w:t>sections 871(a) and 881 (relating to certain income of nonresident aliens and foreign</w:t>
      </w:r>
      <w:r w:rsidRPr="008B3051">
        <w:rPr>
          <w:rStyle w:val="Hyperlink"/>
          <w:rFonts w:ascii="Verdana" w:hAnsi="Verdana"/>
          <w:color w:val="auto"/>
        </w:rPr>
        <w:t>corporations</w:t>
      </w:r>
      <w:r w:rsidRPr="008B3051">
        <w:rPr>
          <w:rFonts w:ascii="Verdana" w:hAnsi="Verdana"/>
        </w:rPr>
        <w:t>),</w:t>
      </w:r>
    </w:p>
    <w:p w14:paraId="15E0E709" w14:textId="77777777" w:rsidR="00AB7AF9" w:rsidRPr="008B3051" w:rsidRDefault="00AB7AF9" w:rsidP="00AB7AF9">
      <w:pPr>
        <w:shd w:val="clear" w:color="auto" w:fill="FFFFFF"/>
        <w:rPr>
          <w:rFonts w:ascii="Verdana" w:hAnsi="Verdana"/>
        </w:rPr>
      </w:pPr>
      <w:bookmarkStart w:id="457" w:name="b_2_M"/>
      <w:bookmarkEnd w:id="457"/>
      <w:r w:rsidRPr="008B3051">
        <w:rPr>
          <w:rStyle w:val="num"/>
          <w:rFonts w:ascii="Verdana" w:hAnsi="Verdana"/>
          <w:b/>
          <w:bCs/>
        </w:rPr>
        <w:t>(M)</w:t>
      </w:r>
    </w:p>
    <w:p w14:paraId="700BFD10" w14:textId="7D82F60B" w:rsidR="00AB7AF9" w:rsidRPr="008B3051" w:rsidRDefault="00AB7AF9" w:rsidP="00AB7AF9">
      <w:pPr>
        <w:shd w:val="clear" w:color="auto" w:fill="FFFFFF"/>
        <w:rPr>
          <w:rFonts w:ascii="Verdana" w:hAnsi="Verdana"/>
        </w:rPr>
      </w:pPr>
      <w:r w:rsidRPr="008B3051">
        <w:rPr>
          <w:rFonts w:ascii="Verdana" w:hAnsi="Verdana"/>
        </w:rPr>
        <w:t>section 860E(e) (relating to </w:t>
      </w:r>
      <w:r w:rsidRPr="008B3051">
        <w:rPr>
          <w:rStyle w:val="Hyperlink"/>
          <w:rFonts w:ascii="Verdana" w:hAnsi="Verdana"/>
          <w:color w:val="auto"/>
        </w:rPr>
        <w:t>taxes</w:t>
      </w:r>
      <w:r w:rsidRPr="008B3051">
        <w:rPr>
          <w:rFonts w:ascii="Verdana" w:hAnsi="Verdana"/>
        </w:rPr>
        <w:t> with respect to certain residual </w:t>
      </w:r>
      <w:r w:rsidRPr="008B3051">
        <w:rPr>
          <w:rStyle w:val="Hyperlink"/>
          <w:rFonts w:ascii="Verdana" w:hAnsi="Verdana"/>
          <w:color w:val="auto"/>
        </w:rPr>
        <w:t>interests</w:t>
      </w:r>
      <w:r w:rsidRPr="008B3051">
        <w:rPr>
          <w:rFonts w:ascii="Verdana" w:hAnsi="Verdana"/>
        </w:rPr>
        <w:t>),</w:t>
      </w:r>
    </w:p>
    <w:p w14:paraId="16F842E1" w14:textId="77777777" w:rsidR="00AB7AF9" w:rsidRPr="008B3051" w:rsidRDefault="00AB7AF9" w:rsidP="00AB7AF9">
      <w:pPr>
        <w:shd w:val="clear" w:color="auto" w:fill="FFFFFF"/>
        <w:rPr>
          <w:rFonts w:ascii="Verdana" w:hAnsi="Verdana"/>
        </w:rPr>
      </w:pPr>
      <w:bookmarkStart w:id="458" w:name="b_2_N"/>
      <w:bookmarkEnd w:id="458"/>
      <w:r w:rsidRPr="008B3051">
        <w:rPr>
          <w:rStyle w:val="num"/>
          <w:rFonts w:ascii="Verdana" w:hAnsi="Verdana"/>
          <w:b/>
          <w:bCs/>
        </w:rPr>
        <w:t>(N)</w:t>
      </w:r>
    </w:p>
    <w:p w14:paraId="4D2A7326" w14:textId="132E5797" w:rsidR="00AB7AF9" w:rsidRPr="008B3051" w:rsidRDefault="00AB7AF9" w:rsidP="00AB7AF9">
      <w:pPr>
        <w:shd w:val="clear" w:color="auto" w:fill="FFFFFF"/>
        <w:rPr>
          <w:rFonts w:ascii="Verdana" w:hAnsi="Verdana"/>
        </w:rPr>
      </w:pPr>
      <w:r w:rsidRPr="008B3051">
        <w:rPr>
          <w:rFonts w:ascii="Verdana" w:hAnsi="Verdana"/>
        </w:rPr>
        <w:t>section 884 (relating to branch profits </w:t>
      </w:r>
      <w:r w:rsidRPr="008B3051">
        <w:rPr>
          <w:rStyle w:val="Hyperlink"/>
          <w:rFonts w:ascii="Verdana" w:hAnsi="Verdana"/>
          <w:color w:val="auto"/>
        </w:rPr>
        <w:t>tax</w:t>
      </w:r>
      <w:r w:rsidRPr="008B3051">
        <w:rPr>
          <w:rFonts w:ascii="Verdana" w:hAnsi="Verdana"/>
        </w:rPr>
        <w:t>),</w:t>
      </w:r>
    </w:p>
    <w:p w14:paraId="70906898" w14:textId="77777777" w:rsidR="00AB7AF9" w:rsidRPr="008B3051" w:rsidRDefault="00AB7AF9" w:rsidP="00AB7AF9">
      <w:pPr>
        <w:shd w:val="clear" w:color="auto" w:fill="FFFFFF"/>
        <w:rPr>
          <w:rFonts w:ascii="Verdana" w:hAnsi="Verdana"/>
        </w:rPr>
      </w:pPr>
      <w:bookmarkStart w:id="459" w:name="b_2_O"/>
      <w:bookmarkEnd w:id="459"/>
      <w:r w:rsidRPr="008B3051">
        <w:rPr>
          <w:rStyle w:val="num"/>
          <w:rFonts w:ascii="Verdana" w:hAnsi="Verdana"/>
          <w:b/>
          <w:bCs/>
        </w:rPr>
        <w:t>(O)</w:t>
      </w:r>
    </w:p>
    <w:p w14:paraId="6F098FB8" w14:textId="694C837E" w:rsidR="00AB7AF9" w:rsidRPr="008B3051" w:rsidRDefault="00AB7AF9" w:rsidP="00AB7AF9">
      <w:pPr>
        <w:shd w:val="clear" w:color="auto" w:fill="FFFFFF"/>
        <w:rPr>
          <w:rFonts w:ascii="Verdana" w:hAnsi="Verdana"/>
        </w:rPr>
      </w:pPr>
      <w:r w:rsidRPr="008B3051">
        <w:rPr>
          <w:rFonts w:ascii="Verdana" w:hAnsi="Verdana"/>
        </w:rPr>
        <w:t>sections 453(l)(3) and 453A(c) (relating to </w:t>
      </w:r>
      <w:r w:rsidRPr="008B3051">
        <w:rPr>
          <w:rStyle w:val="Hyperlink"/>
          <w:rFonts w:ascii="Verdana" w:hAnsi="Verdana"/>
          <w:color w:val="auto"/>
        </w:rPr>
        <w:t>interest</w:t>
      </w:r>
      <w:r w:rsidRPr="008B3051">
        <w:rPr>
          <w:rFonts w:ascii="Verdana" w:hAnsi="Verdana"/>
        </w:rPr>
        <w:t> on certain deferred tax liabilities),</w:t>
      </w:r>
    </w:p>
    <w:p w14:paraId="5CDB7376" w14:textId="77777777" w:rsidR="00AB7AF9" w:rsidRPr="008B3051" w:rsidRDefault="00AB7AF9" w:rsidP="00AB7AF9">
      <w:pPr>
        <w:shd w:val="clear" w:color="auto" w:fill="FFFFFF"/>
        <w:rPr>
          <w:rFonts w:ascii="Verdana" w:hAnsi="Verdana"/>
        </w:rPr>
      </w:pPr>
      <w:bookmarkStart w:id="460" w:name="b_2_P"/>
      <w:bookmarkEnd w:id="460"/>
      <w:r w:rsidRPr="008B3051">
        <w:rPr>
          <w:rStyle w:val="num"/>
          <w:rFonts w:ascii="Verdana" w:hAnsi="Verdana"/>
          <w:b/>
          <w:bCs/>
        </w:rPr>
        <w:t>(P)</w:t>
      </w:r>
    </w:p>
    <w:p w14:paraId="69E96C2D" w14:textId="1ED164FD" w:rsidR="00AB7AF9" w:rsidRPr="008B3051" w:rsidRDefault="00AB7AF9" w:rsidP="00AB7AF9">
      <w:pPr>
        <w:shd w:val="clear" w:color="auto" w:fill="FFFFFF"/>
        <w:rPr>
          <w:rFonts w:ascii="Verdana" w:hAnsi="Verdana"/>
        </w:rPr>
      </w:pPr>
      <w:r w:rsidRPr="008B3051">
        <w:rPr>
          <w:rFonts w:ascii="Verdana" w:hAnsi="Verdana"/>
        </w:rPr>
        <w:t>section 860K </w:t>
      </w:r>
      <w:bookmarkStart w:id="461" w:name="fn002017-ref"/>
      <w:r w:rsidRPr="008B3051">
        <w:rPr>
          <w:rFonts w:ascii="Verdana" w:hAnsi="Verdana"/>
          <w:sz w:val="17"/>
          <w:szCs w:val="17"/>
        </w:rPr>
        <w:t>[1]</w:t>
      </w:r>
      <w:bookmarkEnd w:id="461"/>
      <w:r w:rsidRPr="008B3051">
        <w:rPr>
          <w:rFonts w:ascii="Verdana" w:hAnsi="Verdana"/>
        </w:rPr>
        <w:t> (relating to treatment of transfers of high-yield</w:t>
      </w:r>
      <w:r w:rsidRPr="008B3051">
        <w:rPr>
          <w:rStyle w:val="Hyperlink"/>
          <w:rFonts w:ascii="Verdana" w:hAnsi="Verdana"/>
          <w:color w:val="auto"/>
        </w:rPr>
        <w:t> interests </w:t>
      </w:r>
      <w:r w:rsidRPr="008B3051">
        <w:rPr>
          <w:rFonts w:ascii="Verdana" w:hAnsi="Verdana"/>
        </w:rPr>
        <w:t>to disqualified holders),</w:t>
      </w:r>
    </w:p>
    <w:p w14:paraId="3AE7F348" w14:textId="77777777" w:rsidR="00AB7AF9" w:rsidRPr="008B3051" w:rsidRDefault="00AB7AF9" w:rsidP="00AB7AF9">
      <w:pPr>
        <w:shd w:val="clear" w:color="auto" w:fill="FFFFFF"/>
        <w:rPr>
          <w:rFonts w:ascii="Verdana" w:hAnsi="Verdana"/>
        </w:rPr>
      </w:pPr>
      <w:bookmarkStart w:id="462" w:name="b_2_Q"/>
      <w:bookmarkEnd w:id="462"/>
      <w:r w:rsidRPr="008B3051">
        <w:rPr>
          <w:rStyle w:val="num"/>
          <w:rFonts w:ascii="Verdana" w:hAnsi="Verdana"/>
          <w:b/>
          <w:bCs/>
        </w:rPr>
        <w:t>(Q)</w:t>
      </w:r>
    </w:p>
    <w:p w14:paraId="6F6CF170" w14:textId="787F140D" w:rsidR="00AB7AF9" w:rsidRPr="008B3051" w:rsidRDefault="00AB7AF9" w:rsidP="00AB7AF9">
      <w:pPr>
        <w:shd w:val="clear" w:color="auto" w:fill="FFFFFF"/>
        <w:rPr>
          <w:rFonts w:ascii="Verdana" w:hAnsi="Verdana"/>
        </w:rPr>
      </w:pPr>
      <w:r w:rsidRPr="008B3051">
        <w:rPr>
          <w:rFonts w:ascii="Verdana" w:hAnsi="Verdana"/>
        </w:rPr>
        <w:t>section 220(f)(4) (relating to additional </w:t>
      </w:r>
      <w:r w:rsidRPr="008B3051">
        <w:rPr>
          <w:rStyle w:val="Hyperlink"/>
          <w:rFonts w:ascii="Verdana" w:hAnsi="Verdana"/>
          <w:color w:val="auto"/>
        </w:rPr>
        <w:t>tax</w:t>
      </w:r>
      <w:r w:rsidRPr="008B3051">
        <w:rPr>
          <w:rFonts w:ascii="Verdana" w:hAnsi="Verdana"/>
        </w:rPr>
        <w:t> on </w:t>
      </w:r>
      <w:r w:rsidRPr="008B3051">
        <w:rPr>
          <w:rStyle w:val="Hyperlink"/>
          <w:rFonts w:ascii="Verdana" w:hAnsi="Verdana"/>
          <w:color w:val="auto"/>
        </w:rPr>
        <w:t>Archer MSA</w:t>
      </w:r>
      <w:r w:rsidRPr="008B3051">
        <w:rPr>
          <w:rFonts w:ascii="Verdana" w:hAnsi="Verdana"/>
        </w:rPr>
        <w:t> distributions not used for qualified medical expenses),</w:t>
      </w:r>
    </w:p>
    <w:p w14:paraId="41773F30" w14:textId="77777777" w:rsidR="00AB7AF9" w:rsidRPr="008B3051" w:rsidRDefault="00AB7AF9" w:rsidP="00AB7AF9">
      <w:pPr>
        <w:shd w:val="clear" w:color="auto" w:fill="FFFFFF"/>
        <w:rPr>
          <w:rFonts w:ascii="Verdana" w:hAnsi="Verdana"/>
        </w:rPr>
      </w:pPr>
      <w:bookmarkStart w:id="463" w:name="b_2_R"/>
      <w:bookmarkEnd w:id="463"/>
      <w:r w:rsidRPr="008B3051">
        <w:rPr>
          <w:rStyle w:val="num"/>
          <w:rFonts w:ascii="Verdana" w:hAnsi="Verdana"/>
          <w:b/>
          <w:bCs/>
        </w:rPr>
        <w:lastRenderedPageBreak/>
        <w:t>(R)</w:t>
      </w:r>
    </w:p>
    <w:p w14:paraId="16BFE4B0" w14:textId="77777777" w:rsidR="00AB7AF9" w:rsidRPr="008B3051" w:rsidRDefault="00AB7AF9" w:rsidP="00AB7AF9">
      <w:pPr>
        <w:shd w:val="clear" w:color="auto" w:fill="FFFFFF"/>
        <w:rPr>
          <w:rFonts w:ascii="Verdana" w:hAnsi="Verdana"/>
        </w:rPr>
      </w:pPr>
      <w:r w:rsidRPr="008B3051">
        <w:rPr>
          <w:rFonts w:ascii="Verdana" w:hAnsi="Verdana"/>
        </w:rPr>
        <w:t>section 138(c)(2) (relating to penalty for distributions from Medicare Advantage MSA not used for qualified medical expenses if minimum balance not maintained),</w:t>
      </w:r>
    </w:p>
    <w:p w14:paraId="5AB4FC04" w14:textId="77777777" w:rsidR="00AB7AF9" w:rsidRPr="008B3051" w:rsidRDefault="00AB7AF9" w:rsidP="00AB7AF9">
      <w:pPr>
        <w:shd w:val="clear" w:color="auto" w:fill="FFFFFF"/>
        <w:rPr>
          <w:rFonts w:ascii="Verdana" w:hAnsi="Verdana"/>
        </w:rPr>
      </w:pPr>
      <w:bookmarkStart w:id="464" w:name="b_2_S"/>
      <w:bookmarkEnd w:id="464"/>
      <w:r w:rsidRPr="008B3051">
        <w:rPr>
          <w:rStyle w:val="num"/>
          <w:rFonts w:ascii="Verdana" w:hAnsi="Verdana"/>
          <w:b/>
          <w:bCs/>
        </w:rPr>
        <w:t>(S)</w:t>
      </w:r>
    </w:p>
    <w:p w14:paraId="6C351B9D" w14:textId="6D0EEDA9" w:rsidR="00AB7AF9" w:rsidRPr="008B3051" w:rsidRDefault="00AB7AF9" w:rsidP="00AB7AF9">
      <w:pPr>
        <w:shd w:val="clear" w:color="auto" w:fill="FFFFFF"/>
        <w:rPr>
          <w:rFonts w:ascii="Verdana" w:hAnsi="Verdana"/>
        </w:rPr>
      </w:pPr>
      <w:r w:rsidRPr="008B3051">
        <w:rPr>
          <w:rFonts w:ascii="Verdana" w:hAnsi="Verdana"/>
        </w:rPr>
        <w:t>sections 106(e)(3)(A)(ii), 223(b)(8)(B)(i)(II), and 408(d)(9)(D)(i)(II) (relating to certain failures to maintain high deductible health </w:t>
      </w:r>
      <w:r w:rsidRPr="008B3051">
        <w:rPr>
          <w:rStyle w:val="Hyperlink"/>
          <w:rFonts w:ascii="Verdana" w:hAnsi="Verdana"/>
          <w:color w:val="auto"/>
        </w:rPr>
        <w:t>plan</w:t>
      </w:r>
      <w:r w:rsidRPr="008B3051">
        <w:rPr>
          <w:rFonts w:ascii="Verdana" w:hAnsi="Verdana"/>
        </w:rPr>
        <w:t> coverage),</w:t>
      </w:r>
    </w:p>
    <w:p w14:paraId="4C714108" w14:textId="77777777" w:rsidR="00AB7AF9" w:rsidRPr="008B3051" w:rsidRDefault="00AB7AF9" w:rsidP="00AB7AF9">
      <w:pPr>
        <w:shd w:val="clear" w:color="auto" w:fill="FFFFFF"/>
        <w:rPr>
          <w:rFonts w:ascii="Verdana" w:hAnsi="Verdana"/>
        </w:rPr>
      </w:pPr>
      <w:bookmarkStart w:id="465" w:name="b_2_T"/>
      <w:bookmarkEnd w:id="465"/>
      <w:r w:rsidRPr="008B3051">
        <w:rPr>
          <w:rStyle w:val="num"/>
          <w:rFonts w:ascii="Verdana" w:hAnsi="Verdana"/>
          <w:b/>
          <w:bCs/>
        </w:rPr>
        <w:t>(T)</w:t>
      </w:r>
    </w:p>
    <w:p w14:paraId="2FD8B86F" w14:textId="77777777" w:rsidR="00AB7AF9" w:rsidRPr="008B3051" w:rsidRDefault="00AB7AF9" w:rsidP="00AB7AF9">
      <w:pPr>
        <w:shd w:val="clear" w:color="auto" w:fill="FFFFFF"/>
        <w:rPr>
          <w:rFonts w:ascii="Verdana" w:hAnsi="Verdana"/>
        </w:rPr>
      </w:pPr>
      <w:r w:rsidRPr="008B3051">
        <w:rPr>
          <w:rFonts w:ascii="Verdana" w:hAnsi="Verdana"/>
        </w:rPr>
        <w:t>section 170(o)(3)(B) (relating to recapture of certain deductions for fractional gifts),</w:t>
      </w:r>
    </w:p>
    <w:p w14:paraId="28283CB6" w14:textId="77777777" w:rsidR="00AB7AF9" w:rsidRPr="008B3051" w:rsidRDefault="00AB7AF9" w:rsidP="00AB7AF9">
      <w:pPr>
        <w:shd w:val="clear" w:color="auto" w:fill="FFFFFF"/>
        <w:rPr>
          <w:rFonts w:ascii="Verdana" w:hAnsi="Verdana"/>
        </w:rPr>
      </w:pPr>
      <w:bookmarkStart w:id="466" w:name="b_2_U"/>
      <w:bookmarkEnd w:id="466"/>
      <w:r w:rsidRPr="008B3051">
        <w:rPr>
          <w:rStyle w:val="num"/>
          <w:rFonts w:ascii="Verdana" w:hAnsi="Verdana"/>
          <w:b/>
          <w:bCs/>
        </w:rPr>
        <w:t>(U)</w:t>
      </w:r>
    </w:p>
    <w:p w14:paraId="2AADE969" w14:textId="09639D9E" w:rsidR="00AB7AF9" w:rsidRPr="008B3051" w:rsidRDefault="00AB7AF9" w:rsidP="00AB7AF9">
      <w:pPr>
        <w:shd w:val="clear" w:color="auto" w:fill="FFFFFF"/>
        <w:rPr>
          <w:rFonts w:ascii="Verdana" w:hAnsi="Verdana"/>
        </w:rPr>
      </w:pPr>
      <w:r w:rsidRPr="008B3051">
        <w:rPr>
          <w:rFonts w:ascii="Verdana" w:hAnsi="Verdana"/>
        </w:rPr>
        <w:t>section 223(f)(4) (relating to additional </w:t>
      </w:r>
      <w:r w:rsidRPr="008B3051">
        <w:rPr>
          <w:rStyle w:val="Hyperlink"/>
          <w:rFonts w:ascii="Verdana" w:hAnsi="Verdana"/>
          <w:color w:val="auto"/>
        </w:rPr>
        <w:t>tax</w:t>
      </w:r>
      <w:r w:rsidRPr="008B3051">
        <w:rPr>
          <w:rFonts w:ascii="Verdana" w:hAnsi="Verdana"/>
        </w:rPr>
        <w:t> on health savings account distributions not used for qualified medical expenses),</w:t>
      </w:r>
    </w:p>
    <w:p w14:paraId="6CE02C12" w14:textId="77777777" w:rsidR="00AB7AF9" w:rsidRPr="008B3051" w:rsidRDefault="00AB7AF9" w:rsidP="00AB7AF9">
      <w:pPr>
        <w:shd w:val="clear" w:color="auto" w:fill="FFFFFF"/>
        <w:rPr>
          <w:rFonts w:ascii="Verdana" w:hAnsi="Verdana"/>
        </w:rPr>
      </w:pPr>
      <w:bookmarkStart w:id="467" w:name="b_2_V"/>
      <w:bookmarkEnd w:id="467"/>
      <w:r w:rsidRPr="008B3051">
        <w:rPr>
          <w:rStyle w:val="num"/>
          <w:rFonts w:ascii="Verdana" w:hAnsi="Verdana"/>
          <w:b/>
          <w:bCs/>
        </w:rPr>
        <w:t>(V)</w:t>
      </w:r>
    </w:p>
    <w:p w14:paraId="6F07A0F4" w14:textId="63136B37" w:rsidR="00AB7AF9" w:rsidRPr="008B3051" w:rsidRDefault="00AB7AF9" w:rsidP="00AB7AF9">
      <w:pPr>
        <w:shd w:val="clear" w:color="auto" w:fill="FFFFFF"/>
        <w:rPr>
          <w:rFonts w:ascii="Verdana" w:hAnsi="Verdana"/>
        </w:rPr>
      </w:pPr>
      <w:r w:rsidRPr="008B3051">
        <w:rPr>
          <w:rFonts w:ascii="Verdana" w:hAnsi="Verdana"/>
        </w:rPr>
        <w:t>subsections (a)(1)(B)(i) and (b)(4)(A) of section 409A (relating to </w:t>
      </w:r>
      <w:r w:rsidRPr="008B3051">
        <w:rPr>
          <w:rStyle w:val="Hyperlink"/>
          <w:rFonts w:ascii="Verdana" w:hAnsi="Verdana"/>
          <w:color w:val="auto"/>
        </w:rPr>
        <w:t>interest</w:t>
      </w:r>
      <w:r w:rsidRPr="008B3051">
        <w:rPr>
          <w:rFonts w:ascii="Verdana" w:hAnsi="Verdana"/>
        </w:rPr>
        <w:t> and additional tax with respect to certain deferred </w:t>
      </w:r>
      <w:r w:rsidRPr="008B3051">
        <w:rPr>
          <w:rStyle w:val="Hyperlink"/>
          <w:rFonts w:ascii="Verdana" w:hAnsi="Verdana"/>
          <w:color w:val="auto"/>
        </w:rPr>
        <w:t>compensation</w:t>
      </w:r>
      <w:r w:rsidRPr="008B3051">
        <w:rPr>
          <w:rFonts w:ascii="Verdana" w:hAnsi="Verdana"/>
        </w:rPr>
        <w:t>),</w:t>
      </w:r>
    </w:p>
    <w:p w14:paraId="12B69892" w14:textId="77777777" w:rsidR="00AB7AF9" w:rsidRPr="008B3051" w:rsidRDefault="00AB7AF9" w:rsidP="00AB7AF9">
      <w:pPr>
        <w:shd w:val="clear" w:color="auto" w:fill="FFFFFF"/>
        <w:rPr>
          <w:rFonts w:ascii="Verdana" w:hAnsi="Verdana"/>
        </w:rPr>
      </w:pPr>
      <w:bookmarkStart w:id="468" w:name="b_2_W"/>
      <w:bookmarkEnd w:id="468"/>
      <w:r w:rsidRPr="008B3051">
        <w:rPr>
          <w:rStyle w:val="num"/>
          <w:rFonts w:ascii="Verdana" w:hAnsi="Verdana"/>
          <w:b/>
          <w:bCs/>
        </w:rPr>
        <w:t>(W)</w:t>
      </w:r>
    </w:p>
    <w:p w14:paraId="0207CA1F" w14:textId="77777777" w:rsidR="00AB7AF9" w:rsidRPr="008B3051" w:rsidRDefault="00AB7AF9" w:rsidP="00AB7AF9">
      <w:pPr>
        <w:shd w:val="clear" w:color="auto" w:fill="FFFFFF"/>
        <w:rPr>
          <w:rFonts w:ascii="Verdana" w:hAnsi="Verdana"/>
        </w:rPr>
      </w:pPr>
      <w:r w:rsidRPr="008B3051">
        <w:rPr>
          <w:rFonts w:ascii="Verdana" w:hAnsi="Verdana"/>
        </w:rPr>
        <w:t>section 36(f) (relating to recapture of homebuyer credit),</w:t>
      </w:r>
    </w:p>
    <w:p w14:paraId="7FE1B9C3" w14:textId="77777777" w:rsidR="00AB7AF9" w:rsidRPr="008B3051" w:rsidRDefault="00AB7AF9" w:rsidP="00AB7AF9">
      <w:pPr>
        <w:shd w:val="clear" w:color="auto" w:fill="FFFFFF"/>
        <w:rPr>
          <w:rFonts w:ascii="Verdana" w:hAnsi="Verdana"/>
        </w:rPr>
      </w:pPr>
      <w:bookmarkStart w:id="469" w:name="b_2_X"/>
      <w:bookmarkEnd w:id="469"/>
      <w:r w:rsidRPr="008B3051">
        <w:rPr>
          <w:rStyle w:val="num"/>
          <w:rFonts w:ascii="Verdana" w:hAnsi="Verdana"/>
          <w:b/>
          <w:bCs/>
        </w:rPr>
        <w:t>(X)</w:t>
      </w:r>
    </w:p>
    <w:p w14:paraId="11A05805" w14:textId="692C70C9" w:rsidR="00AB7AF9" w:rsidRPr="008B3051" w:rsidRDefault="00AB7AF9" w:rsidP="00AB7AF9">
      <w:pPr>
        <w:shd w:val="clear" w:color="auto" w:fill="FFFFFF"/>
        <w:rPr>
          <w:rFonts w:ascii="Verdana" w:hAnsi="Verdana"/>
        </w:rPr>
      </w:pPr>
      <w:r w:rsidRPr="008B3051">
        <w:rPr>
          <w:rFonts w:ascii="Verdana" w:hAnsi="Verdana"/>
        </w:rPr>
        <w:t>section 457A(c)(1)(B) (relating to determinability of amounts of </w:t>
      </w:r>
      <w:r w:rsidRPr="008B3051">
        <w:rPr>
          <w:rStyle w:val="Hyperlink"/>
          <w:rFonts w:ascii="Verdana" w:hAnsi="Verdana"/>
          <w:color w:val="auto"/>
        </w:rPr>
        <w:t>compensation</w:t>
      </w:r>
      <w:r w:rsidRPr="008B3051">
        <w:rPr>
          <w:rFonts w:ascii="Verdana" w:hAnsi="Verdana"/>
        </w:rPr>
        <w:t>), and</w:t>
      </w:r>
    </w:p>
    <w:p w14:paraId="4F5D6AB1" w14:textId="77777777" w:rsidR="00AB7AF9" w:rsidRPr="008B3051" w:rsidRDefault="00AB7AF9" w:rsidP="00AB7AF9">
      <w:pPr>
        <w:shd w:val="clear" w:color="auto" w:fill="FFFFFF"/>
        <w:rPr>
          <w:rFonts w:ascii="Verdana" w:hAnsi="Verdana"/>
        </w:rPr>
      </w:pPr>
      <w:bookmarkStart w:id="470" w:name="b_2_Y"/>
      <w:bookmarkEnd w:id="470"/>
      <w:r w:rsidRPr="008B3051">
        <w:rPr>
          <w:rStyle w:val="num"/>
          <w:rFonts w:ascii="Verdana" w:hAnsi="Verdana"/>
          <w:b/>
          <w:bCs/>
        </w:rPr>
        <w:t>(Y)</w:t>
      </w:r>
    </w:p>
    <w:p w14:paraId="4DD2EEF4" w14:textId="23EA8622" w:rsidR="00AB7AF9" w:rsidRPr="008B3051" w:rsidRDefault="00AB7AF9" w:rsidP="00AB7AF9">
      <w:pPr>
        <w:shd w:val="clear" w:color="auto" w:fill="FFFFFF"/>
        <w:rPr>
          <w:rFonts w:ascii="Verdana" w:hAnsi="Verdana"/>
        </w:rPr>
      </w:pPr>
      <w:r w:rsidRPr="008B3051">
        <w:rPr>
          <w:rFonts w:ascii="Verdana" w:hAnsi="Verdana"/>
        </w:rPr>
        <w:t>section 529A(c)(3)(A) (relating to additional </w:t>
      </w:r>
      <w:r w:rsidRPr="008B3051">
        <w:rPr>
          <w:rStyle w:val="Hyperlink"/>
          <w:rFonts w:ascii="Verdana" w:hAnsi="Verdana"/>
          <w:color w:val="auto"/>
        </w:rPr>
        <w:t>tax</w:t>
      </w:r>
      <w:r w:rsidRPr="008B3051">
        <w:rPr>
          <w:rFonts w:ascii="Verdana" w:hAnsi="Verdana"/>
        </w:rPr>
        <w:t> on ABLE account distributions not used for qualified disability expenses).</w:t>
      </w:r>
    </w:p>
    <w:p w14:paraId="3025DAA3" w14:textId="77777777" w:rsidR="00AB7AF9" w:rsidRPr="008B3051" w:rsidRDefault="00AB7AF9" w:rsidP="00AB7AF9">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Tentative minimum tax</w:t>
      </w:r>
    </w:p>
    <w:p w14:paraId="37416A72" w14:textId="16EE5261" w:rsidR="00AB7AF9" w:rsidRPr="008B3051" w:rsidRDefault="00AB7AF9" w:rsidP="00AB7AF9">
      <w:pPr>
        <w:pStyle w:val="NormalWeb"/>
        <w:shd w:val="clear" w:color="auto" w:fill="FFFFFF"/>
        <w:spacing w:before="0" w:beforeAutospacing="0" w:after="0" w:afterAutospacing="0"/>
        <w:rPr>
          <w:rFonts w:ascii="Verdana" w:hAnsi="Verdana"/>
        </w:rPr>
      </w:pPr>
      <w:r w:rsidRPr="008B3051">
        <w:rPr>
          <w:rFonts w:ascii="Verdana" w:hAnsi="Verdana"/>
        </w:rPr>
        <w:t>For purposes of this part, the term “</w:t>
      </w:r>
      <w:r w:rsidRPr="008B3051">
        <w:rPr>
          <w:rStyle w:val="Hyperlink"/>
          <w:rFonts w:ascii="Verdana" w:hAnsi="Verdana"/>
          <w:color w:val="auto"/>
        </w:rPr>
        <w:t>tentative minimum tax</w:t>
      </w:r>
      <w:r w:rsidRPr="008B3051">
        <w:rPr>
          <w:rFonts w:ascii="Verdana" w:hAnsi="Verdana"/>
        </w:rPr>
        <w:t>” means the amount determined under section 55(b)(1).</w:t>
      </w:r>
    </w:p>
    <w:p w14:paraId="639D58F9" w14:textId="5CDB75E0" w:rsidR="00AB7AF9" w:rsidRPr="008B3051" w:rsidRDefault="00AB7AF9" w:rsidP="00AB7AF9">
      <w:pPr>
        <w:shd w:val="clear" w:color="auto" w:fill="FFFFFF"/>
        <w:rPr>
          <w:rFonts w:ascii="Verdana" w:hAnsi="Verdana"/>
        </w:rPr>
      </w:pPr>
      <w:r w:rsidRPr="008B3051">
        <w:rPr>
          <w:rFonts w:ascii="Verdana" w:hAnsi="Verdana"/>
        </w:rPr>
        <w:t>(Added § 25, renumbered § 26, </w:t>
      </w:r>
      <w:r w:rsidRPr="008B3051">
        <w:rPr>
          <w:rStyle w:val="Hyperlink"/>
          <w:rFonts w:ascii="Verdana" w:hAnsi="Verdana"/>
          <w:color w:val="auto"/>
        </w:rPr>
        <w:t>Pub. L. 98–369, div. A, title IV</w:t>
      </w:r>
      <w:r w:rsidRPr="008B3051">
        <w:rPr>
          <w:rFonts w:ascii="Verdana" w:hAnsi="Verdana"/>
        </w:rPr>
        <w:t>, § 472, title VI, § 612(a), </w:t>
      </w:r>
      <w:r w:rsidRPr="008B3051">
        <w:rPr>
          <w:rStyle w:val="Date2"/>
          <w:rFonts w:ascii="Verdana" w:hAnsi="Verdana"/>
        </w:rPr>
        <w:t>July 18, 1984</w:t>
      </w:r>
      <w:r w:rsidRPr="008B3051">
        <w:rPr>
          <w:rFonts w:ascii="Verdana" w:hAnsi="Verdana"/>
        </w:rPr>
        <w:t>, </w:t>
      </w:r>
      <w:r w:rsidRPr="008B3051">
        <w:rPr>
          <w:rStyle w:val="Hyperlink"/>
          <w:rFonts w:ascii="Verdana" w:hAnsi="Verdana"/>
          <w:color w:val="auto"/>
        </w:rPr>
        <w:t>98 Stat. 827</w:t>
      </w:r>
      <w:r w:rsidRPr="008B3051">
        <w:rPr>
          <w:rFonts w:ascii="Verdana" w:hAnsi="Verdana"/>
        </w:rPr>
        <w:t>, 905; amended </w:t>
      </w:r>
      <w:r w:rsidRPr="008B3051">
        <w:rPr>
          <w:rStyle w:val="Hyperlink"/>
          <w:rFonts w:ascii="Verdana" w:hAnsi="Verdana"/>
          <w:color w:val="auto"/>
        </w:rPr>
        <w:t>Pub. L. 99–499, title V</w:t>
      </w:r>
      <w:r w:rsidRPr="008B3051">
        <w:rPr>
          <w:rFonts w:ascii="Verdana" w:hAnsi="Verdana"/>
        </w:rPr>
        <w:t>, § 516(b)(1)(A), </w:t>
      </w:r>
      <w:r w:rsidRPr="008B3051">
        <w:rPr>
          <w:rStyle w:val="Date2"/>
          <w:rFonts w:ascii="Verdana" w:hAnsi="Verdana"/>
        </w:rPr>
        <w:t>Oct. 17, 1986</w:t>
      </w:r>
      <w:r w:rsidRPr="008B3051">
        <w:rPr>
          <w:rFonts w:ascii="Verdana" w:hAnsi="Verdana"/>
        </w:rPr>
        <w:t>, </w:t>
      </w:r>
      <w:r w:rsidRPr="008B3051">
        <w:rPr>
          <w:rStyle w:val="Hyperlink"/>
          <w:rFonts w:ascii="Verdana" w:hAnsi="Verdana"/>
          <w:color w:val="auto"/>
        </w:rPr>
        <w:t>100 Stat. 1770</w:t>
      </w:r>
      <w:r w:rsidRPr="008B3051">
        <w:rPr>
          <w:rFonts w:ascii="Verdana" w:hAnsi="Verdana"/>
        </w:rPr>
        <w:t>; </w:t>
      </w:r>
      <w:r w:rsidRPr="008B3051">
        <w:rPr>
          <w:rStyle w:val="Hyperlink"/>
          <w:rFonts w:ascii="Verdana" w:hAnsi="Verdana"/>
          <w:color w:val="auto"/>
        </w:rPr>
        <w:t>Pub. L. 99–514, title II</w:t>
      </w:r>
      <w:r w:rsidRPr="008B3051">
        <w:rPr>
          <w:rFonts w:ascii="Verdana" w:hAnsi="Verdana"/>
        </w:rPr>
        <w:t>, § 261(c), title VI, § 632(c)(1), title VII, § 701(c)(1), </w:t>
      </w:r>
      <w:r w:rsidRPr="008B3051">
        <w:rPr>
          <w:rStyle w:val="Date2"/>
          <w:rFonts w:ascii="Verdana" w:hAnsi="Verdana"/>
        </w:rPr>
        <w:t>Oct. 22, 1986</w:t>
      </w:r>
      <w:r w:rsidRPr="008B3051">
        <w:rPr>
          <w:rFonts w:ascii="Verdana" w:hAnsi="Verdana"/>
        </w:rPr>
        <w:t>, </w:t>
      </w:r>
      <w:r w:rsidRPr="008B3051">
        <w:rPr>
          <w:rStyle w:val="Hyperlink"/>
          <w:rFonts w:ascii="Verdana" w:hAnsi="Verdana"/>
          <w:color w:val="auto"/>
        </w:rPr>
        <w:t>100 Stat. 2214</w:t>
      </w:r>
      <w:r w:rsidRPr="008B3051">
        <w:rPr>
          <w:rFonts w:ascii="Verdana" w:hAnsi="Verdana"/>
        </w:rPr>
        <w:t>, 2277, 2340; </w:t>
      </w:r>
      <w:r w:rsidRPr="008B3051">
        <w:rPr>
          <w:rStyle w:val="Hyperlink"/>
          <w:rFonts w:ascii="Verdana" w:hAnsi="Verdana"/>
          <w:color w:val="auto"/>
        </w:rPr>
        <w:t>Pub. L. 100–647, title I</w:t>
      </w:r>
      <w:r w:rsidRPr="008B3051">
        <w:rPr>
          <w:rFonts w:ascii="Verdana" w:hAnsi="Verdana"/>
        </w:rPr>
        <w:t>, §§ 1006(t)(16)(C), 1007(g)(1), 1011A(c)(10), 1012(q)(8), title IV, § 4005(g)(4), title V, § 5012(b)(2), </w:t>
      </w:r>
      <w:r w:rsidRPr="008B3051">
        <w:rPr>
          <w:rStyle w:val="Date2"/>
          <w:rFonts w:ascii="Verdana" w:hAnsi="Verdana"/>
        </w:rPr>
        <w:t>Nov. 10, 1988</w:t>
      </w:r>
      <w:r w:rsidRPr="008B3051">
        <w:rPr>
          <w:rFonts w:ascii="Verdana" w:hAnsi="Verdana"/>
        </w:rPr>
        <w:t>, </w:t>
      </w:r>
      <w:r w:rsidRPr="008B3051">
        <w:rPr>
          <w:rStyle w:val="Hyperlink"/>
          <w:rFonts w:ascii="Verdana" w:hAnsi="Verdana"/>
          <w:color w:val="auto"/>
        </w:rPr>
        <w:t>102 Stat. 3425</w:t>
      </w:r>
      <w:r w:rsidRPr="008B3051">
        <w:rPr>
          <w:rFonts w:ascii="Verdana" w:hAnsi="Verdana"/>
        </w:rPr>
        <w:t>, 3434, 3476, 3524, 3650, 3662; </w:t>
      </w:r>
      <w:r w:rsidRPr="008B3051">
        <w:rPr>
          <w:rStyle w:val="Hyperlink"/>
          <w:rFonts w:ascii="Verdana" w:hAnsi="Verdana"/>
          <w:color w:val="auto"/>
        </w:rPr>
        <w:t>Pub. L. 101–239, title VII</w:t>
      </w:r>
      <w:r w:rsidRPr="008B3051">
        <w:rPr>
          <w:rFonts w:ascii="Verdana" w:hAnsi="Verdana"/>
        </w:rPr>
        <w:t>, §§ 7811(c)(1), (2), 7821(a)(4)(A), </w:t>
      </w:r>
      <w:r w:rsidRPr="008B3051">
        <w:rPr>
          <w:rStyle w:val="Date2"/>
          <w:rFonts w:ascii="Verdana" w:hAnsi="Verdana"/>
        </w:rPr>
        <w:t>Dec. 19, 1989</w:t>
      </w:r>
      <w:r w:rsidRPr="008B3051">
        <w:rPr>
          <w:rFonts w:ascii="Verdana" w:hAnsi="Verdana"/>
        </w:rPr>
        <w:t>, </w:t>
      </w:r>
      <w:r w:rsidRPr="008B3051">
        <w:rPr>
          <w:rStyle w:val="Hyperlink"/>
          <w:rFonts w:ascii="Verdana" w:hAnsi="Verdana"/>
          <w:color w:val="auto"/>
        </w:rPr>
        <w:t>103 Stat. 2406</w:t>
      </w:r>
      <w:r w:rsidRPr="008B3051">
        <w:rPr>
          <w:rFonts w:ascii="Verdana" w:hAnsi="Verdana"/>
        </w:rPr>
        <w:t>, 2407, 2424; </w:t>
      </w:r>
      <w:r w:rsidRPr="008B3051">
        <w:rPr>
          <w:rStyle w:val="Hyperlink"/>
          <w:rFonts w:ascii="Verdana" w:hAnsi="Verdana"/>
          <w:color w:val="auto"/>
        </w:rPr>
        <w:t>Pub. L. 104–188, title I</w:t>
      </w:r>
      <w:r w:rsidRPr="008B3051">
        <w:rPr>
          <w:rFonts w:ascii="Verdana" w:hAnsi="Verdana"/>
        </w:rPr>
        <w:t>, § 1621(b)(1), </w:t>
      </w:r>
      <w:r w:rsidRPr="008B3051">
        <w:rPr>
          <w:rStyle w:val="Date2"/>
          <w:rFonts w:ascii="Verdana" w:hAnsi="Verdana"/>
        </w:rPr>
        <w:t>Aug. 20, 1996</w:t>
      </w:r>
      <w:r w:rsidRPr="008B3051">
        <w:rPr>
          <w:rFonts w:ascii="Verdana" w:hAnsi="Verdana"/>
        </w:rPr>
        <w:t>, </w:t>
      </w:r>
      <w:r w:rsidRPr="008B3051">
        <w:rPr>
          <w:rStyle w:val="Hyperlink"/>
          <w:rFonts w:ascii="Verdana" w:hAnsi="Verdana"/>
          <w:color w:val="auto"/>
        </w:rPr>
        <w:t>110 Stat. 1866</w:t>
      </w:r>
      <w:r w:rsidRPr="008B3051">
        <w:rPr>
          <w:rFonts w:ascii="Verdana" w:hAnsi="Verdana"/>
        </w:rPr>
        <w:t>; </w:t>
      </w:r>
      <w:r w:rsidRPr="008B3051">
        <w:rPr>
          <w:rStyle w:val="Hyperlink"/>
          <w:rFonts w:ascii="Verdana" w:hAnsi="Verdana"/>
          <w:color w:val="auto"/>
        </w:rPr>
        <w:t>Pub. L. 105–34, title II</w:t>
      </w:r>
      <w:r w:rsidRPr="008B3051">
        <w:rPr>
          <w:rFonts w:ascii="Verdana" w:hAnsi="Verdana"/>
        </w:rPr>
        <w:t xml:space="preserve">, </w:t>
      </w:r>
      <w:r w:rsidRPr="008B3051">
        <w:rPr>
          <w:rFonts w:ascii="Verdana" w:hAnsi="Verdana"/>
        </w:rPr>
        <w:lastRenderedPageBreak/>
        <w:t>§ 213(e)(1), title XVI, § 1602(a)(1), </w:t>
      </w:r>
      <w:r w:rsidRPr="008B3051">
        <w:rPr>
          <w:rStyle w:val="Date2"/>
          <w:rFonts w:ascii="Verdana" w:hAnsi="Verdana"/>
        </w:rPr>
        <w:t>Aug. 5, 1997</w:t>
      </w:r>
      <w:r w:rsidRPr="008B3051">
        <w:rPr>
          <w:rFonts w:ascii="Verdana" w:hAnsi="Verdana"/>
        </w:rPr>
        <w:t>, </w:t>
      </w:r>
      <w:r w:rsidRPr="008B3051">
        <w:rPr>
          <w:rStyle w:val="Hyperlink"/>
          <w:rFonts w:ascii="Verdana" w:hAnsi="Verdana"/>
          <w:color w:val="auto"/>
        </w:rPr>
        <w:t>111 Stat. 817</w:t>
      </w:r>
      <w:r w:rsidRPr="008B3051">
        <w:rPr>
          <w:rFonts w:ascii="Verdana" w:hAnsi="Verdana"/>
        </w:rPr>
        <w:t>, 1093; </w:t>
      </w:r>
      <w:r w:rsidRPr="008B3051">
        <w:rPr>
          <w:rStyle w:val="Hyperlink"/>
          <w:rFonts w:ascii="Verdana" w:hAnsi="Verdana"/>
          <w:color w:val="auto"/>
        </w:rPr>
        <w:t>Pub. L. 105–277, div. J, title II</w:t>
      </w:r>
      <w:r w:rsidRPr="008B3051">
        <w:rPr>
          <w:rFonts w:ascii="Verdana" w:hAnsi="Verdana"/>
        </w:rPr>
        <w:t>, § 2001(a), </w:t>
      </w:r>
      <w:r w:rsidRPr="008B3051">
        <w:rPr>
          <w:rStyle w:val="Date2"/>
          <w:rFonts w:ascii="Verdana" w:hAnsi="Verdana"/>
        </w:rPr>
        <w:t>Oct. 21, 1998</w:t>
      </w:r>
      <w:r w:rsidRPr="008B3051">
        <w:rPr>
          <w:rFonts w:ascii="Verdana" w:hAnsi="Verdana"/>
        </w:rPr>
        <w:t>, </w:t>
      </w:r>
      <w:r w:rsidRPr="008B3051">
        <w:rPr>
          <w:rStyle w:val="Hyperlink"/>
          <w:rFonts w:ascii="Verdana" w:hAnsi="Verdana"/>
          <w:color w:val="auto"/>
        </w:rPr>
        <w:t>112 Stat. 2681–901</w:t>
      </w:r>
      <w:r w:rsidRPr="008B3051">
        <w:rPr>
          <w:rFonts w:ascii="Verdana" w:hAnsi="Verdana"/>
        </w:rPr>
        <w:t>; </w:t>
      </w:r>
      <w:r w:rsidRPr="008B3051">
        <w:rPr>
          <w:rStyle w:val="Hyperlink"/>
          <w:rFonts w:ascii="Verdana" w:hAnsi="Verdana"/>
          <w:color w:val="auto"/>
        </w:rPr>
        <w:t>Pub. L. 106–170, title V</w:t>
      </w:r>
      <w:r w:rsidRPr="008B3051">
        <w:rPr>
          <w:rFonts w:ascii="Verdana" w:hAnsi="Verdana"/>
        </w:rPr>
        <w:t>, § 501(a), </w:t>
      </w:r>
      <w:r w:rsidRPr="008B3051">
        <w:rPr>
          <w:rStyle w:val="Date2"/>
          <w:rFonts w:ascii="Verdana" w:hAnsi="Verdana"/>
        </w:rPr>
        <w:t>Dec. 17, 1999</w:t>
      </w:r>
      <w:r w:rsidRPr="008B3051">
        <w:rPr>
          <w:rFonts w:ascii="Verdana" w:hAnsi="Verdana"/>
        </w:rPr>
        <w:t>, </w:t>
      </w:r>
      <w:r w:rsidRPr="008B3051">
        <w:rPr>
          <w:rStyle w:val="Hyperlink"/>
          <w:rFonts w:ascii="Verdana" w:hAnsi="Verdana"/>
          <w:color w:val="auto"/>
        </w:rPr>
        <w:t>113 Stat. 1918</w:t>
      </w:r>
      <w:r w:rsidRPr="008B3051">
        <w:rPr>
          <w:rFonts w:ascii="Verdana" w:hAnsi="Verdana"/>
        </w:rPr>
        <w:t>; </w:t>
      </w:r>
      <w:r w:rsidRPr="008B3051">
        <w:rPr>
          <w:rStyle w:val="Hyperlink"/>
          <w:rFonts w:ascii="Verdana" w:hAnsi="Verdana"/>
          <w:color w:val="auto"/>
        </w:rPr>
        <w:t>Pub. L. 106–554</w:t>
      </w:r>
      <w:r w:rsidRPr="008B3051">
        <w:rPr>
          <w:rFonts w:ascii="Verdana" w:hAnsi="Verdana"/>
        </w:rPr>
        <w:t>, § 1(a)(7) [title II, § 202(a)(1)], </w:t>
      </w:r>
      <w:r w:rsidRPr="008B3051">
        <w:rPr>
          <w:rStyle w:val="Date2"/>
          <w:rFonts w:ascii="Verdana" w:hAnsi="Verdana"/>
        </w:rPr>
        <w:t>Dec. 21, 2000</w:t>
      </w:r>
      <w:r w:rsidRPr="008B3051">
        <w:rPr>
          <w:rFonts w:ascii="Verdana" w:hAnsi="Verdana"/>
        </w:rPr>
        <w:t>, </w:t>
      </w:r>
      <w:r w:rsidRPr="008B3051">
        <w:rPr>
          <w:rStyle w:val="Hyperlink"/>
          <w:rFonts w:ascii="Verdana" w:hAnsi="Verdana"/>
          <w:color w:val="auto"/>
        </w:rPr>
        <w:t>114 Stat. 2763</w:t>
      </w:r>
      <w:r w:rsidRPr="008B3051">
        <w:rPr>
          <w:rFonts w:ascii="Verdana" w:hAnsi="Verdana"/>
        </w:rPr>
        <w:t>, 2763A–628; </w:t>
      </w:r>
      <w:r w:rsidRPr="008B3051">
        <w:rPr>
          <w:rStyle w:val="Hyperlink"/>
          <w:rFonts w:ascii="Verdana" w:hAnsi="Verdana"/>
          <w:color w:val="auto"/>
        </w:rPr>
        <w:t>Pub. L. 107–16, title II</w:t>
      </w:r>
      <w:r w:rsidRPr="008B3051">
        <w:rPr>
          <w:rFonts w:ascii="Verdana" w:hAnsi="Verdana"/>
        </w:rPr>
        <w:t>, §§ 201(b)(2)(D), 202(f)(2)(C), title VI, § 618(b)(2)(C), </w:t>
      </w:r>
      <w:r w:rsidRPr="008B3051">
        <w:rPr>
          <w:rStyle w:val="Date2"/>
          <w:rFonts w:ascii="Verdana" w:hAnsi="Verdana"/>
        </w:rPr>
        <w:t>June 7, 2001</w:t>
      </w:r>
      <w:r w:rsidRPr="008B3051">
        <w:rPr>
          <w:rFonts w:ascii="Verdana" w:hAnsi="Verdana"/>
        </w:rPr>
        <w:t>, </w:t>
      </w:r>
      <w:r w:rsidRPr="008B3051">
        <w:rPr>
          <w:rStyle w:val="Hyperlink"/>
          <w:rFonts w:ascii="Verdana" w:hAnsi="Verdana"/>
          <w:color w:val="auto"/>
        </w:rPr>
        <w:t>115 Stat. 46</w:t>
      </w:r>
      <w:r w:rsidRPr="008B3051">
        <w:rPr>
          <w:rFonts w:ascii="Verdana" w:hAnsi="Verdana"/>
        </w:rPr>
        <w:t>, 49, 108; </w:t>
      </w:r>
      <w:r w:rsidRPr="008B3051">
        <w:rPr>
          <w:rStyle w:val="Hyperlink"/>
          <w:rFonts w:ascii="Verdana" w:hAnsi="Verdana"/>
          <w:color w:val="auto"/>
        </w:rPr>
        <w:t>Pub. L. 107–22</w:t>
      </w:r>
      <w:r w:rsidRPr="008B3051">
        <w:rPr>
          <w:rFonts w:ascii="Verdana" w:hAnsi="Verdana"/>
        </w:rPr>
        <w:t>, § 1(b)(2)(A), </w:t>
      </w:r>
      <w:r w:rsidRPr="008B3051">
        <w:rPr>
          <w:rStyle w:val="Date2"/>
          <w:rFonts w:ascii="Verdana" w:hAnsi="Verdana"/>
        </w:rPr>
        <w:t>July 26, 2001</w:t>
      </w:r>
      <w:r w:rsidRPr="008B3051">
        <w:rPr>
          <w:rFonts w:ascii="Verdana" w:hAnsi="Verdana"/>
        </w:rPr>
        <w:t>, </w:t>
      </w:r>
      <w:r w:rsidRPr="008B3051">
        <w:rPr>
          <w:rStyle w:val="Hyperlink"/>
          <w:rFonts w:ascii="Verdana" w:hAnsi="Verdana"/>
          <w:color w:val="auto"/>
        </w:rPr>
        <w:t>115 Stat. 197</w:t>
      </w:r>
      <w:r w:rsidRPr="008B3051">
        <w:rPr>
          <w:rFonts w:ascii="Verdana" w:hAnsi="Verdana"/>
        </w:rPr>
        <w:t>; </w:t>
      </w:r>
      <w:r w:rsidRPr="008B3051">
        <w:rPr>
          <w:rStyle w:val="Hyperlink"/>
          <w:rFonts w:ascii="Verdana" w:hAnsi="Verdana"/>
          <w:color w:val="auto"/>
        </w:rPr>
        <w:t>Pub. L. 107–147, title IV</w:t>
      </w:r>
      <w:r w:rsidRPr="008B3051">
        <w:rPr>
          <w:rFonts w:ascii="Verdana" w:hAnsi="Verdana"/>
        </w:rPr>
        <w:t>, §§ 415(a), 417(23)(B), title VI, § 601(a), </w:t>
      </w:r>
      <w:r w:rsidRPr="008B3051">
        <w:rPr>
          <w:rStyle w:val="Date2"/>
          <w:rFonts w:ascii="Verdana" w:hAnsi="Verdana"/>
        </w:rPr>
        <w:t>Mar. 9, 2002</w:t>
      </w:r>
      <w:r w:rsidRPr="008B3051">
        <w:rPr>
          <w:rFonts w:ascii="Verdana" w:hAnsi="Verdana"/>
        </w:rPr>
        <w:t>, </w:t>
      </w:r>
      <w:r w:rsidRPr="008B3051">
        <w:rPr>
          <w:rStyle w:val="Hyperlink"/>
          <w:rFonts w:ascii="Verdana" w:hAnsi="Verdana"/>
          <w:color w:val="auto"/>
        </w:rPr>
        <w:t>116 Stat. 54</w:t>
      </w:r>
      <w:r w:rsidRPr="008B3051">
        <w:rPr>
          <w:rFonts w:ascii="Verdana" w:hAnsi="Verdana"/>
        </w:rPr>
        <w:t>, 57, 59; </w:t>
      </w:r>
      <w:r w:rsidRPr="008B3051">
        <w:rPr>
          <w:rStyle w:val="Hyperlink"/>
          <w:rFonts w:ascii="Verdana" w:hAnsi="Verdana"/>
          <w:color w:val="auto"/>
        </w:rPr>
        <w:t>Pub. L. 108–311, title III</w:t>
      </w:r>
      <w:r w:rsidRPr="008B3051">
        <w:rPr>
          <w:rFonts w:ascii="Verdana" w:hAnsi="Verdana"/>
        </w:rPr>
        <w:t>, § 312(a), title IV, §§ 401(a)(1), 408(a)(5)(A), </w:t>
      </w:r>
      <w:r w:rsidRPr="008B3051">
        <w:rPr>
          <w:rStyle w:val="Date2"/>
          <w:rFonts w:ascii="Verdana" w:hAnsi="Verdana"/>
        </w:rPr>
        <w:t>Oct. 4, 2004</w:t>
      </w:r>
      <w:r w:rsidRPr="008B3051">
        <w:rPr>
          <w:rFonts w:ascii="Verdana" w:hAnsi="Verdana"/>
        </w:rPr>
        <w:t>, </w:t>
      </w:r>
      <w:r w:rsidRPr="008B3051">
        <w:rPr>
          <w:rStyle w:val="Hyperlink"/>
          <w:rFonts w:ascii="Verdana" w:hAnsi="Verdana"/>
          <w:color w:val="auto"/>
        </w:rPr>
        <w:t>118 Stat. 1181</w:t>
      </w:r>
      <w:r w:rsidRPr="008B3051">
        <w:rPr>
          <w:rFonts w:ascii="Verdana" w:hAnsi="Verdana"/>
        </w:rPr>
        <w:t>, 1183, 1191; </w:t>
      </w:r>
      <w:r w:rsidRPr="008B3051">
        <w:rPr>
          <w:rStyle w:val="Hyperlink"/>
          <w:rFonts w:ascii="Verdana" w:hAnsi="Verdana"/>
          <w:color w:val="auto"/>
        </w:rPr>
        <w:t>Pub. L. 109–135, title IV</w:t>
      </w:r>
      <w:r w:rsidRPr="008B3051">
        <w:rPr>
          <w:rFonts w:ascii="Verdana" w:hAnsi="Verdana"/>
        </w:rPr>
        <w:t>, §§ 403(hh)(1), 412(c), </w:t>
      </w:r>
      <w:r w:rsidRPr="008B3051">
        <w:rPr>
          <w:rStyle w:val="Date2"/>
          <w:rFonts w:ascii="Verdana" w:hAnsi="Verdana"/>
        </w:rPr>
        <w:t>Dec. 21, 2005</w:t>
      </w:r>
      <w:r w:rsidRPr="008B3051">
        <w:rPr>
          <w:rFonts w:ascii="Verdana" w:hAnsi="Verdana"/>
        </w:rPr>
        <w:t>, </w:t>
      </w:r>
      <w:r w:rsidRPr="008B3051">
        <w:rPr>
          <w:rStyle w:val="Hyperlink"/>
          <w:rFonts w:ascii="Verdana" w:hAnsi="Verdana"/>
          <w:color w:val="auto"/>
        </w:rPr>
        <w:t>119 Stat. 2631</w:t>
      </w:r>
      <w:r w:rsidRPr="008B3051">
        <w:rPr>
          <w:rFonts w:ascii="Verdana" w:hAnsi="Verdana"/>
        </w:rPr>
        <w:t>, 2636; </w:t>
      </w:r>
      <w:r w:rsidRPr="008B3051">
        <w:rPr>
          <w:rStyle w:val="Hyperlink"/>
          <w:rFonts w:ascii="Verdana" w:hAnsi="Verdana"/>
          <w:color w:val="auto"/>
        </w:rPr>
        <w:t>Pub. L. 109–222, title III</w:t>
      </w:r>
      <w:r w:rsidRPr="008B3051">
        <w:rPr>
          <w:rFonts w:ascii="Verdana" w:hAnsi="Verdana"/>
        </w:rPr>
        <w:t>, § 302(a), </w:t>
      </w:r>
      <w:r w:rsidRPr="008B3051">
        <w:rPr>
          <w:rStyle w:val="Date2"/>
          <w:rFonts w:ascii="Verdana" w:hAnsi="Verdana"/>
        </w:rPr>
        <w:t>May 17, 2006</w:t>
      </w:r>
      <w:r w:rsidRPr="008B3051">
        <w:rPr>
          <w:rFonts w:ascii="Verdana" w:hAnsi="Verdana"/>
        </w:rPr>
        <w:t>, </w:t>
      </w:r>
      <w:r w:rsidRPr="008B3051">
        <w:rPr>
          <w:rStyle w:val="Hyperlink"/>
          <w:rFonts w:ascii="Verdana" w:hAnsi="Verdana"/>
          <w:color w:val="auto"/>
        </w:rPr>
        <w:t>120 Stat. 353</w:t>
      </w:r>
      <w:r w:rsidRPr="008B3051">
        <w:rPr>
          <w:rFonts w:ascii="Verdana" w:hAnsi="Verdana"/>
        </w:rPr>
        <w:t>; </w:t>
      </w:r>
      <w:r w:rsidRPr="008B3051">
        <w:rPr>
          <w:rStyle w:val="Hyperlink"/>
          <w:rFonts w:ascii="Verdana" w:hAnsi="Verdana"/>
          <w:color w:val="auto"/>
        </w:rPr>
        <w:t>Pub. L. 110–166</w:t>
      </w:r>
      <w:r w:rsidRPr="008B3051">
        <w:rPr>
          <w:rFonts w:ascii="Verdana" w:hAnsi="Verdana"/>
        </w:rPr>
        <w:t>, § 3(a), </w:t>
      </w:r>
      <w:r w:rsidRPr="008B3051">
        <w:rPr>
          <w:rStyle w:val="Date2"/>
          <w:rFonts w:ascii="Verdana" w:hAnsi="Verdana"/>
        </w:rPr>
        <w:t>Dec. 26, 2007</w:t>
      </w:r>
      <w:r w:rsidRPr="008B3051">
        <w:rPr>
          <w:rFonts w:ascii="Verdana" w:hAnsi="Verdana"/>
        </w:rPr>
        <w:t>, </w:t>
      </w:r>
      <w:r w:rsidRPr="008B3051">
        <w:rPr>
          <w:rStyle w:val="Hyperlink"/>
          <w:rFonts w:ascii="Verdana" w:hAnsi="Verdana"/>
          <w:color w:val="auto"/>
        </w:rPr>
        <w:t>121 Stat. 2461</w:t>
      </w:r>
      <w:r w:rsidRPr="008B3051">
        <w:rPr>
          <w:rFonts w:ascii="Verdana" w:hAnsi="Verdana"/>
        </w:rPr>
        <w:t>; </w:t>
      </w:r>
      <w:r w:rsidRPr="008B3051">
        <w:rPr>
          <w:rStyle w:val="Hyperlink"/>
          <w:rFonts w:ascii="Verdana" w:hAnsi="Verdana"/>
          <w:color w:val="auto"/>
        </w:rPr>
        <w:t>Pub. L. 110–172</w:t>
      </w:r>
      <w:r w:rsidRPr="008B3051">
        <w:rPr>
          <w:rFonts w:ascii="Verdana" w:hAnsi="Verdana"/>
        </w:rPr>
        <w:t>, § 11(a)(3), </w:t>
      </w:r>
      <w:r w:rsidRPr="008B3051">
        <w:rPr>
          <w:rStyle w:val="Date2"/>
          <w:rFonts w:ascii="Verdana" w:hAnsi="Verdana"/>
        </w:rPr>
        <w:t>Dec. 29, 2007</w:t>
      </w:r>
      <w:r w:rsidRPr="008B3051">
        <w:rPr>
          <w:rFonts w:ascii="Verdana" w:hAnsi="Verdana"/>
        </w:rPr>
        <w:t>, </w:t>
      </w:r>
      <w:r w:rsidRPr="008B3051">
        <w:rPr>
          <w:rStyle w:val="Hyperlink"/>
          <w:rFonts w:ascii="Verdana" w:hAnsi="Verdana"/>
          <w:color w:val="auto"/>
        </w:rPr>
        <w:t>121 Stat. 2484</w:t>
      </w:r>
      <w:r w:rsidRPr="008B3051">
        <w:rPr>
          <w:rFonts w:ascii="Verdana" w:hAnsi="Verdana"/>
        </w:rPr>
        <w:t>; </w:t>
      </w:r>
      <w:r w:rsidRPr="008B3051">
        <w:rPr>
          <w:rStyle w:val="Hyperlink"/>
          <w:rFonts w:ascii="Verdana" w:hAnsi="Verdana"/>
          <w:color w:val="auto"/>
        </w:rPr>
        <w:t>Pub. L. 110–289, div. C, title I</w:t>
      </w:r>
      <w:r w:rsidRPr="008B3051">
        <w:rPr>
          <w:rFonts w:ascii="Verdana" w:hAnsi="Verdana"/>
        </w:rPr>
        <w:t>, § 3011(b)(1), </w:t>
      </w:r>
      <w:r w:rsidRPr="008B3051">
        <w:rPr>
          <w:rStyle w:val="Date2"/>
          <w:rFonts w:ascii="Verdana" w:hAnsi="Verdana"/>
        </w:rPr>
        <w:t>July 30, 2008</w:t>
      </w:r>
      <w:r w:rsidRPr="008B3051">
        <w:rPr>
          <w:rFonts w:ascii="Verdana" w:hAnsi="Verdana"/>
        </w:rPr>
        <w:t>, </w:t>
      </w:r>
      <w:r w:rsidRPr="008B3051">
        <w:rPr>
          <w:rStyle w:val="Hyperlink"/>
          <w:rFonts w:ascii="Verdana" w:hAnsi="Verdana"/>
          <w:color w:val="auto"/>
        </w:rPr>
        <w:t>122 Stat. 2891</w:t>
      </w:r>
      <w:r w:rsidRPr="008B3051">
        <w:rPr>
          <w:rFonts w:ascii="Verdana" w:hAnsi="Verdana"/>
        </w:rPr>
        <w:t>; </w:t>
      </w:r>
      <w:r w:rsidRPr="008B3051">
        <w:rPr>
          <w:rStyle w:val="Hyperlink"/>
          <w:rFonts w:ascii="Verdana" w:hAnsi="Verdana"/>
          <w:color w:val="auto"/>
        </w:rPr>
        <w:t>Pub. L. 110–343, div. B, title I</w:t>
      </w:r>
      <w:r w:rsidRPr="008B3051">
        <w:rPr>
          <w:rFonts w:ascii="Verdana" w:hAnsi="Verdana"/>
        </w:rPr>
        <w:t>, § 106(e)(2)(D), title II, § 205(d)(1)(D), div. C, title I, § 101(a), title VIII, § 801(b), </w:t>
      </w:r>
      <w:r w:rsidRPr="008B3051">
        <w:rPr>
          <w:rStyle w:val="Date2"/>
          <w:rFonts w:ascii="Verdana" w:hAnsi="Verdana"/>
        </w:rPr>
        <w:t>Oct. 3, 2008</w:t>
      </w:r>
      <w:r w:rsidRPr="008B3051">
        <w:rPr>
          <w:rFonts w:ascii="Verdana" w:hAnsi="Verdana"/>
        </w:rPr>
        <w:t>, </w:t>
      </w:r>
      <w:r w:rsidRPr="008B3051">
        <w:rPr>
          <w:rStyle w:val="Hyperlink"/>
          <w:rFonts w:ascii="Verdana" w:hAnsi="Verdana"/>
          <w:color w:val="auto"/>
        </w:rPr>
        <w:t>122 Stat. 3817</w:t>
      </w:r>
      <w:r w:rsidRPr="008B3051">
        <w:rPr>
          <w:rFonts w:ascii="Verdana" w:hAnsi="Verdana"/>
        </w:rPr>
        <w:t>, 3839, 3863, 3931; </w:t>
      </w:r>
      <w:r w:rsidRPr="008B3051">
        <w:rPr>
          <w:rStyle w:val="Hyperlink"/>
          <w:rFonts w:ascii="Verdana" w:hAnsi="Verdana"/>
          <w:color w:val="auto"/>
        </w:rPr>
        <w:t>Pub. L. 111–5, div. B, title I</w:t>
      </w:r>
      <w:r w:rsidRPr="008B3051">
        <w:rPr>
          <w:rFonts w:ascii="Verdana" w:hAnsi="Verdana"/>
        </w:rPr>
        <w:t>, §§ 1004(b)(3), 1011(a), 1142(b)(1)(D), 1144(b)(1)(D), </w:t>
      </w:r>
      <w:r w:rsidRPr="008B3051">
        <w:rPr>
          <w:rStyle w:val="Date2"/>
          <w:rFonts w:ascii="Verdana" w:hAnsi="Verdana"/>
        </w:rPr>
        <w:t>Feb. 17, 2009</w:t>
      </w:r>
      <w:r w:rsidRPr="008B3051">
        <w:rPr>
          <w:rFonts w:ascii="Verdana" w:hAnsi="Verdana"/>
        </w:rPr>
        <w:t>, </w:t>
      </w:r>
      <w:r w:rsidRPr="008B3051">
        <w:rPr>
          <w:rStyle w:val="Hyperlink"/>
          <w:rFonts w:ascii="Verdana" w:hAnsi="Verdana"/>
          <w:color w:val="auto"/>
        </w:rPr>
        <w:t>123 Stat. 314</w:t>
      </w:r>
      <w:r w:rsidRPr="008B3051">
        <w:rPr>
          <w:rFonts w:ascii="Verdana" w:hAnsi="Verdana"/>
        </w:rPr>
        <w:t>, 319, 330, 332; </w:t>
      </w:r>
      <w:r w:rsidRPr="008B3051">
        <w:rPr>
          <w:rStyle w:val="Hyperlink"/>
          <w:rFonts w:ascii="Verdana" w:hAnsi="Verdana"/>
          <w:color w:val="auto"/>
        </w:rPr>
        <w:t>Pub. L. 111–148, title X</w:t>
      </w:r>
      <w:r w:rsidRPr="008B3051">
        <w:rPr>
          <w:rFonts w:ascii="Verdana" w:hAnsi="Verdana"/>
        </w:rPr>
        <w:t>, § 10909(b)(2)(E), (c), </w:t>
      </w:r>
      <w:r w:rsidRPr="008B3051">
        <w:rPr>
          <w:rStyle w:val="Date2"/>
          <w:rFonts w:ascii="Verdana" w:hAnsi="Verdana"/>
        </w:rPr>
        <w:t>Mar. 23, 2010</w:t>
      </w:r>
      <w:r w:rsidRPr="008B3051">
        <w:rPr>
          <w:rFonts w:ascii="Verdana" w:hAnsi="Verdana"/>
        </w:rPr>
        <w:t>, </w:t>
      </w:r>
      <w:r w:rsidRPr="008B3051">
        <w:rPr>
          <w:rStyle w:val="Hyperlink"/>
          <w:rFonts w:ascii="Verdana" w:hAnsi="Verdana"/>
          <w:color w:val="auto"/>
        </w:rPr>
        <w:t>124 Stat. 1023</w:t>
      </w:r>
      <w:r w:rsidRPr="008B3051">
        <w:rPr>
          <w:rFonts w:ascii="Verdana" w:hAnsi="Verdana"/>
        </w:rPr>
        <w:t>; </w:t>
      </w:r>
      <w:r w:rsidRPr="008B3051">
        <w:rPr>
          <w:rStyle w:val="Hyperlink"/>
          <w:rFonts w:ascii="Verdana" w:hAnsi="Verdana"/>
          <w:color w:val="auto"/>
        </w:rPr>
        <w:t>Pub. L. 111–312, title I</w:t>
      </w:r>
      <w:r w:rsidRPr="008B3051">
        <w:rPr>
          <w:rFonts w:ascii="Verdana" w:hAnsi="Verdana"/>
        </w:rPr>
        <w:t>, § 101(b)(1), title II, § 202(a), </w:t>
      </w:r>
      <w:r w:rsidRPr="008B3051">
        <w:rPr>
          <w:rStyle w:val="Date2"/>
          <w:rFonts w:ascii="Verdana" w:hAnsi="Verdana"/>
        </w:rPr>
        <w:t>Dec. 17, 2010</w:t>
      </w:r>
      <w:r w:rsidRPr="008B3051">
        <w:rPr>
          <w:rFonts w:ascii="Verdana" w:hAnsi="Verdana"/>
        </w:rPr>
        <w:t>, </w:t>
      </w:r>
      <w:r w:rsidRPr="008B3051">
        <w:rPr>
          <w:rStyle w:val="Hyperlink"/>
          <w:rFonts w:ascii="Verdana" w:hAnsi="Verdana"/>
          <w:color w:val="auto"/>
        </w:rPr>
        <w:t>124 Stat. 3298</w:t>
      </w:r>
      <w:r w:rsidRPr="008B3051">
        <w:rPr>
          <w:rFonts w:ascii="Verdana" w:hAnsi="Verdana"/>
        </w:rPr>
        <w:t>, 3299; </w:t>
      </w:r>
      <w:r w:rsidRPr="008B3051">
        <w:rPr>
          <w:rStyle w:val="Hyperlink"/>
          <w:rFonts w:ascii="Verdana" w:hAnsi="Verdana"/>
          <w:color w:val="auto"/>
        </w:rPr>
        <w:t>Pub. L. 112–240, title I</w:t>
      </w:r>
      <w:r w:rsidRPr="008B3051">
        <w:rPr>
          <w:rFonts w:ascii="Verdana" w:hAnsi="Verdana"/>
        </w:rPr>
        <w:t>, § 104(c)(1), </w:t>
      </w:r>
      <w:r w:rsidRPr="008B3051">
        <w:rPr>
          <w:rStyle w:val="Date2"/>
          <w:rFonts w:ascii="Verdana" w:hAnsi="Verdana"/>
        </w:rPr>
        <w:t>Jan. 2, 2013</w:t>
      </w:r>
      <w:r w:rsidRPr="008B3051">
        <w:rPr>
          <w:rFonts w:ascii="Verdana" w:hAnsi="Verdana"/>
        </w:rPr>
        <w:t>, </w:t>
      </w:r>
      <w:r w:rsidRPr="008B3051">
        <w:rPr>
          <w:rStyle w:val="Hyperlink"/>
          <w:rFonts w:ascii="Verdana" w:hAnsi="Verdana"/>
          <w:color w:val="auto"/>
        </w:rPr>
        <w:t>126 Stat. 2321</w:t>
      </w:r>
      <w:r w:rsidRPr="008B3051">
        <w:rPr>
          <w:rFonts w:ascii="Verdana" w:hAnsi="Verdana"/>
        </w:rPr>
        <w:t>; </w:t>
      </w:r>
      <w:r w:rsidRPr="008B3051">
        <w:rPr>
          <w:rStyle w:val="Hyperlink"/>
          <w:rFonts w:ascii="Verdana" w:hAnsi="Verdana"/>
          <w:color w:val="auto"/>
        </w:rPr>
        <w:t>Pub. L. 113–295, div. A, title II</w:t>
      </w:r>
      <w:r w:rsidRPr="008B3051">
        <w:rPr>
          <w:rFonts w:ascii="Verdana" w:hAnsi="Verdana"/>
        </w:rPr>
        <w:t>, § 221(a)(12)(B), div. B, title I, § 102(e)(1), </w:t>
      </w:r>
      <w:r w:rsidRPr="008B3051">
        <w:rPr>
          <w:rStyle w:val="Date2"/>
          <w:rFonts w:ascii="Verdana" w:hAnsi="Verdana"/>
        </w:rPr>
        <w:t>Dec. 19, 2014</w:t>
      </w:r>
      <w:r w:rsidRPr="008B3051">
        <w:rPr>
          <w:rFonts w:ascii="Verdana" w:hAnsi="Verdana"/>
        </w:rPr>
        <w:t>, </w:t>
      </w:r>
      <w:r w:rsidRPr="008B3051">
        <w:rPr>
          <w:rStyle w:val="Hyperlink"/>
          <w:rFonts w:ascii="Verdana" w:hAnsi="Verdana"/>
          <w:color w:val="auto"/>
        </w:rPr>
        <w:t>128 Stat. 4038</w:t>
      </w:r>
      <w:r w:rsidRPr="008B3051">
        <w:rPr>
          <w:rFonts w:ascii="Verdana" w:hAnsi="Verdana"/>
        </w:rPr>
        <w:t>, 4062; </w:t>
      </w:r>
      <w:r w:rsidRPr="008B3051">
        <w:rPr>
          <w:rStyle w:val="Hyperlink"/>
          <w:rFonts w:ascii="Verdana" w:hAnsi="Verdana"/>
          <w:color w:val="auto"/>
        </w:rPr>
        <w:t>Pub. L. 115–97, title I</w:t>
      </w:r>
      <w:r w:rsidRPr="008B3051">
        <w:rPr>
          <w:rFonts w:ascii="Verdana" w:hAnsi="Verdana"/>
        </w:rPr>
        <w:t>, § 14401(c), </w:t>
      </w:r>
      <w:r w:rsidRPr="008B3051">
        <w:rPr>
          <w:rStyle w:val="Date2"/>
          <w:rFonts w:ascii="Verdana" w:hAnsi="Verdana"/>
        </w:rPr>
        <w:t>Dec. 22, 2017</w:t>
      </w:r>
      <w:r w:rsidRPr="008B3051">
        <w:rPr>
          <w:rFonts w:ascii="Verdana" w:hAnsi="Verdana"/>
        </w:rPr>
        <w:t>, </w:t>
      </w:r>
      <w:r w:rsidRPr="008B3051">
        <w:rPr>
          <w:rStyle w:val="Hyperlink"/>
          <w:rFonts w:ascii="Verdana" w:hAnsi="Verdana"/>
          <w:color w:val="auto"/>
        </w:rPr>
        <w:t>131 Stat. 2233</w:t>
      </w:r>
      <w:r w:rsidRPr="008B3051">
        <w:rPr>
          <w:rFonts w:ascii="Verdana" w:hAnsi="Verdana"/>
        </w:rPr>
        <w:t>.)</w:t>
      </w:r>
    </w:p>
    <w:p w14:paraId="266B4630" w14:textId="77777777" w:rsidR="00AB7AF9" w:rsidRPr="008B3051" w:rsidRDefault="007677B2" w:rsidP="00AB7AF9">
      <w:pPr>
        <w:spacing w:before="300" w:after="300"/>
        <w:rPr>
          <w:rFonts w:ascii="Times New Roman" w:hAnsi="Times New Roman"/>
        </w:rPr>
      </w:pPr>
      <w:r>
        <w:pict w14:anchorId="03ACAC43">
          <v:rect id="_x0000_i1026" style="width:0;height:1.5pt" o:hralign="center" o:hrstd="t" o:hrnoshade="t" o:hr="t" fillcolor="#333" stroked="f"/>
        </w:pict>
      </w:r>
    </w:p>
    <w:p w14:paraId="726B5E35" w14:textId="67B1B520" w:rsidR="00AB7AF9" w:rsidRPr="008B3051" w:rsidRDefault="00AB7AF9" w:rsidP="00AB7AF9">
      <w:pPr>
        <w:pStyle w:val="last"/>
        <w:shd w:val="clear" w:color="auto" w:fill="FFFFFF"/>
        <w:spacing w:before="0" w:beforeAutospacing="0" w:after="60" w:afterAutospacing="0"/>
        <w:ind w:left="720"/>
        <w:rPr>
          <w:rFonts w:ascii="Verdana" w:hAnsi="Verdana"/>
        </w:rPr>
      </w:pPr>
      <w:r w:rsidRPr="008B3051">
        <w:rPr>
          <w:rFonts w:ascii="Verdana" w:hAnsi="Verdana"/>
        </w:rPr>
        <w:br/>
      </w:r>
      <w:bookmarkStart w:id="471" w:name="fn002017"/>
      <w:r w:rsidRPr="008B3051">
        <w:rPr>
          <w:rFonts w:ascii="Verdana" w:hAnsi="Verdana"/>
          <w:sz w:val="19"/>
          <w:szCs w:val="19"/>
          <w:shd w:val="clear" w:color="auto" w:fill="FFFFFF"/>
        </w:rPr>
        <w:t>[1] </w:t>
      </w:r>
      <w:bookmarkEnd w:id="471"/>
      <w:r w:rsidRPr="008B3051">
        <w:rPr>
          <w:rStyle w:val="footnote"/>
          <w:rFonts w:ascii="Verdana" w:hAnsi="Verdana"/>
          <w:sz w:val="22"/>
          <w:szCs w:val="22"/>
          <w:shd w:val="clear" w:color="auto" w:fill="FFFFFF"/>
        </w:rPr>
        <w:t> See References in Text note below.</w:t>
      </w:r>
    </w:p>
    <w:p w14:paraId="4D949B37" w14:textId="77777777" w:rsidR="00963B91" w:rsidRPr="008B3051" w:rsidRDefault="00963B91" w:rsidP="00963B91">
      <w:pPr>
        <w:pStyle w:val="first"/>
        <w:shd w:val="clear" w:color="auto" w:fill="FFFFFF"/>
        <w:spacing w:before="0" w:beforeAutospacing="0" w:after="60" w:afterAutospacing="0"/>
        <w:ind w:left="360"/>
        <w:rPr>
          <w:rFonts w:ascii="Verdana" w:hAnsi="Verdana"/>
        </w:rPr>
      </w:pPr>
    </w:p>
    <w:p w14:paraId="0F378EB8" w14:textId="37261021" w:rsidR="00963B91" w:rsidRPr="008B3051" w:rsidRDefault="00963B91" w:rsidP="000805FD">
      <w:pPr>
        <w:numPr>
          <w:ilvl w:val="0"/>
          <w:numId w:val="3"/>
        </w:numPr>
        <w:shd w:val="clear" w:color="auto" w:fill="FFFFFF"/>
        <w:spacing w:after="60" w:line="240" w:lineRule="auto"/>
        <w:ind w:left="360"/>
        <w:rPr>
          <w:rStyle w:val="Hyperlink"/>
          <w:rFonts w:ascii="Verdana" w:hAnsi="Verdana"/>
          <w:color w:val="auto"/>
          <w:u w:val="none"/>
        </w:rPr>
      </w:pPr>
      <w:r w:rsidRPr="008B3051">
        <w:rPr>
          <w:rStyle w:val="Hyperlink"/>
          <w:rFonts w:ascii="Verdana" w:hAnsi="Verdana"/>
          <w:color w:val="auto"/>
        </w:rPr>
        <w:t>SUBPART B - Other Credits (§§ 27 to 30D)</w:t>
      </w:r>
    </w:p>
    <w:p w14:paraId="0551D844" w14:textId="2FE26E8A" w:rsidR="00B5587E" w:rsidRPr="008B3051" w:rsidRDefault="00B5587E" w:rsidP="00B5587E">
      <w:pPr>
        <w:shd w:val="clear" w:color="auto" w:fill="FFFFFF"/>
        <w:spacing w:after="60" w:line="240" w:lineRule="auto"/>
        <w:ind w:left="360"/>
        <w:rPr>
          <w:rFonts w:ascii="Verdana" w:hAnsi="Verdana"/>
        </w:rPr>
      </w:pPr>
    </w:p>
    <w:p w14:paraId="035BE512" w14:textId="025B4C57" w:rsidR="00B5587E" w:rsidRPr="008B3051" w:rsidRDefault="00B5587E" w:rsidP="000805FD">
      <w:pPr>
        <w:pStyle w:val="first"/>
        <w:numPr>
          <w:ilvl w:val="0"/>
          <w:numId w:val="4"/>
        </w:numPr>
        <w:shd w:val="clear" w:color="auto" w:fill="FFFFFF"/>
        <w:spacing w:before="0" w:beforeAutospacing="0" w:after="60" w:afterAutospacing="0"/>
        <w:ind w:left="360"/>
        <w:rPr>
          <w:rFonts w:ascii="Verdana" w:hAnsi="Verdana"/>
        </w:rPr>
      </w:pPr>
      <w:r w:rsidRPr="008B3051">
        <w:rPr>
          <w:rFonts w:ascii="Verdana" w:hAnsi="Verdana"/>
        </w:rPr>
        <w:t>§ 27 - Taxes of foreign countries and possessions of the United States; possession tax credit</w:t>
      </w:r>
    </w:p>
    <w:p w14:paraId="4724C546" w14:textId="68B0D995" w:rsidR="00B5587E" w:rsidRPr="008B3051" w:rsidRDefault="00B5587E" w:rsidP="00B5587E">
      <w:pPr>
        <w:pStyle w:val="first"/>
        <w:shd w:val="clear" w:color="auto" w:fill="FFFFFF"/>
        <w:spacing w:before="0" w:beforeAutospacing="0" w:after="60" w:afterAutospacing="0"/>
        <w:ind w:left="360"/>
        <w:rPr>
          <w:rFonts w:ascii="Verdana" w:hAnsi="Verdana"/>
        </w:rPr>
      </w:pPr>
    </w:p>
    <w:p w14:paraId="54C409A3"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Foreign tax credit</w:t>
      </w:r>
    </w:p>
    <w:p w14:paraId="7FB286CE" w14:textId="50BBDC6D"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of taxes imposed by foreign countries and possessions of the United States shall be allowed as a credit against the tax imposed by this chapter to the extent provided in section 901.</w:t>
      </w:r>
    </w:p>
    <w:p w14:paraId="7EEA8FCF" w14:textId="6B129F92"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Section 936 credit</w:t>
      </w:r>
    </w:p>
    <w:p w14:paraId="079BE586" w14:textId="1DD024F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domesticcorporation, the amount provided by section 936 (relating to Puerto Rico and possession tax credit) shall be allowed as a credit against the tax imposed by this chapter.</w:t>
      </w:r>
    </w:p>
    <w:p w14:paraId="02C0F9C2" w14:textId="3191A92A" w:rsidR="00B5587E" w:rsidRPr="008B3051" w:rsidRDefault="00B5587E" w:rsidP="00B5587E">
      <w:pPr>
        <w:shd w:val="clear" w:color="auto" w:fill="FFFFFF"/>
        <w:rPr>
          <w:rFonts w:ascii="Verdana" w:hAnsi="Verdana"/>
        </w:rPr>
      </w:pPr>
      <w:r w:rsidRPr="008B3051">
        <w:rPr>
          <w:rFonts w:ascii="Verdana" w:hAnsi="Verdana"/>
        </w:rPr>
        <w:lastRenderedPageBreak/>
        <w:t>(Aug. 16, 1954, ch. 736, 68A Stat. 13, § 33; Pub. L. 94–455, title X, § 1051(a), </w:t>
      </w:r>
      <w:r w:rsidRPr="008B3051">
        <w:rPr>
          <w:rStyle w:val="Date3"/>
          <w:rFonts w:ascii="Verdana" w:hAnsi="Verdana"/>
        </w:rPr>
        <w:t>Oct. 4, 1976</w:t>
      </w:r>
      <w:r w:rsidRPr="008B3051">
        <w:rPr>
          <w:rFonts w:ascii="Verdana" w:hAnsi="Verdana"/>
        </w:rPr>
        <w:t>, 90 Stat. 1643; renumbered § 27, Pub. L. 98–369, div. A, title IV, § 471(c), </w:t>
      </w:r>
      <w:r w:rsidRPr="008B3051">
        <w:rPr>
          <w:rStyle w:val="Date3"/>
          <w:rFonts w:ascii="Verdana" w:hAnsi="Verdana"/>
        </w:rPr>
        <w:t>July 18, 1984</w:t>
      </w:r>
      <w:r w:rsidRPr="008B3051">
        <w:rPr>
          <w:rFonts w:ascii="Verdana" w:hAnsi="Verdana"/>
        </w:rPr>
        <w:t>, 98 Stat. 826.)</w:t>
      </w:r>
    </w:p>
    <w:p w14:paraId="63980A16" w14:textId="77777777" w:rsidR="00B5587E" w:rsidRPr="008B3051" w:rsidRDefault="00B5587E" w:rsidP="00B5587E">
      <w:pPr>
        <w:pStyle w:val="first"/>
        <w:shd w:val="clear" w:color="auto" w:fill="FFFFFF"/>
        <w:spacing w:before="0" w:beforeAutospacing="0" w:after="60" w:afterAutospacing="0"/>
        <w:ind w:left="360"/>
        <w:rPr>
          <w:rFonts w:ascii="Verdana" w:hAnsi="Verdana"/>
        </w:rPr>
      </w:pPr>
    </w:p>
    <w:p w14:paraId="776F9B0F" w14:textId="03584670"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28 - Renumbered § 45C]</w:t>
      </w:r>
    </w:p>
    <w:p w14:paraId="0F9C7F25" w14:textId="5D49A0D1"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29 - Renumbered § 45K]</w:t>
      </w:r>
    </w:p>
    <w:p w14:paraId="01C6691D" w14:textId="0ADC9638"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30 - Repealed. Pub. L. 113–295, div. A, title II, § 221(a)(2)(A), Dec. 19, 2014, 128 Stat. 4037]</w:t>
      </w:r>
    </w:p>
    <w:p w14:paraId="33BB39A1" w14:textId="37CCE1A8"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30A - Puerto Rico economic activity credit</w:t>
      </w:r>
    </w:p>
    <w:p w14:paraId="16560469" w14:textId="7CF3F201" w:rsidR="00B5587E" w:rsidRPr="008B3051" w:rsidRDefault="00B5587E" w:rsidP="00B5587E">
      <w:pPr>
        <w:shd w:val="clear" w:color="auto" w:fill="FFFFFF"/>
        <w:spacing w:after="60" w:line="240" w:lineRule="auto"/>
        <w:ind w:left="360"/>
        <w:rPr>
          <w:rFonts w:ascii="Verdana" w:hAnsi="Verdana"/>
        </w:rPr>
      </w:pPr>
    </w:p>
    <w:p w14:paraId="0D3EAF52"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38D89E80" w14:textId="254A8ECE"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Except as otherwise provided in this section, if the conditions of both paragraph (1) and paragraph (2) of subsection (b) are satisfied with respect to a qualified domesticcorporation, there shall be allowed as a credit against the tax imposed by this chapter an amount equal to the portion of the tax which is attributable to the taxable income, from sources without the United States, from—</w:t>
      </w:r>
    </w:p>
    <w:p w14:paraId="694579CD"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295E9D7E" w14:textId="5FC0FE4C" w:rsidR="00B5587E" w:rsidRPr="008B3051" w:rsidRDefault="00B5587E" w:rsidP="00B5587E">
      <w:pPr>
        <w:shd w:val="clear" w:color="auto" w:fill="FFFFFF"/>
        <w:rPr>
          <w:rFonts w:ascii="Verdana" w:hAnsi="Verdana"/>
        </w:rPr>
      </w:pPr>
      <w:r w:rsidRPr="008B3051">
        <w:rPr>
          <w:rFonts w:ascii="Verdana" w:hAnsi="Verdana"/>
        </w:rPr>
        <w:t>the active conduct of a trade or business within Puerto Rico, or</w:t>
      </w:r>
    </w:p>
    <w:p w14:paraId="2DCCB375"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210D4A53" w14:textId="0556D230" w:rsidR="00B5587E" w:rsidRPr="008B3051" w:rsidRDefault="00B5587E" w:rsidP="00B5587E">
      <w:pPr>
        <w:shd w:val="clear" w:color="auto" w:fill="FFFFFF"/>
        <w:rPr>
          <w:rFonts w:ascii="Verdana" w:hAnsi="Verdana"/>
        </w:rPr>
      </w:pPr>
      <w:r w:rsidRPr="008B3051">
        <w:rPr>
          <w:rFonts w:ascii="Verdana" w:hAnsi="Verdana"/>
        </w:rPr>
        <w:t>the sale or exchange of substantially all of the assets used by the taxpayer in the active conduct of such trade or business.</w:t>
      </w:r>
    </w:p>
    <w:p w14:paraId="15E91C2F" w14:textId="1EC718B8" w:rsidR="00B5587E" w:rsidRPr="008B3051" w:rsidRDefault="00B5587E" w:rsidP="00B5587E">
      <w:pPr>
        <w:shd w:val="clear" w:color="auto" w:fill="FFFFFF"/>
        <w:rPr>
          <w:rFonts w:ascii="Verdana" w:hAnsi="Verdana"/>
        </w:rPr>
      </w:pPr>
      <w:r w:rsidRPr="008B3051">
        <w:rPr>
          <w:rFonts w:ascii="Verdana" w:hAnsi="Verdana"/>
        </w:rPr>
        <w:t>In the case of any taxable year beginning after </w:t>
      </w:r>
      <w:r w:rsidRPr="008B3051">
        <w:rPr>
          <w:rStyle w:val="Date3"/>
          <w:rFonts w:ascii="Verdana" w:hAnsi="Verdana"/>
        </w:rPr>
        <w:t>December 31, 2001</w:t>
      </w:r>
      <w:r w:rsidRPr="008B3051">
        <w:rPr>
          <w:rFonts w:ascii="Verdana" w:hAnsi="Verdana"/>
        </w:rPr>
        <w:t>, the aggregate amount of taxable income taken into account under the preceding sentence (and in applying subsection (d)) shall not exceed the adjusted base period income of such corporation, as determined in the same manner as under section 936(j).</w:t>
      </w:r>
    </w:p>
    <w:p w14:paraId="2AEAFC3C" w14:textId="05462AF6"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Qualified domestic corporation</w:t>
      </w:r>
      <w:r w:rsidRPr="008B3051">
        <w:rPr>
          <w:rStyle w:val="chapeau"/>
          <w:rFonts w:ascii="Verdana" w:hAnsi="Verdana"/>
        </w:rPr>
        <w:t>For purposes of paragraph (1), the term “qualified domestic corporation” means a domestic corporation—</w:t>
      </w:r>
    </w:p>
    <w:p w14:paraId="13DB5660"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08D6CC7" w14:textId="5C1ECE98" w:rsidR="00B5587E" w:rsidRPr="008B3051" w:rsidRDefault="00B5587E" w:rsidP="00B5587E">
      <w:pPr>
        <w:shd w:val="clear" w:color="auto" w:fill="FFFFFF"/>
        <w:rPr>
          <w:rFonts w:ascii="Verdana" w:hAnsi="Verdana"/>
        </w:rPr>
      </w:pPr>
      <w:r w:rsidRPr="008B3051">
        <w:rPr>
          <w:rFonts w:ascii="Verdana" w:hAnsi="Verdana"/>
        </w:rPr>
        <w:t>which is an existing credit claimant with respect to Puerto Rico, and</w:t>
      </w:r>
    </w:p>
    <w:p w14:paraId="2C92E835"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1AE311E6" w14:textId="42254FB7" w:rsidR="00B5587E" w:rsidRPr="008B3051" w:rsidRDefault="00B5587E" w:rsidP="00B5587E">
      <w:pPr>
        <w:shd w:val="clear" w:color="auto" w:fill="FFFFFF"/>
        <w:rPr>
          <w:rFonts w:ascii="Verdana" w:hAnsi="Verdana"/>
        </w:rPr>
      </w:pPr>
      <w:r w:rsidRPr="008B3051">
        <w:rPr>
          <w:rFonts w:ascii="Verdana" w:hAnsi="Verdana"/>
        </w:rPr>
        <w:t>with respect to which section 936(a)(4)(B) does not apply for the taxable year.</w:t>
      </w:r>
    </w:p>
    <w:p w14:paraId="14325376"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Separate application</w:t>
      </w:r>
      <w:r w:rsidRPr="008B3051">
        <w:rPr>
          <w:rStyle w:val="chapeau"/>
          <w:rFonts w:ascii="Verdana" w:hAnsi="Verdana"/>
        </w:rPr>
        <w:t>For purposes of determining—</w:t>
      </w:r>
    </w:p>
    <w:p w14:paraId="69B8A477"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B8A57D3" w14:textId="7F2140A8" w:rsidR="00B5587E" w:rsidRPr="008B3051" w:rsidRDefault="00B5587E" w:rsidP="00B5587E">
      <w:pPr>
        <w:shd w:val="clear" w:color="auto" w:fill="FFFFFF"/>
        <w:rPr>
          <w:rFonts w:ascii="Verdana" w:hAnsi="Verdana"/>
        </w:rPr>
      </w:pPr>
      <w:r w:rsidRPr="008B3051">
        <w:rPr>
          <w:rFonts w:ascii="Verdana" w:hAnsi="Verdana"/>
        </w:rPr>
        <w:t>whether a taxpayer is an existing credit claimant with respect to Puerto Rico, and</w:t>
      </w:r>
    </w:p>
    <w:p w14:paraId="35581763"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0F8613CC" w14:textId="77777777" w:rsidR="00B5587E" w:rsidRPr="008B3051" w:rsidRDefault="00B5587E" w:rsidP="00B5587E">
      <w:pPr>
        <w:shd w:val="clear" w:color="auto" w:fill="FFFFFF"/>
        <w:rPr>
          <w:rFonts w:ascii="Verdana" w:hAnsi="Verdana"/>
        </w:rPr>
      </w:pPr>
      <w:r w:rsidRPr="008B3051">
        <w:rPr>
          <w:rFonts w:ascii="Verdana" w:hAnsi="Verdana"/>
        </w:rPr>
        <w:lastRenderedPageBreak/>
        <w:t>the amount of the credit allowed under this section,</w:t>
      </w:r>
    </w:p>
    <w:p w14:paraId="25B242FE" w14:textId="39E9140D" w:rsidR="00B5587E" w:rsidRPr="008B3051" w:rsidRDefault="00B5587E" w:rsidP="00B5587E">
      <w:pPr>
        <w:shd w:val="clear" w:color="auto" w:fill="FFFFFF"/>
        <w:rPr>
          <w:rFonts w:ascii="Verdana" w:hAnsi="Verdana"/>
        </w:rPr>
      </w:pPr>
      <w:r w:rsidRPr="008B3051">
        <w:rPr>
          <w:rFonts w:ascii="Verdana" w:hAnsi="Verdana"/>
        </w:rPr>
        <w:t>this section (and so much of section 936 as relates to this section) shall be applied separately with respect to Puerto Rico.</w:t>
      </w:r>
    </w:p>
    <w:p w14:paraId="42C0C17F"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Conditions which must be satisfied</w:t>
      </w:r>
      <w:r w:rsidRPr="008B3051">
        <w:rPr>
          <w:rStyle w:val="chapeau"/>
          <w:rFonts w:ascii="Verdana" w:hAnsi="Verdana"/>
        </w:rPr>
        <w:t>The conditions referred to in subsection (a) are—</w:t>
      </w:r>
    </w:p>
    <w:p w14:paraId="77CBF9F4"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3-year period</w:t>
      </w:r>
    </w:p>
    <w:p w14:paraId="6740F728" w14:textId="4729C26D"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If 80 percent or more of the gross income of the qualified domestic corporation for the 3-year period immediately preceding the close of the taxable year (or for such part of such period immediately preceding the close of such taxable year as may be applicable) was derived from sources within a possession (determined without regard to section 904(f)).</w:t>
      </w:r>
    </w:p>
    <w:p w14:paraId="42569A90"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Trade or business</w:t>
      </w:r>
    </w:p>
    <w:p w14:paraId="0F7468C6" w14:textId="30048856"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If 75 percent or more of the gross income of the qualified domestic corporation for such period or such part thereof was derived from the active conduct of a trade or business within a possession.</w:t>
      </w:r>
    </w:p>
    <w:p w14:paraId="7FE41AF7" w14:textId="5E57FF00"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Credit not allowed against certain taxes</w:t>
      </w:r>
      <w:r w:rsidRPr="008B3051">
        <w:rPr>
          <w:rStyle w:val="chapeau"/>
          <w:rFonts w:ascii="Verdana" w:hAnsi="Verdana"/>
        </w:rPr>
        <w:t>The credit provided by subsection (a) shall not be allowed against the tax imposed by—</w:t>
      </w:r>
    </w:p>
    <w:p w14:paraId="6CEB67EB"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p>
    <w:p w14:paraId="1DFE9BAF" w14:textId="09EA505D" w:rsidR="00B5587E" w:rsidRPr="008B3051" w:rsidRDefault="00B5587E" w:rsidP="00B5587E">
      <w:pPr>
        <w:shd w:val="clear" w:color="auto" w:fill="FFFFFF"/>
        <w:rPr>
          <w:rFonts w:ascii="Verdana" w:hAnsi="Verdana"/>
        </w:rPr>
      </w:pPr>
      <w:r w:rsidRPr="008B3051">
        <w:rPr>
          <w:rFonts w:ascii="Verdana" w:hAnsi="Verdana"/>
        </w:rPr>
        <w:t>section 531 (relating to the tax on accumulated earnings),</w:t>
      </w:r>
    </w:p>
    <w:p w14:paraId="4BA73F0C"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p>
    <w:p w14:paraId="6A2A8B38" w14:textId="256C7D84" w:rsidR="00B5587E" w:rsidRPr="008B3051" w:rsidRDefault="00B5587E" w:rsidP="00B5587E">
      <w:pPr>
        <w:shd w:val="clear" w:color="auto" w:fill="FFFFFF"/>
        <w:rPr>
          <w:rFonts w:ascii="Verdana" w:hAnsi="Verdana"/>
        </w:rPr>
      </w:pPr>
      <w:r w:rsidRPr="008B3051">
        <w:rPr>
          <w:rFonts w:ascii="Verdana" w:hAnsi="Verdana"/>
        </w:rPr>
        <w:t>section 541 (relating to personal holding company tax), or</w:t>
      </w:r>
    </w:p>
    <w:p w14:paraId="7D2BD7B4"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p>
    <w:p w14:paraId="15FF17F8" w14:textId="3B594203" w:rsidR="00B5587E" w:rsidRPr="008B3051" w:rsidRDefault="00B5587E" w:rsidP="00B5587E">
      <w:pPr>
        <w:shd w:val="clear" w:color="auto" w:fill="FFFFFF"/>
        <w:rPr>
          <w:rFonts w:ascii="Verdana" w:hAnsi="Verdana"/>
        </w:rPr>
      </w:pPr>
      <w:r w:rsidRPr="008B3051">
        <w:rPr>
          <w:rFonts w:ascii="Verdana" w:hAnsi="Verdana"/>
        </w:rPr>
        <w:t>section 1351 (relating to recoveries of foreign expropriation losses).</w:t>
      </w:r>
    </w:p>
    <w:p w14:paraId="76473711" w14:textId="5C6E0110" w:rsidR="00B5587E" w:rsidRPr="008B3051" w:rsidRDefault="00B5587E" w:rsidP="00B5587E">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Limitations on credit for active business income</w:t>
      </w:r>
      <w:r w:rsidRPr="008B3051">
        <w:rPr>
          <w:rStyle w:val="chapeau"/>
          <w:rFonts w:ascii="Verdana" w:hAnsi="Verdana"/>
        </w:rPr>
        <w:t>The amount of the credit determined under subsection (a) for any taxable year shall not exceed the sum of the following amounts:</w:t>
      </w:r>
    </w:p>
    <w:p w14:paraId="25188D4D"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chapeau"/>
          <w:rFonts w:ascii="Verdana" w:hAnsi="Verdana"/>
        </w:rPr>
        <w:t>60 percent of the sum of—</w:t>
      </w:r>
    </w:p>
    <w:p w14:paraId="39F17BD8"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0028E224" w14:textId="2DCAC397" w:rsidR="00B5587E" w:rsidRPr="008B3051" w:rsidRDefault="00B5587E" w:rsidP="00B5587E">
      <w:pPr>
        <w:shd w:val="clear" w:color="auto" w:fill="FFFFFF"/>
        <w:rPr>
          <w:rFonts w:ascii="Verdana" w:hAnsi="Verdana"/>
        </w:rPr>
      </w:pPr>
      <w:r w:rsidRPr="008B3051">
        <w:rPr>
          <w:rFonts w:ascii="Verdana" w:hAnsi="Verdana"/>
        </w:rPr>
        <w:t>the aggregate amount of the qualified domesticcorporation’s qualified possession wages for such taxable year, plus</w:t>
      </w:r>
    </w:p>
    <w:p w14:paraId="3B783C4C"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0EADF273" w14:textId="55AE948A" w:rsidR="00B5587E" w:rsidRPr="008B3051" w:rsidRDefault="00B5587E" w:rsidP="00B5587E">
      <w:pPr>
        <w:shd w:val="clear" w:color="auto" w:fill="FFFFFF"/>
        <w:rPr>
          <w:rFonts w:ascii="Verdana" w:hAnsi="Verdana"/>
        </w:rPr>
      </w:pPr>
      <w:r w:rsidRPr="008B3051">
        <w:rPr>
          <w:rFonts w:ascii="Verdana" w:hAnsi="Verdana"/>
        </w:rPr>
        <w:t>the allocable employee fringe benefit expenses of the qualified domestic corporation for such taxable year.</w:t>
      </w:r>
    </w:p>
    <w:p w14:paraId="423AE88A"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chapeau"/>
          <w:rFonts w:ascii="Verdana" w:hAnsi="Verdana"/>
        </w:rPr>
        <w:t>The sum of—</w:t>
      </w:r>
    </w:p>
    <w:p w14:paraId="68F7C9E7"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(A)</w:t>
      </w:r>
    </w:p>
    <w:p w14:paraId="05097F9C" w14:textId="1405E430" w:rsidR="00B5587E" w:rsidRPr="008B3051" w:rsidRDefault="00B5587E" w:rsidP="00B5587E">
      <w:pPr>
        <w:shd w:val="clear" w:color="auto" w:fill="FFFFFF"/>
        <w:rPr>
          <w:rFonts w:ascii="Verdana" w:hAnsi="Verdana"/>
        </w:rPr>
      </w:pPr>
      <w:r w:rsidRPr="008B3051">
        <w:rPr>
          <w:rFonts w:ascii="Verdana" w:hAnsi="Verdana"/>
        </w:rPr>
        <w:t>15 percent of the depreciation allowances for the taxable year with respect to short-life qualified tangible property,</w:t>
      </w:r>
    </w:p>
    <w:p w14:paraId="58712B3C"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0894730B" w14:textId="438D1B97" w:rsidR="00B5587E" w:rsidRPr="008B3051" w:rsidRDefault="00B5587E" w:rsidP="00B5587E">
      <w:pPr>
        <w:shd w:val="clear" w:color="auto" w:fill="FFFFFF"/>
        <w:rPr>
          <w:rFonts w:ascii="Verdana" w:hAnsi="Verdana"/>
        </w:rPr>
      </w:pPr>
      <w:r w:rsidRPr="008B3051">
        <w:rPr>
          <w:rFonts w:ascii="Verdana" w:hAnsi="Verdana"/>
        </w:rPr>
        <w:t>40 percent of the depreciation allowances for the taxable year with respect to medium-life qualified tangible property, and</w:t>
      </w:r>
    </w:p>
    <w:p w14:paraId="420E2318"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33652F1B" w14:textId="50E273C5" w:rsidR="00B5587E" w:rsidRPr="008B3051" w:rsidRDefault="00B5587E" w:rsidP="00B5587E">
      <w:pPr>
        <w:shd w:val="clear" w:color="auto" w:fill="FFFFFF"/>
        <w:rPr>
          <w:rFonts w:ascii="Verdana" w:hAnsi="Verdana"/>
        </w:rPr>
      </w:pPr>
      <w:r w:rsidRPr="008B3051">
        <w:rPr>
          <w:rFonts w:ascii="Verdana" w:hAnsi="Verdana"/>
        </w:rPr>
        <w:t>65 percent of the depreciation allowances for the taxable year with respect to long-life qualified tangible property.</w:t>
      </w:r>
    </w:p>
    <w:p w14:paraId="4BCCDB0D"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p>
    <w:p w14:paraId="0CFC5D10" w14:textId="5B053B89" w:rsidR="00B5587E" w:rsidRPr="008B3051" w:rsidRDefault="00B5587E" w:rsidP="00B5587E">
      <w:pPr>
        <w:shd w:val="clear" w:color="auto" w:fill="FFFFFF"/>
        <w:rPr>
          <w:rFonts w:ascii="Verdana" w:hAnsi="Verdana"/>
        </w:rPr>
      </w:pPr>
      <w:r w:rsidRPr="008B3051">
        <w:rPr>
          <w:rFonts w:ascii="Verdana" w:hAnsi="Verdana"/>
        </w:rPr>
        <w:t>If the qualified domesticcorporation does not have an election to use the method described in section 936(h)(5)(C)(ii) (relating to profit split) in effect for the taxable year, the amount of the qualified possession income taxes for the taxable year allocable to nonsheltered income.</w:t>
      </w:r>
    </w:p>
    <w:p w14:paraId="488AF266" w14:textId="77777777" w:rsidR="00B5587E" w:rsidRPr="008B3051" w:rsidRDefault="00B5587E" w:rsidP="00B5587E">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Administrative provisions</w:t>
      </w:r>
      <w:r w:rsidRPr="008B3051">
        <w:rPr>
          <w:rStyle w:val="chapeau"/>
          <w:rFonts w:ascii="Verdana" w:hAnsi="Verdana"/>
        </w:rPr>
        <w:t>For purposes of this title—</w:t>
      </w:r>
    </w:p>
    <w:p w14:paraId="158206C1"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p>
    <w:p w14:paraId="3849C978" w14:textId="7DF7D61A" w:rsidR="00B5587E" w:rsidRPr="008B3051" w:rsidRDefault="00B5587E" w:rsidP="00B5587E">
      <w:pPr>
        <w:shd w:val="clear" w:color="auto" w:fill="FFFFFF"/>
        <w:rPr>
          <w:rFonts w:ascii="Verdana" w:hAnsi="Verdana"/>
        </w:rPr>
      </w:pPr>
      <w:r w:rsidRPr="008B3051">
        <w:rPr>
          <w:rFonts w:ascii="Verdana" w:hAnsi="Verdana"/>
        </w:rPr>
        <w:t>the provisions of section 936 (including any applicable election thereunder) shall apply in the same manner as if the credit under this section were a credit under section 936(a)(1)(A) for a domestic corporation to which section 936(a)(4)(A) applies,</w:t>
      </w:r>
    </w:p>
    <w:p w14:paraId="01C2D2A5"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p>
    <w:p w14:paraId="2A17B373" w14:textId="77777777" w:rsidR="00B5587E" w:rsidRPr="008B3051" w:rsidRDefault="00B5587E" w:rsidP="00B5587E">
      <w:pPr>
        <w:shd w:val="clear" w:color="auto" w:fill="FFFFFF"/>
        <w:rPr>
          <w:rFonts w:ascii="Verdana" w:hAnsi="Verdana"/>
        </w:rPr>
      </w:pPr>
      <w:r w:rsidRPr="008B3051">
        <w:rPr>
          <w:rFonts w:ascii="Verdana" w:hAnsi="Verdana"/>
        </w:rPr>
        <w:t>the credit under this section shall be treated in the same manner as the credit under section 936, and</w:t>
      </w:r>
    </w:p>
    <w:p w14:paraId="6A4BFC66"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p>
    <w:p w14:paraId="001EB9B0" w14:textId="2B026FD5" w:rsidR="00B5587E" w:rsidRPr="008B3051" w:rsidRDefault="00B5587E" w:rsidP="00B5587E">
      <w:pPr>
        <w:shd w:val="clear" w:color="auto" w:fill="FFFFFF"/>
        <w:rPr>
          <w:rFonts w:ascii="Verdana" w:hAnsi="Verdana"/>
        </w:rPr>
      </w:pPr>
      <w:r w:rsidRPr="008B3051">
        <w:rPr>
          <w:rFonts w:ascii="Verdana" w:hAnsi="Verdana"/>
        </w:rPr>
        <w:t>a corporation to which this section applies shall be treated in the same manner as if it were a corporation electing the application of section 936.</w:t>
      </w:r>
    </w:p>
    <w:p w14:paraId="35C6463E" w14:textId="77777777" w:rsidR="00B5587E" w:rsidRPr="008B3051" w:rsidRDefault="00B5587E" w:rsidP="00B5587E">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Denial of double benefit</w:t>
      </w:r>
    </w:p>
    <w:p w14:paraId="12817FEF" w14:textId="2E76CA3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Any wages or other expenses taken into account in determining the credit under this section may not be taken into account in determining the credit under section 41.</w:t>
      </w:r>
    </w:p>
    <w:p w14:paraId="0D15B9A9" w14:textId="77777777" w:rsidR="00B5587E" w:rsidRPr="008B3051" w:rsidRDefault="00B5587E" w:rsidP="00B5587E">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Definitions</w:t>
      </w:r>
    </w:p>
    <w:p w14:paraId="158046F6" w14:textId="012B167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section, any term used in this section which is also used in section 936 shall have the same meaning given such term by section 936.</w:t>
      </w:r>
    </w:p>
    <w:p w14:paraId="752F188A" w14:textId="77777777" w:rsidR="00B5587E" w:rsidRPr="008B3051" w:rsidRDefault="00B5587E" w:rsidP="00B5587E">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Application of section</w:t>
      </w:r>
    </w:p>
    <w:p w14:paraId="2ACD69C9" w14:textId="0B03A57A"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This section shall apply to taxable years beginning after </w:t>
      </w:r>
      <w:r w:rsidRPr="008B3051">
        <w:rPr>
          <w:rStyle w:val="Date3"/>
          <w:rFonts w:ascii="Verdana" w:hAnsi="Verdana"/>
        </w:rPr>
        <w:t>December 31, 1995</w:t>
      </w:r>
      <w:r w:rsidRPr="008B3051">
        <w:rPr>
          <w:rFonts w:ascii="Verdana" w:hAnsi="Verdana"/>
        </w:rPr>
        <w:t>, and before </w:t>
      </w:r>
      <w:r w:rsidRPr="008B3051">
        <w:rPr>
          <w:rStyle w:val="Date3"/>
          <w:rFonts w:ascii="Verdana" w:hAnsi="Verdana"/>
        </w:rPr>
        <w:t>January 1, 2006</w:t>
      </w:r>
      <w:r w:rsidRPr="008B3051">
        <w:rPr>
          <w:rFonts w:ascii="Verdana" w:hAnsi="Verdana"/>
        </w:rPr>
        <w:t>.</w:t>
      </w:r>
    </w:p>
    <w:p w14:paraId="255FFD0B" w14:textId="045C8EB3" w:rsidR="00B5587E" w:rsidRPr="008B3051" w:rsidRDefault="00B5587E" w:rsidP="00B5587E">
      <w:pPr>
        <w:shd w:val="clear" w:color="auto" w:fill="FFFFFF"/>
        <w:rPr>
          <w:rFonts w:ascii="Verdana" w:hAnsi="Verdana"/>
        </w:rPr>
      </w:pPr>
      <w:r w:rsidRPr="008B3051">
        <w:rPr>
          <w:rFonts w:ascii="Verdana" w:hAnsi="Verdana"/>
        </w:rPr>
        <w:t>(Added Pub. L. 104–188, title I, § 1601(b)(1), </w:t>
      </w:r>
      <w:r w:rsidRPr="008B3051">
        <w:rPr>
          <w:rStyle w:val="Date3"/>
          <w:rFonts w:ascii="Verdana" w:hAnsi="Verdana"/>
        </w:rPr>
        <w:t>Aug. 20, 1996</w:t>
      </w:r>
      <w:r w:rsidRPr="008B3051">
        <w:rPr>
          <w:rFonts w:ascii="Verdana" w:hAnsi="Verdana"/>
        </w:rPr>
        <w:t>, 110 Stat. 1830; amended Pub. L. 105–34, title XVI, § 1601(f)(1)(A), </w:t>
      </w:r>
      <w:r w:rsidRPr="008B3051">
        <w:rPr>
          <w:rStyle w:val="Date3"/>
          <w:rFonts w:ascii="Verdana" w:hAnsi="Verdana"/>
        </w:rPr>
        <w:t>Aug. 5, 1997</w:t>
      </w:r>
      <w:r w:rsidRPr="008B3051">
        <w:rPr>
          <w:rFonts w:ascii="Verdana" w:hAnsi="Verdana"/>
        </w:rPr>
        <w:t>, 111 Stat. 1090; Pub. L. 106–554, § 1(a)(7) [title III, § 311(a)(2)], </w:t>
      </w:r>
      <w:r w:rsidRPr="008B3051">
        <w:rPr>
          <w:rStyle w:val="Date3"/>
          <w:rFonts w:ascii="Verdana" w:hAnsi="Verdana"/>
        </w:rPr>
        <w:t>Dec. 21, 2000</w:t>
      </w:r>
      <w:r w:rsidRPr="008B3051">
        <w:rPr>
          <w:rFonts w:ascii="Verdana" w:hAnsi="Verdana"/>
        </w:rPr>
        <w:t>, 114 Stat. 2763, 2763A–640; Pub. L. 113–295, div. A, title II, § 221(a)(12)(C), </w:t>
      </w:r>
      <w:r w:rsidRPr="008B3051">
        <w:rPr>
          <w:rStyle w:val="Date3"/>
          <w:rFonts w:ascii="Verdana" w:hAnsi="Verdana"/>
        </w:rPr>
        <w:t>Dec. 19, 2014</w:t>
      </w:r>
      <w:r w:rsidRPr="008B3051">
        <w:rPr>
          <w:rFonts w:ascii="Verdana" w:hAnsi="Verdana"/>
        </w:rPr>
        <w:t>, 128 Stat. 4038.)</w:t>
      </w:r>
    </w:p>
    <w:p w14:paraId="3598039B" w14:textId="77777777" w:rsidR="00B5587E" w:rsidRPr="008B3051" w:rsidRDefault="00B5587E" w:rsidP="00B5587E">
      <w:pPr>
        <w:shd w:val="clear" w:color="auto" w:fill="FFFFFF"/>
        <w:spacing w:after="60" w:line="240" w:lineRule="auto"/>
        <w:ind w:left="360"/>
        <w:rPr>
          <w:rFonts w:ascii="Verdana" w:hAnsi="Verdana"/>
        </w:rPr>
      </w:pPr>
    </w:p>
    <w:p w14:paraId="309EA2E5" w14:textId="0CD0FBE9"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30B - Alternative motor vehicle credit</w:t>
      </w:r>
    </w:p>
    <w:p w14:paraId="0B023E80" w14:textId="70247828" w:rsidR="00B5587E" w:rsidRPr="008B3051" w:rsidRDefault="00B5587E" w:rsidP="00B5587E">
      <w:pPr>
        <w:shd w:val="clear" w:color="auto" w:fill="FFFFFF"/>
        <w:spacing w:after="60" w:line="240" w:lineRule="auto"/>
        <w:ind w:left="360"/>
        <w:rPr>
          <w:rFonts w:ascii="Verdana" w:hAnsi="Verdana"/>
        </w:rPr>
      </w:pPr>
    </w:p>
    <w:p w14:paraId="3198D4BD" w14:textId="28DE71E3"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r w:rsidRPr="008B3051">
        <w:rPr>
          <w:rStyle w:val="chapeau"/>
          <w:rFonts w:ascii="Verdana" w:hAnsi="Verdana"/>
        </w:rPr>
        <w:t>There shall be allowed as a credit against the tax imposed by this chapter for the taxable year an amount equal to the sum of—</w:t>
      </w:r>
    </w:p>
    <w:p w14:paraId="4F26227D"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p>
    <w:p w14:paraId="0505E85C" w14:textId="3197460A" w:rsidR="00B5587E" w:rsidRPr="008B3051" w:rsidRDefault="00B5587E" w:rsidP="00B5587E">
      <w:pPr>
        <w:shd w:val="clear" w:color="auto" w:fill="FFFFFF"/>
        <w:rPr>
          <w:rFonts w:ascii="Verdana" w:hAnsi="Verdana"/>
        </w:rPr>
      </w:pPr>
      <w:r w:rsidRPr="008B3051">
        <w:rPr>
          <w:rFonts w:ascii="Verdana" w:hAnsi="Verdana"/>
        </w:rPr>
        <w:t>the new qualified fuel cell motor vehicle credit determined under subsection (b),</w:t>
      </w:r>
    </w:p>
    <w:p w14:paraId="4EAFC7D2"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p>
    <w:p w14:paraId="4891982F" w14:textId="4B6333C3" w:rsidR="00B5587E" w:rsidRPr="008B3051" w:rsidRDefault="00B5587E" w:rsidP="00B5587E">
      <w:pPr>
        <w:shd w:val="clear" w:color="auto" w:fill="FFFFFF"/>
        <w:rPr>
          <w:rFonts w:ascii="Verdana" w:hAnsi="Verdana"/>
        </w:rPr>
      </w:pPr>
      <w:r w:rsidRPr="008B3051">
        <w:rPr>
          <w:rFonts w:ascii="Verdana" w:hAnsi="Verdana"/>
        </w:rPr>
        <w:t>the new advanced lean burn technology motor vehicle credit determined under subsection (c),</w:t>
      </w:r>
    </w:p>
    <w:p w14:paraId="14881533"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p>
    <w:p w14:paraId="43A1FC00" w14:textId="4A0CDA77" w:rsidR="00B5587E" w:rsidRPr="008B3051" w:rsidRDefault="00B5587E" w:rsidP="00B5587E">
      <w:pPr>
        <w:shd w:val="clear" w:color="auto" w:fill="FFFFFF"/>
        <w:rPr>
          <w:rFonts w:ascii="Verdana" w:hAnsi="Verdana"/>
        </w:rPr>
      </w:pPr>
      <w:r w:rsidRPr="008B3051">
        <w:rPr>
          <w:rFonts w:ascii="Verdana" w:hAnsi="Verdana"/>
        </w:rPr>
        <w:t>the new qualified hybrid motor vehicle credit determined under subsection (d),</w:t>
      </w:r>
    </w:p>
    <w:p w14:paraId="384D67DD"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p>
    <w:p w14:paraId="0C96574A" w14:textId="4531FEFE" w:rsidR="00B5587E" w:rsidRPr="008B3051" w:rsidRDefault="00B5587E" w:rsidP="00B5587E">
      <w:pPr>
        <w:shd w:val="clear" w:color="auto" w:fill="FFFFFF"/>
        <w:rPr>
          <w:rFonts w:ascii="Verdana" w:hAnsi="Verdana"/>
        </w:rPr>
      </w:pPr>
      <w:r w:rsidRPr="008B3051">
        <w:rPr>
          <w:rFonts w:ascii="Verdana" w:hAnsi="Verdana"/>
        </w:rPr>
        <w:t>the new qualified alternative fuelmotor vehicle credit determined under subsection (e), and</w:t>
      </w:r>
    </w:p>
    <w:p w14:paraId="7E9F68BA"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p>
    <w:p w14:paraId="4481A646" w14:textId="77777777" w:rsidR="00B5587E" w:rsidRPr="008B3051" w:rsidRDefault="00B5587E" w:rsidP="00B5587E">
      <w:pPr>
        <w:shd w:val="clear" w:color="auto" w:fill="FFFFFF"/>
        <w:rPr>
          <w:rFonts w:ascii="Verdana" w:hAnsi="Verdana"/>
        </w:rPr>
      </w:pPr>
      <w:r w:rsidRPr="008B3051">
        <w:rPr>
          <w:rFonts w:ascii="Verdana" w:hAnsi="Verdana"/>
        </w:rPr>
        <w:t>the plug-in conversion credit determined under subsection (i).</w:t>
      </w:r>
    </w:p>
    <w:p w14:paraId="3CD4AB43"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New qualified fuel cell motor vehicle credit</w:t>
      </w:r>
    </w:p>
    <w:p w14:paraId="45BB0F64" w14:textId="1EF428E0"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For purposes of subsection (a), the new qualified fuel cell motor vehicle credit determined under this subsection with respect to a new qualified fuel cell motor vehicle placed in service by the taxpayer during the taxable year is—</w:t>
      </w:r>
    </w:p>
    <w:p w14:paraId="344A584E"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232A6E2C" w14:textId="39D20946" w:rsidR="00B5587E" w:rsidRPr="008B3051" w:rsidRDefault="00B5587E" w:rsidP="00B5587E">
      <w:pPr>
        <w:shd w:val="clear" w:color="auto" w:fill="FFFFFF"/>
        <w:rPr>
          <w:rFonts w:ascii="Verdana" w:hAnsi="Verdana"/>
        </w:rPr>
      </w:pPr>
      <w:r w:rsidRPr="008B3051">
        <w:rPr>
          <w:rFonts w:ascii="Verdana" w:hAnsi="Verdana"/>
        </w:rPr>
        <w:t>$8,000 ($4,000 in the case of a vehicle placed in service after </w:t>
      </w:r>
      <w:r w:rsidRPr="008B3051">
        <w:rPr>
          <w:rStyle w:val="Date3"/>
          <w:rFonts w:ascii="Verdana" w:hAnsi="Verdana"/>
        </w:rPr>
        <w:t>December 31, 2009</w:t>
      </w:r>
      <w:r w:rsidRPr="008B3051">
        <w:rPr>
          <w:rFonts w:ascii="Verdana" w:hAnsi="Verdana"/>
        </w:rPr>
        <w:t>), if such vehicle has a gross vehicle weight rating of not more than 8,500 pounds,</w:t>
      </w:r>
    </w:p>
    <w:p w14:paraId="2DD14C8D"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51728A66" w14:textId="6003AF4C" w:rsidR="00B5587E" w:rsidRPr="008B3051" w:rsidRDefault="00B5587E" w:rsidP="00B5587E">
      <w:pPr>
        <w:shd w:val="clear" w:color="auto" w:fill="FFFFFF"/>
        <w:rPr>
          <w:rFonts w:ascii="Verdana" w:hAnsi="Verdana"/>
        </w:rPr>
      </w:pPr>
      <w:r w:rsidRPr="008B3051">
        <w:rPr>
          <w:rFonts w:ascii="Verdana" w:hAnsi="Verdana"/>
        </w:rPr>
        <w:t>$10,000, if such vehicle has a gross vehicle weight rating of more than 8,500 pounds but not more than 14,000 pounds,</w:t>
      </w:r>
    </w:p>
    <w:p w14:paraId="32344857"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(C)</w:t>
      </w:r>
    </w:p>
    <w:p w14:paraId="1AC810EB" w14:textId="57B60E65" w:rsidR="00B5587E" w:rsidRPr="008B3051" w:rsidRDefault="00B5587E" w:rsidP="00B5587E">
      <w:pPr>
        <w:shd w:val="clear" w:color="auto" w:fill="FFFFFF"/>
        <w:rPr>
          <w:rFonts w:ascii="Verdana" w:hAnsi="Verdana"/>
        </w:rPr>
      </w:pPr>
      <w:r w:rsidRPr="008B3051">
        <w:rPr>
          <w:rFonts w:ascii="Verdana" w:hAnsi="Verdana"/>
        </w:rPr>
        <w:t>$20,000, if such vehicle has a gross vehicle weight rating of more than 14,000 pounds but not more than 26,000 pounds, and</w:t>
      </w:r>
    </w:p>
    <w:p w14:paraId="083DBCA6"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p>
    <w:p w14:paraId="437AE566" w14:textId="25827C12" w:rsidR="00B5587E" w:rsidRPr="008B3051" w:rsidRDefault="00B5587E" w:rsidP="00B5587E">
      <w:pPr>
        <w:shd w:val="clear" w:color="auto" w:fill="FFFFFF"/>
        <w:rPr>
          <w:rFonts w:ascii="Verdana" w:hAnsi="Verdana"/>
        </w:rPr>
      </w:pPr>
      <w:r w:rsidRPr="008B3051">
        <w:rPr>
          <w:rFonts w:ascii="Verdana" w:hAnsi="Verdana"/>
        </w:rPr>
        <w:t>$40,000, if such vehicle has a gross vehicle weight rating of more than 26,000 pounds.</w:t>
      </w:r>
    </w:p>
    <w:p w14:paraId="5CBF63A1"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Increase for fuel efficiency</w:t>
      </w:r>
    </w:p>
    <w:p w14:paraId="355DEEB5" w14:textId="26E2A561"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amount determined under paragraph (1)(A) with respect to a new qualified fuel cell motor vehicle which is a passenger automobile or light truck shall be increased by—</w:t>
      </w:r>
    </w:p>
    <w:p w14:paraId="6F9B59B6"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p>
    <w:p w14:paraId="35CD91A8" w14:textId="682172D5" w:rsidR="00B5587E" w:rsidRPr="008B3051" w:rsidRDefault="00B5587E" w:rsidP="00B5587E">
      <w:pPr>
        <w:shd w:val="clear" w:color="auto" w:fill="FFFFFF"/>
        <w:rPr>
          <w:rFonts w:ascii="Verdana" w:hAnsi="Verdana"/>
        </w:rPr>
      </w:pPr>
      <w:r w:rsidRPr="008B3051">
        <w:rPr>
          <w:rFonts w:ascii="Verdana" w:hAnsi="Verdana"/>
        </w:rPr>
        <w:t>$1,000, if such vehicle achieves at least 150 percent but less than 175 percent of the 2002 model year city fuel economy,</w:t>
      </w:r>
    </w:p>
    <w:p w14:paraId="2A599B4C"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p>
    <w:p w14:paraId="4AA76E1A" w14:textId="6FE133F0" w:rsidR="00B5587E" w:rsidRPr="008B3051" w:rsidRDefault="00B5587E" w:rsidP="00B5587E">
      <w:pPr>
        <w:shd w:val="clear" w:color="auto" w:fill="FFFFFF"/>
        <w:rPr>
          <w:rFonts w:ascii="Verdana" w:hAnsi="Verdana"/>
        </w:rPr>
      </w:pPr>
      <w:r w:rsidRPr="008B3051">
        <w:rPr>
          <w:rFonts w:ascii="Verdana" w:hAnsi="Verdana"/>
        </w:rPr>
        <w:t>$1,500, if such vehicle achieves at least 175 percent but less than 200 percent of the 2002 model year city fuel economy,</w:t>
      </w:r>
    </w:p>
    <w:p w14:paraId="1437BDD4" w14:textId="77777777" w:rsidR="00B5587E" w:rsidRPr="008B3051" w:rsidRDefault="00B5587E" w:rsidP="00B5587E">
      <w:pPr>
        <w:shd w:val="clear" w:color="auto" w:fill="FFFFFF"/>
        <w:rPr>
          <w:rFonts w:ascii="Verdana" w:hAnsi="Verdana"/>
        </w:rPr>
      </w:pPr>
      <w:r w:rsidRPr="008B3051">
        <w:rPr>
          <w:rStyle w:val="num"/>
          <w:rFonts w:ascii="Verdana" w:hAnsi="Verdana"/>
          <w:b/>
          <w:bCs/>
        </w:rPr>
        <w:t>(iii)</w:t>
      </w:r>
    </w:p>
    <w:p w14:paraId="397A3473" w14:textId="487F42C7" w:rsidR="00B5587E" w:rsidRPr="008B3051" w:rsidRDefault="00B5587E" w:rsidP="00B5587E">
      <w:pPr>
        <w:shd w:val="clear" w:color="auto" w:fill="FFFFFF"/>
        <w:rPr>
          <w:rFonts w:ascii="Verdana" w:hAnsi="Verdana"/>
        </w:rPr>
      </w:pPr>
      <w:r w:rsidRPr="008B3051">
        <w:rPr>
          <w:rFonts w:ascii="Verdana" w:hAnsi="Verdana"/>
        </w:rPr>
        <w:t>$2,000, if such vehicle achieves at least 200 percent but less than 225 percent of the 2002 model year city fuel economy,</w:t>
      </w:r>
    </w:p>
    <w:p w14:paraId="203AEFBA" w14:textId="77777777" w:rsidR="00B5587E" w:rsidRPr="008B3051" w:rsidRDefault="00B5587E" w:rsidP="00B5587E">
      <w:pPr>
        <w:shd w:val="clear" w:color="auto" w:fill="FFFFFF"/>
        <w:rPr>
          <w:rFonts w:ascii="Verdana" w:hAnsi="Verdana"/>
        </w:rPr>
      </w:pPr>
      <w:bookmarkStart w:id="472" w:name="b_2_A_iv"/>
      <w:bookmarkEnd w:id="472"/>
      <w:r w:rsidRPr="008B3051">
        <w:rPr>
          <w:rStyle w:val="num"/>
          <w:rFonts w:ascii="Verdana" w:hAnsi="Verdana"/>
          <w:b/>
          <w:bCs/>
        </w:rPr>
        <w:t>(iv)</w:t>
      </w:r>
    </w:p>
    <w:p w14:paraId="100B8525" w14:textId="759CC0A1" w:rsidR="00B5587E" w:rsidRPr="008B3051" w:rsidRDefault="00B5587E" w:rsidP="00B5587E">
      <w:pPr>
        <w:shd w:val="clear" w:color="auto" w:fill="FFFFFF"/>
        <w:rPr>
          <w:rFonts w:ascii="Verdana" w:hAnsi="Verdana"/>
        </w:rPr>
      </w:pPr>
      <w:r w:rsidRPr="008B3051">
        <w:rPr>
          <w:rFonts w:ascii="Verdana" w:hAnsi="Verdana"/>
        </w:rPr>
        <w:t>$2,500, if such vehicle achieves at least 225 percent but less than 250 percent of the 2002 model year city fuel economy,</w:t>
      </w:r>
    </w:p>
    <w:p w14:paraId="24FF965D" w14:textId="77777777" w:rsidR="00B5587E" w:rsidRPr="008B3051" w:rsidRDefault="00B5587E" w:rsidP="00B5587E">
      <w:pPr>
        <w:shd w:val="clear" w:color="auto" w:fill="FFFFFF"/>
        <w:rPr>
          <w:rFonts w:ascii="Verdana" w:hAnsi="Verdana"/>
        </w:rPr>
      </w:pPr>
      <w:bookmarkStart w:id="473" w:name="b_2_A_v"/>
      <w:bookmarkEnd w:id="473"/>
      <w:r w:rsidRPr="008B3051">
        <w:rPr>
          <w:rStyle w:val="num"/>
          <w:rFonts w:ascii="Verdana" w:hAnsi="Verdana"/>
          <w:b/>
          <w:bCs/>
        </w:rPr>
        <w:t>(v)</w:t>
      </w:r>
    </w:p>
    <w:p w14:paraId="7C3830EB" w14:textId="609A0D68" w:rsidR="00B5587E" w:rsidRPr="008B3051" w:rsidRDefault="00B5587E" w:rsidP="00B5587E">
      <w:pPr>
        <w:shd w:val="clear" w:color="auto" w:fill="FFFFFF"/>
        <w:rPr>
          <w:rFonts w:ascii="Verdana" w:hAnsi="Verdana"/>
        </w:rPr>
      </w:pPr>
      <w:r w:rsidRPr="008B3051">
        <w:rPr>
          <w:rFonts w:ascii="Verdana" w:hAnsi="Verdana"/>
        </w:rPr>
        <w:t>$3,000, if such vehicle achieves at least 250 percent but less than 275 percent of the 2002 model year city fuel economy,</w:t>
      </w:r>
    </w:p>
    <w:p w14:paraId="12B99DFC" w14:textId="77777777" w:rsidR="00B5587E" w:rsidRPr="008B3051" w:rsidRDefault="00B5587E" w:rsidP="00B5587E">
      <w:pPr>
        <w:shd w:val="clear" w:color="auto" w:fill="FFFFFF"/>
        <w:rPr>
          <w:rFonts w:ascii="Verdana" w:hAnsi="Verdana"/>
        </w:rPr>
      </w:pPr>
      <w:bookmarkStart w:id="474" w:name="b_2_A_vi"/>
      <w:bookmarkEnd w:id="474"/>
      <w:r w:rsidRPr="008B3051">
        <w:rPr>
          <w:rStyle w:val="num"/>
          <w:rFonts w:ascii="Verdana" w:hAnsi="Verdana"/>
          <w:b/>
          <w:bCs/>
        </w:rPr>
        <w:t>(vi)</w:t>
      </w:r>
    </w:p>
    <w:p w14:paraId="75EE94B3" w14:textId="226D7B98" w:rsidR="00B5587E" w:rsidRPr="008B3051" w:rsidRDefault="00B5587E" w:rsidP="00B5587E">
      <w:pPr>
        <w:shd w:val="clear" w:color="auto" w:fill="FFFFFF"/>
        <w:rPr>
          <w:rFonts w:ascii="Verdana" w:hAnsi="Verdana"/>
        </w:rPr>
      </w:pPr>
      <w:r w:rsidRPr="008B3051">
        <w:rPr>
          <w:rFonts w:ascii="Verdana" w:hAnsi="Verdana"/>
        </w:rPr>
        <w:t>$3,500, if such vehicle achieves at least 275 percent but less than 300 percent of the 2002 model year city fuel economy, and</w:t>
      </w:r>
    </w:p>
    <w:p w14:paraId="5CCB9428" w14:textId="77777777" w:rsidR="00B5587E" w:rsidRPr="008B3051" w:rsidRDefault="00B5587E" w:rsidP="00B5587E">
      <w:pPr>
        <w:shd w:val="clear" w:color="auto" w:fill="FFFFFF"/>
        <w:rPr>
          <w:rFonts w:ascii="Verdana" w:hAnsi="Verdana"/>
        </w:rPr>
      </w:pPr>
      <w:bookmarkStart w:id="475" w:name="b_2_A_vii"/>
      <w:bookmarkEnd w:id="475"/>
      <w:r w:rsidRPr="008B3051">
        <w:rPr>
          <w:rStyle w:val="num"/>
          <w:rFonts w:ascii="Verdana" w:hAnsi="Verdana"/>
          <w:b/>
          <w:bCs/>
        </w:rPr>
        <w:t>(vii)</w:t>
      </w:r>
    </w:p>
    <w:p w14:paraId="08FFA990" w14:textId="2E5F9CAE" w:rsidR="00B5587E" w:rsidRPr="008B3051" w:rsidRDefault="00B5587E" w:rsidP="00B5587E">
      <w:pPr>
        <w:shd w:val="clear" w:color="auto" w:fill="FFFFFF"/>
        <w:rPr>
          <w:rFonts w:ascii="Verdana" w:hAnsi="Verdana"/>
        </w:rPr>
      </w:pPr>
      <w:r w:rsidRPr="008B3051">
        <w:rPr>
          <w:rFonts w:ascii="Verdana" w:hAnsi="Verdana"/>
        </w:rPr>
        <w:t>$4,000, if such vehicle achieves at least 300 percent of the 2002 model year city fuel economy.</w:t>
      </w:r>
    </w:p>
    <w:p w14:paraId="5318A36C" w14:textId="6EE2A21A" w:rsidR="00B5587E" w:rsidRPr="008B3051" w:rsidRDefault="00B5587E" w:rsidP="00B5587E">
      <w:pPr>
        <w:shd w:val="clear" w:color="auto" w:fill="FFFFFF"/>
        <w:rPr>
          <w:rFonts w:ascii="Verdana" w:hAnsi="Verdana"/>
        </w:rPr>
      </w:pPr>
      <w:r w:rsidRPr="008B3051">
        <w:rPr>
          <w:rStyle w:val="num"/>
          <w:rFonts w:ascii="Verdana" w:hAnsi="Verdana"/>
          <w:b/>
          <w:bCs/>
        </w:rPr>
        <w:lastRenderedPageBreak/>
        <w:t>(B)</w:t>
      </w:r>
      <w:r w:rsidRPr="008B3051">
        <w:rPr>
          <w:rStyle w:val="heading"/>
          <w:rFonts w:ascii="Verdana" w:hAnsi="Verdana"/>
          <w:b/>
          <w:bCs/>
        </w:rPr>
        <w:t>2002 model year city fuel economy</w:t>
      </w:r>
      <w:r w:rsidRPr="008B3051">
        <w:rPr>
          <w:rStyle w:val="chapeau"/>
          <w:rFonts w:ascii="Verdana" w:hAnsi="Verdana"/>
        </w:rPr>
        <w:t>For purposes of subparagraph (A), the 2002 model year city fuel economy with respect to a vehicle shall be determined in accordance with the following tables:</w:t>
      </w:r>
    </w:p>
    <w:p w14:paraId="73424338"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p>
    <w:p w14:paraId="5019A524" w14:textId="784832B0" w:rsidR="00B5587E" w:rsidRPr="008B3051" w:rsidRDefault="00B5587E" w:rsidP="00B5587E">
      <w:pPr>
        <w:shd w:val="clear" w:color="auto" w:fill="FFFFFF"/>
        <w:rPr>
          <w:rFonts w:ascii="Verdana" w:hAnsi="Verdana"/>
        </w:rPr>
      </w:pPr>
      <w:r w:rsidRPr="008B3051">
        <w:rPr>
          <w:rFonts w:ascii="Verdana" w:hAnsi="Verdana"/>
        </w:rPr>
        <w:t>In the case of a passenger automobile:</w:t>
      </w:r>
    </w:p>
    <w:tbl>
      <w:tblPr>
        <w:tblW w:w="4500" w:type="pct"/>
        <w:tblCellMar>
          <w:top w:w="15" w:type="dxa"/>
          <w:left w:w="15" w:type="dxa"/>
          <w:bottom w:w="15" w:type="dxa"/>
          <w:right w:w="15" w:type="dxa"/>
        </w:tblCellMar>
        <w:tblLook w:val="04A0" w:firstRow="1" w:lastRow="0" w:firstColumn="1" w:lastColumn="0" w:noHBand="0" w:noVBand="1"/>
      </w:tblPr>
      <w:tblGrid>
        <w:gridCol w:w="4020"/>
        <w:gridCol w:w="4404"/>
      </w:tblGrid>
      <w:tr w:rsidR="00B5587E" w:rsidRPr="008B3051" w14:paraId="4B7598B6" w14:textId="77777777" w:rsidTr="00B5587E">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2E14234" w14:textId="77777777" w:rsidR="00B5587E" w:rsidRPr="008B3051" w:rsidRDefault="00B5587E">
            <w:pPr>
              <w:pStyle w:val="NormalWeb"/>
              <w:spacing w:before="0" w:beforeAutospacing="0" w:after="0" w:afterAutospacing="0"/>
              <w:ind w:left="140" w:right="140"/>
              <w:rPr>
                <w:sz w:val="26"/>
                <w:szCs w:val="26"/>
              </w:rPr>
            </w:pPr>
            <w:r w:rsidRPr="008B3051">
              <w:rPr>
                <w:sz w:val="26"/>
                <w:szCs w:val="26"/>
              </w:rPr>
              <w:t>  If vehicle inertia weight class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16B57C7E"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The 2002 model year city fuel economy is:</w:t>
            </w:r>
          </w:p>
        </w:tc>
      </w:tr>
      <w:tr w:rsidR="00B5587E" w:rsidRPr="008B3051" w14:paraId="63A8A751"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9704BAA" w14:textId="77777777" w:rsidR="00B5587E" w:rsidRPr="008B3051" w:rsidRDefault="00B5587E">
            <w:pPr>
              <w:pStyle w:val="leaders"/>
              <w:spacing w:before="0" w:beforeAutospacing="0" w:after="0" w:afterAutospacing="0"/>
            </w:pPr>
            <w:r w:rsidRPr="008B3051">
              <w:rPr>
                <w:shd w:val="clear" w:color="auto" w:fill="FFFFFF"/>
              </w:rPr>
              <w:t>1,500 or 1,750 lbs</w:t>
            </w:r>
          </w:p>
        </w:tc>
        <w:tc>
          <w:tcPr>
            <w:tcW w:w="0" w:type="auto"/>
            <w:tcBorders>
              <w:right w:val="nil"/>
            </w:tcBorders>
            <w:shd w:val="clear" w:color="auto" w:fill="auto"/>
            <w:tcMar>
              <w:top w:w="80" w:type="dxa"/>
              <w:left w:w="160" w:type="dxa"/>
              <w:bottom w:w="80" w:type="dxa"/>
              <w:right w:w="160" w:type="dxa"/>
            </w:tcMar>
            <w:vAlign w:val="center"/>
            <w:hideMark/>
          </w:tcPr>
          <w:p w14:paraId="6413B8E2" w14:textId="77777777" w:rsidR="00B5587E" w:rsidRPr="008B3051" w:rsidRDefault="00B5587E">
            <w:pPr>
              <w:pStyle w:val="NormalWeb"/>
              <w:spacing w:before="0" w:beforeAutospacing="0" w:after="0" w:afterAutospacing="0"/>
            </w:pPr>
            <w:r w:rsidRPr="008B3051">
              <w:t>45.2 mpg  </w:t>
            </w:r>
          </w:p>
        </w:tc>
      </w:tr>
      <w:tr w:rsidR="00B5587E" w:rsidRPr="008B3051" w14:paraId="6D911291"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5827B9DF" w14:textId="77777777" w:rsidR="00B5587E" w:rsidRPr="008B3051" w:rsidRDefault="00B5587E">
            <w:pPr>
              <w:pStyle w:val="leaders"/>
              <w:spacing w:before="0" w:beforeAutospacing="0" w:after="0" w:afterAutospacing="0"/>
            </w:pPr>
            <w:r w:rsidRPr="008B3051">
              <w:rPr>
                <w:shd w:val="clear" w:color="auto" w:fill="FFFFFF"/>
              </w:rPr>
              <w:t>2,000 lbs</w:t>
            </w:r>
          </w:p>
        </w:tc>
        <w:tc>
          <w:tcPr>
            <w:tcW w:w="0" w:type="auto"/>
            <w:tcBorders>
              <w:right w:val="nil"/>
            </w:tcBorders>
            <w:shd w:val="clear" w:color="auto" w:fill="auto"/>
            <w:tcMar>
              <w:top w:w="80" w:type="dxa"/>
              <w:left w:w="160" w:type="dxa"/>
              <w:bottom w:w="80" w:type="dxa"/>
              <w:right w:w="160" w:type="dxa"/>
            </w:tcMar>
            <w:vAlign w:val="center"/>
            <w:hideMark/>
          </w:tcPr>
          <w:p w14:paraId="07128BFD" w14:textId="77777777" w:rsidR="00B5587E" w:rsidRPr="008B3051" w:rsidRDefault="00B5587E">
            <w:pPr>
              <w:pStyle w:val="NormalWeb"/>
              <w:spacing w:before="0" w:beforeAutospacing="0" w:after="0" w:afterAutospacing="0"/>
            </w:pPr>
            <w:r w:rsidRPr="008B3051">
              <w:t>39.6 mpg  </w:t>
            </w:r>
          </w:p>
        </w:tc>
      </w:tr>
      <w:tr w:rsidR="00B5587E" w:rsidRPr="008B3051" w14:paraId="31BEF6EB"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1824493" w14:textId="77777777" w:rsidR="00B5587E" w:rsidRPr="008B3051" w:rsidRDefault="00B5587E">
            <w:pPr>
              <w:pStyle w:val="leaders"/>
              <w:spacing w:before="0" w:beforeAutospacing="0" w:after="0" w:afterAutospacing="0"/>
            </w:pPr>
            <w:r w:rsidRPr="008B3051">
              <w:rPr>
                <w:shd w:val="clear" w:color="auto" w:fill="FFFFFF"/>
              </w:rPr>
              <w:t>2,250 lbs</w:t>
            </w:r>
          </w:p>
        </w:tc>
        <w:tc>
          <w:tcPr>
            <w:tcW w:w="0" w:type="auto"/>
            <w:tcBorders>
              <w:right w:val="nil"/>
            </w:tcBorders>
            <w:shd w:val="clear" w:color="auto" w:fill="auto"/>
            <w:tcMar>
              <w:top w:w="80" w:type="dxa"/>
              <w:left w:w="160" w:type="dxa"/>
              <w:bottom w:w="80" w:type="dxa"/>
              <w:right w:w="160" w:type="dxa"/>
            </w:tcMar>
            <w:vAlign w:val="center"/>
            <w:hideMark/>
          </w:tcPr>
          <w:p w14:paraId="2D8DBE01" w14:textId="77777777" w:rsidR="00B5587E" w:rsidRPr="008B3051" w:rsidRDefault="00B5587E">
            <w:pPr>
              <w:pStyle w:val="NormalWeb"/>
              <w:spacing w:before="0" w:beforeAutospacing="0" w:after="0" w:afterAutospacing="0"/>
            </w:pPr>
            <w:r w:rsidRPr="008B3051">
              <w:t>35.2 mpg  </w:t>
            </w:r>
          </w:p>
        </w:tc>
      </w:tr>
      <w:tr w:rsidR="00B5587E" w:rsidRPr="008B3051" w14:paraId="77CD114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061364F3" w14:textId="77777777" w:rsidR="00B5587E" w:rsidRPr="008B3051" w:rsidRDefault="00B5587E">
            <w:pPr>
              <w:pStyle w:val="leaders"/>
              <w:spacing w:before="0" w:beforeAutospacing="0" w:after="0" w:afterAutospacing="0"/>
            </w:pPr>
            <w:r w:rsidRPr="008B3051">
              <w:rPr>
                <w:shd w:val="clear" w:color="auto" w:fill="FFFFFF"/>
              </w:rPr>
              <w:t>2,500 lbs</w:t>
            </w:r>
          </w:p>
        </w:tc>
        <w:tc>
          <w:tcPr>
            <w:tcW w:w="0" w:type="auto"/>
            <w:tcBorders>
              <w:right w:val="nil"/>
            </w:tcBorders>
            <w:shd w:val="clear" w:color="auto" w:fill="auto"/>
            <w:tcMar>
              <w:top w:w="80" w:type="dxa"/>
              <w:left w:w="160" w:type="dxa"/>
              <w:bottom w:w="80" w:type="dxa"/>
              <w:right w:w="160" w:type="dxa"/>
            </w:tcMar>
            <w:vAlign w:val="center"/>
            <w:hideMark/>
          </w:tcPr>
          <w:p w14:paraId="31146E02" w14:textId="77777777" w:rsidR="00B5587E" w:rsidRPr="008B3051" w:rsidRDefault="00B5587E">
            <w:pPr>
              <w:pStyle w:val="NormalWeb"/>
              <w:spacing w:before="0" w:beforeAutospacing="0" w:after="0" w:afterAutospacing="0"/>
            </w:pPr>
            <w:r w:rsidRPr="008B3051">
              <w:t>31.7 mpg  </w:t>
            </w:r>
          </w:p>
        </w:tc>
      </w:tr>
      <w:tr w:rsidR="00B5587E" w:rsidRPr="008B3051" w14:paraId="5102A3AF"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111BABE1" w14:textId="77777777" w:rsidR="00B5587E" w:rsidRPr="008B3051" w:rsidRDefault="00B5587E">
            <w:pPr>
              <w:pStyle w:val="leaders"/>
              <w:spacing w:before="0" w:beforeAutospacing="0" w:after="0" w:afterAutospacing="0"/>
            </w:pPr>
            <w:r w:rsidRPr="008B3051">
              <w:rPr>
                <w:shd w:val="clear" w:color="auto" w:fill="FFFFFF"/>
              </w:rPr>
              <w:t>2,750 lbs</w:t>
            </w:r>
          </w:p>
        </w:tc>
        <w:tc>
          <w:tcPr>
            <w:tcW w:w="0" w:type="auto"/>
            <w:tcBorders>
              <w:right w:val="nil"/>
            </w:tcBorders>
            <w:shd w:val="clear" w:color="auto" w:fill="auto"/>
            <w:tcMar>
              <w:top w:w="80" w:type="dxa"/>
              <w:left w:w="160" w:type="dxa"/>
              <w:bottom w:w="80" w:type="dxa"/>
              <w:right w:w="160" w:type="dxa"/>
            </w:tcMar>
            <w:vAlign w:val="center"/>
            <w:hideMark/>
          </w:tcPr>
          <w:p w14:paraId="6D9D924E" w14:textId="77777777" w:rsidR="00B5587E" w:rsidRPr="008B3051" w:rsidRDefault="00B5587E">
            <w:pPr>
              <w:pStyle w:val="NormalWeb"/>
              <w:spacing w:before="0" w:beforeAutospacing="0" w:after="0" w:afterAutospacing="0"/>
            </w:pPr>
            <w:r w:rsidRPr="008B3051">
              <w:t>28.8 mpg  </w:t>
            </w:r>
          </w:p>
        </w:tc>
      </w:tr>
      <w:tr w:rsidR="00B5587E" w:rsidRPr="008B3051" w14:paraId="3355F662"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D4E5965" w14:textId="77777777" w:rsidR="00B5587E" w:rsidRPr="008B3051" w:rsidRDefault="00B5587E">
            <w:pPr>
              <w:pStyle w:val="leaders"/>
              <w:spacing w:before="0" w:beforeAutospacing="0" w:after="0" w:afterAutospacing="0"/>
            </w:pPr>
            <w:r w:rsidRPr="008B3051">
              <w:rPr>
                <w:shd w:val="clear" w:color="auto" w:fill="FFFFFF"/>
              </w:rPr>
              <w:t>3,000 lbs</w:t>
            </w:r>
          </w:p>
        </w:tc>
        <w:tc>
          <w:tcPr>
            <w:tcW w:w="0" w:type="auto"/>
            <w:tcBorders>
              <w:right w:val="nil"/>
            </w:tcBorders>
            <w:shd w:val="clear" w:color="auto" w:fill="auto"/>
            <w:tcMar>
              <w:top w:w="80" w:type="dxa"/>
              <w:left w:w="160" w:type="dxa"/>
              <w:bottom w:w="80" w:type="dxa"/>
              <w:right w:w="160" w:type="dxa"/>
            </w:tcMar>
            <w:vAlign w:val="center"/>
            <w:hideMark/>
          </w:tcPr>
          <w:p w14:paraId="71C87C50" w14:textId="77777777" w:rsidR="00B5587E" w:rsidRPr="008B3051" w:rsidRDefault="00B5587E">
            <w:pPr>
              <w:pStyle w:val="NormalWeb"/>
              <w:spacing w:before="0" w:beforeAutospacing="0" w:after="0" w:afterAutospacing="0"/>
            </w:pPr>
            <w:r w:rsidRPr="008B3051">
              <w:t>26.4 mpg  </w:t>
            </w:r>
          </w:p>
        </w:tc>
      </w:tr>
      <w:tr w:rsidR="00B5587E" w:rsidRPr="008B3051" w14:paraId="104C00BA"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03D9E80B" w14:textId="77777777" w:rsidR="00B5587E" w:rsidRPr="008B3051" w:rsidRDefault="00B5587E">
            <w:pPr>
              <w:pStyle w:val="leaders"/>
              <w:spacing w:before="0" w:beforeAutospacing="0" w:after="0" w:afterAutospacing="0"/>
            </w:pPr>
            <w:r w:rsidRPr="008B3051">
              <w:rPr>
                <w:shd w:val="clear" w:color="auto" w:fill="FFFFFF"/>
              </w:rPr>
              <w:t>3,500 lbs</w:t>
            </w:r>
          </w:p>
        </w:tc>
        <w:tc>
          <w:tcPr>
            <w:tcW w:w="0" w:type="auto"/>
            <w:tcBorders>
              <w:right w:val="nil"/>
            </w:tcBorders>
            <w:shd w:val="clear" w:color="auto" w:fill="auto"/>
            <w:tcMar>
              <w:top w:w="80" w:type="dxa"/>
              <w:left w:w="160" w:type="dxa"/>
              <w:bottom w:w="80" w:type="dxa"/>
              <w:right w:w="160" w:type="dxa"/>
            </w:tcMar>
            <w:vAlign w:val="center"/>
            <w:hideMark/>
          </w:tcPr>
          <w:p w14:paraId="59A7AAB0" w14:textId="77777777" w:rsidR="00B5587E" w:rsidRPr="008B3051" w:rsidRDefault="00B5587E">
            <w:pPr>
              <w:pStyle w:val="NormalWeb"/>
              <w:spacing w:before="0" w:beforeAutospacing="0" w:after="0" w:afterAutospacing="0"/>
            </w:pPr>
            <w:r w:rsidRPr="008B3051">
              <w:t>22.6 mpg  </w:t>
            </w:r>
          </w:p>
        </w:tc>
      </w:tr>
      <w:tr w:rsidR="00B5587E" w:rsidRPr="008B3051" w14:paraId="370E4BDF"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4EC48A6E" w14:textId="77777777" w:rsidR="00B5587E" w:rsidRPr="008B3051" w:rsidRDefault="00B5587E">
            <w:pPr>
              <w:pStyle w:val="leaders"/>
              <w:spacing w:before="0" w:beforeAutospacing="0" w:after="0" w:afterAutospacing="0"/>
            </w:pPr>
            <w:r w:rsidRPr="008B3051">
              <w:rPr>
                <w:shd w:val="clear" w:color="auto" w:fill="FFFFFF"/>
              </w:rPr>
              <w:t>4,000 lbs</w:t>
            </w:r>
          </w:p>
        </w:tc>
        <w:tc>
          <w:tcPr>
            <w:tcW w:w="0" w:type="auto"/>
            <w:tcBorders>
              <w:right w:val="nil"/>
            </w:tcBorders>
            <w:shd w:val="clear" w:color="auto" w:fill="auto"/>
            <w:tcMar>
              <w:top w:w="80" w:type="dxa"/>
              <w:left w:w="160" w:type="dxa"/>
              <w:bottom w:w="80" w:type="dxa"/>
              <w:right w:w="160" w:type="dxa"/>
            </w:tcMar>
            <w:vAlign w:val="center"/>
            <w:hideMark/>
          </w:tcPr>
          <w:p w14:paraId="64FF73E7" w14:textId="77777777" w:rsidR="00B5587E" w:rsidRPr="008B3051" w:rsidRDefault="00B5587E">
            <w:pPr>
              <w:pStyle w:val="NormalWeb"/>
              <w:spacing w:before="0" w:beforeAutospacing="0" w:after="0" w:afterAutospacing="0"/>
            </w:pPr>
            <w:r w:rsidRPr="008B3051">
              <w:t>19.8 mpg  </w:t>
            </w:r>
          </w:p>
        </w:tc>
      </w:tr>
      <w:tr w:rsidR="00B5587E" w:rsidRPr="008B3051" w14:paraId="1D8CD8E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A817384" w14:textId="77777777" w:rsidR="00B5587E" w:rsidRPr="008B3051" w:rsidRDefault="00B5587E">
            <w:pPr>
              <w:pStyle w:val="leaders"/>
              <w:spacing w:before="0" w:beforeAutospacing="0" w:after="0" w:afterAutospacing="0"/>
            </w:pPr>
            <w:r w:rsidRPr="008B3051">
              <w:rPr>
                <w:shd w:val="clear" w:color="auto" w:fill="FFFFFF"/>
              </w:rPr>
              <w:t>4,500 lbs</w:t>
            </w:r>
          </w:p>
        </w:tc>
        <w:tc>
          <w:tcPr>
            <w:tcW w:w="0" w:type="auto"/>
            <w:tcBorders>
              <w:right w:val="nil"/>
            </w:tcBorders>
            <w:shd w:val="clear" w:color="auto" w:fill="auto"/>
            <w:tcMar>
              <w:top w:w="80" w:type="dxa"/>
              <w:left w:w="160" w:type="dxa"/>
              <w:bottom w:w="80" w:type="dxa"/>
              <w:right w:w="160" w:type="dxa"/>
            </w:tcMar>
            <w:vAlign w:val="center"/>
            <w:hideMark/>
          </w:tcPr>
          <w:p w14:paraId="13397010" w14:textId="77777777" w:rsidR="00B5587E" w:rsidRPr="008B3051" w:rsidRDefault="00B5587E">
            <w:pPr>
              <w:pStyle w:val="NormalWeb"/>
              <w:spacing w:before="0" w:beforeAutospacing="0" w:after="0" w:afterAutospacing="0"/>
            </w:pPr>
            <w:r w:rsidRPr="008B3051">
              <w:t>17.6 mpg  </w:t>
            </w:r>
          </w:p>
        </w:tc>
      </w:tr>
      <w:tr w:rsidR="00B5587E" w:rsidRPr="008B3051" w14:paraId="752E2438"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F68D2A8" w14:textId="77777777" w:rsidR="00B5587E" w:rsidRPr="008B3051" w:rsidRDefault="00B5587E">
            <w:pPr>
              <w:pStyle w:val="leaders"/>
              <w:spacing w:before="0" w:beforeAutospacing="0" w:after="0" w:afterAutospacing="0"/>
            </w:pPr>
            <w:r w:rsidRPr="008B3051">
              <w:rPr>
                <w:shd w:val="clear" w:color="auto" w:fill="FFFFFF"/>
              </w:rPr>
              <w:t>5,000 lbs</w:t>
            </w:r>
          </w:p>
        </w:tc>
        <w:tc>
          <w:tcPr>
            <w:tcW w:w="0" w:type="auto"/>
            <w:tcBorders>
              <w:right w:val="nil"/>
            </w:tcBorders>
            <w:shd w:val="clear" w:color="auto" w:fill="auto"/>
            <w:tcMar>
              <w:top w:w="80" w:type="dxa"/>
              <w:left w:w="160" w:type="dxa"/>
              <w:bottom w:w="80" w:type="dxa"/>
              <w:right w:w="160" w:type="dxa"/>
            </w:tcMar>
            <w:vAlign w:val="center"/>
            <w:hideMark/>
          </w:tcPr>
          <w:p w14:paraId="3366433C" w14:textId="77777777" w:rsidR="00B5587E" w:rsidRPr="008B3051" w:rsidRDefault="00B5587E">
            <w:pPr>
              <w:pStyle w:val="NormalWeb"/>
              <w:spacing w:before="0" w:beforeAutospacing="0" w:after="0" w:afterAutospacing="0"/>
            </w:pPr>
            <w:r w:rsidRPr="008B3051">
              <w:t>15.9 mpg  </w:t>
            </w:r>
          </w:p>
        </w:tc>
      </w:tr>
      <w:tr w:rsidR="00B5587E" w:rsidRPr="008B3051" w14:paraId="7E6FD077"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063066DE" w14:textId="77777777" w:rsidR="00B5587E" w:rsidRPr="008B3051" w:rsidRDefault="00B5587E">
            <w:pPr>
              <w:pStyle w:val="leaders"/>
              <w:spacing w:before="0" w:beforeAutospacing="0" w:after="0" w:afterAutospacing="0"/>
            </w:pPr>
            <w:r w:rsidRPr="008B3051">
              <w:rPr>
                <w:shd w:val="clear" w:color="auto" w:fill="FFFFFF"/>
              </w:rPr>
              <w:t>5,500 lbs</w:t>
            </w:r>
          </w:p>
        </w:tc>
        <w:tc>
          <w:tcPr>
            <w:tcW w:w="0" w:type="auto"/>
            <w:tcBorders>
              <w:right w:val="nil"/>
            </w:tcBorders>
            <w:shd w:val="clear" w:color="auto" w:fill="auto"/>
            <w:tcMar>
              <w:top w:w="80" w:type="dxa"/>
              <w:left w:w="160" w:type="dxa"/>
              <w:bottom w:w="80" w:type="dxa"/>
              <w:right w:w="160" w:type="dxa"/>
            </w:tcMar>
            <w:vAlign w:val="center"/>
            <w:hideMark/>
          </w:tcPr>
          <w:p w14:paraId="09E70321" w14:textId="77777777" w:rsidR="00B5587E" w:rsidRPr="008B3051" w:rsidRDefault="00B5587E">
            <w:pPr>
              <w:pStyle w:val="NormalWeb"/>
              <w:spacing w:before="0" w:beforeAutospacing="0" w:after="0" w:afterAutospacing="0"/>
            </w:pPr>
            <w:r w:rsidRPr="008B3051">
              <w:t>14.4 mpg  </w:t>
            </w:r>
          </w:p>
        </w:tc>
      </w:tr>
      <w:tr w:rsidR="00B5587E" w:rsidRPr="008B3051" w14:paraId="744867EE"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229D7060" w14:textId="77777777" w:rsidR="00B5587E" w:rsidRPr="008B3051" w:rsidRDefault="00B5587E">
            <w:pPr>
              <w:pStyle w:val="leaders"/>
              <w:spacing w:before="0" w:beforeAutospacing="0" w:after="0" w:afterAutospacing="0"/>
            </w:pPr>
            <w:r w:rsidRPr="008B3051">
              <w:rPr>
                <w:shd w:val="clear" w:color="auto" w:fill="FFFFFF"/>
              </w:rPr>
              <w:t>6,000 lbs</w:t>
            </w:r>
          </w:p>
        </w:tc>
        <w:tc>
          <w:tcPr>
            <w:tcW w:w="0" w:type="auto"/>
            <w:tcBorders>
              <w:right w:val="nil"/>
            </w:tcBorders>
            <w:shd w:val="clear" w:color="auto" w:fill="auto"/>
            <w:tcMar>
              <w:top w:w="80" w:type="dxa"/>
              <w:left w:w="160" w:type="dxa"/>
              <w:bottom w:w="80" w:type="dxa"/>
              <w:right w:w="160" w:type="dxa"/>
            </w:tcMar>
            <w:vAlign w:val="center"/>
            <w:hideMark/>
          </w:tcPr>
          <w:p w14:paraId="0CECD231" w14:textId="77777777" w:rsidR="00B5587E" w:rsidRPr="008B3051" w:rsidRDefault="00B5587E">
            <w:pPr>
              <w:pStyle w:val="NormalWeb"/>
              <w:spacing w:before="0" w:beforeAutospacing="0" w:after="0" w:afterAutospacing="0"/>
            </w:pPr>
            <w:r w:rsidRPr="008B3051">
              <w:t>13.2 mpg  </w:t>
            </w:r>
          </w:p>
        </w:tc>
      </w:tr>
      <w:tr w:rsidR="00B5587E" w:rsidRPr="008B3051" w14:paraId="70F84058"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18C81644" w14:textId="77777777" w:rsidR="00B5587E" w:rsidRPr="008B3051" w:rsidRDefault="00B5587E">
            <w:pPr>
              <w:pStyle w:val="leaders"/>
              <w:spacing w:before="0" w:beforeAutospacing="0" w:after="0" w:afterAutospacing="0"/>
            </w:pPr>
            <w:r w:rsidRPr="008B3051">
              <w:rPr>
                <w:shd w:val="clear" w:color="auto" w:fill="FFFFFF"/>
              </w:rPr>
              <w:t>6,500 lbs</w:t>
            </w:r>
          </w:p>
        </w:tc>
        <w:tc>
          <w:tcPr>
            <w:tcW w:w="0" w:type="auto"/>
            <w:tcBorders>
              <w:right w:val="nil"/>
            </w:tcBorders>
            <w:shd w:val="clear" w:color="auto" w:fill="auto"/>
            <w:tcMar>
              <w:top w:w="80" w:type="dxa"/>
              <w:left w:w="160" w:type="dxa"/>
              <w:bottom w:w="80" w:type="dxa"/>
              <w:right w:w="160" w:type="dxa"/>
            </w:tcMar>
            <w:vAlign w:val="center"/>
            <w:hideMark/>
          </w:tcPr>
          <w:p w14:paraId="4F0AEB78" w14:textId="77777777" w:rsidR="00B5587E" w:rsidRPr="008B3051" w:rsidRDefault="00B5587E">
            <w:pPr>
              <w:pStyle w:val="NormalWeb"/>
              <w:spacing w:before="0" w:beforeAutospacing="0" w:after="0" w:afterAutospacing="0"/>
            </w:pPr>
            <w:r w:rsidRPr="008B3051">
              <w:t>12.2 mpg  </w:t>
            </w:r>
          </w:p>
        </w:tc>
      </w:tr>
      <w:tr w:rsidR="00B5587E" w:rsidRPr="008B3051" w14:paraId="6BE2A9F4"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EC9636E" w14:textId="77777777" w:rsidR="00B5587E" w:rsidRPr="008B3051" w:rsidRDefault="00B5587E">
            <w:pPr>
              <w:pStyle w:val="leaders"/>
              <w:spacing w:before="0" w:beforeAutospacing="0" w:after="0" w:afterAutospacing="0"/>
            </w:pPr>
            <w:r w:rsidRPr="008B3051">
              <w:rPr>
                <w:shd w:val="clear" w:color="auto" w:fill="FFFFFF"/>
              </w:rPr>
              <w:t>7,000 to 8,500 lbs</w:t>
            </w:r>
          </w:p>
        </w:tc>
        <w:tc>
          <w:tcPr>
            <w:tcW w:w="0" w:type="auto"/>
            <w:tcBorders>
              <w:right w:val="nil"/>
            </w:tcBorders>
            <w:shd w:val="clear" w:color="auto" w:fill="auto"/>
            <w:tcMar>
              <w:top w:w="80" w:type="dxa"/>
              <w:left w:w="160" w:type="dxa"/>
              <w:bottom w:w="80" w:type="dxa"/>
              <w:right w:w="160" w:type="dxa"/>
            </w:tcMar>
            <w:vAlign w:val="center"/>
            <w:hideMark/>
          </w:tcPr>
          <w:p w14:paraId="0EF86FB8" w14:textId="77777777" w:rsidR="00B5587E" w:rsidRPr="008B3051" w:rsidRDefault="00B5587E">
            <w:pPr>
              <w:pStyle w:val="NormalWeb"/>
              <w:spacing w:before="0" w:beforeAutospacing="0" w:after="0" w:afterAutospacing="0"/>
            </w:pPr>
            <w:r w:rsidRPr="008B3051">
              <w:t>11.3 mpg.</w:t>
            </w:r>
          </w:p>
        </w:tc>
      </w:tr>
    </w:tbl>
    <w:p w14:paraId="719ED3BF"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p>
    <w:p w14:paraId="752E4BFB" w14:textId="7EBF59DB" w:rsidR="00B5587E" w:rsidRPr="008B3051" w:rsidRDefault="00B5587E" w:rsidP="00B5587E">
      <w:pPr>
        <w:shd w:val="clear" w:color="auto" w:fill="FFFFFF"/>
        <w:rPr>
          <w:rFonts w:ascii="Verdana" w:hAnsi="Verdana"/>
        </w:rPr>
      </w:pPr>
      <w:r w:rsidRPr="008B3051">
        <w:rPr>
          <w:rFonts w:ascii="Verdana" w:hAnsi="Verdana"/>
        </w:rPr>
        <w:t>In the case of a light truck:</w:t>
      </w:r>
    </w:p>
    <w:tbl>
      <w:tblPr>
        <w:tblW w:w="4500" w:type="pct"/>
        <w:tblCellMar>
          <w:top w:w="15" w:type="dxa"/>
          <w:left w:w="15" w:type="dxa"/>
          <w:bottom w:w="15" w:type="dxa"/>
          <w:right w:w="15" w:type="dxa"/>
        </w:tblCellMar>
        <w:tblLook w:val="04A0" w:firstRow="1" w:lastRow="0" w:firstColumn="1" w:lastColumn="0" w:noHBand="0" w:noVBand="1"/>
      </w:tblPr>
      <w:tblGrid>
        <w:gridCol w:w="4020"/>
        <w:gridCol w:w="4404"/>
      </w:tblGrid>
      <w:tr w:rsidR="00B5587E" w:rsidRPr="008B3051" w14:paraId="656F6CE8" w14:textId="77777777" w:rsidTr="00B5587E">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C25D74B" w14:textId="77777777" w:rsidR="00B5587E" w:rsidRPr="008B3051" w:rsidRDefault="00B5587E">
            <w:pPr>
              <w:pStyle w:val="NormalWeb"/>
              <w:spacing w:before="0" w:beforeAutospacing="0" w:after="0" w:afterAutospacing="0"/>
              <w:ind w:left="140" w:right="140"/>
              <w:rPr>
                <w:sz w:val="26"/>
                <w:szCs w:val="26"/>
              </w:rPr>
            </w:pPr>
            <w:r w:rsidRPr="008B3051">
              <w:rPr>
                <w:sz w:val="26"/>
                <w:szCs w:val="26"/>
              </w:rPr>
              <w:t>  If vehicle inertia weight class is:</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22C11C82"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The 2002 model year city fuel economy is:</w:t>
            </w:r>
          </w:p>
        </w:tc>
      </w:tr>
      <w:tr w:rsidR="00B5587E" w:rsidRPr="008B3051" w14:paraId="2402C264"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EB1FDA2" w14:textId="77777777" w:rsidR="00B5587E" w:rsidRPr="008B3051" w:rsidRDefault="00B5587E">
            <w:pPr>
              <w:pStyle w:val="leaders"/>
              <w:spacing w:before="0" w:beforeAutospacing="0" w:after="0" w:afterAutospacing="0"/>
            </w:pPr>
            <w:r w:rsidRPr="008B3051">
              <w:rPr>
                <w:shd w:val="clear" w:color="auto" w:fill="FFFFFF"/>
              </w:rPr>
              <w:t>1,500 or 1,750 lbs</w:t>
            </w:r>
          </w:p>
        </w:tc>
        <w:tc>
          <w:tcPr>
            <w:tcW w:w="0" w:type="auto"/>
            <w:tcBorders>
              <w:right w:val="nil"/>
            </w:tcBorders>
            <w:shd w:val="clear" w:color="auto" w:fill="auto"/>
            <w:tcMar>
              <w:top w:w="80" w:type="dxa"/>
              <w:left w:w="160" w:type="dxa"/>
              <w:bottom w:w="80" w:type="dxa"/>
              <w:right w:w="160" w:type="dxa"/>
            </w:tcMar>
            <w:vAlign w:val="center"/>
            <w:hideMark/>
          </w:tcPr>
          <w:p w14:paraId="0D5C2BA3" w14:textId="77777777" w:rsidR="00B5587E" w:rsidRPr="008B3051" w:rsidRDefault="00B5587E">
            <w:pPr>
              <w:pStyle w:val="NormalWeb"/>
              <w:spacing w:before="0" w:beforeAutospacing="0" w:after="0" w:afterAutospacing="0"/>
            </w:pPr>
            <w:r w:rsidRPr="008B3051">
              <w:t>39.4 mpg  </w:t>
            </w:r>
          </w:p>
        </w:tc>
      </w:tr>
      <w:tr w:rsidR="00B5587E" w:rsidRPr="008B3051" w14:paraId="719B895B"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18E83652" w14:textId="77777777" w:rsidR="00B5587E" w:rsidRPr="008B3051" w:rsidRDefault="00B5587E">
            <w:pPr>
              <w:pStyle w:val="leaders"/>
              <w:spacing w:before="0" w:beforeAutospacing="0" w:after="0" w:afterAutospacing="0"/>
            </w:pPr>
            <w:r w:rsidRPr="008B3051">
              <w:rPr>
                <w:shd w:val="clear" w:color="auto" w:fill="FFFFFF"/>
              </w:rPr>
              <w:t>2,000 lbs</w:t>
            </w:r>
          </w:p>
        </w:tc>
        <w:tc>
          <w:tcPr>
            <w:tcW w:w="0" w:type="auto"/>
            <w:tcBorders>
              <w:right w:val="nil"/>
            </w:tcBorders>
            <w:shd w:val="clear" w:color="auto" w:fill="auto"/>
            <w:tcMar>
              <w:top w:w="80" w:type="dxa"/>
              <w:left w:w="160" w:type="dxa"/>
              <w:bottom w:w="80" w:type="dxa"/>
              <w:right w:w="160" w:type="dxa"/>
            </w:tcMar>
            <w:vAlign w:val="center"/>
            <w:hideMark/>
          </w:tcPr>
          <w:p w14:paraId="1F789FEA" w14:textId="77777777" w:rsidR="00B5587E" w:rsidRPr="008B3051" w:rsidRDefault="00B5587E">
            <w:pPr>
              <w:pStyle w:val="NormalWeb"/>
              <w:spacing w:before="0" w:beforeAutospacing="0" w:after="0" w:afterAutospacing="0"/>
            </w:pPr>
            <w:r w:rsidRPr="008B3051">
              <w:t>35.2 mpg  </w:t>
            </w:r>
          </w:p>
        </w:tc>
      </w:tr>
      <w:tr w:rsidR="00B5587E" w:rsidRPr="008B3051" w14:paraId="5DBA7609"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6F14E7C" w14:textId="77777777" w:rsidR="00B5587E" w:rsidRPr="008B3051" w:rsidRDefault="00B5587E">
            <w:pPr>
              <w:pStyle w:val="leaders"/>
              <w:spacing w:before="0" w:beforeAutospacing="0" w:after="0" w:afterAutospacing="0"/>
            </w:pPr>
            <w:r w:rsidRPr="008B3051">
              <w:rPr>
                <w:shd w:val="clear" w:color="auto" w:fill="FFFFFF"/>
              </w:rPr>
              <w:t>2,250 lbs</w:t>
            </w:r>
          </w:p>
        </w:tc>
        <w:tc>
          <w:tcPr>
            <w:tcW w:w="0" w:type="auto"/>
            <w:tcBorders>
              <w:right w:val="nil"/>
            </w:tcBorders>
            <w:shd w:val="clear" w:color="auto" w:fill="auto"/>
            <w:tcMar>
              <w:top w:w="80" w:type="dxa"/>
              <w:left w:w="160" w:type="dxa"/>
              <w:bottom w:w="80" w:type="dxa"/>
              <w:right w:w="160" w:type="dxa"/>
            </w:tcMar>
            <w:vAlign w:val="center"/>
            <w:hideMark/>
          </w:tcPr>
          <w:p w14:paraId="225CD094" w14:textId="77777777" w:rsidR="00B5587E" w:rsidRPr="008B3051" w:rsidRDefault="00B5587E">
            <w:pPr>
              <w:pStyle w:val="NormalWeb"/>
              <w:spacing w:before="0" w:beforeAutospacing="0" w:after="0" w:afterAutospacing="0"/>
            </w:pPr>
            <w:r w:rsidRPr="008B3051">
              <w:t>31.8 mpg  </w:t>
            </w:r>
          </w:p>
        </w:tc>
      </w:tr>
      <w:tr w:rsidR="00B5587E" w:rsidRPr="008B3051" w14:paraId="6477EEC9"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554F20EB" w14:textId="77777777" w:rsidR="00B5587E" w:rsidRPr="008B3051" w:rsidRDefault="00B5587E">
            <w:pPr>
              <w:pStyle w:val="leaders"/>
              <w:spacing w:before="0" w:beforeAutospacing="0" w:after="0" w:afterAutospacing="0"/>
            </w:pPr>
            <w:r w:rsidRPr="008B3051">
              <w:rPr>
                <w:shd w:val="clear" w:color="auto" w:fill="FFFFFF"/>
              </w:rPr>
              <w:t>2,500 lbs</w:t>
            </w:r>
          </w:p>
        </w:tc>
        <w:tc>
          <w:tcPr>
            <w:tcW w:w="0" w:type="auto"/>
            <w:tcBorders>
              <w:right w:val="nil"/>
            </w:tcBorders>
            <w:shd w:val="clear" w:color="auto" w:fill="auto"/>
            <w:tcMar>
              <w:top w:w="80" w:type="dxa"/>
              <w:left w:w="160" w:type="dxa"/>
              <w:bottom w:w="80" w:type="dxa"/>
              <w:right w:w="160" w:type="dxa"/>
            </w:tcMar>
            <w:vAlign w:val="center"/>
            <w:hideMark/>
          </w:tcPr>
          <w:p w14:paraId="57AEB58E" w14:textId="77777777" w:rsidR="00B5587E" w:rsidRPr="008B3051" w:rsidRDefault="00B5587E">
            <w:pPr>
              <w:pStyle w:val="NormalWeb"/>
              <w:spacing w:before="0" w:beforeAutospacing="0" w:after="0" w:afterAutospacing="0"/>
            </w:pPr>
            <w:r w:rsidRPr="008B3051">
              <w:t>29.0 mpg  </w:t>
            </w:r>
          </w:p>
        </w:tc>
      </w:tr>
      <w:tr w:rsidR="00B5587E" w:rsidRPr="008B3051" w14:paraId="5170812F"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8108BEE" w14:textId="77777777" w:rsidR="00B5587E" w:rsidRPr="008B3051" w:rsidRDefault="00B5587E">
            <w:pPr>
              <w:pStyle w:val="leaders"/>
              <w:spacing w:before="0" w:beforeAutospacing="0" w:after="0" w:afterAutospacing="0"/>
            </w:pPr>
            <w:r w:rsidRPr="008B3051">
              <w:rPr>
                <w:shd w:val="clear" w:color="auto" w:fill="FFFFFF"/>
              </w:rPr>
              <w:t>2,750 lbs</w:t>
            </w:r>
          </w:p>
        </w:tc>
        <w:tc>
          <w:tcPr>
            <w:tcW w:w="0" w:type="auto"/>
            <w:tcBorders>
              <w:right w:val="nil"/>
            </w:tcBorders>
            <w:shd w:val="clear" w:color="auto" w:fill="auto"/>
            <w:tcMar>
              <w:top w:w="80" w:type="dxa"/>
              <w:left w:w="160" w:type="dxa"/>
              <w:bottom w:w="80" w:type="dxa"/>
              <w:right w:w="160" w:type="dxa"/>
            </w:tcMar>
            <w:vAlign w:val="center"/>
            <w:hideMark/>
          </w:tcPr>
          <w:p w14:paraId="5DD50D6A" w14:textId="77777777" w:rsidR="00B5587E" w:rsidRPr="008B3051" w:rsidRDefault="00B5587E">
            <w:pPr>
              <w:pStyle w:val="NormalWeb"/>
              <w:spacing w:before="0" w:beforeAutospacing="0" w:after="0" w:afterAutospacing="0"/>
            </w:pPr>
            <w:r w:rsidRPr="008B3051">
              <w:t>26.8 mpg  </w:t>
            </w:r>
          </w:p>
        </w:tc>
      </w:tr>
      <w:tr w:rsidR="00B5587E" w:rsidRPr="008B3051" w14:paraId="36818E6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418D492" w14:textId="77777777" w:rsidR="00B5587E" w:rsidRPr="008B3051" w:rsidRDefault="00B5587E">
            <w:pPr>
              <w:pStyle w:val="leaders"/>
              <w:spacing w:before="0" w:beforeAutospacing="0" w:after="0" w:afterAutospacing="0"/>
            </w:pPr>
            <w:r w:rsidRPr="008B3051">
              <w:rPr>
                <w:shd w:val="clear" w:color="auto" w:fill="FFFFFF"/>
              </w:rPr>
              <w:lastRenderedPageBreak/>
              <w:t>3,000 lbs</w:t>
            </w:r>
          </w:p>
        </w:tc>
        <w:tc>
          <w:tcPr>
            <w:tcW w:w="0" w:type="auto"/>
            <w:tcBorders>
              <w:right w:val="nil"/>
            </w:tcBorders>
            <w:shd w:val="clear" w:color="auto" w:fill="auto"/>
            <w:tcMar>
              <w:top w:w="80" w:type="dxa"/>
              <w:left w:w="160" w:type="dxa"/>
              <w:bottom w:w="80" w:type="dxa"/>
              <w:right w:w="160" w:type="dxa"/>
            </w:tcMar>
            <w:vAlign w:val="center"/>
            <w:hideMark/>
          </w:tcPr>
          <w:p w14:paraId="279FBF7B" w14:textId="77777777" w:rsidR="00B5587E" w:rsidRPr="008B3051" w:rsidRDefault="00B5587E">
            <w:pPr>
              <w:pStyle w:val="NormalWeb"/>
              <w:spacing w:before="0" w:beforeAutospacing="0" w:after="0" w:afterAutospacing="0"/>
            </w:pPr>
            <w:r w:rsidRPr="008B3051">
              <w:t>24.9 mpg  </w:t>
            </w:r>
          </w:p>
        </w:tc>
      </w:tr>
      <w:tr w:rsidR="00B5587E" w:rsidRPr="008B3051" w14:paraId="59326657"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233FD7A9" w14:textId="77777777" w:rsidR="00B5587E" w:rsidRPr="008B3051" w:rsidRDefault="00B5587E">
            <w:pPr>
              <w:pStyle w:val="leaders"/>
              <w:spacing w:before="0" w:beforeAutospacing="0" w:after="0" w:afterAutospacing="0"/>
            </w:pPr>
            <w:r w:rsidRPr="008B3051">
              <w:rPr>
                <w:shd w:val="clear" w:color="auto" w:fill="FFFFFF"/>
              </w:rPr>
              <w:t>3,500 lbs</w:t>
            </w:r>
          </w:p>
        </w:tc>
        <w:tc>
          <w:tcPr>
            <w:tcW w:w="0" w:type="auto"/>
            <w:tcBorders>
              <w:right w:val="nil"/>
            </w:tcBorders>
            <w:shd w:val="clear" w:color="auto" w:fill="auto"/>
            <w:tcMar>
              <w:top w:w="80" w:type="dxa"/>
              <w:left w:w="160" w:type="dxa"/>
              <w:bottom w:w="80" w:type="dxa"/>
              <w:right w:w="160" w:type="dxa"/>
            </w:tcMar>
            <w:vAlign w:val="center"/>
            <w:hideMark/>
          </w:tcPr>
          <w:p w14:paraId="63413F9D" w14:textId="77777777" w:rsidR="00B5587E" w:rsidRPr="008B3051" w:rsidRDefault="00B5587E">
            <w:pPr>
              <w:pStyle w:val="NormalWeb"/>
              <w:spacing w:before="0" w:beforeAutospacing="0" w:after="0" w:afterAutospacing="0"/>
            </w:pPr>
            <w:r w:rsidRPr="008B3051">
              <w:t>21.8 mpg  </w:t>
            </w:r>
          </w:p>
        </w:tc>
      </w:tr>
      <w:tr w:rsidR="00B5587E" w:rsidRPr="008B3051" w14:paraId="37EFAC53"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D8CFE8E" w14:textId="77777777" w:rsidR="00B5587E" w:rsidRPr="008B3051" w:rsidRDefault="00B5587E">
            <w:pPr>
              <w:pStyle w:val="leaders"/>
              <w:spacing w:before="0" w:beforeAutospacing="0" w:after="0" w:afterAutospacing="0"/>
            </w:pPr>
            <w:r w:rsidRPr="008B3051">
              <w:rPr>
                <w:shd w:val="clear" w:color="auto" w:fill="FFFFFF"/>
              </w:rPr>
              <w:t>4,000 lbs</w:t>
            </w:r>
          </w:p>
        </w:tc>
        <w:tc>
          <w:tcPr>
            <w:tcW w:w="0" w:type="auto"/>
            <w:tcBorders>
              <w:right w:val="nil"/>
            </w:tcBorders>
            <w:shd w:val="clear" w:color="auto" w:fill="auto"/>
            <w:tcMar>
              <w:top w:w="80" w:type="dxa"/>
              <w:left w:w="160" w:type="dxa"/>
              <w:bottom w:w="80" w:type="dxa"/>
              <w:right w:w="160" w:type="dxa"/>
            </w:tcMar>
            <w:vAlign w:val="center"/>
            <w:hideMark/>
          </w:tcPr>
          <w:p w14:paraId="250E7D75" w14:textId="77777777" w:rsidR="00B5587E" w:rsidRPr="008B3051" w:rsidRDefault="00B5587E">
            <w:pPr>
              <w:pStyle w:val="NormalWeb"/>
              <w:spacing w:before="0" w:beforeAutospacing="0" w:after="0" w:afterAutospacing="0"/>
            </w:pPr>
            <w:r w:rsidRPr="008B3051">
              <w:t>19.4 mpg  </w:t>
            </w:r>
          </w:p>
        </w:tc>
      </w:tr>
      <w:tr w:rsidR="00B5587E" w:rsidRPr="008B3051" w14:paraId="28D7406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00B2B630" w14:textId="77777777" w:rsidR="00B5587E" w:rsidRPr="008B3051" w:rsidRDefault="00B5587E">
            <w:pPr>
              <w:pStyle w:val="leaders"/>
              <w:spacing w:before="0" w:beforeAutospacing="0" w:after="0" w:afterAutospacing="0"/>
            </w:pPr>
            <w:r w:rsidRPr="008B3051">
              <w:rPr>
                <w:shd w:val="clear" w:color="auto" w:fill="FFFFFF"/>
              </w:rPr>
              <w:t>4,500 lbs</w:t>
            </w:r>
          </w:p>
        </w:tc>
        <w:tc>
          <w:tcPr>
            <w:tcW w:w="0" w:type="auto"/>
            <w:tcBorders>
              <w:right w:val="nil"/>
            </w:tcBorders>
            <w:shd w:val="clear" w:color="auto" w:fill="auto"/>
            <w:tcMar>
              <w:top w:w="80" w:type="dxa"/>
              <w:left w:w="160" w:type="dxa"/>
              <w:bottom w:w="80" w:type="dxa"/>
              <w:right w:w="160" w:type="dxa"/>
            </w:tcMar>
            <w:vAlign w:val="center"/>
            <w:hideMark/>
          </w:tcPr>
          <w:p w14:paraId="6303EE3B" w14:textId="77777777" w:rsidR="00B5587E" w:rsidRPr="008B3051" w:rsidRDefault="00B5587E">
            <w:pPr>
              <w:pStyle w:val="NormalWeb"/>
              <w:spacing w:before="0" w:beforeAutospacing="0" w:after="0" w:afterAutospacing="0"/>
            </w:pPr>
            <w:r w:rsidRPr="008B3051">
              <w:t>17.6 mpg  </w:t>
            </w:r>
          </w:p>
        </w:tc>
      </w:tr>
      <w:tr w:rsidR="00B5587E" w:rsidRPr="008B3051" w14:paraId="18B3ED2B"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4CD7A3D" w14:textId="77777777" w:rsidR="00B5587E" w:rsidRPr="008B3051" w:rsidRDefault="00B5587E">
            <w:pPr>
              <w:pStyle w:val="leaders"/>
              <w:spacing w:before="0" w:beforeAutospacing="0" w:after="0" w:afterAutospacing="0"/>
            </w:pPr>
            <w:r w:rsidRPr="008B3051">
              <w:rPr>
                <w:shd w:val="clear" w:color="auto" w:fill="FFFFFF"/>
              </w:rPr>
              <w:t>5,000 lbs</w:t>
            </w:r>
          </w:p>
        </w:tc>
        <w:tc>
          <w:tcPr>
            <w:tcW w:w="0" w:type="auto"/>
            <w:tcBorders>
              <w:right w:val="nil"/>
            </w:tcBorders>
            <w:shd w:val="clear" w:color="auto" w:fill="auto"/>
            <w:tcMar>
              <w:top w:w="80" w:type="dxa"/>
              <w:left w:w="160" w:type="dxa"/>
              <w:bottom w:w="80" w:type="dxa"/>
              <w:right w:w="160" w:type="dxa"/>
            </w:tcMar>
            <w:vAlign w:val="center"/>
            <w:hideMark/>
          </w:tcPr>
          <w:p w14:paraId="39D76E6C" w14:textId="77777777" w:rsidR="00B5587E" w:rsidRPr="008B3051" w:rsidRDefault="00B5587E">
            <w:pPr>
              <w:pStyle w:val="NormalWeb"/>
              <w:spacing w:before="0" w:beforeAutospacing="0" w:after="0" w:afterAutospacing="0"/>
            </w:pPr>
            <w:r w:rsidRPr="008B3051">
              <w:t>16.1 mpg  </w:t>
            </w:r>
          </w:p>
        </w:tc>
      </w:tr>
      <w:tr w:rsidR="00B5587E" w:rsidRPr="008B3051" w14:paraId="7D622E82"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499E4C7C" w14:textId="77777777" w:rsidR="00B5587E" w:rsidRPr="008B3051" w:rsidRDefault="00B5587E">
            <w:pPr>
              <w:pStyle w:val="leaders"/>
              <w:spacing w:before="0" w:beforeAutospacing="0" w:after="0" w:afterAutospacing="0"/>
            </w:pPr>
            <w:r w:rsidRPr="008B3051">
              <w:rPr>
                <w:shd w:val="clear" w:color="auto" w:fill="FFFFFF"/>
              </w:rPr>
              <w:t>5,500 lbs</w:t>
            </w:r>
          </w:p>
        </w:tc>
        <w:tc>
          <w:tcPr>
            <w:tcW w:w="0" w:type="auto"/>
            <w:tcBorders>
              <w:right w:val="nil"/>
            </w:tcBorders>
            <w:shd w:val="clear" w:color="auto" w:fill="auto"/>
            <w:tcMar>
              <w:top w:w="80" w:type="dxa"/>
              <w:left w:w="160" w:type="dxa"/>
              <w:bottom w:w="80" w:type="dxa"/>
              <w:right w:w="160" w:type="dxa"/>
            </w:tcMar>
            <w:vAlign w:val="center"/>
            <w:hideMark/>
          </w:tcPr>
          <w:p w14:paraId="58E8FDEC" w14:textId="77777777" w:rsidR="00B5587E" w:rsidRPr="008B3051" w:rsidRDefault="00B5587E">
            <w:pPr>
              <w:pStyle w:val="NormalWeb"/>
              <w:spacing w:before="0" w:beforeAutospacing="0" w:after="0" w:afterAutospacing="0"/>
            </w:pPr>
            <w:r w:rsidRPr="008B3051">
              <w:t>14.8 mpg  </w:t>
            </w:r>
          </w:p>
        </w:tc>
      </w:tr>
      <w:tr w:rsidR="00B5587E" w:rsidRPr="008B3051" w14:paraId="1525FC3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A9F2105" w14:textId="77777777" w:rsidR="00B5587E" w:rsidRPr="008B3051" w:rsidRDefault="00B5587E">
            <w:pPr>
              <w:pStyle w:val="leaders"/>
              <w:spacing w:before="0" w:beforeAutospacing="0" w:after="0" w:afterAutospacing="0"/>
            </w:pPr>
            <w:r w:rsidRPr="008B3051">
              <w:rPr>
                <w:shd w:val="clear" w:color="auto" w:fill="FFFFFF"/>
              </w:rPr>
              <w:t>6,000 lbs</w:t>
            </w:r>
          </w:p>
        </w:tc>
        <w:tc>
          <w:tcPr>
            <w:tcW w:w="0" w:type="auto"/>
            <w:tcBorders>
              <w:right w:val="nil"/>
            </w:tcBorders>
            <w:shd w:val="clear" w:color="auto" w:fill="auto"/>
            <w:tcMar>
              <w:top w:w="80" w:type="dxa"/>
              <w:left w:w="160" w:type="dxa"/>
              <w:bottom w:w="80" w:type="dxa"/>
              <w:right w:w="160" w:type="dxa"/>
            </w:tcMar>
            <w:vAlign w:val="center"/>
            <w:hideMark/>
          </w:tcPr>
          <w:p w14:paraId="05C296F6" w14:textId="77777777" w:rsidR="00B5587E" w:rsidRPr="008B3051" w:rsidRDefault="00B5587E">
            <w:pPr>
              <w:pStyle w:val="NormalWeb"/>
              <w:spacing w:before="0" w:beforeAutospacing="0" w:after="0" w:afterAutospacing="0"/>
            </w:pPr>
            <w:r w:rsidRPr="008B3051">
              <w:t>13.7 mpg  </w:t>
            </w:r>
          </w:p>
        </w:tc>
      </w:tr>
      <w:tr w:rsidR="00B5587E" w:rsidRPr="008B3051" w14:paraId="22524355"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D488657" w14:textId="77777777" w:rsidR="00B5587E" w:rsidRPr="008B3051" w:rsidRDefault="00B5587E">
            <w:pPr>
              <w:pStyle w:val="leaders"/>
              <w:spacing w:before="0" w:beforeAutospacing="0" w:after="0" w:afterAutospacing="0"/>
            </w:pPr>
            <w:r w:rsidRPr="008B3051">
              <w:rPr>
                <w:shd w:val="clear" w:color="auto" w:fill="FFFFFF"/>
              </w:rPr>
              <w:t>6,500 lbs</w:t>
            </w:r>
          </w:p>
        </w:tc>
        <w:tc>
          <w:tcPr>
            <w:tcW w:w="0" w:type="auto"/>
            <w:tcBorders>
              <w:right w:val="nil"/>
            </w:tcBorders>
            <w:shd w:val="clear" w:color="auto" w:fill="auto"/>
            <w:tcMar>
              <w:top w:w="80" w:type="dxa"/>
              <w:left w:w="160" w:type="dxa"/>
              <w:bottom w:w="80" w:type="dxa"/>
              <w:right w:w="160" w:type="dxa"/>
            </w:tcMar>
            <w:vAlign w:val="center"/>
            <w:hideMark/>
          </w:tcPr>
          <w:p w14:paraId="1256ADB2" w14:textId="77777777" w:rsidR="00B5587E" w:rsidRPr="008B3051" w:rsidRDefault="00B5587E">
            <w:pPr>
              <w:pStyle w:val="NormalWeb"/>
              <w:spacing w:before="0" w:beforeAutospacing="0" w:after="0" w:afterAutospacing="0"/>
            </w:pPr>
            <w:r w:rsidRPr="008B3051">
              <w:t>12.8 mpg  </w:t>
            </w:r>
          </w:p>
        </w:tc>
      </w:tr>
      <w:tr w:rsidR="00B5587E" w:rsidRPr="008B3051" w14:paraId="47A314E1"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48EDDA29" w14:textId="77777777" w:rsidR="00B5587E" w:rsidRPr="008B3051" w:rsidRDefault="00B5587E">
            <w:pPr>
              <w:pStyle w:val="leaders"/>
              <w:spacing w:before="0" w:beforeAutospacing="0" w:after="0" w:afterAutospacing="0"/>
            </w:pPr>
            <w:r w:rsidRPr="008B3051">
              <w:rPr>
                <w:shd w:val="clear" w:color="auto" w:fill="FFFFFF"/>
              </w:rPr>
              <w:t>7,000 to 8,500 lbs</w:t>
            </w:r>
          </w:p>
        </w:tc>
        <w:tc>
          <w:tcPr>
            <w:tcW w:w="0" w:type="auto"/>
            <w:tcBorders>
              <w:right w:val="nil"/>
            </w:tcBorders>
            <w:shd w:val="clear" w:color="auto" w:fill="auto"/>
            <w:tcMar>
              <w:top w:w="80" w:type="dxa"/>
              <w:left w:w="160" w:type="dxa"/>
              <w:bottom w:w="80" w:type="dxa"/>
              <w:right w:w="160" w:type="dxa"/>
            </w:tcMar>
            <w:vAlign w:val="center"/>
            <w:hideMark/>
          </w:tcPr>
          <w:p w14:paraId="67D73F44" w14:textId="77777777" w:rsidR="00B5587E" w:rsidRPr="008B3051" w:rsidRDefault="00B5587E">
            <w:pPr>
              <w:pStyle w:val="NormalWeb"/>
              <w:spacing w:before="0" w:beforeAutospacing="0" w:after="0" w:afterAutospacing="0"/>
            </w:pPr>
            <w:r w:rsidRPr="008B3051">
              <w:t>12.1 mpg.</w:t>
            </w:r>
          </w:p>
        </w:tc>
      </w:tr>
    </w:tbl>
    <w:p w14:paraId="5664DB45"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Vehicle inertia weight class</w:t>
      </w:r>
    </w:p>
    <w:p w14:paraId="763CD69B" w14:textId="6C27C68B"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subparagraph (B), the term “vehicle inertia weight class” has the same meaning as when defined in regulations prescribed by the Administrator of the Environmental Protection Agency for purposes of the administration of title II of the Clean Air Act (42 U.S.C. 7521 et seq.).</w:t>
      </w:r>
    </w:p>
    <w:p w14:paraId="1701F1C5" w14:textId="30E18B66"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New qualified fuel cell motor vehicle</w:t>
      </w:r>
      <w:r w:rsidRPr="008B3051">
        <w:rPr>
          <w:rStyle w:val="chapeau"/>
          <w:rFonts w:ascii="Verdana" w:hAnsi="Verdana"/>
        </w:rPr>
        <w:t>For purposes of this subsection, the term “new qualified fuel cell motor vehicle” means a motor vehicle—</w:t>
      </w:r>
    </w:p>
    <w:p w14:paraId="40A4D6FA"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0ED80872" w14:textId="25D3B8F8" w:rsidR="00B5587E" w:rsidRPr="008B3051" w:rsidRDefault="00B5587E" w:rsidP="00B5587E">
      <w:pPr>
        <w:shd w:val="clear" w:color="auto" w:fill="FFFFFF"/>
        <w:rPr>
          <w:rFonts w:ascii="Verdana" w:hAnsi="Verdana"/>
        </w:rPr>
      </w:pPr>
      <w:r w:rsidRPr="008B3051">
        <w:rPr>
          <w:rFonts w:ascii="Verdana" w:hAnsi="Verdana"/>
        </w:rPr>
        <w:t>which is propelled by power derived from 1 or more cells which convert chemical energy directly into electricity by combining oxygen with hydrogen fuel which is stored on board the vehicle in any form and may or may not require reformation prior to use,</w:t>
      </w:r>
    </w:p>
    <w:p w14:paraId="10C8A5CE"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7C8D7FA3" w14:textId="1CDC76AC" w:rsidR="00B5587E" w:rsidRPr="008B3051" w:rsidRDefault="00B5587E" w:rsidP="00B5587E">
      <w:pPr>
        <w:shd w:val="clear" w:color="auto" w:fill="FFFFFF"/>
        <w:rPr>
          <w:rFonts w:ascii="Verdana" w:hAnsi="Verdana"/>
        </w:rPr>
      </w:pPr>
      <w:r w:rsidRPr="008B3051">
        <w:rPr>
          <w:rFonts w:ascii="Verdana" w:hAnsi="Verdana"/>
        </w:rPr>
        <w:t>which, in the case of a passenger automobile or light truck, has received on or after the date of the enactment of this section a certificate that such vehicle meets or exceeds the Bin 5 Tier II emission level established in regulations prescribed by the Administrator of the Environmental Protection Agency under section 202(i) of the Clean Air Act for that make and model year vehicle,</w:t>
      </w:r>
    </w:p>
    <w:p w14:paraId="5B668C12"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0818721F" w14:textId="74783E1E"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2CDED219" w14:textId="77777777" w:rsidR="00B5587E" w:rsidRPr="008B3051" w:rsidRDefault="00B5587E" w:rsidP="00B5587E">
      <w:pPr>
        <w:shd w:val="clear" w:color="auto" w:fill="FFFFFF"/>
        <w:rPr>
          <w:rFonts w:ascii="Verdana" w:hAnsi="Verdana"/>
        </w:rPr>
      </w:pPr>
      <w:bookmarkStart w:id="476" w:name="b_3_D"/>
      <w:bookmarkEnd w:id="476"/>
      <w:r w:rsidRPr="008B3051">
        <w:rPr>
          <w:rStyle w:val="num"/>
          <w:rFonts w:ascii="Verdana" w:hAnsi="Verdana"/>
          <w:b/>
          <w:bCs/>
        </w:rPr>
        <w:t>(D)</w:t>
      </w:r>
    </w:p>
    <w:p w14:paraId="7B2EE3D1" w14:textId="31C731F1" w:rsidR="00B5587E" w:rsidRPr="008B3051" w:rsidRDefault="00B5587E" w:rsidP="00B5587E">
      <w:pPr>
        <w:shd w:val="clear" w:color="auto" w:fill="FFFFFF"/>
        <w:rPr>
          <w:rFonts w:ascii="Verdana" w:hAnsi="Verdana"/>
        </w:rPr>
      </w:pPr>
      <w:r w:rsidRPr="008B3051">
        <w:rPr>
          <w:rFonts w:ascii="Verdana" w:hAnsi="Verdana"/>
        </w:rPr>
        <w:t>which is acquired for use or lease by the taxpayer and not for resale, and</w:t>
      </w:r>
    </w:p>
    <w:p w14:paraId="50E6C7DB" w14:textId="77777777" w:rsidR="00B5587E" w:rsidRPr="008B3051" w:rsidRDefault="00B5587E" w:rsidP="00B5587E">
      <w:pPr>
        <w:shd w:val="clear" w:color="auto" w:fill="FFFFFF"/>
        <w:rPr>
          <w:rFonts w:ascii="Verdana" w:hAnsi="Verdana"/>
        </w:rPr>
      </w:pPr>
      <w:bookmarkStart w:id="477" w:name="b_3_E"/>
      <w:bookmarkEnd w:id="477"/>
      <w:r w:rsidRPr="008B3051">
        <w:rPr>
          <w:rStyle w:val="num"/>
          <w:rFonts w:ascii="Verdana" w:hAnsi="Verdana"/>
          <w:b/>
          <w:bCs/>
        </w:rPr>
        <w:t>(E)</w:t>
      </w:r>
    </w:p>
    <w:p w14:paraId="408DEB02" w14:textId="388B0176" w:rsidR="00B5587E" w:rsidRPr="008B3051" w:rsidRDefault="00B5587E" w:rsidP="00B5587E">
      <w:pPr>
        <w:shd w:val="clear" w:color="auto" w:fill="FFFFFF"/>
        <w:rPr>
          <w:rFonts w:ascii="Verdana" w:hAnsi="Verdana"/>
        </w:rPr>
      </w:pPr>
      <w:r w:rsidRPr="008B3051">
        <w:rPr>
          <w:rFonts w:ascii="Verdana" w:hAnsi="Verdana"/>
        </w:rPr>
        <w:lastRenderedPageBreak/>
        <w:t>which is made by a manufacturer.</w:t>
      </w:r>
    </w:p>
    <w:p w14:paraId="1F7D8C63"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New advanced lean burn technology motor vehicle credit</w:t>
      </w:r>
    </w:p>
    <w:p w14:paraId="2E7F7195"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6A351CC5" w14:textId="66015B2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subsection (a), the new advanced lean burn technology motor vehicle credit determined under this subsection for the taxable year is the credit amount determined under paragraph (2) with respect to a new advanced lean burn technology motor vehicle placed in service by the taxpayer during the taxable year.</w:t>
      </w:r>
    </w:p>
    <w:p w14:paraId="129DA1E3"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Credit amount</w:t>
      </w:r>
    </w:p>
    <w:p w14:paraId="44583FA8"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Fuel economy</w:t>
      </w:r>
    </w:p>
    <w:p w14:paraId="088EE0BC"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rPr>
        <w:t>In general</w:t>
      </w:r>
    </w:p>
    <w:p w14:paraId="6C503175" w14:textId="61C9229E" w:rsidR="00B5587E" w:rsidRPr="008B3051" w:rsidRDefault="00B5587E" w:rsidP="00B5587E">
      <w:pPr>
        <w:pStyle w:val="NormalWeb"/>
        <w:shd w:val="clear" w:color="auto" w:fill="FFFFFF"/>
        <w:spacing w:before="0" w:beforeAutospacing="0" w:after="150" w:afterAutospacing="0"/>
        <w:rPr>
          <w:rFonts w:ascii="Verdana" w:hAnsi="Verdana"/>
        </w:rPr>
      </w:pPr>
      <w:r w:rsidRPr="008B3051">
        <w:rPr>
          <w:rFonts w:ascii="Verdana" w:hAnsi="Verdana"/>
        </w:rPr>
        <w:t>The credit amount determined under this paragraph shall be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5082"/>
        <w:gridCol w:w="3342"/>
      </w:tblGrid>
      <w:tr w:rsidR="00B5587E" w:rsidRPr="008B3051" w14:paraId="0F7D9C74" w14:textId="77777777" w:rsidTr="00B5587E">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5B86594D"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In the case of a vehicle which achieves</w:t>
            </w:r>
          </w:p>
          <w:p w14:paraId="4C1CCC4B"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 a fuel economy (expressed as a</w:t>
            </w:r>
          </w:p>
          <w:p w14:paraId="07D6339D"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 percentage of the 2002 model year</w:t>
            </w:r>
          </w:p>
          <w:p w14:paraId="3F86C3C2"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 city fuel economy) of—</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3010CC62"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The credit amount is—</w:t>
            </w:r>
          </w:p>
        </w:tc>
      </w:tr>
      <w:tr w:rsidR="00B5587E" w:rsidRPr="008B3051" w14:paraId="693F2679"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0E7C13D" w14:textId="77777777" w:rsidR="00B5587E" w:rsidRPr="008B3051" w:rsidRDefault="00B5587E">
            <w:pPr>
              <w:pStyle w:val="leaders"/>
              <w:spacing w:before="0" w:beforeAutospacing="0" w:after="0" w:afterAutospacing="0"/>
            </w:pPr>
            <w:r w:rsidRPr="008B3051">
              <w:rPr>
                <w:shd w:val="clear" w:color="auto" w:fill="FFFFFF"/>
              </w:rPr>
              <w:t>At least 125 percent but less than 150 percent</w:t>
            </w:r>
          </w:p>
        </w:tc>
        <w:tc>
          <w:tcPr>
            <w:tcW w:w="0" w:type="auto"/>
            <w:tcBorders>
              <w:right w:val="nil"/>
            </w:tcBorders>
            <w:shd w:val="clear" w:color="auto" w:fill="auto"/>
            <w:tcMar>
              <w:top w:w="80" w:type="dxa"/>
              <w:left w:w="160" w:type="dxa"/>
              <w:bottom w:w="80" w:type="dxa"/>
              <w:right w:w="160" w:type="dxa"/>
            </w:tcMar>
            <w:vAlign w:val="center"/>
            <w:hideMark/>
          </w:tcPr>
          <w:p w14:paraId="35ED3CB8" w14:textId="77777777" w:rsidR="00B5587E" w:rsidRPr="008B3051" w:rsidRDefault="00B5587E">
            <w:pPr>
              <w:pStyle w:val="NormalWeb"/>
              <w:spacing w:before="0" w:beforeAutospacing="0" w:after="0" w:afterAutospacing="0"/>
            </w:pPr>
            <w:r w:rsidRPr="008B3051">
              <w:t>$400  </w:t>
            </w:r>
          </w:p>
        </w:tc>
      </w:tr>
      <w:tr w:rsidR="00B5587E" w:rsidRPr="008B3051" w14:paraId="137EEDC0"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6B3E2AC" w14:textId="77777777" w:rsidR="00B5587E" w:rsidRPr="008B3051" w:rsidRDefault="00B5587E">
            <w:pPr>
              <w:pStyle w:val="leaders"/>
              <w:spacing w:before="0" w:beforeAutospacing="0" w:after="0" w:afterAutospacing="0"/>
            </w:pPr>
            <w:r w:rsidRPr="008B3051">
              <w:rPr>
                <w:shd w:val="clear" w:color="auto" w:fill="FFFFFF"/>
              </w:rPr>
              <w:t>At least 150 percent but less than 175 percent</w:t>
            </w:r>
          </w:p>
        </w:tc>
        <w:tc>
          <w:tcPr>
            <w:tcW w:w="0" w:type="auto"/>
            <w:tcBorders>
              <w:right w:val="nil"/>
            </w:tcBorders>
            <w:shd w:val="clear" w:color="auto" w:fill="auto"/>
            <w:tcMar>
              <w:top w:w="80" w:type="dxa"/>
              <w:left w:w="160" w:type="dxa"/>
              <w:bottom w:w="80" w:type="dxa"/>
              <w:right w:w="160" w:type="dxa"/>
            </w:tcMar>
            <w:vAlign w:val="center"/>
            <w:hideMark/>
          </w:tcPr>
          <w:p w14:paraId="2E0BBDD9" w14:textId="77777777" w:rsidR="00B5587E" w:rsidRPr="008B3051" w:rsidRDefault="00B5587E">
            <w:pPr>
              <w:pStyle w:val="NormalWeb"/>
              <w:spacing w:before="0" w:beforeAutospacing="0" w:after="0" w:afterAutospacing="0"/>
            </w:pPr>
            <w:r w:rsidRPr="008B3051">
              <w:t>$800  </w:t>
            </w:r>
          </w:p>
        </w:tc>
      </w:tr>
      <w:tr w:rsidR="00B5587E" w:rsidRPr="008B3051" w14:paraId="63465BCD"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07738FE8" w14:textId="77777777" w:rsidR="00B5587E" w:rsidRPr="008B3051" w:rsidRDefault="00B5587E">
            <w:pPr>
              <w:pStyle w:val="leaders"/>
              <w:spacing w:before="0" w:beforeAutospacing="0" w:after="0" w:afterAutospacing="0"/>
            </w:pPr>
            <w:r w:rsidRPr="008B3051">
              <w:rPr>
                <w:shd w:val="clear" w:color="auto" w:fill="FFFFFF"/>
              </w:rPr>
              <w:t>At least 175 percent but less than 200 percent</w:t>
            </w:r>
          </w:p>
        </w:tc>
        <w:tc>
          <w:tcPr>
            <w:tcW w:w="0" w:type="auto"/>
            <w:tcBorders>
              <w:right w:val="nil"/>
            </w:tcBorders>
            <w:shd w:val="clear" w:color="auto" w:fill="auto"/>
            <w:tcMar>
              <w:top w:w="80" w:type="dxa"/>
              <w:left w:w="160" w:type="dxa"/>
              <w:bottom w:w="80" w:type="dxa"/>
              <w:right w:w="160" w:type="dxa"/>
            </w:tcMar>
            <w:vAlign w:val="center"/>
            <w:hideMark/>
          </w:tcPr>
          <w:p w14:paraId="776470C0" w14:textId="77777777" w:rsidR="00B5587E" w:rsidRPr="008B3051" w:rsidRDefault="00B5587E">
            <w:pPr>
              <w:pStyle w:val="NormalWeb"/>
              <w:spacing w:before="0" w:beforeAutospacing="0" w:after="0" w:afterAutospacing="0"/>
            </w:pPr>
            <w:r w:rsidRPr="008B3051">
              <w:t>$1,200  </w:t>
            </w:r>
          </w:p>
        </w:tc>
      </w:tr>
      <w:tr w:rsidR="00B5587E" w:rsidRPr="008B3051" w14:paraId="5853A661"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1D3CB099" w14:textId="77777777" w:rsidR="00B5587E" w:rsidRPr="008B3051" w:rsidRDefault="00B5587E">
            <w:pPr>
              <w:pStyle w:val="leaders"/>
              <w:spacing w:before="0" w:beforeAutospacing="0" w:after="0" w:afterAutospacing="0"/>
            </w:pPr>
            <w:r w:rsidRPr="008B3051">
              <w:rPr>
                <w:shd w:val="clear" w:color="auto" w:fill="FFFFFF"/>
              </w:rPr>
              <w:t>At least 200 percent but less than 225 percent</w:t>
            </w:r>
          </w:p>
        </w:tc>
        <w:tc>
          <w:tcPr>
            <w:tcW w:w="0" w:type="auto"/>
            <w:tcBorders>
              <w:right w:val="nil"/>
            </w:tcBorders>
            <w:shd w:val="clear" w:color="auto" w:fill="auto"/>
            <w:tcMar>
              <w:top w:w="80" w:type="dxa"/>
              <w:left w:w="160" w:type="dxa"/>
              <w:bottom w:w="80" w:type="dxa"/>
              <w:right w:w="160" w:type="dxa"/>
            </w:tcMar>
            <w:vAlign w:val="center"/>
            <w:hideMark/>
          </w:tcPr>
          <w:p w14:paraId="3C4FB15A" w14:textId="77777777" w:rsidR="00B5587E" w:rsidRPr="008B3051" w:rsidRDefault="00B5587E">
            <w:pPr>
              <w:pStyle w:val="NormalWeb"/>
              <w:spacing w:before="0" w:beforeAutospacing="0" w:after="0" w:afterAutospacing="0"/>
            </w:pPr>
            <w:r w:rsidRPr="008B3051">
              <w:t>$1,600  </w:t>
            </w:r>
          </w:p>
        </w:tc>
      </w:tr>
      <w:tr w:rsidR="00B5587E" w:rsidRPr="008B3051" w14:paraId="1AD15CFC"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1C22CB88" w14:textId="77777777" w:rsidR="00B5587E" w:rsidRPr="008B3051" w:rsidRDefault="00B5587E">
            <w:pPr>
              <w:pStyle w:val="leaders"/>
              <w:spacing w:before="0" w:beforeAutospacing="0" w:after="0" w:afterAutospacing="0"/>
            </w:pPr>
            <w:r w:rsidRPr="008B3051">
              <w:rPr>
                <w:shd w:val="clear" w:color="auto" w:fill="FFFFFF"/>
              </w:rPr>
              <w:t>At least 225 percent but less than 250 percent</w:t>
            </w:r>
          </w:p>
        </w:tc>
        <w:tc>
          <w:tcPr>
            <w:tcW w:w="0" w:type="auto"/>
            <w:tcBorders>
              <w:right w:val="nil"/>
            </w:tcBorders>
            <w:shd w:val="clear" w:color="auto" w:fill="auto"/>
            <w:tcMar>
              <w:top w:w="80" w:type="dxa"/>
              <w:left w:w="160" w:type="dxa"/>
              <w:bottom w:w="80" w:type="dxa"/>
              <w:right w:w="160" w:type="dxa"/>
            </w:tcMar>
            <w:vAlign w:val="center"/>
            <w:hideMark/>
          </w:tcPr>
          <w:p w14:paraId="7DE6D048" w14:textId="77777777" w:rsidR="00B5587E" w:rsidRPr="008B3051" w:rsidRDefault="00B5587E">
            <w:pPr>
              <w:pStyle w:val="NormalWeb"/>
              <w:spacing w:before="0" w:beforeAutospacing="0" w:after="0" w:afterAutospacing="0"/>
            </w:pPr>
            <w:r w:rsidRPr="008B3051">
              <w:t>$2,000  </w:t>
            </w:r>
          </w:p>
        </w:tc>
      </w:tr>
      <w:tr w:rsidR="00B5587E" w:rsidRPr="008B3051" w14:paraId="04ABAA6E"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CE8E8B7" w14:textId="77777777" w:rsidR="00B5587E" w:rsidRPr="008B3051" w:rsidRDefault="00B5587E">
            <w:pPr>
              <w:pStyle w:val="leaders"/>
              <w:spacing w:before="0" w:beforeAutospacing="0" w:after="0" w:afterAutospacing="0"/>
            </w:pPr>
            <w:r w:rsidRPr="008B3051">
              <w:rPr>
                <w:shd w:val="clear" w:color="auto" w:fill="FFFFFF"/>
              </w:rPr>
              <w:t>At least 250 percent</w:t>
            </w:r>
          </w:p>
        </w:tc>
        <w:tc>
          <w:tcPr>
            <w:tcW w:w="0" w:type="auto"/>
            <w:tcBorders>
              <w:right w:val="nil"/>
            </w:tcBorders>
            <w:shd w:val="clear" w:color="auto" w:fill="auto"/>
            <w:tcMar>
              <w:top w:w="80" w:type="dxa"/>
              <w:left w:w="160" w:type="dxa"/>
              <w:bottom w:w="80" w:type="dxa"/>
              <w:right w:w="160" w:type="dxa"/>
            </w:tcMar>
            <w:vAlign w:val="center"/>
            <w:hideMark/>
          </w:tcPr>
          <w:p w14:paraId="3E34A506" w14:textId="77777777" w:rsidR="00B5587E" w:rsidRPr="008B3051" w:rsidRDefault="00B5587E">
            <w:pPr>
              <w:pStyle w:val="NormalWeb"/>
              <w:spacing w:before="0" w:beforeAutospacing="0" w:after="0" w:afterAutospacing="0"/>
            </w:pPr>
            <w:r w:rsidRPr="008B3051">
              <w:t>$2,400.  </w:t>
            </w:r>
          </w:p>
        </w:tc>
      </w:tr>
    </w:tbl>
    <w:p w14:paraId="48B5E9DE"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r w:rsidRPr="008B3051">
        <w:rPr>
          <w:rStyle w:val="heading"/>
          <w:rFonts w:ascii="Verdana" w:hAnsi="Verdana"/>
          <w:b/>
          <w:bCs/>
        </w:rPr>
        <w:t>2002 model year city fuel economy</w:t>
      </w:r>
    </w:p>
    <w:p w14:paraId="05D9D46D" w14:textId="6EAA20A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clause (i), the 2002 model year city fuel economy with respect to a vehicle shall be determined on a gasoline gallon equivalent basis as determined by the Administrator of the Environmental Protection Agency using the tables provided in subsection (b)(2)(B) with respect to such vehicle.</w:t>
      </w:r>
    </w:p>
    <w:p w14:paraId="10B706DC"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Conservation credit</w:t>
      </w:r>
    </w:p>
    <w:p w14:paraId="588ECE4F" w14:textId="758E4F75" w:rsidR="00B5587E" w:rsidRPr="008B3051" w:rsidRDefault="00B5587E" w:rsidP="00B5587E">
      <w:pPr>
        <w:pStyle w:val="NormalWeb"/>
        <w:shd w:val="clear" w:color="auto" w:fill="FFFFFF"/>
        <w:spacing w:before="0" w:beforeAutospacing="0" w:after="150" w:afterAutospacing="0"/>
        <w:rPr>
          <w:rFonts w:ascii="Verdana" w:hAnsi="Verdana"/>
        </w:rPr>
      </w:pPr>
      <w:r w:rsidRPr="008B3051">
        <w:rPr>
          <w:rFonts w:ascii="Verdana" w:hAnsi="Verdana"/>
        </w:rPr>
        <w:t>The amount determined under subparagraph (A) with respect to a new advanced lean burn technology motor vehicle shall be increased by the conservation credit amount determined in accordance with the following table:</w:t>
      </w:r>
    </w:p>
    <w:tbl>
      <w:tblPr>
        <w:tblW w:w="4500" w:type="pct"/>
        <w:tblCellMar>
          <w:top w:w="15" w:type="dxa"/>
          <w:left w:w="15" w:type="dxa"/>
          <w:bottom w:w="15" w:type="dxa"/>
          <w:right w:w="15" w:type="dxa"/>
        </w:tblCellMar>
        <w:tblLook w:val="04A0" w:firstRow="1" w:lastRow="0" w:firstColumn="1" w:lastColumn="0" w:noHBand="0" w:noVBand="1"/>
      </w:tblPr>
      <w:tblGrid>
        <w:gridCol w:w="4289"/>
        <w:gridCol w:w="4135"/>
      </w:tblGrid>
      <w:tr w:rsidR="00B5587E" w:rsidRPr="008B3051" w14:paraId="7DBDDC2B" w14:textId="77777777" w:rsidTr="00B5587E">
        <w:trPr>
          <w:tblHeader/>
        </w:trPr>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798D82DD"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lastRenderedPageBreak/>
              <w:t>In the case of a vehicle which achieves</w:t>
            </w:r>
          </w:p>
          <w:p w14:paraId="44E25424"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 a lifetime fuel savings (expressed in</w:t>
            </w:r>
          </w:p>
          <w:p w14:paraId="39C2CCA9"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 gallons of gasoline) of—</w:t>
            </w:r>
          </w:p>
        </w:tc>
        <w:tc>
          <w:tcPr>
            <w:tcW w:w="0" w:type="auto"/>
            <w:tcBorders>
              <w:bottom w:val="single" w:sz="18" w:space="0" w:color="CCCCCC"/>
            </w:tcBorders>
            <w:shd w:val="clear" w:color="auto" w:fill="F0F0F0"/>
            <w:tcMar>
              <w:top w:w="80" w:type="dxa"/>
              <w:left w:w="160" w:type="dxa"/>
              <w:bottom w:w="80" w:type="dxa"/>
              <w:right w:w="160" w:type="dxa"/>
            </w:tcMar>
            <w:vAlign w:val="center"/>
            <w:hideMark/>
          </w:tcPr>
          <w:p w14:paraId="0132323C" w14:textId="77777777" w:rsidR="00B5587E" w:rsidRPr="008B3051" w:rsidRDefault="00B5587E">
            <w:pPr>
              <w:pStyle w:val="NormalWeb"/>
              <w:spacing w:before="0" w:beforeAutospacing="0" w:after="0" w:afterAutospacing="0"/>
              <w:ind w:left="140" w:right="140"/>
              <w:rPr>
                <w:sz w:val="26"/>
                <w:szCs w:val="26"/>
              </w:rPr>
            </w:pPr>
            <w:r w:rsidRPr="008B3051">
              <w:rPr>
                <w:b/>
                <w:bCs/>
                <w:sz w:val="26"/>
                <w:szCs w:val="26"/>
              </w:rPr>
              <w:t>The conservation credit amountis—</w:t>
            </w:r>
          </w:p>
        </w:tc>
      </w:tr>
      <w:tr w:rsidR="00B5587E" w:rsidRPr="008B3051" w14:paraId="4A31A28F"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77B45C8C" w14:textId="77777777" w:rsidR="00B5587E" w:rsidRPr="008B3051" w:rsidRDefault="00B5587E">
            <w:pPr>
              <w:pStyle w:val="leaders"/>
              <w:spacing w:before="0" w:beforeAutospacing="0" w:after="0" w:afterAutospacing="0"/>
            </w:pPr>
            <w:r w:rsidRPr="008B3051">
              <w:rPr>
                <w:shd w:val="clear" w:color="auto" w:fill="FFFFFF"/>
              </w:rPr>
              <w:t>At least 1,200 but less than 1,800</w:t>
            </w:r>
          </w:p>
        </w:tc>
        <w:tc>
          <w:tcPr>
            <w:tcW w:w="0" w:type="auto"/>
            <w:tcBorders>
              <w:right w:val="nil"/>
            </w:tcBorders>
            <w:shd w:val="clear" w:color="auto" w:fill="auto"/>
            <w:tcMar>
              <w:top w:w="80" w:type="dxa"/>
              <w:left w:w="160" w:type="dxa"/>
              <w:bottom w:w="80" w:type="dxa"/>
              <w:right w:w="160" w:type="dxa"/>
            </w:tcMar>
            <w:vAlign w:val="center"/>
            <w:hideMark/>
          </w:tcPr>
          <w:p w14:paraId="5D4F670F" w14:textId="77777777" w:rsidR="00B5587E" w:rsidRPr="008B3051" w:rsidRDefault="00B5587E">
            <w:pPr>
              <w:pStyle w:val="NormalWeb"/>
              <w:spacing w:before="0" w:beforeAutospacing="0" w:after="0" w:afterAutospacing="0"/>
            </w:pPr>
            <w:r w:rsidRPr="008B3051">
              <w:t>$250  </w:t>
            </w:r>
          </w:p>
        </w:tc>
      </w:tr>
      <w:tr w:rsidR="00B5587E" w:rsidRPr="008B3051" w14:paraId="2DEB330A"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6D36284E" w14:textId="77777777" w:rsidR="00B5587E" w:rsidRPr="008B3051" w:rsidRDefault="00B5587E">
            <w:pPr>
              <w:pStyle w:val="leaders"/>
              <w:spacing w:before="0" w:beforeAutospacing="0" w:after="0" w:afterAutospacing="0"/>
            </w:pPr>
            <w:r w:rsidRPr="008B3051">
              <w:rPr>
                <w:shd w:val="clear" w:color="auto" w:fill="FFFFFF"/>
              </w:rPr>
              <w:t>At least 1,800 but less than 2,400</w:t>
            </w:r>
          </w:p>
        </w:tc>
        <w:tc>
          <w:tcPr>
            <w:tcW w:w="0" w:type="auto"/>
            <w:tcBorders>
              <w:right w:val="nil"/>
            </w:tcBorders>
            <w:shd w:val="clear" w:color="auto" w:fill="auto"/>
            <w:tcMar>
              <w:top w:w="80" w:type="dxa"/>
              <w:left w:w="160" w:type="dxa"/>
              <w:bottom w:w="80" w:type="dxa"/>
              <w:right w:w="160" w:type="dxa"/>
            </w:tcMar>
            <w:vAlign w:val="center"/>
            <w:hideMark/>
          </w:tcPr>
          <w:p w14:paraId="51B528CD" w14:textId="77777777" w:rsidR="00B5587E" w:rsidRPr="008B3051" w:rsidRDefault="00B5587E">
            <w:pPr>
              <w:pStyle w:val="NormalWeb"/>
              <w:spacing w:before="0" w:beforeAutospacing="0" w:after="0" w:afterAutospacing="0"/>
            </w:pPr>
            <w:r w:rsidRPr="008B3051">
              <w:t>$500  </w:t>
            </w:r>
          </w:p>
        </w:tc>
      </w:tr>
      <w:tr w:rsidR="00B5587E" w:rsidRPr="008B3051" w14:paraId="18A2A214"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311D60F" w14:textId="77777777" w:rsidR="00B5587E" w:rsidRPr="008B3051" w:rsidRDefault="00B5587E">
            <w:pPr>
              <w:pStyle w:val="leaders"/>
              <w:spacing w:before="0" w:beforeAutospacing="0" w:after="0" w:afterAutospacing="0"/>
            </w:pPr>
            <w:r w:rsidRPr="008B3051">
              <w:rPr>
                <w:shd w:val="clear" w:color="auto" w:fill="FFFFFF"/>
              </w:rPr>
              <w:t>At least 2,400 but less than 3,000</w:t>
            </w:r>
          </w:p>
        </w:tc>
        <w:tc>
          <w:tcPr>
            <w:tcW w:w="0" w:type="auto"/>
            <w:tcBorders>
              <w:right w:val="nil"/>
            </w:tcBorders>
            <w:shd w:val="clear" w:color="auto" w:fill="auto"/>
            <w:tcMar>
              <w:top w:w="80" w:type="dxa"/>
              <w:left w:w="160" w:type="dxa"/>
              <w:bottom w:w="80" w:type="dxa"/>
              <w:right w:w="160" w:type="dxa"/>
            </w:tcMar>
            <w:vAlign w:val="center"/>
            <w:hideMark/>
          </w:tcPr>
          <w:p w14:paraId="4E4DC59B" w14:textId="77777777" w:rsidR="00B5587E" w:rsidRPr="008B3051" w:rsidRDefault="00B5587E">
            <w:pPr>
              <w:pStyle w:val="NormalWeb"/>
              <w:spacing w:before="0" w:beforeAutospacing="0" w:after="0" w:afterAutospacing="0"/>
            </w:pPr>
            <w:r w:rsidRPr="008B3051">
              <w:t>$750  </w:t>
            </w:r>
          </w:p>
        </w:tc>
      </w:tr>
      <w:tr w:rsidR="00B5587E" w:rsidRPr="008B3051" w14:paraId="41794D07" w14:textId="77777777" w:rsidTr="00B5587E">
        <w:tc>
          <w:tcPr>
            <w:tcW w:w="0" w:type="auto"/>
            <w:tcBorders>
              <w:right w:val="single" w:sz="6" w:space="0" w:color="95B3D7"/>
            </w:tcBorders>
            <w:shd w:val="clear" w:color="auto" w:fill="auto"/>
            <w:tcMar>
              <w:top w:w="80" w:type="dxa"/>
              <w:left w:w="160" w:type="dxa"/>
              <w:bottom w:w="80" w:type="dxa"/>
              <w:right w:w="160" w:type="dxa"/>
            </w:tcMar>
            <w:vAlign w:val="center"/>
            <w:hideMark/>
          </w:tcPr>
          <w:p w14:paraId="323099C8" w14:textId="77777777" w:rsidR="00B5587E" w:rsidRPr="008B3051" w:rsidRDefault="00B5587E">
            <w:pPr>
              <w:pStyle w:val="leaders"/>
              <w:spacing w:before="0" w:beforeAutospacing="0" w:after="0" w:afterAutospacing="0"/>
            </w:pPr>
            <w:r w:rsidRPr="008B3051">
              <w:rPr>
                <w:shd w:val="clear" w:color="auto" w:fill="FFFFFF"/>
              </w:rPr>
              <w:t>At least 3,000</w:t>
            </w:r>
          </w:p>
        </w:tc>
        <w:tc>
          <w:tcPr>
            <w:tcW w:w="0" w:type="auto"/>
            <w:tcBorders>
              <w:right w:val="nil"/>
            </w:tcBorders>
            <w:shd w:val="clear" w:color="auto" w:fill="auto"/>
            <w:tcMar>
              <w:top w:w="80" w:type="dxa"/>
              <w:left w:w="160" w:type="dxa"/>
              <w:bottom w:w="80" w:type="dxa"/>
              <w:right w:w="160" w:type="dxa"/>
            </w:tcMar>
            <w:vAlign w:val="center"/>
            <w:hideMark/>
          </w:tcPr>
          <w:p w14:paraId="0D885032" w14:textId="77777777" w:rsidR="00B5587E" w:rsidRPr="008B3051" w:rsidRDefault="00B5587E">
            <w:pPr>
              <w:pStyle w:val="NormalWeb"/>
              <w:spacing w:before="0" w:beforeAutospacing="0" w:after="0" w:afterAutospacing="0"/>
            </w:pPr>
            <w:r w:rsidRPr="008B3051">
              <w:t>$1,000.  </w:t>
            </w:r>
          </w:p>
        </w:tc>
      </w:tr>
    </w:tbl>
    <w:p w14:paraId="658CEE97" w14:textId="59791018"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New advanced lean burn technology motor vehicle</w:t>
      </w:r>
      <w:r w:rsidRPr="008B3051">
        <w:rPr>
          <w:rStyle w:val="chapeau"/>
          <w:rFonts w:ascii="Verdana" w:hAnsi="Verdana"/>
        </w:rPr>
        <w:t>For purposes of this subsection, the term “new advanced lean burn technology motor vehicle” means a passenger automobile or a light truck—</w:t>
      </w:r>
    </w:p>
    <w:p w14:paraId="6AAA0A05"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chapeau"/>
          <w:rFonts w:ascii="Verdana" w:hAnsi="Verdana"/>
        </w:rPr>
        <w:t>with an internal combustion engine which—</w:t>
      </w:r>
    </w:p>
    <w:p w14:paraId="184F42A0"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p>
    <w:p w14:paraId="33BBC1AD" w14:textId="77777777" w:rsidR="00B5587E" w:rsidRPr="008B3051" w:rsidRDefault="00B5587E" w:rsidP="00B5587E">
      <w:pPr>
        <w:shd w:val="clear" w:color="auto" w:fill="FFFFFF"/>
        <w:rPr>
          <w:rFonts w:ascii="Verdana" w:hAnsi="Verdana"/>
        </w:rPr>
      </w:pPr>
      <w:r w:rsidRPr="008B3051">
        <w:rPr>
          <w:rFonts w:ascii="Verdana" w:hAnsi="Verdana"/>
        </w:rPr>
        <w:t>is designed to operate primarily using more air than is necessary for complete combustion of the fuel,</w:t>
      </w:r>
    </w:p>
    <w:p w14:paraId="4501E39D"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p>
    <w:p w14:paraId="7485C8BC" w14:textId="77777777" w:rsidR="00B5587E" w:rsidRPr="008B3051" w:rsidRDefault="00B5587E" w:rsidP="00B5587E">
      <w:pPr>
        <w:shd w:val="clear" w:color="auto" w:fill="FFFFFF"/>
        <w:rPr>
          <w:rFonts w:ascii="Verdana" w:hAnsi="Verdana"/>
        </w:rPr>
      </w:pPr>
      <w:r w:rsidRPr="008B3051">
        <w:rPr>
          <w:rFonts w:ascii="Verdana" w:hAnsi="Verdana"/>
        </w:rPr>
        <w:t>incorporates direct injection,</w:t>
      </w:r>
    </w:p>
    <w:p w14:paraId="4B72D82C" w14:textId="77777777" w:rsidR="00B5587E" w:rsidRPr="008B3051" w:rsidRDefault="00B5587E" w:rsidP="00B5587E">
      <w:pPr>
        <w:shd w:val="clear" w:color="auto" w:fill="FFFFFF"/>
        <w:rPr>
          <w:rFonts w:ascii="Verdana" w:hAnsi="Verdana"/>
        </w:rPr>
      </w:pPr>
      <w:bookmarkStart w:id="478" w:name="c_3_A_iii"/>
      <w:bookmarkEnd w:id="478"/>
      <w:r w:rsidRPr="008B3051">
        <w:rPr>
          <w:rStyle w:val="num"/>
          <w:rFonts w:ascii="Verdana" w:hAnsi="Verdana"/>
          <w:b/>
          <w:bCs/>
        </w:rPr>
        <w:t>(iii)</w:t>
      </w:r>
    </w:p>
    <w:p w14:paraId="0FDBDDD7" w14:textId="107670A0" w:rsidR="00B5587E" w:rsidRPr="008B3051" w:rsidRDefault="00B5587E" w:rsidP="00B5587E">
      <w:pPr>
        <w:shd w:val="clear" w:color="auto" w:fill="FFFFFF"/>
        <w:rPr>
          <w:rFonts w:ascii="Verdana" w:hAnsi="Verdana"/>
        </w:rPr>
      </w:pPr>
      <w:r w:rsidRPr="008B3051">
        <w:rPr>
          <w:rFonts w:ascii="Verdana" w:hAnsi="Verdana"/>
        </w:rPr>
        <w:t>achieves at least 125 percent of the 2002 model year city fuel economy,</w:t>
      </w:r>
    </w:p>
    <w:p w14:paraId="00DA2A05" w14:textId="4EEBC8DD" w:rsidR="00B5587E" w:rsidRPr="008B3051" w:rsidRDefault="00B5587E" w:rsidP="00B5587E">
      <w:pPr>
        <w:shd w:val="clear" w:color="auto" w:fill="FFFFFF"/>
        <w:rPr>
          <w:rFonts w:ascii="Verdana" w:hAnsi="Verdana"/>
        </w:rPr>
      </w:pPr>
      <w:bookmarkStart w:id="479" w:name="c_3_A_iv"/>
      <w:bookmarkEnd w:id="479"/>
      <w:r w:rsidRPr="008B3051">
        <w:rPr>
          <w:rStyle w:val="num"/>
          <w:rFonts w:ascii="Verdana" w:hAnsi="Verdana"/>
          <w:b/>
          <w:bCs/>
        </w:rPr>
        <w:t>(iv)</w:t>
      </w:r>
      <w:r w:rsidRPr="008B3051">
        <w:rPr>
          <w:rStyle w:val="chapeau"/>
          <w:rFonts w:ascii="Verdana" w:hAnsi="Verdana"/>
        </w:rPr>
        <w:t>for 2004 and later model vehicles, has received a certificate that such vehicle meets or exceeds—</w:t>
      </w:r>
    </w:p>
    <w:p w14:paraId="4C8ABC09" w14:textId="77777777" w:rsidR="00B5587E" w:rsidRPr="008B3051" w:rsidRDefault="00B5587E" w:rsidP="00B5587E">
      <w:pPr>
        <w:shd w:val="clear" w:color="auto" w:fill="FFFFFF"/>
        <w:rPr>
          <w:rFonts w:ascii="Verdana" w:hAnsi="Verdana"/>
        </w:rPr>
      </w:pPr>
      <w:bookmarkStart w:id="480" w:name="c_3_A_iv_I"/>
      <w:bookmarkEnd w:id="480"/>
      <w:r w:rsidRPr="008B3051">
        <w:rPr>
          <w:rStyle w:val="num"/>
          <w:rFonts w:ascii="Verdana" w:hAnsi="Verdana"/>
          <w:b/>
          <w:bCs/>
        </w:rPr>
        <w:t>(I)</w:t>
      </w:r>
    </w:p>
    <w:p w14:paraId="015C8449" w14:textId="326BE67E" w:rsidR="00B5587E" w:rsidRPr="008B3051" w:rsidRDefault="00B5587E" w:rsidP="00B5587E">
      <w:pPr>
        <w:shd w:val="clear" w:color="auto" w:fill="FFFFFF"/>
        <w:rPr>
          <w:rFonts w:ascii="Verdana" w:hAnsi="Verdana"/>
        </w:rPr>
      </w:pPr>
      <w:r w:rsidRPr="008B3051">
        <w:rPr>
          <w:rFonts w:ascii="Verdana" w:hAnsi="Verdana"/>
        </w:rPr>
        <w:t>in the case of a vehicle having a gross vehicle weight rating of 6,000 pounds or less, the Bin 5 Tier II emission standard established in regulations prescribed by the Administrator of the Environmental Protection Agency under section 202(i) of the Clean Air Act for that make and model year vehicle, and</w:t>
      </w:r>
    </w:p>
    <w:p w14:paraId="554B8962" w14:textId="77777777" w:rsidR="00B5587E" w:rsidRPr="008B3051" w:rsidRDefault="00B5587E" w:rsidP="00B5587E">
      <w:pPr>
        <w:shd w:val="clear" w:color="auto" w:fill="FFFFFF"/>
        <w:rPr>
          <w:rFonts w:ascii="Verdana" w:hAnsi="Verdana"/>
        </w:rPr>
      </w:pPr>
      <w:bookmarkStart w:id="481" w:name="c_3_A_iv_II"/>
      <w:bookmarkEnd w:id="481"/>
      <w:r w:rsidRPr="008B3051">
        <w:rPr>
          <w:rStyle w:val="num"/>
          <w:rFonts w:ascii="Verdana" w:hAnsi="Verdana"/>
          <w:b/>
          <w:bCs/>
        </w:rPr>
        <w:t>(II)</w:t>
      </w:r>
    </w:p>
    <w:p w14:paraId="4DE25C87" w14:textId="2E6C474B" w:rsidR="00B5587E" w:rsidRPr="008B3051" w:rsidRDefault="00B5587E" w:rsidP="00B5587E">
      <w:pPr>
        <w:shd w:val="clear" w:color="auto" w:fill="FFFFFF"/>
        <w:rPr>
          <w:rFonts w:ascii="Verdana" w:hAnsi="Verdana"/>
        </w:rPr>
      </w:pPr>
      <w:r w:rsidRPr="008B3051">
        <w:rPr>
          <w:rFonts w:ascii="Verdana" w:hAnsi="Verdana"/>
        </w:rPr>
        <w:t>in the case of a vehicle having a gross vehicle weight rating of more than 6,000 pounds but not more than 8,500 pounds, the Bin 8 Tier II emission standard which is so established,</w:t>
      </w:r>
    </w:p>
    <w:p w14:paraId="000489E1"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492A2041" w14:textId="765CB144"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70243B33"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(C)</w:t>
      </w:r>
    </w:p>
    <w:p w14:paraId="38FFF635" w14:textId="6BEFA168" w:rsidR="00B5587E" w:rsidRPr="008B3051" w:rsidRDefault="00B5587E" w:rsidP="00B5587E">
      <w:pPr>
        <w:shd w:val="clear" w:color="auto" w:fill="FFFFFF"/>
        <w:rPr>
          <w:rFonts w:ascii="Verdana" w:hAnsi="Verdana"/>
        </w:rPr>
      </w:pPr>
      <w:r w:rsidRPr="008B3051">
        <w:rPr>
          <w:rFonts w:ascii="Verdana" w:hAnsi="Verdana"/>
        </w:rPr>
        <w:t>which is acquired for use or lease by the taxpayer and not for resale, and</w:t>
      </w:r>
    </w:p>
    <w:p w14:paraId="4E9531A2"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p>
    <w:p w14:paraId="4C9E00A6" w14:textId="2EA21BCE" w:rsidR="00B5587E" w:rsidRPr="008B3051" w:rsidRDefault="00B5587E" w:rsidP="00B5587E">
      <w:pPr>
        <w:shd w:val="clear" w:color="auto" w:fill="FFFFFF"/>
        <w:rPr>
          <w:rFonts w:ascii="Verdana" w:hAnsi="Verdana"/>
        </w:rPr>
      </w:pPr>
      <w:r w:rsidRPr="008B3051">
        <w:rPr>
          <w:rFonts w:ascii="Verdana" w:hAnsi="Verdana"/>
        </w:rPr>
        <w:t>which is made by a manufacturer.</w:t>
      </w:r>
    </w:p>
    <w:p w14:paraId="648BB040" w14:textId="2EDF7139"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Lifetime fuel savings</w:t>
      </w:r>
      <w:r w:rsidRPr="008B3051">
        <w:rPr>
          <w:rStyle w:val="chapeau"/>
          <w:rFonts w:ascii="Verdana" w:hAnsi="Verdana"/>
        </w:rPr>
        <w:t>For purposes of this subsection, the term “lifetime fuel savings” means, in the case of any new advanced lean burn technology motor vehicle, an amount equal to the excess (if any) of—</w:t>
      </w:r>
    </w:p>
    <w:p w14:paraId="5DF5802F" w14:textId="77777777" w:rsidR="00B5587E" w:rsidRPr="008B3051" w:rsidRDefault="00B5587E" w:rsidP="00B5587E">
      <w:pPr>
        <w:shd w:val="clear" w:color="auto" w:fill="FFFFFF"/>
        <w:rPr>
          <w:rFonts w:ascii="Verdana" w:hAnsi="Verdana"/>
        </w:rPr>
      </w:pPr>
      <w:bookmarkStart w:id="482" w:name="c_4_A"/>
      <w:bookmarkEnd w:id="482"/>
      <w:r w:rsidRPr="008B3051">
        <w:rPr>
          <w:rStyle w:val="num"/>
          <w:rFonts w:ascii="Verdana" w:hAnsi="Verdana"/>
          <w:b/>
          <w:bCs/>
        </w:rPr>
        <w:t>(A)</w:t>
      </w:r>
    </w:p>
    <w:p w14:paraId="2E436B5C" w14:textId="53F77CF6" w:rsidR="00B5587E" w:rsidRPr="008B3051" w:rsidRDefault="00B5587E" w:rsidP="00B5587E">
      <w:pPr>
        <w:shd w:val="clear" w:color="auto" w:fill="FFFFFF"/>
        <w:rPr>
          <w:rFonts w:ascii="Verdana" w:hAnsi="Verdana"/>
        </w:rPr>
      </w:pPr>
      <w:r w:rsidRPr="008B3051">
        <w:rPr>
          <w:rFonts w:ascii="Verdana" w:hAnsi="Verdana"/>
        </w:rPr>
        <w:t>120,000 divided by the 2002 model year city fuel economy for the vehicle inertia weight class, over</w:t>
      </w:r>
    </w:p>
    <w:p w14:paraId="6B7A6B8E" w14:textId="77777777" w:rsidR="00B5587E" w:rsidRPr="008B3051" w:rsidRDefault="00B5587E" w:rsidP="00B5587E">
      <w:pPr>
        <w:shd w:val="clear" w:color="auto" w:fill="FFFFFF"/>
        <w:rPr>
          <w:rFonts w:ascii="Verdana" w:hAnsi="Verdana"/>
        </w:rPr>
      </w:pPr>
      <w:bookmarkStart w:id="483" w:name="c_4_B"/>
      <w:bookmarkEnd w:id="483"/>
      <w:r w:rsidRPr="008B3051">
        <w:rPr>
          <w:rStyle w:val="num"/>
          <w:rFonts w:ascii="Verdana" w:hAnsi="Verdana"/>
          <w:b/>
          <w:bCs/>
        </w:rPr>
        <w:t>(B)</w:t>
      </w:r>
    </w:p>
    <w:p w14:paraId="527D1D32" w14:textId="2027AFC9" w:rsidR="00B5587E" w:rsidRPr="008B3051" w:rsidRDefault="00B5587E" w:rsidP="00B5587E">
      <w:pPr>
        <w:shd w:val="clear" w:color="auto" w:fill="FFFFFF"/>
        <w:rPr>
          <w:rFonts w:ascii="Verdana" w:hAnsi="Verdana"/>
        </w:rPr>
      </w:pPr>
      <w:r w:rsidRPr="008B3051">
        <w:rPr>
          <w:rFonts w:ascii="Verdana" w:hAnsi="Verdana"/>
        </w:rPr>
        <w:t>120,000 divided by the city fuel economy for such vehicle.</w:t>
      </w:r>
    </w:p>
    <w:p w14:paraId="24D5F5AF"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New qualified hybrid motor vehicle credit</w:t>
      </w:r>
    </w:p>
    <w:p w14:paraId="3F3F1157"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71891D7B" w14:textId="095CDF1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subsection (a), the new qualified hybrid motor vehicle credit determined under this subsection for the taxable year is the credit amount determined under paragraph (2) with respect to a new qualified hybrid motor vehicle placed in service by the taxpayer during the taxable year.</w:t>
      </w:r>
    </w:p>
    <w:p w14:paraId="343CE096"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Credit amount</w:t>
      </w:r>
    </w:p>
    <w:p w14:paraId="1E80995C" w14:textId="7C85AE30"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Credit amount for passenger automobiles and light trucks</w:t>
      </w:r>
      <w:r w:rsidRPr="008B3051">
        <w:rPr>
          <w:rStyle w:val="chapeau"/>
          <w:rFonts w:ascii="Verdana" w:hAnsi="Verdana"/>
        </w:rPr>
        <w:t>In the case of a new qualified hybrid motor vehicle which is a passenger automobile or light truck and which has a gross vehicle weight rating of not more than 8,500 pounds, the amount determined under this paragraph is the sum of the amounts determined under clauses (i) and (ii).</w:t>
      </w:r>
    </w:p>
    <w:p w14:paraId="4688211C"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rPr>
        <w:t>Fuel economy</w:t>
      </w:r>
    </w:p>
    <w:p w14:paraId="6F6AFBF9" w14:textId="3C628044"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determined under this clause is the amount which would be determined under subsection (c)(2)(A) if such vehicle were a vehicle referred to in such subsection.</w:t>
      </w:r>
    </w:p>
    <w:p w14:paraId="76516043"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r w:rsidRPr="008B3051">
        <w:rPr>
          <w:rStyle w:val="heading"/>
          <w:rFonts w:ascii="Verdana" w:hAnsi="Verdana"/>
          <w:b/>
          <w:bCs/>
        </w:rPr>
        <w:t>Conservation credit</w:t>
      </w:r>
    </w:p>
    <w:p w14:paraId="2AE6DE41" w14:textId="4F6228F8"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determined under this clause is the amount which would be determined under subsection (c)(2)(B) if such vehicle were a vehicle referred to in such subsection.</w:t>
      </w:r>
    </w:p>
    <w:p w14:paraId="75E93D73"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Credit amount for other motor vehicles</w:t>
      </w:r>
    </w:p>
    <w:p w14:paraId="0FE75CD1"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rPr>
        <w:t>In general</w:t>
      </w:r>
    </w:p>
    <w:p w14:paraId="39E0711A" w14:textId="1276B96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In the case of any new qualified hybrid motor vehicle to which subparagraph (A) does not apply, the amount determined under this paragraph is the amount equal to the applicable percentage of the qualified incremental hybrid cost of the vehicle as certified under clause (v).</w:t>
      </w:r>
    </w:p>
    <w:p w14:paraId="725FCE9B" w14:textId="58454F7D" w:rsidR="00B5587E" w:rsidRPr="008B3051" w:rsidRDefault="00B5587E" w:rsidP="00B5587E">
      <w:pPr>
        <w:shd w:val="clear" w:color="auto" w:fill="FFFFFF"/>
        <w:rPr>
          <w:rFonts w:ascii="Verdana" w:hAnsi="Verdana"/>
        </w:rPr>
      </w:pPr>
      <w:r w:rsidRPr="008B3051">
        <w:rPr>
          <w:rStyle w:val="num"/>
          <w:rFonts w:ascii="Verdana" w:hAnsi="Verdana"/>
          <w:b/>
          <w:bCs/>
        </w:rPr>
        <w:t>(ii)</w:t>
      </w:r>
      <w:r w:rsidRPr="008B3051">
        <w:rPr>
          <w:rStyle w:val="heading"/>
          <w:rFonts w:ascii="Verdana" w:hAnsi="Verdana"/>
          <w:b/>
          <w:bCs/>
        </w:rPr>
        <w:t>Applicable percentage</w:t>
      </w:r>
      <w:r w:rsidRPr="008B3051">
        <w:rPr>
          <w:rStyle w:val="chapeau"/>
          <w:rFonts w:ascii="Verdana" w:hAnsi="Verdana"/>
        </w:rPr>
        <w:t>For purposes of clause (i), the applicable percentage is—</w:t>
      </w:r>
    </w:p>
    <w:p w14:paraId="6085FA2E" w14:textId="77777777" w:rsidR="00B5587E" w:rsidRPr="008B3051" w:rsidRDefault="00B5587E" w:rsidP="00B5587E">
      <w:pPr>
        <w:shd w:val="clear" w:color="auto" w:fill="FFFFFF"/>
        <w:rPr>
          <w:rFonts w:ascii="Verdana" w:hAnsi="Verdana"/>
        </w:rPr>
      </w:pPr>
      <w:bookmarkStart w:id="484" w:name="d_2_B_ii_I"/>
      <w:bookmarkEnd w:id="484"/>
      <w:r w:rsidRPr="008B3051">
        <w:rPr>
          <w:rStyle w:val="num"/>
          <w:rFonts w:ascii="Verdana" w:hAnsi="Verdana"/>
          <w:b/>
          <w:bCs/>
        </w:rPr>
        <w:t>(I)</w:t>
      </w:r>
    </w:p>
    <w:p w14:paraId="0EDBA9E1" w14:textId="04B3F0DB" w:rsidR="00B5587E" w:rsidRPr="008B3051" w:rsidRDefault="00B5587E" w:rsidP="00B5587E">
      <w:pPr>
        <w:shd w:val="clear" w:color="auto" w:fill="FFFFFF"/>
        <w:rPr>
          <w:rFonts w:ascii="Verdana" w:hAnsi="Verdana"/>
        </w:rPr>
      </w:pPr>
      <w:r w:rsidRPr="008B3051">
        <w:rPr>
          <w:rFonts w:ascii="Verdana" w:hAnsi="Verdana"/>
        </w:rPr>
        <w:t>20 percent if the vehicle achieves an increase in city fuel economy relative to a comparable vehicle of at least 30 percent but less than 40 percent,</w:t>
      </w:r>
    </w:p>
    <w:p w14:paraId="1C10D72F" w14:textId="77777777" w:rsidR="00B5587E" w:rsidRPr="008B3051" w:rsidRDefault="00B5587E" w:rsidP="00B5587E">
      <w:pPr>
        <w:shd w:val="clear" w:color="auto" w:fill="FFFFFF"/>
        <w:rPr>
          <w:rFonts w:ascii="Verdana" w:hAnsi="Verdana"/>
        </w:rPr>
      </w:pPr>
      <w:bookmarkStart w:id="485" w:name="d_2_B_ii_II"/>
      <w:bookmarkEnd w:id="485"/>
      <w:r w:rsidRPr="008B3051">
        <w:rPr>
          <w:rStyle w:val="num"/>
          <w:rFonts w:ascii="Verdana" w:hAnsi="Verdana"/>
          <w:b/>
          <w:bCs/>
        </w:rPr>
        <w:t>(II)</w:t>
      </w:r>
    </w:p>
    <w:p w14:paraId="4D1BF3A0" w14:textId="71D101CA" w:rsidR="00B5587E" w:rsidRPr="008B3051" w:rsidRDefault="00B5587E" w:rsidP="00B5587E">
      <w:pPr>
        <w:shd w:val="clear" w:color="auto" w:fill="FFFFFF"/>
        <w:rPr>
          <w:rFonts w:ascii="Verdana" w:hAnsi="Verdana"/>
        </w:rPr>
      </w:pPr>
      <w:r w:rsidRPr="008B3051">
        <w:rPr>
          <w:rFonts w:ascii="Verdana" w:hAnsi="Verdana"/>
        </w:rPr>
        <w:t>30 percent if the vehicle achieves such an increase of at least 40 percent but less than 50 percent, and</w:t>
      </w:r>
    </w:p>
    <w:p w14:paraId="445E1AE4" w14:textId="77777777" w:rsidR="00B5587E" w:rsidRPr="008B3051" w:rsidRDefault="00B5587E" w:rsidP="00B5587E">
      <w:pPr>
        <w:shd w:val="clear" w:color="auto" w:fill="FFFFFF"/>
        <w:rPr>
          <w:rFonts w:ascii="Verdana" w:hAnsi="Verdana"/>
        </w:rPr>
      </w:pPr>
      <w:bookmarkStart w:id="486" w:name="d_2_B_ii_III"/>
      <w:bookmarkEnd w:id="486"/>
      <w:r w:rsidRPr="008B3051">
        <w:rPr>
          <w:rStyle w:val="num"/>
          <w:rFonts w:ascii="Verdana" w:hAnsi="Verdana"/>
          <w:b/>
          <w:bCs/>
        </w:rPr>
        <w:t>(III)</w:t>
      </w:r>
    </w:p>
    <w:p w14:paraId="693A6788" w14:textId="348303CB" w:rsidR="00B5587E" w:rsidRPr="008B3051" w:rsidRDefault="00B5587E" w:rsidP="00B5587E">
      <w:pPr>
        <w:shd w:val="clear" w:color="auto" w:fill="FFFFFF"/>
        <w:rPr>
          <w:rFonts w:ascii="Verdana" w:hAnsi="Verdana"/>
        </w:rPr>
      </w:pPr>
      <w:r w:rsidRPr="008B3051">
        <w:rPr>
          <w:rFonts w:ascii="Verdana" w:hAnsi="Verdana"/>
        </w:rPr>
        <w:t>40 percent if the vehicle achieves such an increase of at least 50 percent.</w:t>
      </w:r>
    </w:p>
    <w:p w14:paraId="00A2A9EC" w14:textId="7F7AB77D" w:rsidR="00B5587E" w:rsidRPr="008B3051" w:rsidRDefault="00B5587E" w:rsidP="00B5587E">
      <w:pPr>
        <w:shd w:val="clear" w:color="auto" w:fill="FFFFFF"/>
        <w:rPr>
          <w:rFonts w:ascii="Verdana" w:hAnsi="Verdana"/>
        </w:rPr>
      </w:pPr>
      <w:r w:rsidRPr="008B3051">
        <w:rPr>
          <w:rStyle w:val="num"/>
          <w:rFonts w:ascii="Verdana" w:hAnsi="Verdana"/>
          <w:b/>
          <w:bCs/>
        </w:rPr>
        <w:t>(iii)</w:t>
      </w:r>
      <w:r w:rsidRPr="008B3051">
        <w:rPr>
          <w:rStyle w:val="heading"/>
          <w:rFonts w:ascii="Verdana" w:hAnsi="Verdana"/>
          <w:b/>
          <w:bCs/>
        </w:rPr>
        <w:t>Qualified incremental hybrid cost</w:t>
      </w:r>
      <w:r w:rsidRPr="008B3051">
        <w:rPr>
          <w:rStyle w:val="chapeau"/>
          <w:rFonts w:ascii="Verdana" w:hAnsi="Verdana"/>
        </w:rPr>
        <w:t>For purposes of this subparagraph, the qualified incremental hybrid cost of any vehicle is equal to the amount of the excess of the manufacturer’s suggested retail price for such vehicle over such price for a comparable vehicle, to the extent such amount does not exceed—</w:t>
      </w:r>
    </w:p>
    <w:p w14:paraId="7B5D6A38" w14:textId="77777777" w:rsidR="00B5587E" w:rsidRPr="008B3051" w:rsidRDefault="00B5587E" w:rsidP="00B5587E">
      <w:pPr>
        <w:shd w:val="clear" w:color="auto" w:fill="FFFFFF"/>
        <w:rPr>
          <w:rFonts w:ascii="Verdana" w:hAnsi="Verdana"/>
        </w:rPr>
      </w:pPr>
      <w:bookmarkStart w:id="487" w:name="d_2_B_iii_I"/>
      <w:bookmarkEnd w:id="487"/>
      <w:r w:rsidRPr="008B3051">
        <w:rPr>
          <w:rStyle w:val="num"/>
          <w:rFonts w:ascii="Verdana" w:hAnsi="Verdana"/>
          <w:b/>
          <w:bCs/>
        </w:rPr>
        <w:t>(I)</w:t>
      </w:r>
    </w:p>
    <w:p w14:paraId="49C0DBFB" w14:textId="597E21C2" w:rsidR="00B5587E" w:rsidRPr="008B3051" w:rsidRDefault="00B5587E" w:rsidP="00B5587E">
      <w:pPr>
        <w:shd w:val="clear" w:color="auto" w:fill="FFFFFF"/>
        <w:rPr>
          <w:rFonts w:ascii="Verdana" w:hAnsi="Verdana"/>
        </w:rPr>
      </w:pPr>
      <w:r w:rsidRPr="008B3051">
        <w:rPr>
          <w:rFonts w:ascii="Verdana" w:hAnsi="Verdana"/>
        </w:rPr>
        <w:t>$7,500, if such vehicle has a gross vehicle weight rating of not more than 14,000 pounds,</w:t>
      </w:r>
    </w:p>
    <w:p w14:paraId="06C4184F" w14:textId="77777777" w:rsidR="00B5587E" w:rsidRPr="008B3051" w:rsidRDefault="00B5587E" w:rsidP="00B5587E">
      <w:pPr>
        <w:shd w:val="clear" w:color="auto" w:fill="FFFFFF"/>
        <w:rPr>
          <w:rFonts w:ascii="Verdana" w:hAnsi="Verdana"/>
        </w:rPr>
      </w:pPr>
      <w:bookmarkStart w:id="488" w:name="d_2_B_iii_II"/>
      <w:bookmarkEnd w:id="488"/>
      <w:r w:rsidRPr="008B3051">
        <w:rPr>
          <w:rStyle w:val="num"/>
          <w:rFonts w:ascii="Verdana" w:hAnsi="Verdana"/>
          <w:b/>
          <w:bCs/>
        </w:rPr>
        <w:t>(II)</w:t>
      </w:r>
    </w:p>
    <w:p w14:paraId="2BE5464C" w14:textId="1A3108E3" w:rsidR="00B5587E" w:rsidRPr="008B3051" w:rsidRDefault="00B5587E" w:rsidP="00B5587E">
      <w:pPr>
        <w:shd w:val="clear" w:color="auto" w:fill="FFFFFF"/>
        <w:rPr>
          <w:rFonts w:ascii="Verdana" w:hAnsi="Verdana"/>
        </w:rPr>
      </w:pPr>
      <w:r w:rsidRPr="008B3051">
        <w:rPr>
          <w:rFonts w:ascii="Verdana" w:hAnsi="Verdana"/>
        </w:rPr>
        <w:t>$15,000, if such vehicle has a gross vehicle weight rating of more than 14,000 pounds but not more than 26,000 pounds, and</w:t>
      </w:r>
    </w:p>
    <w:p w14:paraId="15C6A2E9" w14:textId="77777777" w:rsidR="00B5587E" w:rsidRPr="008B3051" w:rsidRDefault="00B5587E" w:rsidP="00B5587E">
      <w:pPr>
        <w:shd w:val="clear" w:color="auto" w:fill="FFFFFF"/>
        <w:rPr>
          <w:rFonts w:ascii="Verdana" w:hAnsi="Verdana"/>
        </w:rPr>
      </w:pPr>
      <w:bookmarkStart w:id="489" w:name="d_2_B_iii_III"/>
      <w:bookmarkEnd w:id="489"/>
      <w:r w:rsidRPr="008B3051">
        <w:rPr>
          <w:rStyle w:val="num"/>
          <w:rFonts w:ascii="Verdana" w:hAnsi="Verdana"/>
          <w:b/>
          <w:bCs/>
        </w:rPr>
        <w:t>(III)</w:t>
      </w:r>
    </w:p>
    <w:p w14:paraId="00647B32" w14:textId="12D27040" w:rsidR="00B5587E" w:rsidRPr="008B3051" w:rsidRDefault="00B5587E" w:rsidP="00B5587E">
      <w:pPr>
        <w:shd w:val="clear" w:color="auto" w:fill="FFFFFF"/>
        <w:rPr>
          <w:rFonts w:ascii="Verdana" w:hAnsi="Verdana"/>
        </w:rPr>
      </w:pPr>
      <w:r w:rsidRPr="008B3051">
        <w:rPr>
          <w:rFonts w:ascii="Verdana" w:hAnsi="Verdana"/>
        </w:rPr>
        <w:t>$30,000, if such vehicle has a gross vehicle weight rating of more than 26,000 pounds.</w:t>
      </w:r>
    </w:p>
    <w:p w14:paraId="29D6E9A2" w14:textId="77777777" w:rsidR="00B5587E" w:rsidRPr="008B3051" w:rsidRDefault="00B5587E" w:rsidP="00B5587E">
      <w:pPr>
        <w:shd w:val="clear" w:color="auto" w:fill="FFFFFF"/>
        <w:rPr>
          <w:rFonts w:ascii="Verdana" w:hAnsi="Verdana"/>
        </w:rPr>
      </w:pPr>
      <w:bookmarkStart w:id="490" w:name="d_2_B_iv"/>
      <w:bookmarkEnd w:id="490"/>
      <w:r w:rsidRPr="008B3051">
        <w:rPr>
          <w:rStyle w:val="num"/>
          <w:rFonts w:ascii="Verdana" w:hAnsi="Verdana"/>
          <w:b/>
          <w:bCs/>
        </w:rPr>
        <w:t>(iv)</w:t>
      </w:r>
      <w:r w:rsidRPr="008B3051">
        <w:rPr>
          <w:rStyle w:val="heading"/>
          <w:rFonts w:ascii="Verdana" w:hAnsi="Verdana"/>
          <w:b/>
          <w:bCs/>
        </w:rPr>
        <w:t>Comparable vehicle</w:t>
      </w:r>
    </w:p>
    <w:p w14:paraId="34CDB5BC" w14:textId="5CE8071D"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subparagraph, the term “comparable vehicle” means, with respect to any new qualified hybrid motor vehicle, any vehicle which is powered solely by a gasoline or diesel internal combustion engine and which is comparable in weight, size, and use to such vehicle.</w:t>
      </w:r>
    </w:p>
    <w:p w14:paraId="52C1B2E8" w14:textId="77777777" w:rsidR="00B5587E" w:rsidRPr="008B3051" w:rsidRDefault="00B5587E" w:rsidP="00B5587E">
      <w:pPr>
        <w:shd w:val="clear" w:color="auto" w:fill="FFFFFF"/>
        <w:rPr>
          <w:rFonts w:ascii="Verdana" w:hAnsi="Verdana"/>
        </w:rPr>
      </w:pPr>
      <w:bookmarkStart w:id="491" w:name="d_2_B_v"/>
      <w:bookmarkEnd w:id="491"/>
      <w:r w:rsidRPr="008B3051">
        <w:rPr>
          <w:rStyle w:val="num"/>
          <w:rFonts w:ascii="Verdana" w:hAnsi="Verdana"/>
          <w:b/>
          <w:bCs/>
        </w:rPr>
        <w:t>(v)</w:t>
      </w:r>
      <w:r w:rsidRPr="008B3051">
        <w:rPr>
          <w:rStyle w:val="heading"/>
          <w:rFonts w:ascii="Verdana" w:hAnsi="Verdana"/>
          <w:b/>
          <w:bCs/>
        </w:rPr>
        <w:t>Certification</w:t>
      </w:r>
    </w:p>
    <w:p w14:paraId="6BF93E4D" w14:textId="13959824"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 xml:space="preserve">A certification described in clause (i) shall be made by the manufacturer and shall be determined in accordance with guidance prescribed by the </w:t>
      </w:r>
      <w:r w:rsidRPr="008B3051">
        <w:rPr>
          <w:rFonts w:ascii="Verdana" w:hAnsi="Verdana"/>
        </w:rPr>
        <w:lastRenderedPageBreak/>
        <w:t>Secretary. Such guidance shall specify procedures and methods for calculating fuel economy savings and incremental hybrid costs.</w:t>
      </w:r>
    </w:p>
    <w:p w14:paraId="53D80FE0"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New qualified hybrid motor vehicle</w:t>
      </w:r>
      <w:r w:rsidRPr="008B3051">
        <w:rPr>
          <w:rStyle w:val="chapeau"/>
          <w:rFonts w:ascii="Verdana" w:hAnsi="Verdana"/>
        </w:rPr>
        <w:t>For purposes of this subsection—</w:t>
      </w:r>
    </w:p>
    <w:p w14:paraId="22E5E09D" w14:textId="4B5E9F30"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“new qualified hybrid motor vehicle” means a motor vehicle—</w:t>
      </w:r>
    </w:p>
    <w:p w14:paraId="67E6B183" w14:textId="77777777" w:rsidR="00B5587E" w:rsidRPr="008B3051" w:rsidRDefault="00B5587E" w:rsidP="00B5587E">
      <w:pPr>
        <w:shd w:val="clear" w:color="auto" w:fill="FFFFFF"/>
        <w:rPr>
          <w:rFonts w:ascii="Verdana" w:hAnsi="Verdana"/>
        </w:rPr>
      </w:pPr>
      <w:bookmarkStart w:id="492" w:name="d_3_A_i"/>
      <w:bookmarkEnd w:id="492"/>
      <w:r w:rsidRPr="008B3051">
        <w:rPr>
          <w:rStyle w:val="num"/>
          <w:rFonts w:ascii="Verdana" w:hAnsi="Verdana"/>
          <w:b/>
          <w:bCs/>
        </w:rPr>
        <w:t>(i)</w:t>
      </w:r>
      <w:r w:rsidRPr="008B3051">
        <w:rPr>
          <w:rStyle w:val="chapeau"/>
          <w:rFonts w:ascii="Verdana" w:hAnsi="Verdana"/>
        </w:rPr>
        <w:t>which draws propulsion energy from onboard sources of stored energy which are both—</w:t>
      </w:r>
    </w:p>
    <w:p w14:paraId="1834DD90" w14:textId="77777777" w:rsidR="00B5587E" w:rsidRPr="008B3051" w:rsidRDefault="00B5587E" w:rsidP="00B5587E">
      <w:pPr>
        <w:shd w:val="clear" w:color="auto" w:fill="FFFFFF"/>
        <w:rPr>
          <w:rFonts w:ascii="Verdana" w:hAnsi="Verdana"/>
        </w:rPr>
      </w:pPr>
      <w:bookmarkStart w:id="493" w:name="d_3_A_i_I"/>
      <w:bookmarkEnd w:id="493"/>
      <w:r w:rsidRPr="008B3051">
        <w:rPr>
          <w:rStyle w:val="num"/>
          <w:rFonts w:ascii="Verdana" w:hAnsi="Verdana"/>
          <w:b/>
          <w:bCs/>
        </w:rPr>
        <w:t>(I)</w:t>
      </w:r>
    </w:p>
    <w:p w14:paraId="3F24912A" w14:textId="77777777" w:rsidR="00B5587E" w:rsidRPr="008B3051" w:rsidRDefault="00B5587E" w:rsidP="00B5587E">
      <w:pPr>
        <w:shd w:val="clear" w:color="auto" w:fill="FFFFFF"/>
        <w:rPr>
          <w:rFonts w:ascii="Verdana" w:hAnsi="Verdana"/>
        </w:rPr>
      </w:pPr>
      <w:r w:rsidRPr="008B3051">
        <w:rPr>
          <w:rFonts w:ascii="Verdana" w:hAnsi="Verdana"/>
        </w:rPr>
        <w:t>an internal combustion or heat engine using consumable fuel, and</w:t>
      </w:r>
    </w:p>
    <w:p w14:paraId="78E1C668" w14:textId="77777777" w:rsidR="00B5587E" w:rsidRPr="008B3051" w:rsidRDefault="00B5587E" w:rsidP="00B5587E">
      <w:pPr>
        <w:shd w:val="clear" w:color="auto" w:fill="FFFFFF"/>
        <w:rPr>
          <w:rFonts w:ascii="Verdana" w:hAnsi="Verdana"/>
        </w:rPr>
      </w:pPr>
      <w:bookmarkStart w:id="494" w:name="d_3_A_i_II"/>
      <w:bookmarkEnd w:id="494"/>
      <w:r w:rsidRPr="008B3051">
        <w:rPr>
          <w:rStyle w:val="num"/>
          <w:rFonts w:ascii="Verdana" w:hAnsi="Verdana"/>
          <w:b/>
          <w:bCs/>
        </w:rPr>
        <w:t>(II)</w:t>
      </w:r>
    </w:p>
    <w:p w14:paraId="08856EEF" w14:textId="77777777" w:rsidR="00B5587E" w:rsidRPr="008B3051" w:rsidRDefault="00B5587E" w:rsidP="00B5587E">
      <w:pPr>
        <w:shd w:val="clear" w:color="auto" w:fill="FFFFFF"/>
        <w:rPr>
          <w:rFonts w:ascii="Verdana" w:hAnsi="Verdana"/>
        </w:rPr>
      </w:pPr>
      <w:r w:rsidRPr="008B3051">
        <w:rPr>
          <w:rFonts w:ascii="Verdana" w:hAnsi="Verdana"/>
        </w:rPr>
        <w:t>a rechargeable energy storage system,</w:t>
      </w:r>
    </w:p>
    <w:p w14:paraId="01FD70B7" w14:textId="4E940538" w:rsidR="00B5587E" w:rsidRPr="008B3051" w:rsidRDefault="00B5587E" w:rsidP="00B5587E">
      <w:pPr>
        <w:shd w:val="clear" w:color="auto" w:fill="FFFFFF"/>
        <w:rPr>
          <w:rFonts w:ascii="Verdana" w:hAnsi="Verdana"/>
        </w:rPr>
      </w:pPr>
      <w:bookmarkStart w:id="495" w:name="d_3_A_ii"/>
      <w:bookmarkEnd w:id="495"/>
      <w:r w:rsidRPr="008B3051">
        <w:rPr>
          <w:rStyle w:val="num"/>
          <w:rFonts w:ascii="Verdana" w:hAnsi="Verdana"/>
          <w:b/>
          <w:bCs/>
        </w:rPr>
        <w:t>(ii)</w:t>
      </w:r>
      <w:r w:rsidRPr="008B3051">
        <w:rPr>
          <w:rStyle w:val="chapeau"/>
          <w:rFonts w:ascii="Verdana" w:hAnsi="Verdana"/>
        </w:rPr>
        <w:t>which, in the case of a vehicle to which paragraph (2)(A) applies, has received a certificate of conformity under the Clean Air Act and meets or exceeds the equivalent qualifying California low emission vehicle standard under section 243(e)(2) of the Clean Air Act for that make and model year, and</w:t>
      </w:r>
    </w:p>
    <w:p w14:paraId="72D9BE32" w14:textId="77777777" w:rsidR="00B5587E" w:rsidRPr="008B3051" w:rsidRDefault="00B5587E" w:rsidP="00B5587E">
      <w:pPr>
        <w:shd w:val="clear" w:color="auto" w:fill="FFFFFF"/>
        <w:rPr>
          <w:rFonts w:ascii="Verdana" w:hAnsi="Verdana"/>
        </w:rPr>
      </w:pPr>
      <w:bookmarkStart w:id="496" w:name="d_3_A_ii_I"/>
      <w:bookmarkEnd w:id="496"/>
      <w:r w:rsidRPr="008B3051">
        <w:rPr>
          <w:rStyle w:val="num"/>
          <w:rFonts w:ascii="Verdana" w:hAnsi="Verdana"/>
          <w:b/>
          <w:bCs/>
        </w:rPr>
        <w:t>(I)</w:t>
      </w:r>
    </w:p>
    <w:p w14:paraId="26627A55" w14:textId="29FDC016" w:rsidR="00B5587E" w:rsidRPr="008B3051" w:rsidRDefault="00B5587E" w:rsidP="00B5587E">
      <w:pPr>
        <w:shd w:val="clear" w:color="auto" w:fill="FFFFFF"/>
        <w:rPr>
          <w:rFonts w:ascii="Verdana" w:hAnsi="Verdana"/>
        </w:rPr>
      </w:pPr>
      <w:r w:rsidRPr="008B3051">
        <w:rPr>
          <w:rFonts w:ascii="Verdana" w:hAnsi="Verdana"/>
        </w:rPr>
        <w:t>in the case of a vehicle having a gross vehicle weight rating of 6,000 pounds or less, the Bin 5 Tier II emission standard established in regulations prescribed by the Administrator of the Environmental Protection Agency under section 202(i) of the Clean Air Act for that make and model year vehicle, and</w:t>
      </w:r>
    </w:p>
    <w:p w14:paraId="2AFBC428" w14:textId="77777777" w:rsidR="00B5587E" w:rsidRPr="008B3051" w:rsidRDefault="00B5587E" w:rsidP="00B5587E">
      <w:pPr>
        <w:shd w:val="clear" w:color="auto" w:fill="FFFFFF"/>
        <w:rPr>
          <w:rFonts w:ascii="Verdana" w:hAnsi="Verdana"/>
        </w:rPr>
      </w:pPr>
      <w:bookmarkStart w:id="497" w:name="d_3_A_ii_II"/>
      <w:bookmarkEnd w:id="497"/>
      <w:r w:rsidRPr="008B3051">
        <w:rPr>
          <w:rStyle w:val="num"/>
          <w:rFonts w:ascii="Verdana" w:hAnsi="Verdana"/>
          <w:b/>
          <w:bCs/>
        </w:rPr>
        <w:t>(II)</w:t>
      </w:r>
    </w:p>
    <w:p w14:paraId="17A0EBA1" w14:textId="2E70C8E5" w:rsidR="00B5587E" w:rsidRPr="008B3051" w:rsidRDefault="00B5587E" w:rsidP="00B5587E">
      <w:pPr>
        <w:shd w:val="clear" w:color="auto" w:fill="FFFFFF"/>
        <w:rPr>
          <w:rFonts w:ascii="Verdana" w:hAnsi="Verdana"/>
        </w:rPr>
      </w:pPr>
      <w:r w:rsidRPr="008B3051">
        <w:rPr>
          <w:rFonts w:ascii="Verdana" w:hAnsi="Verdana"/>
        </w:rPr>
        <w:t>in the case of a vehicle having a gross vehicle weight rating of more than 6,000 pounds but not more than 8,500 pounds, the Bin 8 Tier II emission standard which is so established,</w:t>
      </w:r>
    </w:p>
    <w:p w14:paraId="137C42B4" w14:textId="326D9AD1" w:rsidR="00B5587E" w:rsidRPr="008B3051" w:rsidRDefault="00B5587E" w:rsidP="00B5587E">
      <w:pPr>
        <w:shd w:val="clear" w:color="auto" w:fill="FFFFFF"/>
        <w:rPr>
          <w:rFonts w:ascii="Verdana" w:hAnsi="Verdana"/>
        </w:rPr>
      </w:pPr>
      <w:bookmarkStart w:id="498" w:name="d_3_A_iii"/>
      <w:bookmarkEnd w:id="498"/>
      <w:r w:rsidRPr="008B3051">
        <w:rPr>
          <w:rStyle w:val="num"/>
          <w:rFonts w:ascii="Verdana" w:hAnsi="Verdana"/>
          <w:b/>
          <w:bCs/>
        </w:rPr>
        <w:t>(iii)</w:t>
      </w:r>
      <w:r w:rsidRPr="008B3051">
        <w:rPr>
          <w:rStyle w:val="chapeau"/>
          <w:rFonts w:ascii="Verdana" w:hAnsi="Verdana"/>
        </w:rPr>
        <w:t>which has a maximum available power of at least—</w:t>
      </w:r>
    </w:p>
    <w:p w14:paraId="2117A43F" w14:textId="77777777" w:rsidR="00B5587E" w:rsidRPr="008B3051" w:rsidRDefault="00B5587E" w:rsidP="00B5587E">
      <w:pPr>
        <w:shd w:val="clear" w:color="auto" w:fill="FFFFFF"/>
        <w:rPr>
          <w:rFonts w:ascii="Verdana" w:hAnsi="Verdana"/>
        </w:rPr>
      </w:pPr>
      <w:bookmarkStart w:id="499" w:name="d_3_A_iii_I"/>
      <w:bookmarkEnd w:id="499"/>
      <w:r w:rsidRPr="008B3051">
        <w:rPr>
          <w:rStyle w:val="num"/>
          <w:rFonts w:ascii="Verdana" w:hAnsi="Verdana"/>
          <w:b/>
          <w:bCs/>
        </w:rPr>
        <w:t>(I)</w:t>
      </w:r>
    </w:p>
    <w:p w14:paraId="2304C8D9" w14:textId="4AE4116F" w:rsidR="00B5587E" w:rsidRPr="008B3051" w:rsidRDefault="00B5587E" w:rsidP="00B5587E">
      <w:pPr>
        <w:shd w:val="clear" w:color="auto" w:fill="FFFFFF"/>
        <w:rPr>
          <w:rFonts w:ascii="Verdana" w:hAnsi="Verdana"/>
        </w:rPr>
      </w:pPr>
      <w:r w:rsidRPr="008B3051">
        <w:rPr>
          <w:rFonts w:ascii="Verdana" w:hAnsi="Verdana"/>
        </w:rPr>
        <w:t>4 percent in the case of a vehicle to which paragraph (2)(A) applies,</w:t>
      </w:r>
    </w:p>
    <w:p w14:paraId="0999FD02" w14:textId="77777777" w:rsidR="00B5587E" w:rsidRPr="008B3051" w:rsidRDefault="00B5587E" w:rsidP="00B5587E">
      <w:pPr>
        <w:shd w:val="clear" w:color="auto" w:fill="FFFFFF"/>
        <w:rPr>
          <w:rFonts w:ascii="Verdana" w:hAnsi="Verdana"/>
        </w:rPr>
      </w:pPr>
      <w:bookmarkStart w:id="500" w:name="d_3_A_iii_II"/>
      <w:bookmarkEnd w:id="500"/>
      <w:r w:rsidRPr="008B3051">
        <w:rPr>
          <w:rStyle w:val="num"/>
          <w:rFonts w:ascii="Verdana" w:hAnsi="Verdana"/>
          <w:b/>
          <w:bCs/>
        </w:rPr>
        <w:t>(II)</w:t>
      </w:r>
    </w:p>
    <w:p w14:paraId="738BF6D6" w14:textId="43B98694" w:rsidR="00B5587E" w:rsidRPr="008B3051" w:rsidRDefault="00B5587E" w:rsidP="00B5587E">
      <w:pPr>
        <w:shd w:val="clear" w:color="auto" w:fill="FFFFFF"/>
        <w:rPr>
          <w:rFonts w:ascii="Verdana" w:hAnsi="Verdana"/>
        </w:rPr>
      </w:pPr>
      <w:r w:rsidRPr="008B3051">
        <w:rPr>
          <w:rFonts w:ascii="Verdana" w:hAnsi="Verdana"/>
        </w:rPr>
        <w:t>10 percent in the case of a vehicle which has a gross vehicle weight rating of more than 8,500 pounds and not more than 14,000 pounds, and</w:t>
      </w:r>
    </w:p>
    <w:p w14:paraId="5B896A06" w14:textId="77777777" w:rsidR="00B5587E" w:rsidRPr="008B3051" w:rsidRDefault="00B5587E" w:rsidP="00B5587E">
      <w:pPr>
        <w:shd w:val="clear" w:color="auto" w:fill="FFFFFF"/>
        <w:rPr>
          <w:rFonts w:ascii="Verdana" w:hAnsi="Verdana"/>
        </w:rPr>
      </w:pPr>
      <w:bookmarkStart w:id="501" w:name="d_3_A_iii_III"/>
      <w:bookmarkEnd w:id="501"/>
      <w:r w:rsidRPr="008B3051">
        <w:rPr>
          <w:rStyle w:val="num"/>
          <w:rFonts w:ascii="Verdana" w:hAnsi="Verdana"/>
          <w:b/>
          <w:bCs/>
        </w:rPr>
        <w:t>(III)</w:t>
      </w:r>
    </w:p>
    <w:p w14:paraId="41B552CE" w14:textId="057A772F" w:rsidR="00B5587E" w:rsidRPr="008B3051" w:rsidRDefault="00B5587E" w:rsidP="00B5587E">
      <w:pPr>
        <w:shd w:val="clear" w:color="auto" w:fill="FFFFFF"/>
        <w:rPr>
          <w:rFonts w:ascii="Verdana" w:hAnsi="Verdana"/>
        </w:rPr>
      </w:pPr>
      <w:r w:rsidRPr="008B3051">
        <w:rPr>
          <w:rFonts w:ascii="Verdana" w:hAnsi="Verdana"/>
        </w:rPr>
        <w:t>15 percent in the case of a vehicle in excess of 14,000 pounds,</w:t>
      </w:r>
    </w:p>
    <w:p w14:paraId="64366E84" w14:textId="77777777" w:rsidR="00B5587E" w:rsidRPr="008B3051" w:rsidRDefault="00B5587E" w:rsidP="00B5587E">
      <w:pPr>
        <w:shd w:val="clear" w:color="auto" w:fill="FFFFFF"/>
        <w:rPr>
          <w:rFonts w:ascii="Verdana" w:hAnsi="Verdana"/>
        </w:rPr>
      </w:pPr>
      <w:bookmarkStart w:id="502" w:name="d_3_A_iv"/>
      <w:bookmarkEnd w:id="502"/>
      <w:r w:rsidRPr="008B3051">
        <w:rPr>
          <w:rStyle w:val="num"/>
          <w:rFonts w:ascii="Verdana" w:hAnsi="Verdana"/>
          <w:b/>
          <w:bCs/>
        </w:rPr>
        <w:t>(iv)</w:t>
      </w:r>
    </w:p>
    <w:p w14:paraId="173ABB50" w14:textId="2B1E7D5C" w:rsidR="00B5587E" w:rsidRPr="008B3051" w:rsidRDefault="00B5587E" w:rsidP="00B5587E">
      <w:pPr>
        <w:shd w:val="clear" w:color="auto" w:fill="FFFFFF"/>
        <w:rPr>
          <w:rFonts w:ascii="Verdana" w:hAnsi="Verdana"/>
        </w:rPr>
      </w:pPr>
      <w:r w:rsidRPr="008B3051">
        <w:rPr>
          <w:rFonts w:ascii="Verdana" w:hAnsi="Verdana"/>
        </w:rPr>
        <w:lastRenderedPageBreak/>
        <w:t>which, in the case of a vehicle to which paragraph (2)(B) applies, has an internal combustion or heat engine which has received a certificate of conformity under the Clean Air Act as meeting the emission standards set in the regulations prescribed by the Administrator of the Environmental Protection Agency for 2004 through 2007 model year diesel heavy duty engines or ottocycle heavy duty engines, as applicable,</w:t>
      </w:r>
    </w:p>
    <w:p w14:paraId="43309B1E" w14:textId="77777777" w:rsidR="00B5587E" w:rsidRPr="008B3051" w:rsidRDefault="00B5587E" w:rsidP="00B5587E">
      <w:pPr>
        <w:shd w:val="clear" w:color="auto" w:fill="FFFFFF"/>
        <w:rPr>
          <w:rFonts w:ascii="Verdana" w:hAnsi="Verdana"/>
        </w:rPr>
      </w:pPr>
      <w:bookmarkStart w:id="503" w:name="d_3_A_v"/>
      <w:bookmarkEnd w:id="503"/>
      <w:r w:rsidRPr="008B3051">
        <w:rPr>
          <w:rStyle w:val="num"/>
          <w:rFonts w:ascii="Verdana" w:hAnsi="Verdana"/>
          <w:b/>
          <w:bCs/>
        </w:rPr>
        <w:t>(v)</w:t>
      </w:r>
    </w:p>
    <w:p w14:paraId="3ABBAA6F" w14:textId="75A183F4"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4C864AAD" w14:textId="77777777" w:rsidR="00B5587E" w:rsidRPr="008B3051" w:rsidRDefault="00B5587E" w:rsidP="00B5587E">
      <w:pPr>
        <w:shd w:val="clear" w:color="auto" w:fill="FFFFFF"/>
        <w:rPr>
          <w:rFonts w:ascii="Verdana" w:hAnsi="Verdana"/>
        </w:rPr>
      </w:pPr>
      <w:bookmarkStart w:id="504" w:name="d_3_A_vi"/>
      <w:bookmarkEnd w:id="504"/>
      <w:r w:rsidRPr="008B3051">
        <w:rPr>
          <w:rStyle w:val="num"/>
          <w:rFonts w:ascii="Verdana" w:hAnsi="Verdana"/>
          <w:b/>
          <w:bCs/>
        </w:rPr>
        <w:t>(vi)</w:t>
      </w:r>
    </w:p>
    <w:p w14:paraId="56EBAD55" w14:textId="0466E996" w:rsidR="00B5587E" w:rsidRPr="008B3051" w:rsidRDefault="00B5587E" w:rsidP="00B5587E">
      <w:pPr>
        <w:shd w:val="clear" w:color="auto" w:fill="FFFFFF"/>
        <w:rPr>
          <w:rFonts w:ascii="Verdana" w:hAnsi="Verdana"/>
        </w:rPr>
      </w:pPr>
      <w:r w:rsidRPr="008B3051">
        <w:rPr>
          <w:rFonts w:ascii="Verdana" w:hAnsi="Verdana"/>
        </w:rPr>
        <w:t>which is acquired for use or lease by the taxpayer and not for resale, and</w:t>
      </w:r>
    </w:p>
    <w:p w14:paraId="2A657198" w14:textId="77777777" w:rsidR="00B5587E" w:rsidRPr="008B3051" w:rsidRDefault="00B5587E" w:rsidP="00B5587E">
      <w:pPr>
        <w:shd w:val="clear" w:color="auto" w:fill="FFFFFF"/>
        <w:rPr>
          <w:rFonts w:ascii="Verdana" w:hAnsi="Verdana"/>
        </w:rPr>
      </w:pPr>
      <w:bookmarkStart w:id="505" w:name="d_3_A_vii"/>
      <w:bookmarkEnd w:id="505"/>
      <w:r w:rsidRPr="008B3051">
        <w:rPr>
          <w:rStyle w:val="num"/>
          <w:rFonts w:ascii="Verdana" w:hAnsi="Verdana"/>
          <w:b/>
          <w:bCs/>
        </w:rPr>
        <w:t>(vii)</w:t>
      </w:r>
    </w:p>
    <w:p w14:paraId="10C39449" w14:textId="019C65A7" w:rsidR="00B5587E" w:rsidRPr="008B3051" w:rsidRDefault="00B5587E" w:rsidP="00B5587E">
      <w:pPr>
        <w:shd w:val="clear" w:color="auto" w:fill="FFFFFF"/>
        <w:rPr>
          <w:rFonts w:ascii="Verdana" w:hAnsi="Verdana"/>
        </w:rPr>
      </w:pPr>
      <w:r w:rsidRPr="008B3051">
        <w:rPr>
          <w:rFonts w:ascii="Verdana" w:hAnsi="Verdana"/>
        </w:rPr>
        <w:t>which is made by a manufacturer.</w:t>
      </w:r>
    </w:p>
    <w:p w14:paraId="3A1C739C" w14:textId="1A4AD248" w:rsidR="00B5587E" w:rsidRPr="008B3051" w:rsidRDefault="00B5587E" w:rsidP="00B5587E">
      <w:pPr>
        <w:shd w:val="clear" w:color="auto" w:fill="FFFFFF"/>
        <w:rPr>
          <w:rFonts w:ascii="Verdana" w:hAnsi="Verdana"/>
        </w:rPr>
      </w:pPr>
      <w:r w:rsidRPr="008B3051">
        <w:rPr>
          <w:rFonts w:ascii="Verdana" w:hAnsi="Verdana"/>
        </w:rPr>
        <w:t>Such term shall not include any vehicle which is not a passenger automobile or light truck if such vehicle has a gross vehicle weight rating of less than 8,500 pounds.</w:t>
      </w:r>
    </w:p>
    <w:p w14:paraId="708BFF43"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Consumable fuel</w:t>
      </w:r>
    </w:p>
    <w:p w14:paraId="45CC9424" w14:textId="793C2815"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subparagraph (A)(i)(I), the term “consumable fuel” means any solid, liquid, or gaseous matter which releases energy when consumed by an auxiliary power unit.</w:t>
      </w:r>
    </w:p>
    <w:p w14:paraId="545C0B02"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Maximum available power</w:t>
      </w:r>
    </w:p>
    <w:p w14:paraId="6A1F3513" w14:textId="77777777" w:rsidR="00B5587E" w:rsidRPr="008B3051" w:rsidRDefault="00B5587E" w:rsidP="00B5587E">
      <w:pPr>
        <w:shd w:val="clear" w:color="auto" w:fill="FFFFFF"/>
        <w:rPr>
          <w:rFonts w:ascii="Verdana" w:hAnsi="Verdana"/>
        </w:rPr>
      </w:pPr>
      <w:bookmarkStart w:id="506" w:name="d_3_C_i"/>
      <w:bookmarkEnd w:id="506"/>
      <w:r w:rsidRPr="008B3051">
        <w:rPr>
          <w:rStyle w:val="num"/>
          <w:rFonts w:ascii="Verdana" w:hAnsi="Verdana"/>
          <w:b/>
          <w:bCs/>
        </w:rPr>
        <w:t>(i)</w:t>
      </w:r>
      <w:r w:rsidRPr="008B3051">
        <w:rPr>
          <w:rStyle w:val="heading"/>
          <w:rFonts w:ascii="Verdana" w:hAnsi="Verdana"/>
          <w:b/>
          <w:bCs/>
        </w:rPr>
        <w:t>Certain passenger automobiles and light trucks</w:t>
      </w:r>
    </w:p>
    <w:p w14:paraId="4A440294" w14:textId="6B89A95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vehicle to which paragraph (2)(A) applies, the term “maximum available power” means the maximum power available from the rechargeable energy storage system, during a standard 10 second pulse power or equivalent test, divided by such maximum power and the SAE net power of the heat engine.</w:t>
      </w:r>
    </w:p>
    <w:p w14:paraId="2E23B817" w14:textId="77777777" w:rsidR="00B5587E" w:rsidRPr="008B3051" w:rsidRDefault="00B5587E" w:rsidP="00B5587E">
      <w:pPr>
        <w:shd w:val="clear" w:color="auto" w:fill="FFFFFF"/>
        <w:rPr>
          <w:rFonts w:ascii="Verdana" w:hAnsi="Verdana"/>
        </w:rPr>
      </w:pPr>
      <w:bookmarkStart w:id="507" w:name="d_3_C_ii"/>
      <w:bookmarkEnd w:id="507"/>
      <w:r w:rsidRPr="008B3051">
        <w:rPr>
          <w:rStyle w:val="num"/>
          <w:rFonts w:ascii="Verdana" w:hAnsi="Verdana"/>
          <w:b/>
          <w:bCs/>
        </w:rPr>
        <w:t>(ii)</w:t>
      </w:r>
      <w:r w:rsidRPr="008B3051">
        <w:rPr>
          <w:rStyle w:val="heading"/>
          <w:rFonts w:ascii="Verdana" w:hAnsi="Verdana"/>
          <w:b/>
          <w:bCs/>
        </w:rPr>
        <w:t>Other motor vehicles</w:t>
      </w:r>
    </w:p>
    <w:p w14:paraId="2B5A1968" w14:textId="1343FECA"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vehicle to which paragraph (2)(B) applies, the term “maximum available power” means the maximum power available from the rechargeable energy storage system, during a standard 10 second pulse power or equivalent test, divided by the vehicle’s total traction power. For purposes of the preceding sentence, the term “total traction power” means the sum of the peak power from the rechargeable energy storage system and the heat engine peak power of the vehicle, except that if such storage system is the sole means by which the vehicle can be driven, the total traction power is the peak power of such storage system.</w:t>
      </w:r>
    </w:p>
    <w:p w14:paraId="3A8D7676"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rPr>
        <w:t>Exclusion of plug-in vehicles</w:t>
      </w:r>
    </w:p>
    <w:p w14:paraId="600651E0" w14:textId="7716084E"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Any vehicle with respect to which a credit is allowable under section 30D (determined without regard to subsection (c) thereof) shall not be taken into account under this section.</w:t>
      </w:r>
    </w:p>
    <w:p w14:paraId="6D7FE360" w14:textId="77777777" w:rsidR="00B5587E" w:rsidRPr="008B3051" w:rsidRDefault="00B5587E" w:rsidP="00B5587E">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New qualified alternative fuel motor vehicle credit</w:t>
      </w:r>
    </w:p>
    <w:p w14:paraId="5E42D462"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Allowance of credit</w:t>
      </w:r>
    </w:p>
    <w:p w14:paraId="44DA8CD7" w14:textId="30248B75"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Except as provided in paragraph (5), the new qualified alternative fuelmotor vehicle credit determined under this subsection is an amount equal to the applicable percentage of the incremental cost of any new qualified alternative fuel motor vehicle placed in service by the taxpayer during the taxable year.</w:t>
      </w:r>
    </w:p>
    <w:p w14:paraId="0F59FAC3" w14:textId="76A0CF29"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Applicable percentage</w:t>
      </w:r>
      <w:r w:rsidRPr="008B3051">
        <w:rPr>
          <w:rStyle w:val="chapeau"/>
          <w:rFonts w:ascii="Verdana" w:hAnsi="Verdana"/>
        </w:rPr>
        <w:t>For purposes of paragraph (1), the applicable percentage with respect to any new qualified alternative fuel motor vehicle is—</w:t>
      </w:r>
    </w:p>
    <w:p w14:paraId="09F5B87A"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32B2C530" w14:textId="72224F00" w:rsidR="00B5587E" w:rsidRPr="008B3051" w:rsidRDefault="00B5587E" w:rsidP="00B5587E">
      <w:pPr>
        <w:shd w:val="clear" w:color="auto" w:fill="FFFFFF"/>
        <w:rPr>
          <w:rFonts w:ascii="Verdana" w:hAnsi="Verdana"/>
        </w:rPr>
      </w:pPr>
      <w:r w:rsidRPr="008B3051">
        <w:rPr>
          <w:rFonts w:ascii="Verdana" w:hAnsi="Verdana"/>
        </w:rPr>
        <w:t>50 percent, plus</w:t>
      </w:r>
    </w:p>
    <w:p w14:paraId="0F438401" w14:textId="2A1FBC69"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chapeau"/>
          <w:rFonts w:ascii="Verdana" w:hAnsi="Verdana"/>
        </w:rPr>
        <w:t>30 percent, if such vehicle—</w:t>
      </w:r>
    </w:p>
    <w:p w14:paraId="2C2BCB5E" w14:textId="77777777" w:rsidR="00B5587E" w:rsidRPr="008B3051" w:rsidRDefault="00B5587E" w:rsidP="00B5587E">
      <w:pPr>
        <w:shd w:val="clear" w:color="auto" w:fill="FFFFFF"/>
        <w:rPr>
          <w:rFonts w:ascii="Verdana" w:hAnsi="Verdana"/>
        </w:rPr>
      </w:pPr>
      <w:bookmarkStart w:id="508" w:name="e_2_B_i"/>
      <w:bookmarkEnd w:id="508"/>
      <w:r w:rsidRPr="008B3051">
        <w:rPr>
          <w:rStyle w:val="num"/>
          <w:rFonts w:ascii="Verdana" w:hAnsi="Verdana"/>
          <w:b/>
          <w:bCs/>
        </w:rPr>
        <w:t>(i)</w:t>
      </w:r>
    </w:p>
    <w:p w14:paraId="2725A70C" w14:textId="5F6325CE" w:rsidR="00B5587E" w:rsidRPr="008B3051" w:rsidRDefault="00B5587E" w:rsidP="00B5587E">
      <w:pPr>
        <w:shd w:val="clear" w:color="auto" w:fill="FFFFFF"/>
        <w:rPr>
          <w:rFonts w:ascii="Verdana" w:hAnsi="Verdana"/>
        </w:rPr>
      </w:pPr>
      <w:r w:rsidRPr="008B3051">
        <w:rPr>
          <w:rFonts w:ascii="Verdana" w:hAnsi="Verdana"/>
        </w:rPr>
        <w:t>has received a certificate of conformity under the Clean Air Act and meets or exceeds the most stringent standard available for certification under the Clean Air Act for that make and model yearvehicle (other than a zero emission standard), or</w:t>
      </w:r>
    </w:p>
    <w:p w14:paraId="6A863F4A" w14:textId="77777777" w:rsidR="00B5587E" w:rsidRPr="008B3051" w:rsidRDefault="00B5587E" w:rsidP="00B5587E">
      <w:pPr>
        <w:shd w:val="clear" w:color="auto" w:fill="FFFFFF"/>
        <w:rPr>
          <w:rFonts w:ascii="Verdana" w:hAnsi="Verdana"/>
        </w:rPr>
      </w:pPr>
      <w:bookmarkStart w:id="509" w:name="e_2_B_ii"/>
      <w:bookmarkEnd w:id="509"/>
      <w:r w:rsidRPr="008B3051">
        <w:rPr>
          <w:rStyle w:val="num"/>
          <w:rFonts w:ascii="Verdana" w:hAnsi="Verdana"/>
          <w:b/>
          <w:bCs/>
        </w:rPr>
        <w:t>(ii)</w:t>
      </w:r>
    </w:p>
    <w:p w14:paraId="3B36E21C" w14:textId="7987544A" w:rsidR="00B5587E" w:rsidRPr="008B3051" w:rsidRDefault="00B5587E" w:rsidP="00B5587E">
      <w:pPr>
        <w:shd w:val="clear" w:color="auto" w:fill="FFFFFF"/>
        <w:rPr>
          <w:rFonts w:ascii="Verdana" w:hAnsi="Verdana"/>
        </w:rPr>
      </w:pPr>
      <w:r w:rsidRPr="008B3051">
        <w:rPr>
          <w:rFonts w:ascii="Verdana" w:hAnsi="Verdana"/>
        </w:rPr>
        <w:t>has received an order certifying the vehicle as meeting the same requirements as vehicles which may be sold or leased in California and meets or exceeds the most stringent standard available for certification under the State laws of California (enacted in accordance with a waiver granted under section 209(b) of the Clean Air Act) for that make and model year vehicle (other than a zero emission standard).</w:t>
      </w:r>
    </w:p>
    <w:p w14:paraId="438D190C" w14:textId="44634A7E" w:rsidR="00B5587E" w:rsidRPr="008B3051" w:rsidRDefault="00B5587E" w:rsidP="00B5587E">
      <w:pPr>
        <w:shd w:val="clear" w:color="auto" w:fill="FFFFFF"/>
        <w:rPr>
          <w:rFonts w:ascii="Verdana" w:hAnsi="Verdana"/>
        </w:rPr>
      </w:pPr>
      <w:r w:rsidRPr="008B3051">
        <w:rPr>
          <w:rFonts w:ascii="Verdana" w:hAnsi="Verdana"/>
        </w:rPr>
        <w:t>For purposes of the preceding sentence, in the case of any new qualified alternative fuelmotor vehiclewhich weighs more than 14,000 pounds gross vehicle weight rating, the most stringent standard available shall be such standard available for certification on the date of the enactment of the Energy Tax Incentives Act of 2005.</w:t>
      </w:r>
    </w:p>
    <w:p w14:paraId="1706C923" w14:textId="7BDCD8CC"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Incremental cost</w:t>
      </w:r>
      <w:r w:rsidRPr="008B3051">
        <w:rPr>
          <w:rStyle w:val="chapeau"/>
          <w:rFonts w:ascii="Verdana" w:hAnsi="Verdana"/>
        </w:rPr>
        <w:t>For purposes of this subsection, the incremental cost of any new qualified alternative fuelmotor vehicle is equal to the amount of the excess of the manufacturer’s suggested retail price for such vehicle over such price for a gasoline or diesel fuel motor vehicle of the same model, to the extent such amount does not exceed—</w:t>
      </w:r>
    </w:p>
    <w:p w14:paraId="7A5F0D24"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2B881E95" w14:textId="591863B8" w:rsidR="00B5587E" w:rsidRPr="008B3051" w:rsidRDefault="00B5587E" w:rsidP="00B5587E">
      <w:pPr>
        <w:shd w:val="clear" w:color="auto" w:fill="FFFFFF"/>
        <w:rPr>
          <w:rFonts w:ascii="Verdana" w:hAnsi="Verdana"/>
        </w:rPr>
      </w:pPr>
      <w:r w:rsidRPr="008B3051">
        <w:rPr>
          <w:rFonts w:ascii="Verdana" w:hAnsi="Verdana"/>
        </w:rPr>
        <w:t>$5,000, if such vehicle has a gross vehicle weight rating of not more than 8,500 pounds,</w:t>
      </w:r>
    </w:p>
    <w:p w14:paraId="200A0163"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(B)</w:t>
      </w:r>
    </w:p>
    <w:p w14:paraId="3AE402D7" w14:textId="38777BA8" w:rsidR="00B5587E" w:rsidRPr="008B3051" w:rsidRDefault="00B5587E" w:rsidP="00B5587E">
      <w:pPr>
        <w:shd w:val="clear" w:color="auto" w:fill="FFFFFF"/>
        <w:rPr>
          <w:rFonts w:ascii="Verdana" w:hAnsi="Verdana"/>
        </w:rPr>
      </w:pPr>
      <w:r w:rsidRPr="008B3051">
        <w:rPr>
          <w:rFonts w:ascii="Verdana" w:hAnsi="Verdana"/>
        </w:rPr>
        <w:t>$10,000, if such vehicle has a gross vehicle weight rating of more than 8,500 pounds but not more than 14,000 pounds,</w:t>
      </w:r>
    </w:p>
    <w:p w14:paraId="584DBDB5"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3973AD29" w14:textId="2518DDD8" w:rsidR="00B5587E" w:rsidRPr="008B3051" w:rsidRDefault="00B5587E" w:rsidP="00B5587E">
      <w:pPr>
        <w:shd w:val="clear" w:color="auto" w:fill="FFFFFF"/>
        <w:rPr>
          <w:rFonts w:ascii="Verdana" w:hAnsi="Verdana"/>
        </w:rPr>
      </w:pPr>
      <w:r w:rsidRPr="008B3051">
        <w:rPr>
          <w:rFonts w:ascii="Verdana" w:hAnsi="Verdana"/>
        </w:rPr>
        <w:t>$25,000, if such vehicle has a gross vehicle weight rating of more than 14,000 pounds but not more than 26,000 pounds, and</w:t>
      </w:r>
    </w:p>
    <w:p w14:paraId="25C6C0A8" w14:textId="77777777" w:rsidR="00B5587E" w:rsidRPr="008B3051" w:rsidRDefault="00B5587E" w:rsidP="00B5587E">
      <w:pPr>
        <w:shd w:val="clear" w:color="auto" w:fill="FFFFFF"/>
        <w:rPr>
          <w:rFonts w:ascii="Verdana" w:hAnsi="Verdana"/>
        </w:rPr>
      </w:pPr>
      <w:bookmarkStart w:id="510" w:name="e_3_D"/>
      <w:bookmarkEnd w:id="510"/>
      <w:r w:rsidRPr="008B3051">
        <w:rPr>
          <w:rStyle w:val="num"/>
          <w:rFonts w:ascii="Verdana" w:hAnsi="Verdana"/>
          <w:b/>
          <w:bCs/>
        </w:rPr>
        <w:t>(D)</w:t>
      </w:r>
    </w:p>
    <w:p w14:paraId="54D9C0CD" w14:textId="544AC905" w:rsidR="00B5587E" w:rsidRPr="008B3051" w:rsidRDefault="00B5587E" w:rsidP="00B5587E">
      <w:pPr>
        <w:shd w:val="clear" w:color="auto" w:fill="FFFFFF"/>
        <w:rPr>
          <w:rFonts w:ascii="Verdana" w:hAnsi="Verdana"/>
        </w:rPr>
      </w:pPr>
      <w:r w:rsidRPr="008B3051">
        <w:rPr>
          <w:rFonts w:ascii="Verdana" w:hAnsi="Verdana"/>
        </w:rPr>
        <w:t>$40,000, if such vehicle has a gross vehicle weight rating of more than 26,000 pounds.</w:t>
      </w:r>
    </w:p>
    <w:p w14:paraId="40C65529"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New qualified alternative fuel motor vehicle</w:t>
      </w:r>
      <w:r w:rsidRPr="008B3051">
        <w:rPr>
          <w:rStyle w:val="chapeau"/>
          <w:rFonts w:ascii="Verdana" w:hAnsi="Verdana"/>
        </w:rPr>
        <w:t>For purposes of this subsection—</w:t>
      </w:r>
    </w:p>
    <w:p w14:paraId="13BDD3D3" w14:textId="7B24FC62"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The term “new qualified alternative fuelmotor vehicle” means any motor vehicle—</w:t>
      </w:r>
    </w:p>
    <w:p w14:paraId="7473F587"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p>
    <w:p w14:paraId="1F9F3EDF" w14:textId="4295D09C" w:rsidR="00B5587E" w:rsidRPr="008B3051" w:rsidRDefault="00B5587E" w:rsidP="00B5587E">
      <w:pPr>
        <w:shd w:val="clear" w:color="auto" w:fill="FFFFFF"/>
        <w:rPr>
          <w:rFonts w:ascii="Verdana" w:hAnsi="Verdana"/>
        </w:rPr>
      </w:pPr>
      <w:r w:rsidRPr="008B3051">
        <w:rPr>
          <w:rFonts w:ascii="Verdana" w:hAnsi="Verdana"/>
        </w:rPr>
        <w:t>which is only capable of operating on an alternative fuel,</w:t>
      </w:r>
    </w:p>
    <w:p w14:paraId="3B3BAA2F"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p>
    <w:p w14:paraId="7AFC9740" w14:textId="43C50D2E"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47436BB5" w14:textId="77777777" w:rsidR="00B5587E" w:rsidRPr="008B3051" w:rsidRDefault="00B5587E" w:rsidP="00B5587E">
      <w:pPr>
        <w:shd w:val="clear" w:color="auto" w:fill="FFFFFF"/>
        <w:rPr>
          <w:rFonts w:ascii="Verdana" w:hAnsi="Verdana"/>
        </w:rPr>
      </w:pPr>
      <w:bookmarkStart w:id="511" w:name="e_4_A_iii"/>
      <w:bookmarkEnd w:id="511"/>
      <w:r w:rsidRPr="008B3051">
        <w:rPr>
          <w:rStyle w:val="num"/>
          <w:rFonts w:ascii="Verdana" w:hAnsi="Verdana"/>
          <w:b/>
          <w:bCs/>
        </w:rPr>
        <w:t>(iii)</w:t>
      </w:r>
    </w:p>
    <w:p w14:paraId="0087E988" w14:textId="1AFC98C2" w:rsidR="00B5587E" w:rsidRPr="008B3051" w:rsidRDefault="00B5587E" w:rsidP="00B5587E">
      <w:pPr>
        <w:shd w:val="clear" w:color="auto" w:fill="FFFFFF"/>
        <w:rPr>
          <w:rFonts w:ascii="Verdana" w:hAnsi="Verdana"/>
        </w:rPr>
      </w:pPr>
      <w:r w:rsidRPr="008B3051">
        <w:rPr>
          <w:rFonts w:ascii="Verdana" w:hAnsi="Verdana"/>
        </w:rPr>
        <w:t>which is acquired by the taxpayer for use or lease, but not for resale, and</w:t>
      </w:r>
    </w:p>
    <w:p w14:paraId="7916B3A9" w14:textId="77777777" w:rsidR="00B5587E" w:rsidRPr="008B3051" w:rsidRDefault="00B5587E" w:rsidP="00B5587E">
      <w:pPr>
        <w:shd w:val="clear" w:color="auto" w:fill="FFFFFF"/>
        <w:rPr>
          <w:rFonts w:ascii="Verdana" w:hAnsi="Verdana"/>
        </w:rPr>
      </w:pPr>
      <w:bookmarkStart w:id="512" w:name="e_4_A_iv"/>
      <w:bookmarkEnd w:id="512"/>
      <w:r w:rsidRPr="008B3051">
        <w:rPr>
          <w:rStyle w:val="num"/>
          <w:rFonts w:ascii="Verdana" w:hAnsi="Verdana"/>
          <w:b/>
          <w:bCs/>
        </w:rPr>
        <w:t>(iv)</w:t>
      </w:r>
    </w:p>
    <w:p w14:paraId="76F74F81" w14:textId="2D9D708D" w:rsidR="00B5587E" w:rsidRPr="008B3051" w:rsidRDefault="00B5587E" w:rsidP="00B5587E">
      <w:pPr>
        <w:shd w:val="clear" w:color="auto" w:fill="FFFFFF"/>
        <w:rPr>
          <w:rFonts w:ascii="Verdana" w:hAnsi="Verdana"/>
        </w:rPr>
      </w:pPr>
      <w:r w:rsidRPr="008B3051">
        <w:rPr>
          <w:rFonts w:ascii="Verdana" w:hAnsi="Verdana"/>
        </w:rPr>
        <w:t>which is made by a manufacturer.</w:t>
      </w:r>
    </w:p>
    <w:p w14:paraId="08B21003"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Alternative fuel</w:t>
      </w:r>
    </w:p>
    <w:p w14:paraId="321CF837" w14:textId="4FA24FF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 “alternative fuel” means compressed natural gas, liquefied natural gas, liquefied petroleum gas, hydrogen, and any liquid at least 85 percent of the volume of which consists of methanol.</w:t>
      </w:r>
    </w:p>
    <w:p w14:paraId="1C6B2781"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Credit for mixed-fuel vehicles</w:t>
      </w:r>
    </w:p>
    <w:p w14:paraId="55D74B51" w14:textId="061AF00B"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rPr>
        <w:t>In general</w:t>
      </w:r>
      <w:r w:rsidRPr="008B3051">
        <w:rPr>
          <w:rStyle w:val="chapeau"/>
          <w:rFonts w:ascii="Verdana" w:hAnsi="Verdana"/>
        </w:rPr>
        <w:t>In the case of a mixed-fuel vehicle placed in service by the taxpayer during the taxable year, the credit determined under this subsection is an amount equal to—</w:t>
      </w:r>
    </w:p>
    <w:p w14:paraId="3F7138E5" w14:textId="77777777" w:rsidR="00B5587E" w:rsidRPr="008B3051" w:rsidRDefault="00B5587E" w:rsidP="00B5587E">
      <w:pPr>
        <w:shd w:val="clear" w:color="auto" w:fill="FFFFFF"/>
        <w:rPr>
          <w:rFonts w:ascii="Verdana" w:hAnsi="Verdana"/>
        </w:rPr>
      </w:pPr>
      <w:bookmarkStart w:id="513" w:name="e_5_A_i"/>
      <w:bookmarkEnd w:id="513"/>
      <w:r w:rsidRPr="008B3051">
        <w:rPr>
          <w:rStyle w:val="num"/>
          <w:rFonts w:ascii="Verdana" w:hAnsi="Verdana"/>
          <w:b/>
          <w:bCs/>
        </w:rPr>
        <w:t>(i)</w:t>
      </w:r>
    </w:p>
    <w:p w14:paraId="75A07431" w14:textId="3170855C" w:rsidR="00B5587E" w:rsidRPr="008B3051" w:rsidRDefault="00B5587E" w:rsidP="00B5587E">
      <w:pPr>
        <w:shd w:val="clear" w:color="auto" w:fill="FFFFFF"/>
        <w:rPr>
          <w:rFonts w:ascii="Verdana" w:hAnsi="Verdana"/>
        </w:rPr>
      </w:pPr>
      <w:r w:rsidRPr="008B3051">
        <w:rPr>
          <w:rFonts w:ascii="Verdana" w:hAnsi="Verdana"/>
        </w:rPr>
        <w:t>in the case of a 75/25 mixed-fuel vehicle, 70 percent of the credit which would have been allowed under this subsection if such vehicle was a qualified alternative fuel motor vehicle, and</w:t>
      </w:r>
    </w:p>
    <w:p w14:paraId="27967530" w14:textId="77777777" w:rsidR="00B5587E" w:rsidRPr="008B3051" w:rsidRDefault="00B5587E" w:rsidP="00B5587E">
      <w:pPr>
        <w:shd w:val="clear" w:color="auto" w:fill="FFFFFF"/>
        <w:rPr>
          <w:rFonts w:ascii="Verdana" w:hAnsi="Verdana"/>
        </w:rPr>
      </w:pPr>
      <w:bookmarkStart w:id="514" w:name="e_5_A_ii"/>
      <w:bookmarkEnd w:id="514"/>
      <w:r w:rsidRPr="008B3051">
        <w:rPr>
          <w:rStyle w:val="num"/>
          <w:rFonts w:ascii="Verdana" w:hAnsi="Verdana"/>
          <w:b/>
          <w:bCs/>
        </w:rPr>
        <w:lastRenderedPageBreak/>
        <w:t>(ii)</w:t>
      </w:r>
    </w:p>
    <w:p w14:paraId="521A6FCE" w14:textId="00795C79" w:rsidR="00B5587E" w:rsidRPr="008B3051" w:rsidRDefault="00B5587E" w:rsidP="00B5587E">
      <w:pPr>
        <w:shd w:val="clear" w:color="auto" w:fill="FFFFFF"/>
        <w:rPr>
          <w:rFonts w:ascii="Verdana" w:hAnsi="Verdana"/>
        </w:rPr>
      </w:pPr>
      <w:r w:rsidRPr="008B3051">
        <w:rPr>
          <w:rFonts w:ascii="Verdana" w:hAnsi="Verdana"/>
        </w:rPr>
        <w:t>in the case of a 90/10 mixed-fuel vehicle, 90 percent of the credit which would have been allowed under this subsection if such vehicle was a qualified alternative fuel motor vehicle.</w:t>
      </w:r>
    </w:p>
    <w:p w14:paraId="5B40029B" w14:textId="2B3ED9D9"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rPr>
        <w:t>Mixed-fuel vehicle</w:t>
      </w:r>
      <w:r w:rsidRPr="008B3051">
        <w:rPr>
          <w:rStyle w:val="chapeau"/>
          <w:rFonts w:ascii="Verdana" w:hAnsi="Verdana"/>
        </w:rPr>
        <w:t>For purposes of this subsection, the term “mixed-fuel vehicle” means any motor vehicle described in subparagraph (C) or (D) of paragraph (3), which—</w:t>
      </w:r>
    </w:p>
    <w:p w14:paraId="41B0ED2B" w14:textId="77777777" w:rsidR="00B5587E" w:rsidRPr="008B3051" w:rsidRDefault="00B5587E" w:rsidP="00B5587E">
      <w:pPr>
        <w:shd w:val="clear" w:color="auto" w:fill="FFFFFF"/>
        <w:rPr>
          <w:rFonts w:ascii="Verdana" w:hAnsi="Verdana"/>
        </w:rPr>
      </w:pPr>
      <w:bookmarkStart w:id="515" w:name="e_5_B_i"/>
      <w:bookmarkEnd w:id="515"/>
      <w:r w:rsidRPr="008B3051">
        <w:rPr>
          <w:rStyle w:val="num"/>
          <w:rFonts w:ascii="Verdana" w:hAnsi="Verdana"/>
          <w:b/>
          <w:bCs/>
        </w:rPr>
        <w:t>(i)</w:t>
      </w:r>
    </w:p>
    <w:p w14:paraId="3B8763F0" w14:textId="7A6559E0" w:rsidR="00B5587E" w:rsidRPr="008B3051" w:rsidRDefault="00B5587E" w:rsidP="00B5587E">
      <w:pPr>
        <w:shd w:val="clear" w:color="auto" w:fill="FFFFFF"/>
        <w:rPr>
          <w:rFonts w:ascii="Verdana" w:hAnsi="Verdana"/>
        </w:rPr>
      </w:pPr>
      <w:r w:rsidRPr="008B3051">
        <w:rPr>
          <w:rFonts w:ascii="Verdana" w:hAnsi="Verdana"/>
        </w:rPr>
        <w:t>is certified by the manufacturer as being able to perform efficiently in normal operation on a combination of an alternative fuel and a petroleum-based fuel,</w:t>
      </w:r>
    </w:p>
    <w:p w14:paraId="5411B572" w14:textId="77777777" w:rsidR="00B5587E" w:rsidRPr="008B3051" w:rsidRDefault="00B5587E" w:rsidP="00B5587E">
      <w:pPr>
        <w:shd w:val="clear" w:color="auto" w:fill="FFFFFF"/>
        <w:rPr>
          <w:rFonts w:ascii="Verdana" w:hAnsi="Verdana"/>
        </w:rPr>
      </w:pPr>
      <w:bookmarkStart w:id="516" w:name="e_5_B_ii"/>
      <w:bookmarkEnd w:id="516"/>
      <w:r w:rsidRPr="008B3051">
        <w:rPr>
          <w:rStyle w:val="num"/>
          <w:rFonts w:ascii="Verdana" w:hAnsi="Verdana"/>
          <w:b/>
          <w:bCs/>
        </w:rPr>
        <w:t>(ii)</w:t>
      </w:r>
      <w:r w:rsidRPr="008B3051">
        <w:rPr>
          <w:rStyle w:val="chapeau"/>
          <w:rFonts w:ascii="Verdana" w:hAnsi="Verdana"/>
        </w:rPr>
        <w:t>either—</w:t>
      </w:r>
    </w:p>
    <w:p w14:paraId="466AA64A" w14:textId="77777777" w:rsidR="00B5587E" w:rsidRPr="008B3051" w:rsidRDefault="00B5587E" w:rsidP="00B5587E">
      <w:pPr>
        <w:shd w:val="clear" w:color="auto" w:fill="FFFFFF"/>
        <w:rPr>
          <w:rFonts w:ascii="Verdana" w:hAnsi="Verdana"/>
        </w:rPr>
      </w:pPr>
      <w:bookmarkStart w:id="517" w:name="e_5_B_ii_I"/>
      <w:bookmarkEnd w:id="517"/>
      <w:r w:rsidRPr="008B3051">
        <w:rPr>
          <w:rStyle w:val="num"/>
          <w:rFonts w:ascii="Verdana" w:hAnsi="Verdana"/>
          <w:b/>
          <w:bCs/>
        </w:rPr>
        <w:t>(I)</w:t>
      </w:r>
    </w:p>
    <w:p w14:paraId="047A307D" w14:textId="77777777" w:rsidR="00B5587E" w:rsidRPr="008B3051" w:rsidRDefault="00B5587E" w:rsidP="00B5587E">
      <w:pPr>
        <w:shd w:val="clear" w:color="auto" w:fill="FFFFFF"/>
        <w:rPr>
          <w:rFonts w:ascii="Verdana" w:hAnsi="Verdana"/>
        </w:rPr>
      </w:pPr>
      <w:r w:rsidRPr="008B3051">
        <w:rPr>
          <w:rFonts w:ascii="Verdana" w:hAnsi="Verdana"/>
        </w:rPr>
        <w:t>has received a certificate of conformity under the Clean Air Act, or</w:t>
      </w:r>
    </w:p>
    <w:p w14:paraId="5EA2E973" w14:textId="77777777" w:rsidR="00B5587E" w:rsidRPr="008B3051" w:rsidRDefault="00B5587E" w:rsidP="00B5587E">
      <w:pPr>
        <w:shd w:val="clear" w:color="auto" w:fill="FFFFFF"/>
        <w:rPr>
          <w:rFonts w:ascii="Verdana" w:hAnsi="Verdana"/>
        </w:rPr>
      </w:pPr>
      <w:bookmarkStart w:id="518" w:name="e_5_B_ii_II"/>
      <w:bookmarkEnd w:id="518"/>
      <w:r w:rsidRPr="008B3051">
        <w:rPr>
          <w:rStyle w:val="num"/>
          <w:rFonts w:ascii="Verdana" w:hAnsi="Verdana"/>
          <w:b/>
          <w:bCs/>
        </w:rPr>
        <w:t>(II)</w:t>
      </w:r>
    </w:p>
    <w:p w14:paraId="2AE2C9E7" w14:textId="2FBFF6F0" w:rsidR="00B5587E" w:rsidRPr="008B3051" w:rsidRDefault="00B5587E" w:rsidP="00B5587E">
      <w:pPr>
        <w:shd w:val="clear" w:color="auto" w:fill="FFFFFF"/>
        <w:rPr>
          <w:rFonts w:ascii="Verdana" w:hAnsi="Verdana"/>
        </w:rPr>
      </w:pPr>
      <w:r w:rsidRPr="008B3051">
        <w:rPr>
          <w:rFonts w:ascii="Verdana" w:hAnsi="Verdana"/>
        </w:rPr>
        <w:t>has received an order certifying the vehicle as meeting the same requirements as vehicleswhich may be sold or leased in California and meets or exceeds the low emission vehiclestandard under section 88.105–94 of title 40, Code of Federal Regulations, for that make and model year vehicle,</w:t>
      </w:r>
    </w:p>
    <w:p w14:paraId="596876B0" w14:textId="77777777" w:rsidR="00B5587E" w:rsidRPr="008B3051" w:rsidRDefault="00B5587E" w:rsidP="00B5587E">
      <w:pPr>
        <w:shd w:val="clear" w:color="auto" w:fill="FFFFFF"/>
        <w:rPr>
          <w:rFonts w:ascii="Verdana" w:hAnsi="Verdana"/>
        </w:rPr>
      </w:pPr>
      <w:bookmarkStart w:id="519" w:name="e_5_B_iii"/>
      <w:bookmarkEnd w:id="519"/>
      <w:r w:rsidRPr="008B3051">
        <w:rPr>
          <w:rStyle w:val="num"/>
          <w:rFonts w:ascii="Verdana" w:hAnsi="Verdana"/>
          <w:b/>
          <w:bCs/>
        </w:rPr>
        <w:t>(iii)</w:t>
      </w:r>
    </w:p>
    <w:p w14:paraId="179E1AA0" w14:textId="1D8DD886"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27703A0D" w14:textId="77777777" w:rsidR="00B5587E" w:rsidRPr="008B3051" w:rsidRDefault="00B5587E" w:rsidP="00B5587E">
      <w:pPr>
        <w:shd w:val="clear" w:color="auto" w:fill="FFFFFF"/>
        <w:rPr>
          <w:rFonts w:ascii="Verdana" w:hAnsi="Verdana"/>
        </w:rPr>
      </w:pPr>
      <w:bookmarkStart w:id="520" w:name="e_5_B_iv"/>
      <w:bookmarkEnd w:id="520"/>
      <w:r w:rsidRPr="008B3051">
        <w:rPr>
          <w:rStyle w:val="num"/>
          <w:rFonts w:ascii="Verdana" w:hAnsi="Verdana"/>
          <w:b/>
          <w:bCs/>
        </w:rPr>
        <w:t>(iv)</w:t>
      </w:r>
    </w:p>
    <w:p w14:paraId="176FDAF8" w14:textId="5E2E0DE4" w:rsidR="00B5587E" w:rsidRPr="008B3051" w:rsidRDefault="00B5587E" w:rsidP="00B5587E">
      <w:pPr>
        <w:shd w:val="clear" w:color="auto" w:fill="FFFFFF"/>
        <w:rPr>
          <w:rFonts w:ascii="Verdana" w:hAnsi="Verdana"/>
        </w:rPr>
      </w:pPr>
      <w:r w:rsidRPr="008B3051">
        <w:rPr>
          <w:rFonts w:ascii="Verdana" w:hAnsi="Verdana"/>
        </w:rPr>
        <w:t>which is acquired by the taxpayer for use or lease, but not for resale, and</w:t>
      </w:r>
    </w:p>
    <w:p w14:paraId="39301231" w14:textId="77777777" w:rsidR="00B5587E" w:rsidRPr="008B3051" w:rsidRDefault="00B5587E" w:rsidP="00B5587E">
      <w:pPr>
        <w:shd w:val="clear" w:color="auto" w:fill="FFFFFF"/>
        <w:rPr>
          <w:rFonts w:ascii="Verdana" w:hAnsi="Verdana"/>
        </w:rPr>
      </w:pPr>
      <w:bookmarkStart w:id="521" w:name="e_5_B_v"/>
      <w:bookmarkEnd w:id="521"/>
      <w:r w:rsidRPr="008B3051">
        <w:rPr>
          <w:rStyle w:val="num"/>
          <w:rFonts w:ascii="Verdana" w:hAnsi="Verdana"/>
          <w:b/>
          <w:bCs/>
        </w:rPr>
        <w:t>(v)</w:t>
      </w:r>
    </w:p>
    <w:p w14:paraId="0436C130" w14:textId="2EF9C0DF" w:rsidR="00B5587E" w:rsidRPr="008B3051" w:rsidRDefault="00B5587E" w:rsidP="00B5587E">
      <w:pPr>
        <w:shd w:val="clear" w:color="auto" w:fill="FFFFFF"/>
        <w:rPr>
          <w:rFonts w:ascii="Verdana" w:hAnsi="Verdana"/>
        </w:rPr>
      </w:pPr>
      <w:r w:rsidRPr="008B3051">
        <w:rPr>
          <w:rFonts w:ascii="Verdana" w:hAnsi="Verdana"/>
        </w:rPr>
        <w:t>which is made by a manufacturer.</w:t>
      </w:r>
    </w:p>
    <w:p w14:paraId="439E0AAE"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rPr>
        <w:t>75/25 mixed-fuel vehicle</w:t>
      </w:r>
    </w:p>
    <w:p w14:paraId="210C908D" w14:textId="64A303B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term “75/25 mixed-fuel vehicle” means a mixed-fuel vehicle which operates using at least 75 percent alternative fuel and not more than 25 percent petroleum-based fuel.</w:t>
      </w:r>
    </w:p>
    <w:p w14:paraId="7A1234CE" w14:textId="77777777" w:rsidR="00B5587E" w:rsidRPr="008B3051" w:rsidRDefault="00B5587E" w:rsidP="00B5587E">
      <w:pPr>
        <w:shd w:val="clear" w:color="auto" w:fill="FFFFFF"/>
        <w:rPr>
          <w:rFonts w:ascii="Verdana" w:hAnsi="Verdana"/>
        </w:rPr>
      </w:pPr>
      <w:bookmarkStart w:id="522" w:name="e_5_D"/>
      <w:bookmarkEnd w:id="522"/>
      <w:r w:rsidRPr="008B3051">
        <w:rPr>
          <w:rStyle w:val="num"/>
          <w:rFonts w:ascii="Verdana" w:hAnsi="Verdana"/>
          <w:b/>
          <w:bCs/>
        </w:rPr>
        <w:t>(D)</w:t>
      </w:r>
      <w:r w:rsidRPr="008B3051">
        <w:rPr>
          <w:rStyle w:val="heading"/>
          <w:rFonts w:ascii="Verdana" w:hAnsi="Verdana"/>
          <w:b/>
          <w:bCs/>
        </w:rPr>
        <w:t>90/10 mixed-fuel vehicle</w:t>
      </w:r>
    </w:p>
    <w:p w14:paraId="2780BCE5" w14:textId="51B81F68"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term “90/10 mixed-fuel vehicle” means a mixed-fuel vehicle which operates using at least 90 percent alternative fuel and not more than 10 percent petroleum-based fuel.</w:t>
      </w:r>
    </w:p>
    <w:p w14:paraId="10DB72FD" w14:textId="77777777" w:rsidR="00B5587E" w:rsidRPr="008B3051" w:rsidRDefault="00B5587E" w:rsidP="00B5587E">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Limitation on number of new qualified hybrid and advanced lean-burn technology vehicles eligible for credit</w:t>
      </w:r>
    </w:p>
    <w:p w14:paraId="4DD70690"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(1)</w:t>
      </w:r>
      <w:r w:rsidRPr="008B3051">
        <w:rPr>
          <w:rStyle w:val="heading"/>
          <w:rFonts w:ascii="Verdana" w:hAnsi="Verdana"/>
          <w:b/>
          <w:bCs/>
          <w:smallCaps/>
        </w:rPr>
        <w:t>In general</w:t>
      </w:r>
    </w:p>
    <w:p w14:paraId="4D23940F" w14:textId="42AE875B"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qualified vehicle sold during the phaseout period, only the applicable percentage of the credit otherwise allowable under subsection (c) or (d) shall be allowed.</w:t>
      </w:r>
    </w:p>
    <w:p w14:paraId="68F3E3CE"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Phaseout period</w:t>
      </w:r>
    </w:p>
    <w:p w14:paraId="6F77464D" w14:textId="18EB1D24"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phaseout period is the period beginning with the second calendar quarter following the calendar quarter which includes the first date on which the number of qualified vehicles manufactured by the manufacturer of the vehicle referred to in paragraph (1) sold for use in the United States after </w:t>
      </w:r>
      <w:r w:rsidRPr="008B3051">
        <w:rPr>
          <w:rStyle w:val="Date3"/>
          <w:rFonts w:ascii="Verdana" w:hAnsi="Verdana"/>
        </w:rPr>
        <w:t>December 31, 2005</w:t>
      </w:r>
      <w:r w:rsidRPr="008B3051">
        <w:rPr>
          <w:rFonts w:ascii="Verdana" w:hAnsi="Verdana"/>
        </w:rPr>
        <w:t>, is at least 60,000.</w:t>
      </w:r>
    </w:p>
    <w:p w14:paraId="4DD0EA76" w14:textId="1755F808"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Applicable percentage</w:t>
      </w:r>
      <w:r w:rsidRPr="008B3051">
        <w:rPr>
          <w:rStyle w:val="chapeau"/>
          <w:rFonts w:ascii="Verdana" w:hAnsi="Verdana"/>
        </w:rPr>
        <w:t>For purposes of paragraph (1), the applicable percentage is—</w:t>
      </w:r>
    </w:p>
    <w:p w14:paraId="62BF9FAF"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C5DEF36" w14:textId="11F731E3" w:rsidR="00B5587E" w:rsidRPr="008B3051" w:rsidRDefault="00B5587E" w:rsidP="00B5587E">
      <w:pPr>
        <w:shd w:val="clear" w:color="auto" w:fill="FFFFFF"/>
        <w:rPr>
          <w:rFonts w:ascii="Verdana" w:hAnsi="Verdana"/>
        </w:rPr>
      </w:pPr>
      <w:r w:rsidRPr="008B3051">
        <w:rPr>
          <w:rFonts w:ascii="Verdana" w:hAnsi="Verdana"/>
        </w:rPr>
        <w:t>50 percent for the first 2 calendar quarters of the phaseout period,</w:t>
      </w:r>
    </w:p>
    <w:p w14:paraId="6AAEE75F"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52EF11FC" w14:textId="42DB0CCB" w:rsidR="00B5587E" w:rsidRPr="008B3051" w:rsidRDefault="00B5587E" w:rsidP="00B5587E">
      <w:pPr>
        <w:shd w:val="clear" w:color="auto" w:fill="FFFFFF"/>
        <w:rPr>
          <w:rFonts w:ascii="Verdana" w:hAnsi="Verdana"/>
        </w:rPr>
      </w:pPr>
      <w:r w:rsidRPr="008B3051">
        <w:rPr>
          <w:rFonts w:ascii="Verdana" w:hAnsi="Verdana"/>
        </w:rPr>
        <w:t>25 percent for the 3d and 4th calendar quarters of the phaseout period, and</w:t>
      </w:r>
    </w:p>
    <w:p w14:paraId="3891CEA8"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4CB1E244" w14:textId="6A5C1CDF" w:rsidR="00B5587E" w:rsidRPr="008B3051" w:rsidRDefault="00B5587E" w:rsidP="00B5587E">
      <w:pPr>
        <w:shd w:val="clear" w:color="auto" w:fill="FFFFFF"/>
        <w:rPr>
          <w:rFonts w:ascii="Verdana" w:hAnsi="Verdana"/>
        </w:rPr>
      </w:pPr>
      <w:r w:rsidRPr="008B3051">
        <w:rPr>
          <w:rFonts w:ascii="Verdana" w:hAnsi="Verdana"/>
        </w:rPr>
        <w:t>0 percent for each calendar quarter thereafter.</w:t>
      </w:r>
    </w:p>
    <w:p w14:paraId="5F421F5F"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Controlled groups</w:t>
      </w:r>
    </w:p>
    <w:p w14:paraId="06BA6318" w14:textId="77777777" w:rsidR="00B5587E" w:rsidRPr="008B3051" w:rsidRDefault="00B5587E" w:rsidP="00B5587E">
      <w:pPr>
        <w:shd w:val="clear" w:color="auto" w:fill="FFFFFF"/>
        <w:rPr>
          <w:rFonts w:ascii="Verdana" w:hAnsi="Verdana"/>
        </w:rPr>
      </w:pPr>
      <w:bookmarkStart w:id="523" w:name="f_4_A"/>
      <w:bookmarkEnd w:id="523"/>
      <w:r w:rsidRPr="008B3051">
        <w:rPr>
          <w:rStyle w:val="num"/>
          <w:rFonts w:ascii="Verdana" w:hAnsi="Verdana"/>
          <w:b/>
          <w:bCs/>
        </w:rPr>
        <w:t>(A)</w:t>
      </w:r>
      <w:r w:rsidRPr="008B3051">
        <w:rPr>
          <w:rStyle w:val="heading"/>
          <w:rFonts w:ascii="Verdana" w:hAnsi="Verdana"/>
          <w:b/>
          <w:bCs/>
        </w:rPr>
        <w:t>In general</w:t>
      </w:r>
    </w:p>
    <w:p w14:paraId="3778528E" w14:textId="6A6FD4A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all persons treated as a single employer under subsection (a) or (b) of section 52 or subsection (m) or (o) of section 414 shall be treated as a single manufacturer.</w:t>
      </w:r>
    </w:p>
    <w:p w14:paraId="1E03EC54" w14:textId="77777777" w:rsidR="00B5587E" w:rsidRPr="008B3051" w:rsidRDefault="00B5587E" w:rsidP="00B5587E">
      <w:pPr>
        <w:shd w:val="clear" w:color="auto" w:fill="FFFFFF"/>
        <w:rPr>
          <w:rFonts w:ascii="Verdana" w:hAnsi="Verdana"/>
        </w:rPr>
      </w:pPr>
      <w:bookmarkStart w:id="524" w:name="f_4_B"/>
      <w:bookmarkEnd w:id="524"/>
      <w:r w:rsidRPr="008B3051">
        <w:rPr>
          <w:rStyle w:val="num"/>
          <w:rFonts w:ascii="Verdana" w:hAnsi="Verdana"/>
          <w:b/>
          <w:bCs/>
        </w:rPr>
        <w:t>(B)</w:t>
      </w:r>
      <w:r w:rsidRPr="008B3051">
        <w:rPr>
          <w:rStyle w:val="heading"/>
          <w:rFonts w:ascii="Verdana" w:hAnsi="Verdana"/>
          <w:b/>
          <w:bCs/>
        </w:rPr>
        <w:t>Inclusion of foreign corporations</w:t>
      </w:r>
    </w:p>
    <w:p w14:paraId="178E04B8" w14:textId="436AF2F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subparagraph (A), in applying subsections (a) and (b) of section 52 to this section, section 1563 shall be applied without regard to subsection (b)(2)(C) thereof.</w:t>
      </w:r>
    </w:p>
    <w:p w14:paraId="3E57D525"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Qualified vehicle</w:t>
      </w:r>
    </w:p>
    <w:p w14:paraId="4A98BF29" w14:textId="0B805A16"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term “qualified vehicle” means any new qualified hybrid motor vehicle(described in subsection (d)(2)(A)) and any new advanced lean burn technology motor vehicle.</w:t>
      </w:r>
    </w:p>
    <w:p w14:paraId="60EA761D" w14:textId="77777777" w:rsidR="00B5587E" w:rsidRPr="008B3051" w:rsidRDefault="00B5587E" w:rsidP="00B5587E">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Application with other credits</w:t>
      </w:r>
    </w:p>
    <w:p w14:paraId="1DC217CB"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Business credit treated as part of general business credit</w:t>
      </w:r>
    </w:p>
    <w:p w14:paraId="3A1797BF" w14:textId="433947EE"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 xml:space="preserve">So much of the credit which would be allowed under subsection (a) for any taxable year (determined without regard to this subsection) that is </w:t>
      </w:r>
      <w:r w:rsidRPr="008B3051">
        <w:rPr>
          <w:rFonts w:ascii="Verdana" w:hAnsi="Verdana"/>
        </w:rPr>
        <w:lastRenderedPageBreak/>
        <w:t>attributable to property of a character subject to an allowance for depreciation shall be treated as a credit listed in section 38(b) for such taxable year (and not allowed under subsection (a)).</w:t>
      </w:r>
    </w:p>
    <w:p w14:paraId="36253B6D"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Personal credit</w:t>
      </w:r>
    </w:p>
    <w:p w14:paraId="4D65918C" w14:textId="590E763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title, the credit allowed under subsection (a) for any taxable year (determined after application of paragraph (1)) shall be treated as a credit allowable under subpart A for such taxable year.</w:t>
      </w:r>
    </w:p>
    <w:p w14:paraId="4C8D969A" w14:textId="77777777" w:rsidR="00B5587E" w:rsidRPr="008B3051" w:rsidRDefault="00B5587E" w:rsidP="00B5587E">
      <w:pPr>
        <w:shd w:val="clear" w:color="auto" w:fill="FFFFFF"/>
        <w:rPr>
          <w:rFonts w:ascii="Verdana" w:hAnsi="Verdana"/>
        </w:rPr>
      </w:pPr>
      <w:r w:rsidRPr="008B3051">
        <w:rPr>
          <w:rStyle w:val="num"/>
          <w:rFonts w:ascii="Verdana" w:hAnsi="Verdana"/>
          <w:b/>
          <w:bCs/>
        </w:rPr>
        <w:t>(h)</w:t>
      </w:r>
      <w:r w:rsidRPr="008B3051">
        <w:rPr>
          <w:rStyle w:val="heading"/>
          <w:rFonts w:ascii="Verdana" w:hAnsi="Verdana"/>
          <w:b/>
          <w:bCs/>
          <w:smallCaps/>
        </w:rPr>
        <w:t>Other definitions and special rules</w:t>
      </w:r>
      <w:r w:rsidRPr="008B3051">
        <w:rPr>
          <w:rStyle w:val="chapeau"/>
          <w:rFonts w:ascii="Verdana" w:hAnsi="Verdana"/>
        </w:rPr>
        <w:t>For purposes of this section—</w:t>
      </w:r>
    </w:p>
    <w:p w14:paraId="6ED77D9D"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Motor vehicle</w:t>
      </w:r>
    </w:p>
    <w:p w14:paraId="5BFAF0E9" w14:textId="1DCA8B3F"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 “motor vehicle” means any vehicle which is manufactured primarily for use on public streets, roads, and highways (not including a vehicle operated exclusively on a rail or rails) and which has at least 4 wheels.</w:t>
      </w:r>
    </w:p>
    <w:p w14:paraId="44F904AB"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City fuel economy</w:t>
      </w:r>
    </w:p>
    <w:p w14:paraId="2034EEC9" w14:textId="462443B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city fuel economy with respect to any vehicle shall be measured in a manner which is substantially similar to the manner city fuel economy is measured in accordance with procedures under part 600 of subchapter Q of chapter I of title 40, Code of Federal Regulations, as in effect on the date of the enactment of this section.</w:t>
      </w:r>
    </w:p>
    <w:p w14:paraId="29B9669E"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Other terms</w:t>
      </w:r>
    </w:p>
    <w:p w14:paraId="48A28DD2" w14:textId="174AF81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terms “automobile”, “passenger automobile”, “medium duty passenger vehicle”, “light truck”, and “manufacturer” have the meanings given such terms in regulations prescribed by the Administrator of the Environmental Protection Agency for purposes of the administration of title II of the Clean Air Act (42 U.S.C. 7521 et seq.).</w:t>
      </w:r>
    </w:p>
    <w:p w14:paraId="1F2783A3"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Reduction in basis</w:t>
      </w:r>
    </w:p>
    <w:p w14:paraId="49F1CF98" w14:textId="36013AA1"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subtitle, the basis of any property for which a credit is allowable under subsection (a) shall be reduced by the amount of such credit so allowed (determined without regard to subsection (g)).</w:t>
      </w:r>
    </w:p>
    <w:p w14:paraId="5CB5C9B7"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No double benefit</w:t>
      </w:r>
      <w:r w:rsidRPr="008B3051">
        <w:rPr>
          <w:rStyle w:val="chapeau"/>
          <w:rFonts w:ascii="Verdana" w:hAnsi="Verdana"/>
        </w:rPr>
        <w:t>The amount of any deduction or other credit allowable under this chapter—</w:t>
      </w:r>
    </w:p>
    <w:p w14:paraId="450866F8"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E630ABD" w14:textId="77777777" w:rsidR="00B5587E" w:rsidRPr="008B3051" w:rsidRDefault="00B5587E" w:rsidP="00B5587E">
      <w:pPr>
        <w:shd w:val="clear" w:color="auto" w:fill="FFFFFF"/>
        <w:rPr>
          <w:rFonts w:ascii="Verdana" w:hAnsi="Verdana"/>
        </w:rPr>
      </w:pPr>
      <w:r w:rsidRPr="008B3051">
        <w:rPr>
          <w:rFonts w:ascii="Verdana" w:hAnsi="Verdana"/>
        </w:rPr>
        <w:t>for any incremental cost taken into account in computing the amount of the credit determined under subsection (e) shall be reduced by the amount of such credit attributable to such cost, and</w:t>
      </w:r>
    </w:p>
    <w:p w14:paraId="689FDBE9"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57C45F2C" w14:textId="3882DE91" w:rsidR="00B5587E" w:rsidRPr="008B3051" w:rsidRDefault="00B5587E" w:rsidP="00B5587E">
      <w:pPr>
        <w:shd w:val="clear" w:color="auto" w:fill="FFFFFF"/>
        <w:rPr>
          <w:rFonts w:ascii="Verdana" w:hAnsi="Verdana"/>
        </w:rPr>
      </w:pPr>
      <w:r w:rsidRPr="008B3051">
        <w:rPr>
          <w:rFonts w:ascii="Verdana" w:hAnsi="Verdana"/>
        </w:rPr>
        <w:t>with respect to a vehicle described under subsection (b) or (c), shall be reduced by the amount of credit allowed under subsection (a) for such vehicle for the taxable year (determined without regard to subsection (g)).</w:t>
      </w:r>
    </w:p>
    <w:p w14:paraId="2383F98C"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(6)</w:t>
      </w:r>
      <w:r w:rsidRPr="008B3051">
        <w:rPr>
          <w:rStyle w:val="heading"/>
          <w:rFonts w:ascii="Verdana" w:hAnsi="Verdana"/>
          <w:b/>
          <w:bCs/>
          <w:smallCaps/>
        </w:rPr>
        <w:t>Property used by tax-exempt entity</w:t>
      </w:r>
    </w:p>
    <w:p w14:paraId="19092C2E" w14:textId="7B2A319A"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vehicle whose use is described in paragraph (3) or (4) of section 50(b) and which is not subject to a lease, the person who sold such vehicle to the person or entity using such vehicle shall be treated as the taxpayer that placed such vehicle in service, but only if such person clearly discloses to such person or entity in a document the amount of any credit allowable under subsection (a) with respect to such vehicle (determined without regard to subsection (g)). For purposes of subsection (g), property to which this paragraph applies shall be treated as of a character subject to an allowance for depreciation.</w:t>
      </w:r>
    </w:p>
    <w:p w14:paraId="0FF09CA8" w14:textId="77777777" w:rsidR="00B5587E" w:rsidRPr="008B3051" w:rsidRDefault="00B5587E" w:rsidP="00B5587E">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Property used outside United States, etc., not qualified</w:t>
      </w:r>
    </w:p>
    <w:p w14:paraId="1CB6987F" w14:textId="3015358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allowable under subsection (a) with respect to any property referred to in section 50(b)(1) or with respect to the portion of the cost of any property taken into account under section 179.</w:t>
      </w:r>
    </w:p>
    <w:p w14:paraId="24051435" w14:textId="77777777" w:rsidR="00B5587E" w:rsidRPr="008B3051" w:rsidRDefault="00B5587E" w:rsidP="00B5587E">
      <w:pPr>
        <w:shd w:val="clear" w:color="auto" w:fill="FFFFFF"/>
        <w:rPr>
          <w:rFonts w:ascii="Verdana" w:hAnsi="Verdana"/>
        </w:rPr>
      </w:pPr>
      <w:r w:rsidRPr="008B3051">
        <w:rPr>
          <w:rStyle w:val="num"/>
          <w:rFonts w:ascii="Verdana" w:hAnsi="Verdana"/>
          <w:b/>
          <w:bCs/>
        </w:rPr>
        <w:t>(8)</w:t>
      </w:r>
      <w:r w:rsidRPr="008B3051">
        <w:rPr>
          <w:rStyle w:val="heading"/>
          <w:rFonts w:ascii="Verdana" w:hAnsi="Verdana"/>
          <w:b/>
          <w:bCs/>
          <w:smallCaps/>
        </w:rPr>
        <w:t>Recapture</w:t>
      </w:r>
    </w:p>
    <w:p w14:paraId="71E50773" w14:textId="0D79E19F"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Secretary shall, by regulations, provide for recapturing the benefit of any credit allowable under subsection (a) with respect to any property which ceases to be property eligible for such credit (including recapture in the case of a lease period of less than the economic life of a vehicle), except that no benefit shall be recaptured if such property ceases to be eligible for such credit by reason of conversion to a qualified plug-in electric drive motor vehicle.</w:t>
      </w:r>
    </w:p>
    <w:p w14:paraId="7A5BAA94" w14:textId="77777777" w:rsidR="00B5587E" w:rsidRPr="008B3051" w:rsidRDefault="00B5587E" w:rsidP="00B5587E">
      <w:pPr>
        <w:shd w:val="clear" w:color="auto" w:fill="FFFFFF"/>
        <w:rPr>
          <w:rFonts w:ascii="Verdana" w:hAnsi="Verdana"/>
        </w:rPr>
      </w:pPr>
      <w:r w:rsidRPr="008B3051">
        <w:rPr>
          <w:rStyle w:val="num"/>
          <w:rFonts w:ascii="Verdana" w:hAnsi="Verdana"/>
          <w:b/>
          <w:bCs/>
        </w:rPr>
        <w:t>(9)</w:t>
      </w:r>
      <w:r w:rsidRPr="008B3051">
        <w:rPr>
          <w:rStyle w:val="heading"/>
          <w:rFonts w:ascii="Verdana" w:hAnsi="Verdana"/>
          <w:b/>
          <w:bCs/>
          <w:smallCaps/>
        </w:rPr>
        <w:t>Election to not take credit</w:t>
      </w:r>
    </w:p>
    <w:p w14:paraId="29ABEDDF" w14:textId="0C441248"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vehicle if the taxpayer elects to not have this section apply to such vehicle.</w:t>
      </w:r>
    </w:p>
    <w:p w14:paraId="43D15276" w14:textId="288B8F01" w:rsidR="00B5587E" w:rsidRPr="008B3051" w:rsidRDefault="00B5587E" w:rsidP="00B5587E">
      <w:pPr>
        <w:shd w:val="clear" w:color="auto" w:fill="FFFFFF"/>
        <w:rPr>
          <w:rFonts w:ascii="Verdana" w:hAnsi="Verdana"/>
        </w:rPr>
      </w:pPr>
      <w:r w:rsidRPr="008B3051">
        <w:rPr>
          <w:rStyle w:val="num"/>
          <w:rFonts w:ascii="Verdana" w:hAnsi="Verdana"/>
          <w:b/>
          <w:bCs/>
        </w:rPr>
        <w:t>(10)</w:t>
      </w:r>
      <w:r w:rsidRPr="008B3051">
        <w:rPr>
          <w:rStyle w:val="heading"/>
          <w:rFonts w:ascii="Verdana" w:hAnsi="Verdana"/>
          <w:b/>
          <w:bCs/>
          <w:smallCaps/>
        </w:rPr>
        <w:t>Interaction with air quality and motor vehicle safety standards</w:t>
      </w:r>
      <w:r w:rsidRPr="008B3051">
        <w:rPr>
          <w:rStyle w:val="chapeau"/>
          <w:rFonts w:ascii="Verdana" w:hAnsi="Verdana"/>
        </w:rPr>
        <w:t>Unless otherwise provided in this section, a motor vehicle shall not be considered eligible for a credit under this section unless such vehicle is in compliance with—</w:t>
      </w:r>
    </w:p>
    <w:p w14:paraId="50555986"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75584FA7" w14:textId="249855D2" w:rsidR="00B5587E" w:rsidRPr="008B3051" w:rsidRDefault="00B5587E" w:rsidP="00B5587E">
      <w:pPr>
        <w:shd w:val="clear" w:color="auto" w:fill="FFFFFF"/>
        <w:rPr>
          <w:rFonts w:ascii="Verdana" w:hAnsi="Verdana"/>
        </w:rPr>
      </w:pPr>
      <w:r w:rsidRPr="008B3051">
        <w:rPr>
          <w:rFonts w:ascii="Verdana" w:hAnsi="Verdana"/>
        </w:rPr>
        <w:t>the applicable provisions of the Clean Air Act for the applicable make and model year of the vehicle (or applicable air quality provisions of State law in the case of a State which has adopted such provision under a waiver under section 209(b) of the Clean Air Act), and</w:t>
      </w:r>
    </w:p>
    <w:p w14:paraId="57F4C209"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63C4C396" w14:textId="3D5D7230" w:rsidR="00B5587E" w:rsidRPr="008B3051" w:rsidRDefault="00B5587E" w:rsidP="00B5587E">
      <w:pPr>
        <w:shd w:val="clear" w:color="auto" w:fill="FFFFFF"/>
        <w:rPr>
          <w:rFonts w:ascii="Verdana" w:hAnsi="Verdana"/>
        </w:rPr>
      </w:pPr>
      <w:r w:rsidRPr="008B3051">
        <w:rPr>
          <w:rFonts w:ascii="Verdana" w:hAnsi="Verdana"/>
        </w:rPr>
        <w:t>the motor vehicle safety provisions of sections 30101 through 30169 of title 49, United States Code.</w:t>
      </w:r>
    </w:p>
    <w:p w14:paraId="0E90360D"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r w:rsidRPr="008B3051">
        <w:rPr>
          <w:rStyle w:val="heading"/>
          <w:rFonts w:ascii="Verdana" w:hAnsi="Verdana"/>
          <w:b/>
          <w:bCs/>
          <w:smallCaps/>
        </w:rPr>
        <w:t>Plug-in conversion credit</w:t>
      </w:r>
    </w:p>
    <w:p w14:paraId="4D763B0F"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4BC479FA" w14:textId="5B728CB5"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subsection (a), the plug-in conversion credit determined under this subsection with respect to any motor vehicle which is converted to a qualified plug-in electric drive motor vehicle is 10 percent of so much of the cost of the converting such vehicle as does not exceed $40,000.</w:t>
      </w:r>
    </w:p>
    <w:p w14:paraId="4B884941"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Qualified plug-in electric drive motor vehicle</w:t>
      </w:r>
    </w:p>
    <w:p w14:paraId="466F2FDC" w14:textId="2567B06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term “qualified plug-in electric drive motor vehicle” means any new qualified plug-in electric drive motor vehicle (as defined in section 30D, determined without regard to whether such vehicle is made by a manufacturer or whether the original use of such vehicle commences with the taxpayer).</w:t>
      </w:r>
    </w:p>
    <w:p w14:paraId="328BDE51"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Credit allowed in addition to other credits</w:t>
      </w:r>
    </w:p>
    <w:p w14:paraId="3ADCA9A2" w14:textId="4FF86E7B"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credit allowed under this subsection shall be allowed with respect to a motor vehicle notwithstanding whether a credit has been allowed with respect to such motor vehicle under this section (other than this subsection) in any preceding taxable year.</w:t>
      </w:r>
    </w:p>
    <w:p w14:paraId="3E648E62"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Termination</w:t>
      </w:r>
    </w:p>
    <w:p w14:paraId="32B719F9" w14:textId="7777777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This subsection shall not apply to conversions made after </w:t>
      </w:r>
      <w:r w:rsidRPr="008B3051">
        <w:rPr>
          <w:rStyle w:val="Date3"/>
          <w:rFonts w:ascii="Verdana" w:hAnsi="Verdana"/>
        </w:rPr>
        <w:t>December 31, 2011</w:t>
      </w:r>
      <w:r w:rsidRPr="008B3051">
        <w:rPr>
          <w:rFonts w:ascii="Verdana" w:hAnsi="Verdana"/>
        </w:rPr>
        <w:t>.</w:t>
      </w:r>
    </w:p>
    <w:p w14:paraId="356C2D2A" w14:textId="77777777" w:rsidR="00B5587E" w:rsidRPr="008B3051" w:rsidRDefault="00B5587E" w:rsidP="00B5587E">
      <w:pPr>
        <w:shd w:val="clear" w:color="auto" w:fill="FFFFFF"/>
        <w:rPr>
          <w:rFonts w:ascii="Verdana" w:hAnsi="Verdana"/>
        </w:rPr>
      </w:pPr>
      <w:r w:rsidRPr="008B3051">
        <w:rPr>
          <w:rStyle w:val="num"/>
          <w:rFonts w:ascii="Verdana" w:hAnsi="Verdana"/>
          <w:b/>
          <w:bCs/>
        </w:rPr>
        <w:t>(j)</w:t>
      </w:r>
      <w:r w:rsidRPr="008B3051">
        <w:rPr>
          <w:rStyle w:val="heading"/>
          <w:rFonts w:ascii="Verdana" w:hAnsi="Verdana"/>
          <w:b/>
          <w:bCs/>
          <w:smallCaps/>
        </w:rPr>
        <w:t>Regulations</w:t>
      </w:r>
    </w:p>
    <w:p w14:paraId="120D7795"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29B14202" w14:textId="067476AA"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Except as provided in paragraph (2), the Secretary shall promulgate such regulations as necessary to carry out the provisions of this section.</w:t>
      </w:r>
    </w:p>
    <w:p w14:paraId="103E0705"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Coordination in prescription of certain regulations</w:t>
      </w:r>
    </w:p>
    <w:p w14:paraId="369FF873" w14:textId="27F66D1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Secretary of the Treasury, in coordination with the Secretary of Transportation and the Administrator of the Environmental Protection Agency, shall prescribe such regulations as necessary to determine whether a motor vehicle meets the requirements to be eligible for a credit under this section.</w:t>
      </w:r>
    </w:p>
    <w:p w14:paraId="320B1F02" w14:textId="63E0D8C8" w:rsidR="00B5587E" w:rsidRPr="008B3051" w:rsidRDefault="00B5587E" w:rsidP="00B5587E">
      <w:pPr>
        <w:shd w:val="clear" w:color="auto" w:fill="FFFFFF"/>
        <w:rPr>
          <w:rFonts w:ascii="Verdana" w:hAnsi="Verdana"/>
        </w:rPr>
      </w:pPr>
      <w:bookmarkStart w:id="525" w:name="k"/>
      <w:bookmarkEnd w:id="525"/>
      <w:r w:rsidRPr="008B3051">
        <w:rPr>
          <w:rStyle w:val="num"/>
          <w:rFonts w:ascii="Verdana" w:hAnsi="Verdana"/>
          <w:b/>
          <w:bCs/>
        </w:rPr>
        <w:t>(k)</w:t>
      </w:r>
      <w:r w:rsidRPr="008B3051">
        <w:rPr>
          <w:rStyle w:val="heading"/>
          <w:rFonts w:ascii="Verdana" w:hAnsi="Verdana"/>
          <w:b/>
          <w:bCs/>
          <w:smallCaps/>
        </w:rPr>
        <w:t>Termination</w:t>
      </w:r>
      <w:r w:rsidRPr="008B3051">
        <w:rPr>
          <w:rStyle w:val="chapeau"/>
          <w:rFonts w:ascii="Verdana" w:hAnsi="Verdana"/>
        </w:rPr>
        <w:t>This section shall not apply to any property purchased after—</w:t>
      </w:r>
    </w:p>
    <w:p w14:paraId="6FB15149" w14:textId="77777777" w:rsidR="00B5587E" w:rsidRPr="008B3051" w:rsidRDefault="00B5587E" w:rsidP="00B5587E">
      <w:pPr>
        <w:shd w:val="clear" w:color="auto" w:fill="FFFFFF"/>
        <w:rPr>
          <w:rFonts w:ascii="Verdana" w:hAnsi="Verdana"/>
        </w:rPr>
      </w:pPr>
      <w:bookmarkStart w:id="526" w:name="k_1"/>
      <w:bookmarkEnd w:id="526"/>
      <w:r w:rsidRPr="008B3051">
        <w:rPr>
          <w:rStyle w:val="num"/>
          <w:rFonts w:ascii="Verdana" w:hAnsi="Verdana"/>
          <w:b/>
          <w:bCs/>
        </w:rPr>
        <w:t>(1)</w:t>
      </w:r>
    </w:p>
    <w:p w14:paraId="00885B41" w14:textId="744AC9E1" w:rsidR="00B5587E" w:rsidRPr="008B3051" w:rsidRDefault="00B5587E" w:rsidP="00B5587E">
      <w:pPr>
        <w:shd w:val="clear" w:color="auto" w:fill="FFFFFF"/>
        <w:rPr>
          <w:rFonts w:ascii="Verdana" w:hAnsi="Verdana"/>
        </w:rPr>
      </w:pPr>
      <w:r w:rsidRPr="008B3051">
        <w:rPr>
          <w:rFonts w:ascii="Verdana" w:hAnsi="Verdana"/>
        </w:rPr>
        <w:t>in the case of a new qualified fuel cell motor vehicle (as described in subsection (b)), </w:t>
      </w:r>
      <w:r w:rsidRPr="008B3051">
        <w:rPr>
          <w:rStyle w:val="Date3"/>
          <w:rFonts w:ascii="Verdana" w:hAnsi="Verdana"/>
        </w:rPr>
        <w:t>December 31, 2016</w:t>
      </w:r>
      <w:r w:rsidRPr="008B3051">
        <w:rPr>
          <w:rFonts w:ascii="Verdana" w:hAnsi="Verdana"/>
        </w:rPr>
        <w:t>,</w:t>
      </w:r>
    </w:p>
    <w:p w14:paraId="0A21784D" w14:textId="77777777" w:rsidR="00B5587E" w:rsidRPr="008B3051" w:rsidRDefault="00B5587E" w:rsidP="00B5587E">
      <w:pPr>
        <w:shd w:val="clear" w:color="auto" w:fill="FFFFFF"/>
        <w:rPr>
          <w:rFonts w:ascii="Verdana" w:hAnsi="Verdana"/>
        </w:rPr>
      </w:pPr>
      <w:bookmarkStart w:id="527" w:name="k_2"/>
      <w:bookmarkEnd w:id="527"/>
      <w:r w:rsidRPr="008B3051">
        <w:rPr>
          <w:rStyle w:val="num"/>
          <w:rFonts w:ascii="Verdana" w:hAnsi="Verdana"/>
          <w:b/>
          <w:bCs/>
        </w:rPr>
        <w:t>(2)</w:t>
      </w:r>
    </w:p>
    <w:p w14:paraId="4110D17B" w14:textId="31F1573B" w:rsidR="00B5587E" w:rsidRPr="008B3051" w:rsidRDefault="00B5587E" w:rsidP="00B5587E">
      <w:pPr>
        <w:shd w:val="clear" w:color="auto" w:fill="FFFFFF"/>
        <w:rPr>
          <w:rFonts w:ascii="Verdana" w:hAnsi="Verdana"/>
        </w:rPr>
      </w:pPr>
      <w:r w:rsidRPr="008B3051">
        <w:rPr>
          <w:rFonts w:ascii="Verdana" w:hAnsi="Verdana"/>
        </w:rPr>
        <w:t>in the case of a new advanced lean burn technology motor vehicle (as described in subsection (c)) or a new qualified hybrid motor vehicle (as described in subsection (d)(2)(A)), </w:t>
      </w:r>
      <w:r w:rsidRPr="008B3051">
        <w:rPr>
          <w:rStyle w:val="Date3"/>
          <w:rFonts w:ascii="Verdana" w:hAnsi="Verdana"/>
        </w:rPr>
        <w:t>December 31, 2010</w:t>
      </w:r>
      <w:r w:rsidRPr="008B3051">
        <w:rPr>
          <w:rFonts w:ascii="Verdana" w:hAnsi="Verdana"/>
        </w:rPr>
        <w:t>,</w:t>
      </w:r>
    </w:p>
    <w:p w14:paraId="3D4120CE" w14:textId="77777777" w:rsidR="00B5587E" w:rsidRPr="008B3051" w:rsidRDefault="00B5587E" w:rsidP="00B5587E">
      <w:pPr>
        <w:shd w:val="clear" w:color="auto" w:fill="FFFFFF"/>
        <w:rPr>
          <w:rFonts w:ascii="Verdana" w:hAnsi="Verdana"/>
        </w:rPr>
      </w:pPr>
      <w:bookmarkStart w:id="528" w:name="k_3"/>
      <w:bookmarkEnd w:id="528"/>
      <w:r w:rsidRPr="008B3051">
        <w:rPr>
          <w:rStyle w:val="num"/>
          <w:rFonts w:ascii="Verdana" w:hAnsi="Verdana"/>
          <w:b/>
          <w:bCs/>
        </w:rPr>
        <w:t>(3)</w:t>
      </w:r>
    </w:p>
    <w:p w14:paraId="06945B27" w14:textId="4D3E5077" w:rsidR="00B5587E" w:rsidRPr="008B3051" w:rsidRDefault="00B5587E" w:rsidP="00B5587E">
      <w:pPr>
        <w:shd w:val="clear" w:color="auto" w:fill="FFFFFF"/>
        <w:rPr>
          <w:rFonts w:ascii="Verdana" w:hAnsi="Verdana"/>
        </w:rPr>
      </w:pPr>
      <w:r w:rsidRPr="008B3051">
        <w:rPr>
          <w:rFonts w:ascii="Verdana" w:hAnsi="Verdana"/>
        </w:rPr>
        <w:lastRenderedPageBreak/>
        <w:t>in the case of a new qualified hybrid motor vehicle (as described in subsection (d)(2)(B)), </w:t>
      </w:r>
      <w:r w:rsidRPr="008B3051">
        <w:rPr>
          <w:rStyle w:val="Date3"/>
          <w:rFonts w:ascii="Verdana" w:hAnsi="Verdana"/>
        </w:rPr>
        <w:t>December 31, 2009</w:t>
      </w:r>
      <w:r w:rsidRPr="008B3051">
        <w:rPr>
          <w:rFonts w:ascii="Verdana" w:hAnsi="Verdana"/>
        </w:rPr>
        <w:t>, and</w:t>
      </w:r>
    </w:p>
    <w:p w14:paraId="04799241" w14:textId="77777777" w:rsidR="00B5587E" w:rsidRPr="008B3051" w:rsidRDefault="00B5587E" w:rsidP="00B5587E">
      <w:pPr>
        <w:shd w:val="clear" w:color="auto" w:fill="FFFFFF"/>
        <w:rPr>
          <w:rFonts w:ascii="Verdana" w:hAnsi="Verdana"/>
        </w:rPr>
      </w:pPr>
      <w:bookmarkStart w:id="529" w:name="k_4"/>
      <w:bookmarkEnd w:id="529"/>
      <w:r w:rsidRPr="008B3051">
        <w:rPr>
          <w:rStyle w:val="num"/>
          <w:rFonts w:ascii="Verdana" w:hAnsi="Verdana"/>
          <w:b/>
          <w:bCs/>
        </w:rPr>
        <w:t>(4)</w:t>
      </w:r>
    </w:p>
    <w:p w14:paraId="46EC8C19" w14:textId="272F785F" w:rsidR="00B5587E" w:rsidRPr="008B3051" w:rsidRDefault="00B5587E" w:rsidP="00B5587E">
      <w:pPr>
        <w:shd w:val="clear" w:color="auto" w:fill="FFFFFF"/>
        <w:rPr>
          <w:rFonts w:ascii="Verdana" w:hAnsi="Verdana"/>
        </w:rPr>
      </w:pPr>
      <w:r w:rsidRPr="008B3051">
        <w:rPr>
          <w:rFonts w:ascii="Verdana" w:hAnsi="Verdana"/>
        </w:rPr>
        <w:t>in the case of a new qualified alternative fuel vehicle (as described in subsection (e)), </w:t>
      </w:r>
      <w:r w:rsidRPr="008B3051">
        <w:rPr>
          <w:rStyle w:val="Date3"/>
          <w:rFonts w:ascii="Verdana" w:hAnsi="Verdana"/>
        </w:rPr>
        <w:t>December 31, 2010</w:t>
      </w:r>
      <w:r w:rsidRPr="008B3051">
        <w:rPr>
          <w:rFonts w:ascii="Verdana" w:hAnsi="Verdana"/>
        </w:rPr>
        <w:t>.</w:t>
      </w:r>
    </w:p>
    <w:p w14:paraId="7BC775AB" w14:textId="30A39B1F" w:rsidR="00B5587E" w:rsidRPr="008B3051" w:rsidRDefault="00B5587E" w:rsidP="00B5587E">
      <w:pPr>
        <w:shd w:val="clear" w:color="auto" w:fill="FFFFFF"/>
        <w:rPr>
          <w:rFonts w:ascii="Verdana" w:hAnsi="Verdana"/>
        </w:rPr>
      </w:pPr>
      <w:r w:rsidRPr="008B3051">
        <w:rPr>
          <w:rFonts w:ascii="Verdana" w:hAnsi="Verdana"/>
        </w:rPr>
        <w:t>(Added Pub. L. 109–58, title XIII, § 1341(a), </w:t>
      </w:r>
      <w:r w:rsidRPr="008B3051">
        <w:rPr>
          <w:rStyle w:val="Date3"/>
          <w:rFonts w:ascii="Verdana" w:hAnsi="Verdana"/>
        </w:rPr>
        <w:t>Aug. 8, 2005</w:t>
      </w:r>
      <w:r w:rsidRPr="008B3051">
        <w:rPr>
          <w:rFonts w:ascii="Verdana" w:hAnsi="Verdana"/>
        </w:rPr>
        <w:t>, 119 Stat. 1038; amended Pub. L. 109–135, title IV, §§ 402(j), 412(d), </w:t>
      </w:r>
      <w:r w:rsidRPr="008B3051">
        <w:rPr>
          <w:rStyle w:val="Date3"/>
          <w:rFonts w:ascii="Verdana" w:hAnsi="Verdana"/>
        </w:rPr>
        <w:t>Dec. 21, 2005</w:t>
      </w:r>
      <w:r w:rsidRPr="008B3051">
        <w:rPr>
          <w:rFonts w:ascii="Verdana" w:hAnsi="Verdana"/>
        </w:rPr>
        <w:t>, 119 Stat. 2615, 2636; Pub. L. 110–343, div. B, title II, § 205(b), </w:t>
      </w:r>
      <w:r w:rsidRPr="008B3051">
        <w:rPr>
          <w:rStyle w:val="Date3"/>
          <w:rFonts w:ascii="Verdana" w:hAnsi="Verdana"/>
        </w:rPr>
        <w:t>Oct. 3, 2008</w:t>
      </w:r>
      <w:r w:rsidRPr="008B3051">
        <w:rPr>
          <w:rFonts w:ascii="Verdana" w:hAnsi="Verdana"/>
        </w:rPr>
        <w:t>, 122 Stat. 3838; Pub. L. 111–5, div. B, title I, §§ 1141(b)(1), 1142(b)(2), 1143(a)–(c), 1144(a), </w:t>
      </w:r>
      <w:r w:rsidRPr="008B3051">
        <w:rPr>
          <w:rStyle w:val="Date3"/>
          <w:rFonts w:ascii="Verdana" w:hAnsi="Verdana"/>
        </w:rPr>
        <w:t>Feb. 17, 2009</w:t>
      </w:r>
      <w:r w:rsidRPr="008B3051">
        <w:rPr>
          <w:rFonts w:ascii="Verdana" w:hAnsi="Verdana"/>
        </w:rPr>
        <w:t>, 123 Stat. 328, 330–332; Pub. L. 111–148, title X, § 10909(b)(2)(G), (c), </w:t>
      </w:r>
      <w:r w:rsidRPr="008B3051">
        <w:rPr>
          <w:rStyle w:val="Date3"/>
          <w:rFonts w:ascii="Verdana" w:hAnsi="Verdana"/>
        </w:rPr>
        <w:t>Mar. 23, 2010</w:t>
      </w:r>
      <w:r w:rsidRPr="008B3051">
        <w:rPr>
          <w:rFonts w:ascii="Verdana" w:hAnsi="Verdana"/>
        </w:rPr>
        <w:t>, 124 Stat. 1023; Pub. L. 111–312, title I, § 101(b)(1), </w:t>
      </w:r>
      <w:r w:rsidRPr="008B3051">
        <w:rPr>
          <w:rStyle w:val="Date3"/>
          <w:rFonts w:ascii="Verdana" w:hAnsi="Verdana"/>
        </w:rPr>
        <w:t>Dec. 17, 2010</w:t>
      </w:r>
      <w:r w:rsidRPr="008B3051">
        <w:rPr>
          <w:rFonts w:ascii="Verdana" w:hAnsi="Verdana"/>
        </w:rPr>
        <w:t>, 124 Stat. 3298; Pub. L. 112–240, title I, § 104(c)(2)(H), </w:t>
      </w:r>
      <w:r w:rsidRPr="008B3051">
        <w:rPr>
          <w:rStyle w:val="Date3"/>
          <w:rFonts w:ascii="Verdana" w:hAnsi="Verdana"/>
        </w:rPr>
        <w:t>Jan. 2, 2013</w:t>
      </w:r>
      <w:r w:rsidRPr="008B3051">
        <w:rPr>
          <w:rFonts w:ascii="Verdana" w:hAnsi="Verdana"/>
        </w:rPr>
        <w:t>, 126 Stat. 2322; Pub. L. 113–295, div. A, title II, §§ 218(a), 220(a), </w:t>
      </w:r>
      <w:r w:rsidRPr="008B3051">
        <w:rPr>
          <w:rStyle w:val="Date3"/>
          <w:rFonts w:ascii="Verdana" w:hAnsi="Verdana"/>
        </w:rPr>
        <w:t>Dec. 19, 2014</w:t>
      </w:r>
      <w:r w:rsidRPr="008B3051">
        <w:rPr>
          <w:rFonts w:ascii="Verdana" w:hAnsi="Verdana"/>
        </w:rPr>
        <w:t>, 128 Stat. 4035; Pub. L. 114–113, div. Q, title I, § 193(a), </w:t>
      </w:r>
      <w:r w:rsidRPr="008B3051">
        <w:rPr>
          <w:rStyle w:val="Date3"/>
          <w:rFonts w:ascii="Verdana" w:hAnsi="Verdana"/>
        </w:rPr>
        <w:t>Dec. 18, 2015</w:t>
      </w:r>
      <w:r w:rsidRPr="008B3051">
        <w:rPr>
          <w:rFonts w:ascii="Verdana" w:hAnsi="Verdana"/>
        </w:rPr>
        <w:t>, 129 Stat. 3075.)</w:t>
      </w:r>
    </w:p>
    <w:p w14:paraId="4222978F" w14:textId="2DFA121D" w:rsidR="00B5587E" w:rsidRPr="008B3051" w:rsidRDefault="00B5587E" w:rsidP="00B5587E">
      <w:pPr>
        <w:shd w:val="clear" w:color="auto" w:fill="FFFFFF"/>
        <w:spacing w:after="60" w:line="240" w:lineRule="auto"/>
        <w:ind w:left="360"/>
        <w:rPr>
          <w:rFonts w:ascii="Verdana" w:hAnsi="Verdana"/>
        </w:rPr>
      </w:pPr>
      <w:r w:rsidRPr="008B3051">
        <w:rPr>
          <w:rFonts w:ascii="Verdana" w:hAnsi="Verdana"/>
        </w:rPr>
        <w:t xml:space="preserve"> </w:t>
      </w:r>
    </w:p>
    <w:p w14:paraId="50DBE7A8" w14:textId="73213CFD" w:rsidR="00B5587E" w:rsidRPr="008B3051" w:rsidRDefault="00B5587E" w:rsidP="000805FD">
      <w:pPr>
        <w:numPr>
          <w:ilvl w:val="0"/>
          <w:numId w:val="4"/>
        </w:numPr>
        <w:shd w:val="clear" w:color="auto" w:fill="FFFFFF"/>
        <w:spacing w:after="60" w:line="240" w:lineRule="auto"/>
        <w:ind w:left="360"/>
        <w:rPr>
          <w:rFonts w:ascii="Verdana" w:hAnsi="Verdana"/>
        </w:rPr>
      </w:pPr>
      <w:r w:rsidRPr="008B3051">
        <w:rPr>
          <w:rFonts w:ascii="Verdana" w:hAnsi="Verdana"/>
        </w:rPr>
        <w:t>§ 30C - Alternative fuel vehicle refueling property credit</w:t>
      </w:r>
    </w:p>
    <w:p w14:paraId="23EA063D" w14:textId="63FE2135" w:rsidR="00B5587E" w:rsidRPr="008B3051" w:rsidRDefault="00B5587E" w:rsidP="00B5587E">
      <w:pPr>
        <w:shd w:val="clear" w:color="auto" w:fill="FFFFFF"/>
        <w:spacing w:after="60" w:line="240" w:lineRule="auto"/>
        <w:ind w:left="360"/>
        <w:rPr>
          <w:rFonts w:ascii="Verdana" w:hAnsi="Verdana"/>
        </w:rPr>
      </w:pPr>
    </w:p>
    <w:p w14:paraId="2DC11C43"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Credit allowed</w:t>
      </w:r>
    </w:p>
    <w:p w14:paraId="6465FCFF" w14:textId="3F521096"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There shall be allowed as a credit against the tax imposed by this chapter for the taxable year an amount equal to 30 percent of the cost of any qualified alternative fuel vehicle refueling property placed in service by the taxpayer during the taxable year.</w:t>
      </w:r>
    </w:p>
    <w:p w14:paraId="37A7A77E" w14:textId="1FA14D25"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Limitation</w:t>
      </w:r>
      <w:r w:rsidRPr="008B3051">
        <w:rPr>
          <w:rStyle w:val="chapeau"/>
          <w:rFonts w:ascii="Verdana" w:hAnsi="Verdana"/>
        </w:rPr>
        <w:t>The credit allowed under subsection (a) with respect to all qualified alternative fuel vehicle refueling property placed in service by the taxpayer during the taxable year at a location shall not exceed—</w:t>
      </w:r>
    </w:p>
    <w:p w14:paraId="35D152FB"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p>
    <w:p w14:paraId="3A694897" w14:textId="317B73DF" w:rsidR="00B5587E" w:rsidRPr="008B3051" w:rsidRDefault="00B5587E" w:rsidP="00B5587E">
      <w:pPr>
        <w:shd w:val="clear" w:color="auto" w:fill="FFFFFF"/>
        <w:rPr>
          <w:rFonts w:ascii="Verdana" w:hAnsi="Verdana"/>
        </w:rPr>
      </w:pPr>
      <w:r w:rsidRPr="008B3051">
        <w:rPr>
          <w:rFonts w:ascii="Verdana" w:hAnsi="Verdana"/>
        </w:rPr>
        <w:t>$30,000 in the case of a property of a character subject to an allowance for depreciation, and</w:t>
      </w:r>
    </w:p>
    <w:p w14:paraId="7412A7C9"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p>
    <w:p w14:paraId="0ABBCF8C" w14:textId="77777777" w:rsidR="00B5587E" w:rsidRPr="008B3051" w:rsidRDefault="00B5587E" w:rsidP="00B5587E">
      <w:pPr>
        <w:shd w:val="clear" w:color="auto" w:fill="FFFFFF"/>
        <w:rPr>
          <w:rFonts w:ascii="Verdana" w:hAnsi="Verdana"/>
        </w:rPr>
      </w:pPr>
      <w:r w:rsidRPr="008B3051">
        <w:rPr>
          <w:rFonts w:ascii="Verdana" w:hAnsi="Verdana"/>
        </w:rPr>
        <w:t>$1,000 in any other case.</w:t>
      </w:r>
    </w:p>
    <w:p w14:paraId="6215D558" w14:textId="55D96025"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Qualified alternative fuel vehicle refueling property</w:t>
      </w:r>
      <w:r w:rsidRPr="008B3051">
        <w:rPr>
          <w:rStyle w:val="chapeau"/>
          <w:rFonts w:ascii="Verdana" w:hAnsi="Verdana"/>
        </w:rPr>
        <w:t>For purposes of this section, the term “qualified alternative fuel vehicle refueling property” has the same meaning as the term “qualified clean-fuel vehicle refueling property” would have under section 179A if—</w:t>
      </w:r>
    </w:p>
    <w:p w14:paraId="7AA6869A"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p>
    <w:p w14:paraId="6186C8E4" w14:textId="3512DBC3" w:rsidR="00B5587E" w:rsidRPr="008B3051" w:rsidRDefault="00B5587E" w:rsidP="00B5587E">
      <w:pPr>
        <w:shd w:val="clear" w:color="auto" w:fill="FFFFFF"/>
        <w:rPr>
          <w:rFonts w:ascii="Verdana" w:hAnsi="Verdana"/>
        </w:rPr>
      </w:pPr>
      <w:r w:rsidRPr="008B3051">
        <w:rPr>
          <w:rFonts w:ascii="Verdana" w:hAnsi="Verdana"/>
        </w:rPr>
        <w:lastRenderedPageBreak/>
        <w:t>paragraph (1) of section 179A(d) did not apply to property installed on property which is used as the principal residence (within the meaning of section 121) of the taxpayer, and</w:t>
      </w:r>
    </w:p>
    <w:p w14:paraId="0AD5B1EA"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chapeau"/>
          <w:rFonts w:ascii="Verdana" w:hAnsi="Verdana"/>
        </w:rPr>
        <w:t>only the following were treated as clean-burning fuels for purposes of section 179A(d):</w:t>
      </w:r>
    </w:p>
    <w:p w14:paraId="431724BE"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9E9527B" w14:textId="77777777" w:rsidR="00B5587E" w:rsidRPr="008B3051" w:rsidRDefault="00B5587E" w:rsidP="00B5587E">
      <w:pPr>
        <w:shd w:val="clear" w:color="auto" w:fill="FFFFFF"/>
        <w:rPr>
          <w:rFonts w:ascii="Verdana" w:hAnsi="Verdana"/>
        </w:rPr>
      </w:pPr>
      <w:r w:rsidRPr="008B3051">
        <w:rPr>
          <w:rFonts w:ascii="Verdana" w:hAnsi="Verdana"/>
        </w:rPr>
        <w:t>Any fuel at least 85 percent of the volume of which consists of one or more of the following: ethanol, natural gas, compressed natural gas, liquified natural gas, liquefied petroleum gas, or hydrogen.</w:t>
      </w:r>
    </w:p>
    <w:p w14:paraId="370E2122"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chapeau"/>
          <w:rFonts w:ascii="Verdana" w:hAnsi="Verdana"/>
        </w:rPr>
        <w:t>Any mixture—</w:t>
      </w:r>
    </w:p>
    <w:p w14:paraId="3419F722" w14:textId="77777777" w:rsidR="00B5587E" w:rsidRPr="008B3051" w:rsidRDefault="00B5587E" w:rsidP="00B5587E">
      <w:pPr>
        <w:shd w:val="clear" w:color="auto" w:fill="FFFFFF"/>
        <w:rPr>
          <w:rFonts w:ascii="Verdana" w:hAnsi="Verdana"/>
        </w:rPr>
      </w:pPr>
      <w:r w:rsidRPr="008B3051">
        <w:rPr>
          <w:rStyle w:val="num"/>
          <w:rFonts w:ascii="Verdana" w:hAnsi="Verdana"/>
          <w:b/>
          <w:bCs/>
        </w:rPr>
        <w:t>(i)</w:t>
      </w:r>
    </w:p>
    <w:p w14:paraId="632AAEC3" w14:textId="559F2362" w:rsidR="00B5587E" w:rsidRPr="008B3051" w:rsidRDefault="00B5587E" w:rsidP="00B5587E">
      <w:pPr>
        <w:shd w:val="clear" w:color="auto" w:fill="FFFFFF"/>
        <w:rPr>
          <w:rFonts w:ascii="Verdana" w:hAnsi="Verdana"/>
        </w:rPr>
      </w:pPr>
      <w:r w:rsidRPr="008B3051">
        <w:rPr>
          <w:rFonts w:ascii="Verdana" w:hAnsi="Verdana"/>
        </w:rPr>
        <w:t>which consists of two or more of the following: biodiesel (as defined in section 40A(d)(1)), diesel fuel (as defined in section 4083(a)(3)), or kerosene, and</w:t>
      </w:r>
    </w:p>
    <w:p w14:paraId="777F5FC1" w14:textId="77777777" w:rsidR="00B5587E" w:rsidRPr="008B3051" w:rsidRDefault="00B5587E" w:rsidP="00B5587E">
      <w:pPr>
        <w:shd w:val="clear" w:color="auto" w:fill="FFFFFF"/>
        <w:rPr>
          <w:rFonts w:ascii="Verdana" w:hAnsi="Verdana"/>
        </w:rPr>
      </w:pPr>
      <w:r w:rsidRPr="008B3051">
        <w:rPr>
          <w:rStyle w:val="num"/>
          <w:rFonts w:ascii="Verdana" w:hAnsi="Verdana"/>
          <w:b/>
          <w:bCs/>
        </w:rPr>
        <w:t>(ii)</w:t>
      </w:r>
    </w:p>
    <w:p w14:paraId="6C89650C" w14:textId="77777777" w:rsidR="00B5587E" w:rsidRPr="008B3051" w:rsidRDefault="00B5587E" w:rsidP="00B5587E">
      <w:pPr>
        <w:shd w:val="clear" w:color="auto" w:fill="FFFFFF"/>
        <w:rPr>
          <w:rFonts w:ascii="Verdana" w:hAnsi="Verdana"/>
        </w:rPr>
      </w:pPr>
      <w:r w:rsidRPr="008B3051">
        <w:rPr>
          <w:rFonts w:ascii="Verdana" w:hAnsi="Verdana"/>
        </w:rPr>
        <w:t>at least 20 percent of the volume of which consists of biodiesel (as so defined) determined without regard to any kerosene in such mixture.</w:t>
      </w:r>
    </w:p>
    <w:p w14:paraId="6DF679F6"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23B1D545" w14:textId="77777777" w:rsidR="00B5587E" w:rsidRPr="008B3051" w:rsidRDefault="00B5587E" w:rsidP="00B5587E">
      <w:pPr>
        <w:shd w:val="clear" w:color="auto" w:fill="FFFFFF"/>
        <w:rPr>
          <w:rFonts w:ascii="Verdana" w:hAnsi="Verdana"/>
        </w:rPr>
      </w:pPr>
      <w:r w:rsidRPr="008B3051">
        <w:rPr>
          <w:rFonts w:ascii="Verdana" w:hAnsi="Verdana"/>
        </w:rPr>
        <w:t>Electricity.</w:t>
      </w:r>
    </w:p>
    <w:p w14:paraId="784F7821"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Application with other credits</w:t>
      </w:r>
    </w:p>
    <w:p w14:paraId="1BC06F72"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Business credit treated as part of general business credit</w:t>
      </w:r>
    </w:p>
    <w:p w14:paraId="408019CB" w14:textId="7FFB557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So much of the credit which would be allowed under subsection (a) for any taxable year (determined without regard to this subsection) that is attributable to property of a character subject to an allowance for depreciation shall be treated as a credit listed in section 38(b) for such taxable year (and not allowed under subsection (a)).</w:t>
      </w:r>
    </w:p>
    <w:p w14:paraId="0D6A4F20" w14:textId="2835CF18"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Personal credit</w:t>
      </w:r>
      <w:r w:rsidRPr="008B3051">
        <w:rPr>
          <w:rStyle w:val="chapeau"/>
          <w:rFonts w:ascii="Verdana" w:hAnsi="Verdana"/>
        </w:rPr>
        <w:t>The credit allowed under subsection (a) (after the application of paragraph (1)) for any taxable year shall not exceed the excess (if any) of—</w:t>
      </w:r>
    </w:p>
    <w:p w14:paraId="426A31F3"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7F0B215F" w14:textId="340A0A8A" w:rsidR="00B5587E" w:rsidRPr="008B3051" w:rsidRDefault="00B5587E" w:rsidP="00B5587E">
      <w:pPr>
        <w:shd w:val="clear" w:color="auto" w:fill="FFFFFF"/>
        <w:rPr>
          <w:rFonts w:ascii="Verdana" w:hAnsi="Verdana"/>
        </w:rPr>
      </w:pPr>
      <w:r w:rsidRPr="008B3051">
        <w:rPr>
          <w:rFonts w:ascii="Verdana" w:hAnsi="Verdana"/>
        </w:rPr>
        <w:t>the regular tax liability (as defined in section 26(b)) reduced by the sum of the credits allowable under subpart A and section 27, over</w:t>
      </w:r>
    </w:p>
    <w:p w14:paraId="690C4181"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1639E5C8" w14:textId="01027890" w:rsidR="00B5587E" w:rsidRPr="008B3051" w:rsidRDefault="00B5587E" w:rsidP="00B5587E">
      <w:pPr>
        <w:shd w:val="clear" w:color="auto" w:fill="FFFFFF"/>
        <w:rPr>
          <w:rFonts w:ascii="Verdana" w:hAnsi="Verdana"/>
        </w:rPr>
      </w:pPr>
      <w:r w:rsidRPr="008B3051">
        <w:rPr>
          <w:rFonts w:ascii="Verdana" w:hAnsi="Verdana"/>
        </w:rPr>
        <w:t>the tentative minimum tax for the taxable year.</w:t>
      </w:r>
    </w:p>
    <w:p w14:paraId="4630DD0F" w14:textId="77777777" w:rsidR="00B5587E" w:rsidRPr="008B3051" w:rsidRDefault="00B5587E" w:rsidP="00B5587E">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Special rules</w:t>
      </w:r>
      <w:r w:rsidRPr="008B3051">
        <w:rPr>
          <w:rStyle w:val="chapeau"/>
          <w:rFonts w:ascii="Verdana" w:hAnsi="Verdana"/>
        </w:rPr>
        <w:t>For purposes of this section—</w:t>
      </w:r>
    </w:p>
    <w:p w14:paraId="5B9D5327"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Reduction in basis</w:t>
      </w:r>
    </w:p>
    <w:p w14:paraId="3D8BDCAE" w14:textId="69B0AFB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this subtitle, the basis of any property for which a credit is allowable under subsection (a) shall be reduced by the amount of such credit so allowed (determined without regard to subsection (d)).</w:t>
      </w:r>
    </w:p>
    <w:p w14:paraId="399DCD10"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Property used by tax-exempt entity</w:t>
      </w:r>
    </w:p>
    <w:p w14:paraId="75D0AE15" w14:textId="7FB59A9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any qualified alternative fuel vehicle refueling property the use of which is described in paragraph (3) or (4) of section 50(b) and which is not subject to a lease, the person who sold such property to the person or entity using such property shall be treated as the taxpayer that placed such property in service, but only if such person clearly discloses to such person or entity in a document the amount of any credit allowable under subsection (a) with respect to such property (determined without regard to subsection (d)). For purposes of subsection (d), property to which this paragraph applies shall be treated as of a character subject to an allowance for depreciation.</w:t>
      </w:r>
    </w:p>
    <w:p w14:paraId="61B36293"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Property used outside United States not qualified</w:t>
      </w:r>
    </w:p>
    <w:p w14:paraId="39D9807D" w14:textId="1CAC1C8F"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allowable under subsection (a) with respect to any property referred to in section 50(b)(1) or with respect to the portion of the cost of any property taken into account under section 179.</w:t>
      </w:r>
    </w:p>
    <w:p w14:paraId="68230224"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Election not to take credit</w:t>
      </w:r>
    </w:p>
    <w:p w14:paraId="22160AE7" w14:textId="6875ADBB"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property if the taxpayer elects not to have this section apply to such property.</w:t>
      </w:r>
    </w:p>
    <w:p w14:paraId="42AD0201"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Recapture rules</w:t>
      </w:r>
    </w:p>
    <w:p w14:paraId="0232C226" w14:textId="673B8A65"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Rules similar to the rules of section 179A(e)(4) shall apply.</w:t>
      </w:r>
    </w:p>
    <w:p w14:paraId="704EE0DA" w14:textId="2756AD1C" w:rsidR="00B5587E" w:rsidRPr="008B3051" w:rsidRDefault="00B5587E" w:rsidP="00B5587E">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Special rule for property placed in service during 2009 and 2010</w:t>
      </w:r>
      <w:r w:rsidRPr="008B3051">
        <w:rPr>
          <w:rStyle w:val="chapeau"/>
          <w:rFonts w:ascii="Verdana" w:hAnsi="Verdana"/>
        </w:rPr>
        <w:t>In the case of propertyplaced in service in taxable years beginning after </w:t>
      </w:r>
      <w:r w:rsidRPr="008B3051">
        <w:rPr>
          <w:rStyle w:val="Date3"/>
          <w:rFonts w:ascii="Verdana" w:hAnsi="Verdana"/>
        </w:rPr>
        <w:t>December 31, 2008</w:t>
      </w:r>
      <w:r w:rsidRPr="008B3051">
        <w:rPr>
          <w:rStyle w:val="chapeau"/>
          <w:rFonts w:ascii="Verdana" w:hAnsi="Verdana"/>
        </w:rPr>
        <w:t>, and before </w:t>
      </w:r>
      <w:r w:rsidRPr="008B3051">
        <w:rPr>
          <w:rStyle w:val="Date3"/>
          <w:rFonts w:ascii="Verdana" w:hAnsi="Verdana"/>
        </w:rPr>
        <w:t>January 1, 2011</w:t>
      </w:r>
      <w:r w:rsidRPr="008B3051">
        <w:rPr>
          <w:rStyle w:val="chapeau"/>
          <w:rFonts w:ascii="Verdana" w:hAnsi="Verdana"/>
        </w:rPr>
        <w:t>—</w:t>
      </w:r>
    </w:p>
    <w:p w14:paraId="1D14FC1E" w14:textId="041DDAE6"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chapeau"/>
          <w:rFonts w:ascii="Verdana" w:hAnsi="Verdana"/>
        </w:rPr>
        <w:t>in the case of any such property which does not relate to hydrogen—</w:t>
      </w:r>
    </w:p>
    <w:p w14:paraId="4918CB1D" w14:textId="77777777" w:rsidR="00B5587E" w:rsidRPr="008B3051" w:rsidRDefault="00B5587E" w:rsidP="00B5587E">
      <w:pPr>
        <w:shd w:val="clear" w:color="auto" w:fill="FFFFFF"/>
        <w:rPr>
          <w:rFonts w:ascii="Verdana" w:hAnsi="Verdana"/>
        </w:rPr>
      </w:pPr>
      <w:bookmarkStart w:id="530" w:name="e_6_A_i"/>
      <w:bookmarkEnd w:id="530"/>
      <w:r w:rsidRPr="008B3051">
        <w:rPr>
          <w:rStyle w:val="num"/>
          <w:rFonts w:ascii="Verdana" w:hAnsi="Verdana"/>
          <w:b/>
          <w:bCs/>
        </w:rPr>
        <w:t>(i)</w:t>
      </w:r>
    </w:p>
    <w:p w14:paraId="5734E48F" w14:textId="4583942E" w:rsidR="00B5587E" w:rsidRPr="008B3051" w:rsidRDefault="00B5587E" w:rsidP="00B5587E">
      <w:pPr>
        <w:shd w:val="clear" w:color="auto" w:fill="FFFFFF"/>
        <w:rPr>
          <w:rFonts w:ascii="Verdana" w:hAnsi="Verdana"/>
        </w:rPr>
      </w:pPr>
      <w:r w:rsidRPr="008B3051">
        <w:rPr>
          <w:rFonts w:ascii="Verdana" w:hAnsi="Verdana"/>
        </w:rPr>
        <w:t>subsection (a) shall be applied by substituting “50 percent” for “30 percent”,</w:t>
      </w:r>
    </w:p>
    <w:p w14:paraId="233137AA" w14:textId="77777777" w:rsidR="00B5587E" w:rsidRPr="008B3051" w:rsidRDefault="00B5587E" w:rsidP="00B5587E">
      <w:pPr>
        <w:shd w:val="clear" w:color="auto" w:fill="FFFFFF"/>
        <w:rPr>
          <w:rFonts w:ascii="Verdana" w:hAnsi="Verdana"/>
        </w:rPr>
      </w:pPr>
      <w:bookmarkStart w:id="531" w:name="e_6_A_ii"/>
      <w:bookmarkEnd w:id="531"/>
      <w:r w:rsidRPr="008B3051">
        <w:rPr>
          <w:rStyle w:val="num"/>
          <w:rFonts w:ascii="Verdana" w:hAnsi="Verdana"/>
          <w:b/>
          <w:bCs/>
        </w:rPr>
        <w:t>(ii)</w:t>
      </w:r>
    </w:p>
    <w:p w14:paraId="323135F2" w14:textId="77777777" w:rsidR="00B5587E" w:rsidRPr="008B3051" w:rsidRDefault="00B5587E" w:rsidP="00B5587E">
      <w:pPr>
        <w:shd w:val="clear" w:color="auto" w:fill="FFFFFF"/>
        <w:rPr>
          <w:rFonts w:ascii="Verdana" w:hAnsi="Verdana"/>
        </w:rPr>
      </w:pPr>
      <w:r w:rsidRPr="008B3051">
        <w:rPr>
          <w:rFonts w:ascii="Verdana" w:hAnsi="Verdana"/>
        </w:rPr>
        <w:t>subsection (b)(1) shall be applied by substituting “$50,000” for “$30,000”, and</w:t>
      </w:r>
    </w:p>
    <w:p w14:paraId="24EF5FCE" w14:textId="77777777" w:rsidR="00B5587E" w:rsidRPr="008B3051" w:rsidRDefault="00B5587E" w:rsidP="00B5587E">
      <w:pPr>
        <w:shd w:val="clear" w:color="auto" w:fill="FFFFFF"/>
        <w:rPr>
          <w:rFonts w:ascii="Verdana" w:hAnsi="Verdana"/>
        </w:rPr>
      </w:pPr>
      <w:bookmarkStart w:id="532" w:name="e_6_A_iii"/>
      <w:bookmarkEnd w:id="532"/>
      <w:r w:rsidRPr="008B3051">
        <w:rPr>
          <w:rStyle w:val="num"/>
          <w:rFonts w:ascii="Verdana" w:hAnsi="Verdana"/>
          <w:b/>
          <w:bCs/>
        </w:rPr>
        <w:t>(iii)</w:t>
      </w:r>
    </w:p>
    <w:p w14:paraId="0E3B21FA" w14:textId="77777777" w:rsidR="00B5587E" w:rsidRPr="008B3051" w:rsidRDefault="00B5587E" w:rsidP="00B5587E">
      <w:pPr>
        <w:shd w:val="clear" w:color="auto" w:fill="FFFFFF"/>
        <w:rPr>
          <w:rFonts w:ascii="Verdana" w:hAnsi="Verdana"/>
        </w:rPr>
      </w:pPr>
      <w:r w:rsidRPr="008B3051">
        <w:rPr>
          <w:rFonts w:ascii="Verdana" w:hAnsi="Verdana"/>
        </w:rPr>
        <w:t>subsection (b)(2) shall be applied by substituting “$2,000” for “$1,000”, and</w:t>
      </w:r>
    </w:p>
    <w:p w14:paraId="0D9339E2"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64204035" w14:textId="11D3AAD8" w:rsidR="00B5587E" w:rsidRPr="008B3051" w:rsidRDefault="00B5587E" w:rsidP="00B5587E">
      <w:pPr>
        <w:shd w:val="clear" w:color="auto" w:fill="FFFFFF"/>
        <w:rPr>
          <w:rFonts w:ascii="Verdana" w:hAnsi="Verdana"/>
        </w:rPr>
      </w:pPr>
      <w:r w:rsidRPr="008B3051">
        <w:rPr>
          <w:rFonts w:ascii="Verdana" w:hAnsi="Verdana"/>
        </w:rPr>
        <w:t>in the case of any such property which relates to hydrogen, subsection (b)(1) shall be applied by substituting “$200,000” for “$30,000”.</w:t>
      </w:r>
    </w:p>
    <w:p w14:paraId="444C186E" w14:textId="77777777" w:rsidR="00B5587E" w:rsidRPr="008B3051" w:rsidRDefault="00B5587E" w:rsidP="00B5587E">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Reference</w:t>
      </w:r>
    </w:p>
    <w:p w14:paraId="3652125F" w14:textId="0CD86F5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For purposes of this section, any reference to section 179A shall be treated as a reference to such section as in effect immediately before its repeal.</w:t>
      </w:r>
    </w:p>
    <w:p w14:paraId="05979B42" w14:textId="77777777" w:rsidR="00B5587E" w:rsidRPr="008B3051" w:rsidRDefault="00B5587E" w:rsidP="00B5587E">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Regulations</w:t>
      </w:r>
    </w:p>
    <w:p w14:paraId="242BF72A" w14:textId="3372A58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Secretary shall prescribe such regulations as necessary to carry out the provisions of this section.</w:t>
      </w:r>
    </w:p>
    <w:p w14:paraId="45B5C4F9" w14:textId="77777777" w:rsidR="00B5587E" w:rsidRPr="008B3051" w:rsidRDefault="00B5587E" w:rsidP="00B5587E">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Termination</w:t>
      </w:r>
    </w:p>
    <w:p w14:paraId="69525F91" w14:textId="21BBDF9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This section shall not apply to any property placed in service after </w:t>
      </w:r>
      <w:r w:rsidRPr="008B3051">
        <w:rPr>
          <w:rStyle w:val="Date3"/>
          <w:rFonts w:ascii="Verdana" w:hAnsi="Verdana"/>
        </w:rPr>
        <w:t>December 31, 2016</w:t>
      </w:r>
      <w:r w:rsidRPr="008B3051">
        <w:rPr>
          <w:rFonts w:ascii="Verdana" w:hAnsi="Verdana"/>
        </w:rPr>
        <w:t>.</w:t>
      </w:r>
    </w:p>
    <w:p w14:paraId="18293916" w14:textId="37DD93FD" w:rsidR="00B5587E" w:rsidRPr="008B3051" w:rsidRDefault="00B5587E" w:rsidP="00B5587E">
      <w:pPr>
        <w:shd w:val="clear" w:color="auto" w:fill="FFFFFF"/>
        <w:rPr>
          <w:rFonts w:ascii="Verdana" w:hAnsi="Verdana"/>
        </w:rPr>
      </w:pPr>
      <w:r w:rsidRPr="008B3051">
        <w:rPr>
          <w:rFonts w:ascii="Verdana" w:hAnsi="Verdana"/>
        </w:rPr>
        <w:t>(Added Pub. L. 109–58, title XIII, § 1342(a), </w:t>
      </w:r>
      <w:r w:rsidRPr="008B3051">
        <w:rPr>
          <w:rStyle w:val="Date3"/>
          <w:rFonts w:ascii="Verdana" w:hAnsi="Verdana"/>
        </w:rPr>
        <w:t>Aug. 8, 2005</w:t>
      </w:r>
      <w:r w:rsidRPr="008B3051">
        <w:rPr>
          <w:rFonts w:ascii="Verdana" w:hAnsi="Verdana"/>
        </w:rPr>
        <w:t>, 119 Stat. 1049; amended Pub. L. 109–135, title IV, §§ 402(k), 412(d), </w:t>
      </w:r>
      <w:r w:rsidRPr="008B3051">
        <w:rPr>
          <w:rStyle w:val="Date3"/>
          <w:rFonts w:ascii="Verdana" w:hAnsi="Verdana"/>
        </w:rPr>
        <w:t>Dec. 21, 2005</w:t>
      </w:r>
      <w:r w:rsidRPr="008B3051">
        <w:rPr>
          <w:rFonts w:ascii="Verdana" w:hAnsi="Verdana"/>
        </w:rPr>
        <w:t>, 119 Stat. 2615, 2636; Pub. L. 110–172, § 6(b), </w:t>
      </w:r>
      <w:r w:rsidRPr="008B3051">
        <w:rPr>
          <w:rStyle w:val="Date3"/>
          <w:rFonts w:ascii="Verdana" w:hAnsi="Verdana"/>
        </w:rPr>
        <w:t>Dec. 29, 2007</w:t>
      </w:r>
      <w:r w:rsidRPr="008B3051">
        <w:rPr>
          <w:rFonts w:ascii="Verdana" w:hAnsi="Verdana"/>
        </w:rPr>
        <w:t>, 121 Stat. 2479; Pub. L. 110–343, div. B, title II, § 207(a), (b), </w:t>
      </w:r>
      <w:r w:rsidRPr="008B3051">
        <w:rPr>
          <w:rStyle w:val="Date3"/>
          <w:rFonts w:ascii="Verdana" w:hAnsi="Verdana"/>
        </w:rPr>
        <w:t>Oct. 3, 2008</w:t>
      </w:r>
      <w:r w:rsidRPr="008B3051">
        <w:rPr>
          <w:rFonts w:ascii="Verdana" w:hAnsi="Verdana"/>
        </w:rPr>
        <w:t>, 122 Stat. 3839; Pub. L. 111–5, div. B, title I, §§ 1123(a), 1142(b)(3), 1144(b)(2), </w:t>
      </w:r>
      <w:r w:rsidRPr="008B3051">
        <w:rPr>
          <w:rStyle w:val="Date3"/>
          <w:rFonts w:ascii="Verdana" w:hAnsi="Verdana"/>
        </w:rPr>
        <w:t>Feb. 17, 2009</w:t>
      </w:r>
      <w:r w:rsidRPr="008B3051">
        <w:rPr>
          <w:rFonts w:ascii="Verdana" w:hAnsi="Verdana"/>
        </w:rPr>
        <w:t>, 123 Stat. 325, 331, 332; Pub. L. 111–312, title VII, § 711(a), </w:t>
      </w:r>
      <w:r w:rsidRPr="008B3051">
        <w:rPr>
          <w:rStyle w:val="Date3"/>
          <w:rFonts w:ascii="Verdana" w:hAnsi="Verdana"/>
        </w:rPr>
        <w:t>Dec. 17, 2010</w:t>
      </w:r>
      <w:r w:rsidRPr="008B3051">
        <w:rPr>
          <w:rFonts w:ascii="Verdana" w:hAnsi="Verdana"/>
        </w:rPr>
        <w:t>, 124 Stat. 3315; Pub. L. 112–240, title IV, § 402(a), </w:t>
      </w:r>
      <w:r w:rsidRPr="008B3051">
        <w:rPr>
          <w:rStyle w:val="Date3"/>
          <w:rFonts w:ascii="Verdana" w:hAnsi="Verdana"/>
        </w:rPr>
        <w:t>Jan. 2, 2013</w:t>
      </w:r>
      <w:r w:rsidRPr="008B3051">
        <w:rPr>
          <w:rFonts w:ascii="Verdana" w:hAnsi="Verdana"/>
        </w:rPr>
        <w:t>, 126 Stat. 2337; Pub. L. 113–295, div. A, title I, § 161(a), title II, §§ 218(b), 221(a)(34)(B), </w:t>
      </w:r>
      <w:r w:rsidRPr="008B3051">
        <w:rPr>
          <w:rStyle w:val="Date3"/>
          <w:rFonts w:ascii="Verdana" w:hAnsi="Verdana"/>
        </w:rPr>
        <w:t>Dec. 19, 2014</w:t>
      </w:r>
      <w:r w:rsidRPr="008B3051">
        <w:rPr>
          <w:rFonts w:ascii="Verdana" w:hAnsi="Verdana"/>
        </w:rPr>
        <w:t>, 128 Stat. 4023, 4035, 4042; Pub. L. 114–113, div. Q, title I, § 182(a), </w:t>
      </w:r>
      <w:r w:rsidRPr="008B3051">
        <w:rPr>
          <w:rStyle w:val="Date3"/>
          <w:rFonts w:ascii="Verdana" w:hAnsi="Verdana"/>
        </w:rPr>
        <w:t>Dec. 18, 2015</w:t>
      </w:r>
      <w:r w:rsidRPr="008B3051">
        <w:rPr>
          <w:rFonts w:ascii="Verdana" w:hAnsi="Verdana"/>
        </w:rPr>
        <w:t>, 129 Stat. 3072.)</w:t>
      </w:r>
    </w:p>
    <w:p w14:paraId="274CE04C" w14:textId="77777777" w:rsidR="00B5587E" w:rsidRPr="008B3051" w:rsidRDefault="00B5587E" w:rsidP="00B5587E">
      <w:pPr>
        <w:shd w:val="clear" w:color="auto" w:fill="FFFFFF"/>
        <w:spacing w:after="60" w:line="240" w:lineRule="auto"/>
        <w:ind w:left="360"/>
        <w:rPr>
          <w:rFonts w:ascii="Verdana" w:hAnsi="Verdana"/>
        </w:rPr>
      </w:pPr>
    </w:p>
    <w:p w14:paraId="1F530847" w14:textId="5FD9CCA5" w:rsidR="00B5587E" w:rsidRPr="008B3051" w:rsidRDefault="00B5587E" w:rsidP="000805FD">
      <w:pPr>
        <w:pStyle w:val="last"/>
        <w:numPr>
          <w:ilvl w:val="0"/>
          <w:numId w:val="4"/>
        </w:numPr>
        <w:shd w:val="clear" w:color="auto" w:fill="FFFFFF"/>
        <w:spacing w:before="0" w:beforeAutospacing="0" w:after="60" w:afterAutospacing="0"/>
        <w:ind w:left="360"/>
        <w:rPr>
          <w:rFonts w:ascii="Verdana" w:hAnsi="Verdana"/>
        </w:rPr>
      </w:pPr>
      <w:r w:rsidRPr="008B3051">
        <w:rPr>
          <w:rFonts w:ascii="Verdana" w:hAnsi="Verdana"/>
        </w:rPr>
        <w:t>§ 30D - New qualified plug-in electric drive motor vehicles</w:t>
      </w:r>
    </w:p>
    <w:p w14:paraId="3F29C688" w14:textId="40B22C05" w:rsidR="00B5587E" w:rsidRPr="008B3051" w:rsidRDefault="00B5587E" w:rsidP="00B5587E">
      <w:pPr>
        <w:pStyle w:val="last"/>
        <w:shd w:val="clear" w:color="auto" w:fill="FFFFFF"/>
        <w:spacing w:before="0" w:beforeAutospacing="0" w:after="60" w:afterAutospacing="0"/>
        <w:ind w:left="360"/>
        <w:rPr>
          <w:rFonts w:ascii="Verdana" w:hAnsi="Verdana"/>
        </w:rPr>
      </w:pPr>
    </w:p>
    <w:p w14:paraId="414B9439"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r w:rsidRPr="008B3051">
        <w:rPr>
          <w:rStyle w:val="heading"/>
          <w:rFonts w:ascii="Verdana" w:hAnsi="Verdana"/>
          <w:b/>
          <w:bCs/>
          <w:smallCaps/>
        </w:rPr>
        <w:t>Allowance of credit</w:t>
      </w:r>
    </w:p>
    <w:p w14:paraId="0B8235D0" w14:textId="255481A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There shall be allowed as a credit against the tax imposed by this chapter for the taxable year an amount equal to the sum of the credit amounts determined under subsection (b) with respect to each new qualified plug-in electric drive motor vehicle placed in service by the taxpayer during the taxable year.</w:t>
      </w:r>
    </w:p>
    <w:p w14:paraId="1D571DA5"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r w:rsidRPr="008B3051">
        <w:rPr>
          <w:rStyle w:val="heading"/>
          <w:rFonts w:ascii="Verdana" w:hAnsi="Verdana"/>
          <w:b/>
          <w:bCs/>
          <w:smallCaps/>
        </w:rPr>
        <w:t>Per vehicle dollar limitation</w:t>
      </w:r>
    </w:p>
    <w:p w14:paraId="3218F572"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028CDA3A" w14:textId="681FB9C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determined under this subsection with respect to any new qualified plug-in electric drive motor vehicle is the sum of the amounts determined under paragraphs (2) and (3) with respect to such vehicle.</w:t>
      </w:r>
    </w:p>
    <w:p w14:paraId="709CA54E"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Base amount</w:t>
      </w:r>
    </w:p>
    <w:p w14:paraId="447E910E" w14:textId="7777777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determined under this paragraph is $2,500.</w:t>
      </w:r>
    </w:p>
    <w:p w14:paraId="468FB042"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Battery capacity</w:t>
      </w:r>
    </w:p>
    <w:p w14:paraId="1169BC94" w14:textId="73AFD4BD"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 xml:space="preserve">In the case of a vehicle which draws propulsion energy from a battery with not less than 5 kilowatt hours of capacity, the amount determined under this paragraph is $417, plus $417 for each kilowatt hour of capacity in excess of </w:t>
      </w:r>
      <w:r w:rsidRPr="008B3051">
        <w:rPr>
          <w:rFonts w:ascii="Verdana" w:hAnsi="Verdana"/>
        </w:rPr>
        <w:lastRenderedPageBreak/>
        <w:t>5 kilowatt hours. The amount determined under this paragraph shall not exceed $5,000.</w:t>
      </w:r>
    </w:p>
    <w:p w14:paraId="2074431F"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r w:rsidRPr="008B3051">
        <w:rPr>
          <w:rStyle w:val="heading"/>
          <w:rFonts w:ascii="Verdana" w:hAnsi="Verdana"/>
          <w:b/>
          <w:bCs/>
          <w:smallCaps/>
        </w:rPr>
        <w:t>Application with other credits</w:t>
      </w:r>
    </w:p>
    <w:p w14:paraId="273FCF6F"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Business credit treated as part of general business credit</w:t>
      </w:r>
    </w:p>
    <w:p w14:paraId="5605A0A0" w14:textId="65556878"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So much of the credit which would be allowed under subsection (a) for any taxable year (determined without regard to this subsection) that is attributable to property of a character subject to an allowance for depreciation shall be treated as a credit listed in section 38(b) for such taxable year (and not allowed under subsection (a)).</w:t>
      </w:r>
    </w:p>
    <w:p w14:paraId="30F00905"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Personal credit</w:t>
      </w:r>
    </w:p>
    <w:p w14:paraId="0396D811" w14:textId="58FF3E5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title, the credit allowed under subsection (a) for any taxable year (determined after application of paragraph (1)) shall be treated as a credit allowable under subpart A for such taxable year.</w:t>
      </w:r>
    </w:p>
    <w:p w14:paraId="4CEBB015"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r w:rsidRPr="008B3051">
        <w:rPr>
          <w:rStyle w:val="heading"/>
          <w:rFonts w:ascii="Verdana" w:hAnsi="Verdana"/>
          <w:b/>
          <w:bCs/>
          <w:smallCaps/>
        </w:rPr>
        <w:t>New qualified plug-in electric drive motor vehicle</w:t>
      </w:r>
      <w:r w:rsidRPr="008B3051">
        <w:rPr>
          <w:rStyle w:val="chapeau"/>
          <w:rFonts w:ascii="Verdana" w:hAnsi="Verdana"/>
        </w:rPr>
        <w:t>For purposes of this section—</w:t>
      </w:r>
    </w:p>
    <w:p w14:paraId="08CF0068" w14:textId="5F754042"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The term “new qualified plug-in electric drive motor vehicle” means a motor vehicle—</w:t>
      </w:r>
    </w:p>
    <w:p w14:paraId="084F430B"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63CBA561" w14:textId="6F0DB360" w:rsidR="00B5587E" w:rsidRPr="008B3051" w:rsidRDefault="00B5587E" w:rsidP="00B5587E">
      <w:pPr>
        <w:shd w:val="clear" w:color="auto" w:fill="FFFFFF"/>
        <w:rPr>
          <w:rFonts w:ascii="Verdana" w:hAnsi="Verdana"/>
        </w:rPr>
      </w:pPr>
      <w:r w:rsidRPr="008B3051">
        <w:rPr>
          <w:rFonts w:ascii="Verdana" w:hAnsi="Verdana"/>
        </w:rPr>
        <w:t>the original use of which commences with the taxpayer,</w:t>
      </w:r>
    </w:p>
    <w:p w14:paraId="169476C6"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589D390F" w14:textId="3FD4DAFD" w:rsidR="00B5587E" w:rsidRPr="008B3051" w:rsidRDefault="00B5587E" w:rsidP="00B5587E">
      <w:pPr>
        <w:shd w:val="clear" w:color="auto" w:fill="FFFFFF"/>
        <w:rPr>
          <w:rFonts w:ascii="Verdana" w:hAnsi="Verdana"/>
        </w:rPr>
      </w:pPr>
      <w:r w:rsidRPr="008B3051">
        <w:rPr>
          <w:rFonts w:ascii="Verdana" w:hAnsi="Verdana"/>
        </w:rPr>
        <w:t>which is acquired for use or lease by the taxpayer and not for resale,</w:t>
      </w:r>
    </w:p>
    <w:p w14:paraId="22A2D7F5"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5C438DDF" w14:textId="134DB7B0" w:rsidR="00B5587E" w:rsidRPr="008B3051" w:rsidRDefault="00B5587E" w:rsidP="00B5587E">
      <w:pPr>
        <w:shd w:val="clear" w:color="auto" w:fill="FFFFFF"/>
        <w:rPr>
          <w:rFonts w:ascii="Verdana" w:hAnsi="Verdana"/>
        </w:rPr>
      </w:pPr>
      <w:r w:rsidRPr="008B3051">
        <w:rPr>
          <w:rFonts w:ascii="Verdana" w:hAnsi="Verdana"/>
        </w:rPr>
        <w:t>which is made by a manufacturer,</w:t>
      </w:r>
    </w:p>
    <w:p w14:paraId="26A682DF" w14:textId="77777777" w:rsidR="00B5587E" w:rsidRPr="008B3051" w:rsidRDefault="00B5587E" w:rsidP="00B5587E">
      <w:pPr>
        <w:shd w:val="clear" w:color="auto" w:fill="FFFFFF"/>
        <w:rPr>
          <w:rFonts w:ascii="Verdana" w:hAnsi="Verdana"/>
        </w:rPr>
      </w:pPr>
      <w:r w:rsidRPr="008B3051">
        <w:rPr>
          <w:rStyle w:val="num"/>
          <w:rFonts w:ascii="Verdana" w:hAnsi="Verdana"/>
          <w:b/>
          <w:bCs/>
        </w:rPr>
        <w:t>(D)</w:t>
      </w:r>
    </w:p>
    <w:p w14:paraId="5CF77D33" w14:textId="766D60AC" w:rsidR="00B5587E" w:rsidRPr="008B3051" w:rsidRDefault="00B5587E" w:rsidP="00B5587E">
      <w:pPr>
        <w:shd w:val="clear" w:color="auto" w:fill="FFFFFF"/>
        <w:rPr>
          <w:rFonts w:ascii="Verdana" w:hAnsi="Verdana"/>
        </w:rPr>
      </w:pPr>
      <w:r w:rsidRPr="008B3051">
        <w:rPr>
          <w:rFonts w:ascii="Verdana" w:hAnsi="Verdana"/>
        </w:rPr>
        <w:t>which is treated as a motor vehicle for purposes of title II of the Clean Air Act,</w:t>
      </w:r>
    </w:p>
    <w:p w14:paraId="1D8B05B7" w14:textId="77777777" w:rsidR="00B5587E" w:rsidRPr="008B3051" w:rsidRDefault="00B5587E" w:rsidP="00B5587E">
      <w:pPr>
        <w:shd w:val="clear" w:color="auto" w:fill="FFFFFF"/>
        <w:rPr>
          <w:rFonts w:ascii="Verdana" w:hAnsi="Verdana"/>
        </w:rPr>
      </w:pPr>
      <w:bookmarkStart w:id="533" w:name="d_1_E"/>
      <w:bookmarkEnd w:id="533"/>
      <w:r w:rsidRPr="008B3051">
        <w:rPr>
          <w:rStyle w:val="num"/>
          <w:rFonts w:ascii="Verdana" w:hAnsi="Verdana"/>
          <w:b/>
          <w:bCs/>
        </w:rPr>
        <w:t>(E)</w:t>
      </w:r>
    </w:p>
    <w:p w14:paraId="7966FE71" w14:textId="4DA4840A" w:rsidR="00B5587E" w:rsidRPr="008B3051" w:rsidRDefault="00B5587E" w:rsidP="00B5587E">
      <w:pPr>
        <w:shd w:val="clear" w:color="auto" w:fill="FFFFFF"/>
        <w:rPr>
          <w:rFonts w:ascii="Verdana" w:hAnsi="Verdana"/>
        </w:rPr>
      </w:pPr>
      <w:r w:rsidRPr="008B3051">
        <w:rPr>
          <w:rFonts w:ascii="Verdana" w:hAnsi="Verdana"/>
        </w:rPr>
        <w:t>which has a grossvehicle weight rating of less than 14,000 pounds, and</w:t>
      </w:r>
    </w:p>
    <w:p w14:paraId="7F3C2165" w14:textId="77777777" w:rsidR="00B5587E" w:rsidRPr="008B3051" w:rsidRDefault="00B5587E" w:rsidP="00B5587E">
      <w:pPr>
        <w:shd w:val="clear" w:color="auto" w:fill="FFFFFF"/>
        <w:rPr>
          <w:rFonts w:ascii="Verdana" w:hAnsi="Verdana"/>
        </w:rPr>
      </w:pPr>
      <w:bookmarkStart w:id="534" w:name="d_1_F"/>
      <w:bookmarkEnd w:id="534"/>
      <w:r w:rsidRPr="008B3051">
        <w:rPr>
          <w:rStyle w:val="num"/>
          <w:rFonts w:ascii="Verdana" w:hAnsi="Verdana"/>
          <w:b/>
          <w:bCs/>
        </w:rPr>
        <w:t>(F)</w:t>
      </w:r>
      <w:r w:rsidRPr="008B3051">
        <w:rPr>
          <w:rStyle w:val="chapeau"/>
          <w:rFonts w:ascii="Verdana" w:hAnsi="Verdana"/>
        </w:rPr>
        <w:t>which is propelled to a significant extent by an electric motor which draws electricity from a battery which—</w:t>
      </w:r>
    </w:p>
    <w:p w14:paraId="40DA12B5" w14:textId="77777777" w:rsidR="00B5587E" w:rsidRPr="008B3051" w:rsidRDefault="00B5587E" w:rsidP="00B5587E">
      <w:pPr>
        <w:shd w:val="clear" w:color="auto" w:fill="FFFFFF"/>
        <w:rPr>
          <w:rFonts w:ascii="Verdana" w:hAnsi="Verdana"/>
        </w:rPr>
      </w:pPr>
      <w:bookmarkStart w:id="535" w:name="d_1_F_i"/>
      <w:bookmarkEnd w:id="535"/>
      <w:r w:rsidRPr="008B3051">
        <w:rPr>
          <w:rStyle w:val="num"/>
          <w:rFonts w:ascii="Verdana" w:hAnsi="Verdana"/>
          <w:b/>
          <w:bCs/>
        </w:rPr>
        <w:t>(i)</w:t>
      </w:r>
    </w:p>
    <w:p w14:paraId="090C7CB4" w14:textId="74FB0C8A" w:rsidR="00B5587E" w:rsidRPr="008B3051" w:rsidRDefault="00B5587E" w:rsidP="00B5587E">
      <w:pPr>
        <w:shd w:val="clear" w:color="auto" w:fill="FFFFFF"/>
        <w:rPr>
          <w:rFonts w:ascii="Verdana" w:hAnsi="Verdana"/>
        </w:rPr>
      </w:pPr>
      <w:r w:rsidRPr="008B3051">
        <w:rPr>
          <w:rFonts w:ascii="Verdana" w:hAnsi="Verdana"/>
        </w:rPr>
        <w:t>has a capacity of not less than 4 kilowatt hours, and</w:t>
      </w:r>
    </w:p>
    <w:p w14:paraId="3F18BBCA" w14:textId="77777777" w:rsidR="00B5587E" w:rsidRPr="008B3051" w:rsidRDefault="00B5587E" w:rsidP="00B5587E">
      <w:pPr>
        <w:shd w:val="clear" w:color="auto" w:fill="FFFFFF"/>
        <w:rPr>
          <w:rFonts w:ascii="Verdana" w:hAnsi="Verdana"/>
        </w:rPr>
      </w:pPr>
      <w:bookmarkStart w:id="536" w:name="d_1_F_ii"/>
      <w:bookmarkEnd w:id="536"/>
      <w:r w:rsidRPr="008B3051">
        <w:rPr>
          <w:rStyle w:val="num"/>
          <w:rFonts w:ascii="Verdana" w:hAnsi="Verdana"/>
          <w:b/>
          <w:bCs/>
        </w:rPr>
        <w:t>(ii)</w:t>
      </w:r>
    </w:p>
    <w:p w14:paraId="32E90947" w14:textId="77777777" w:rsidR="00B5587E" w:rsidRPr="008B3051" w:rsidRDefault="00B5587E" w:rsidP="00B5587E">
      <w:pPr>
        <w:shd w:val="clear" w:color="auto" w:fill="FFFFFF"/>
        <w:rPr>
          <w:rFonts w:ascii="Verdana" w:hAnsi="Verdana"/>
        </w:rPr>
      </w:pPr>
      <w:r w:rsidRPr="008B3051">
        <w:rPr>
          <w:rFonts w:ascii="Verdana" w:hAnsi="Verdana"/>
        </w:rPr>
        <w:t>is capable of being recharged from an external source of electricity.</w:t>
      </w:r>
    </w:p>
    <w:p w14:paraId="3115BAEA" w14:textId="77777777" w:rsidR="00B5587E" w:rsidRPr="008B3051" w:rsidRDefault="00B5587E" w:rsidP="00B5587E">
      <w:pPr>
        <w:shd w:val="clear" w:color="auto" w:fill="FFFFFF"/>
        <w:rPr>
          <w:rFonts w:ascii="Verdana" w:hAnsi="Verdana"/>
        </w:rPr>
      </w:pPr>
      <w:r w:rsidRPr="008B3051">
        <w:rPr>
          <w:rStyle w:val="num"/>
          <w:rFonts w:ascii="Verdana" w:hAnsi="Verdana"/>
          <w:b/>
          <w:bCs/>
        </w:rPr>
        <w:lastRenderedPageBreak/>
        <w:t>(2)</w:t>
      </w:r>
      <w:r w:rsidRPr="008B3051">
        <w:rPr>
          <w:rStyle w:val="heading"/>
          <w:rFonts w:ascii="Verdana" w:hAnsi="Verdana"/>
          <w:b/>
          <w:bCs/>
          <w:smallCaps/>
        </w:rPr>
        <w:t>Motor vehicle</w:t>
      </w:r>
    </w:p>
    <w:p w14:paraId="29B07FD8" w14:textId="4C0916BF"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 “motor vehicle” means any vehicle which is manufactured primarily for use on public streets, roads, and highways (not including a vehicle operated exclusively on a rail or rails) and which has at least 4 wheels.</w:t>
      </w:r>
    </w:p>
    <w:p w14:paraId="73255D54"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Manufacturer</w:t>
      </w:r>
    </w:p>
    <w:p w14:paraId="7B7A53E0" w14:textId="1793E36C"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 “manufacturer” has the meaning given such term in regulations prescribed by the Administrator of the Environmental Protection Agency for purposes of the administration of title II of the Clean Air Act (42 U.S.C. 7521 et seq.).</w:t>
      </w:r>
    </w:p>
    <w:p w14:paraId="1EF0BC07"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Battery capacity</w:t>
      </w:r>
    </w:p>
    <w:p w14:paraId="146A1191" w14:textId="2D986258"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term “capacity” means, with respect to any battery, the quantity of electricity which the battery is capable of storing, expressed in kilowatt hours, as measured from a 100 percent state of charge to a 0 percent state of charge.</w:t>
      </w:r>
    </w:p>
    <w:p w14:paraId="4430A3EB" w14:textId="77777777" w:rsidR="00B5587E" w:rsidRPr="008B3051" w:rsidRDefault="00B5587E" w:rsidP="00B5587E">
      <w:pPr>
        <w:shd w:val="clear" w:color="auto" w:fill="FFFFFF"/>
        <w:rPr>
          <w:rFonts w:ascii="Verdana" w:hAnsi="Verdana"/>
        </w:rPr>
      </w:pPr>
      <w:r w:rsidRPr="008B3051">
        <w:rPr>
          <w:rStyle w:val="num"/>
          <w:rFonts w:ascii="Verdana" w:hAnsi="Verdana"/>
          <w:b/>
          <w:bCs/>
        </w:rPr>
        <w:t>(e)</w:t>
      </w:r>
      <w:r w:rsidRPr="008B3051">
        <w:rPr>
          <w:rStyle w:val="heading"/>
          <w:rFonts w:ascii="Verdana" w:hAnsi="Verdana"/>
          <w:b/>
          <w:bCs/>
          <w:smallCaps/>
        </w:rPr>
        <w:t>Limitation on number of new qualified plug-in electric drive motor vehicles eligible for credit</w:t>
      </w:r>
    </w:p>
    <w:p w14:paraId="190D49B6"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p>
    <w:p w14:paraId="2DD18EB4" w14:textId="3F50FC67"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new qualified plug-in electric drive motor vehicle sold during the phaseout period, only the applicable percentage of the credit otherwise allowable under subsection (a) shall be allowed.</w:t>
      </w:r>
    </w:p>
    <w:p w14:paraId="5B5C6316"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Phaseout period</w:t>
      </w:r>
    </w:p>
    <w:p w14:paraId="025218B7" w14:textId="6D81A1F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subsection, the phaseout period is the period beginning with the second calendar quarter following the calendar quarter which includes the first date on which the number of new qualified plug-in electric drive motor vehicles manufactured by the manufacturer of the vehicle referred to in paragraph (1) sold for use in the United States after </w:t>
      </w:r>
      <w:r w:rsidRPr="008B3051">
        <w:rPr>
          <w:rStyle w:val="Date3"/>
          <w:rFonts w:ascii="Verdana" w:hAnsi="Verdana"/>
        </w:rPr>
        <w:t>December 31, 2009</w:t>
      </w:r>
      <w:r w:rsidRPr="008B3051">
        <w:rPr>
          <w:rFonts w:ascii="Verdana" w:hAnsi="Verdana"/>
        </w:rPr>
        <w:t>, is at least 200,000.</w:t>
      </w:r>
    </w:p>
    <w:p w14:paraId="228AD02A" w14:textId="535892AC"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Applicable percentage</w:t>
      </w:r>
      <w:r w:rsidRPr="008B3051">
        <w:rPr>
          <w:rStyle w:val="chapeau"/>
          <w:rFonts w:ascii="Verdana" w:hAnsi="Verdana"/>
        </w:rPr>
        <w:t>For purposes of paragraph (1), the applicable percentage is—</w:t>
      </w:r>
    </w:p>
    <w:p w14:paraId="4260B121"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12780F9D" w14:textId="37754E33" w:rsidR="00B5587E" w:rsidRPr="008B3051" w:rsidRDefault="00B5587E" w:rsidP="00B5587E">
      <w:pPr>
        <w:shd w:val="clear" w:color="auto" w:fill="FFFFFF"/>
        <w:rPr>
          <w:rFonts w:ascii="Verdana" w:hAnsi="Verdana"/>
        </w:rPr>
      </w:pPr>
      <w:r w:rsidRPr="008B3051">
        <w:rPr>
          <w:rFonts w:ascii="Verdana" w:hAnsi="Verdana"/>
        </w:rPr>
        <w:t>50 percent for the first 2 calendar quarters of the phaseout period,</w:t>
      </w:r>
    </w:p>
    <w:p w14:paraId="22FBBE99"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2ECBAEC7" w14:textId="364C4157" w:rsidR="00B5587E" w:rsidRPr="008B3051" w:rsidRDefault="00B5587E" w:rsidP="00B5587E">
      <w:pPr>
        <w:shd w:val="clear" w:color="auto" w:fill="FFFFFF"/>
        <w:rPr>
          <w:rFonts w:ascii="Verdana" w:hAnsi="Verdana"/>
        </w:rPr>
      </w:pPr>
      <w:r w:rsidRPr="008B3051">
        <w:rPr>
          <w:rFonts w:ascii="Verdana" w:hAnsi="Verdana"/>
        </w:rPr>
        <w:t>25 percent for the 3d and 4th calendar quarters of the phaseout period, and</w:t>
      </w:r>
    </w:p>
    <w:p w14:paraId="56FCCECD"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3B966564" w14:textId="4EEB426E" w:rsidR="00B5587E" w:rsidRPr="008B3051" w:rsidRDefault="00B5587E" w:rsidP="00B5587E">
      <w:pPr>
        <w:shd w:val="clear" w:color="auto" w:fill="FFFFFF"/>
        <w:rPr>
          <w:rFonts w:ascii="Verdana" w:hAnsi="Verdana"/>
        </w:rPr>
      </w:pPr>
      <w:r w:rsidRPr="008B3051">
        <w:rPr>
          <w:rFonts w:ascii="Verdana" w:hAnsi="Verdana"/>
        </w:rPr>
        <w:t>0 percent for each calendar quarter thereafter.</w:t>
      </w:r>
    </w:p>
    <w:p w14:paraId="13BC7BC8"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Controlled groups</w:t>
      </w:r>
    </w:p>
    <w:p w14:paraId="40E561F3" w14:textId="3D692D01"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lastRenderedPageBreak/>
        <w:t>Rules similar to the rules of section 30B(f)(4) shall apply for purposes of this subsection.</w:t>
      </w:r>
    </w:p>
    <w:p w14:paraId="3AEB8D41" w14:textId="77777777" w:rsidR="00B5587E" w:rsidRPr="008B3051" w:rsidRDefault="00B5587E" w:rsidP="00B5587E">
      <w:pPr>
        <w:shd w:val="clear" w:color="auto" w:fill="FFFFFF"/>
        <w:rPr>
          <w:rFonts w:ascii="Verdana" w:hAnsi="Verdana"/>
        </w:rPr>
      </w:pPr>
      <w:r w:rsidRPr="008B3051">
        <w:rPr>
          <w:rStyle w:val="num"/>
          <w:rFonts w:ascii="Verdana" w:hAnsi="Verdana"/>
          <w:b/>
          <w:bCs/>
        </w:rPr>
        <w:t>(f)</w:t>
      </w:r>
      <w:r w:rsidRPr="008B3051">
        <w:rPr>
          <w:rStyle w:val="heading"/>
          <w:rFonts w:ascii="Verdana" w:hAnsi="Verdana"/>
          <w:b/>
          <w:bCs/>
          <w:smallCaps/>
        </w:rPr>
        <w:t>Special rules</w:t>
      </w:r>
    </w:p>
    <w:p w14:paraId="7996D89E" w14:textId="77777777"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Basis reduction</w:t>
      </w:r>
    </w:p>
    <w:p w14:paraId="2B0115B8" w14:textId="4CFE6939"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For purposes of this subtitle, the basis of any property for which a credit is allowable under subsection (a) shall be reduced by the amount of such credit so allowed (determined without regard to subsection (c)).</w:t>
      </w:r>
    </w:p>
    <w:p w14:paraId="63AAF21B"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No double benefit</w:t>
      </w:r>
    </w:p>
    <w:p w14:paraId="3016F3D7" w14:textId="70AE3EE2"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amount of any deduction or other credit allowable under this chapter for a vehicle for which a credit is allowable under subsection (a) shall be reduced by the amount of credit allowed under such subsection for such vehicle (determined without regard to subsection (c)).</w:t>
      </w:r>
    </w:p>
    <w:p w14:paraId="7B954682" w14:textId="77777777"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Property used by tax-exempt entity</w:t>
      </w:r>
    </w:p>
    <w:p w14:paraId="28BEED67" w14:textId="18D864E6"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In the case of a vehicle the use of which is described in paragraph (3) or (4) of section 50(b) and which is not subject to a lease, the person who sold such vehicle to the person or entity using such vehicle shall be treated as the taxpayer that placed such vehicle in service, but only if such person clearly discloses to such person or entity in a document the amount of any credit allowable under subsection (a) with respect to such vehicle (determined without regard to subsection (c)). For purposes of subsection (c), property to which this paragraph applies shall be treated as of a character subject to an allowance for depreciation.</w:t>
      </w:r>
    </w:p>
    <w:p w14:paraId="3FA64BC7" w14:textId="77777777" w:rsidR="00B5587E" w:rsidRPr="008B3051" w:rsidRDefault="00B5587E" w:rsidP="00B5587E">
      <w:pPr>
        <w:shd w:val="clear" w:color="auto" w:fill="FFFFFF"/>
        <w:rPr>
          <w:rFonts w:ascii="Verdana" w:hAnsi="Verdana"/>
        </w:rPr>
      </w:pPr>
      <w:r w:rsidRPr="008B3051">
        <w:rPr>
          <w:rStyle w:val="num"/>
          <w:rFonts w:ascii="Verdana" w:hAnsi="Verdana"/>
          <w:b/>
          <w:bCs/>
        </w:rPr>
        <w:t>(4)</w:t>
      </w:r>
      <w:r w:rsidRPr="008B3051">
        <w:rPr>
          <w:rStyle w:val="heading"/>
          <w:rFonts w:ascii="Verdana" w:hAnsi="Verdana"/>
          <w:b/>
          <w:bCs/>
          <w:smallCaps/>
        </w:rPr>
        <w:t>Property used outside United States not qualified</w:t>
      </w:r>
    </w:p>
    <w:p w14:paraId="69B5F672" w14:textId="69B69584"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allowable under subsection (a) with respect to any property referred to in section 50(b)(1).</w:t>
      </w:r>
    </w:p>
    <w:p w14:paraId="04BC5580" w14:textId="77777777" w:rsidR="00B5587E" w:rsidRPr="008B3051" w:rsidRDefault="00B5587E" w:rsidP="00B5587E">
      <w:pPr>
        <w:shd w:val="clear" w:color="auto" w:fill="FFFFFF"/>
        <w:rPr>
          <w:rFonts w:ascii="Verdana" w:hAnsi="Verdana"/>
        </w:rPr>
      </w:pPr>
      <w:r w:rsidRPr="008B3051">
        <w:rPr>
          <w:rStyle w:val="num"/>
          <w:rFonts w:ascii="Verdana" w:hAnsi="Verdana"/>
          <w:b/>
          <w:bCs/>
        </w:rPr>
        <w:t>(5)</w:t>
      </w:r>
      <w:r w:rsidRPr="008B3051">
        <w:rPr>
          <w:rStyle w:val="heading"/>
          <w:rFonts w:ascii="Verdana" w:hAnsi="Verdana"/>
          <w:b/>
          <w:bCs/>
          <w:smallCaps/>
        </w:rPr>
        <w:t>Recapture</w:t>
      </w:r>
    </w:p>
    <w:p w14:paraId="4828BA0F" w14:textId="13C94020"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The Secretary shall, by regulations, provide for recapturing the benefit of any credit allowable under subsection (a) with respect to any property which ceases to be property eligible for such credit.</w:t>
      </w:r>
    </w:p>
    <w:p w14:paraId="5D76B1E1" w14:textId="77777777" w:rsidR="00B5587E" w:rsidRPr="008B3051" w:rsidRDefault="00B5587E" w:rsidP="00B5587E">
      <w:pPr>
        <w:shd w:val="clear" w:color="auto" w:fill="FFFFFF"/>
        <w:rPr>
          <w:rFonts w:ascii="Verdana" w:hAnsi="Verdana"/>
        </w:rPr>
      </w:pPr>
      <w:r w:rsidRPr="008B3051">
        <w:rPr>
          <w:rStyle w:val="num"/>
          <w:rFonts w:ascii="Verdana" w:hAnsi="Verdana"/>
          <w:b/>
          <w:bCs/>
        </w:rPr>
        <w:t>(6)</w:t>
      </w:r>
      <w:r w:rsidRPr="008B3051">
        <w:rPr>
          <w:rStyle w:val="heading"/>
          <w:rFonts w:ascii="Verdana" w:hAnsi="Verdana"/>
          <w:b/>
          <w:bCs/>
          <w:smallCaps/>
        </w:rPr>
        <w:t>Election not to take credit</w:t>
      </w:r>
    </w:p>
    <w:p w14:paraId="2D92FC2D" w14:textId="7F4CF333" w:rsidR="00B5587E" w:rsidRPr="008B3051" w:rsidRDefault="00B5587E" w:rsidP="00B5587E">
      <w:pPr>
        <w:pStyle w:val="NormalWeb"/>
        <w:shd w:val="clear" w:color="auto" w:fill="FFFFFF"/>
        <w:spacing w:before="0" w:beforeAutospacing="0" w:after="0" w:afterAutospacing="0"/>
        <w:rPr>
          <w:rFonts w:ascii="Verdana" w:hAnsi="Verdana"/>
        </w:rPr>
      </w:pPr>
      <w:r w:rsidRPr="008B3051">
        <w:rPr>
          <w:rFonts w:ascii="Verdana" w:hAnsi="Verdana"/>
        </w:rPr>
        <w:t>No credit shall be allowed under subsection (a) for any vehicle if the taxpayer elects to not have this section apply to such vehicle.</w:t>
      </w:r>
    </w:p>
    <w:p w14:paraId="7AE1125A" w14:textId="61016102" w:rsidR="00B5587E" w:rsidRPr="008B3051" w:rsidRDefault="00B5587E" w:rsidP="00B5587E">
      <w:pPr>
        <w:shd w:val="clear" w:color="auto" w:fill="FFFFFF"/>
        <w:rPr>
          <w:rFonts w:ascii="Verdana" w:hAnsi="Verdana"/>
        </w:rPr>
      </w:pPr>
      <w:r w:rsidRPr="008B3051">
        <w:rPr>
          <w:rStyle w:val="num"/>
          <w:rFonts w:ascii="Verdana" w:hAnsi="Verdana"/>
          <w:b/>
          <w:bCs/>
        </w:rPr>
        <w:t>(7)</w:t>
      </w:r>
      <w:r w:rsidRPr="008B3051">
        <w:rPr>
          <w:rStyle w:val="heading"/>
          <w:rFonts w:ascii="Verdana" w:hAnsi="Verdana"/>
          <w:b/>
          <w:bCs/>
          <w:smallCaps/>
        </w:rPr>
        <w:t>Interaction with air quality and motor vehicle safety standards</w:t>
      </w:r>
      <w:r w:rsidRPr="008B3051">
        <w:rPr>
          <w:rStyle w:val="chapeau"/>
          <w:rFonts w:ascii="Verdana" w:hAnsi="Verdana"/>
        </w:rPr>
        <w:t>A vehicle shall not be considered eligible for a credit under this section unless such vehicle is in compliance with—</w:t>
      </w:r>
    </w:p>
    <w:p w14:paraId="2789F5E4"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72AAF495" w14:textId="445C398D" w:rsidR="00B5587E" w:rsidRPr="008B3051" w:rsidRDefault="00B5587E" w:rsidP="00B5587E">
      <w:pPr>
        <w:shd w:val="clear" w:color="auto" w:fill="FFFFFF"/>
        <w:rPr>
          <w:rFonts w:ascii="Verdana" w:hAnsi="Verdana"/>
        </w:rPr>
      </w:pPr>
      <w:r w:rsidRPr="008B3051">
        <w:rPr>
          <w:rFonts w:ascii="Verdana" w:hAnsi="Verdana"/>
        </w:rPr>
        <w:t xml:space="preserve">the applicable provisions of the Clean Air Act for the applicable make and model year of the vehicle (or applicable air quality provisions of State law in the case of a </w:t>
      </w:r>
      <w:r w:rsidRPr="008B3051">
        <w:rPr>
          <w:rFonts w:ascii="Verdana" w:hAnsi="Verdana"/>
        </w:rPr>
        <w:lastRenderedPageBreak/>
        <w:t>State which has adopted such provision under a waiver under section 209(b) of the Clean Air Act), and</w:t>
      </w:r>
    </w:p>
    <w:p w14:paraId="2375E048"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7C29F036" w14:textId="1EB78CC2" w:rsidR="00B5587E" w:rsidRPr="008B3051" w:rsidRDefault="00B5587E" w:rsidP="00B5587E">
      <w:pPr>
        <w:shd w:val="clear" w:color="auto" w:fill="FFFFFF"/>
        <w:rPr>
          <w:rFonts w:ascii="Verdana" w:hAnsi="Verdana"/>
        </w:rPr>
      </w:pPr>
      <w:r w:rsidRPr="008B3051">
        <w:rPr>
          <w:rFonts w:ascii="Verdana" w:hAnsi="Verdana"/>
        </w:rPr>
        <w:t>the motor vehicle safety provisions of sections 30101 through 30169 of title 49, United States Code.</w:t>
      </w:r>
    </w:p>
    <w:p w14:paraId="6FF14173" w14:textId="77777777" w:rsidR="00B5587E" w:rsidRPr="008B3051" w:rsidRDefault="00B5587E" w:rsidP="00B5587E">
      <w:pPr>
        <w:shd w:val="clear" w:color="auto" w:fill="FFFFFF"/>
        <w:rPr>
          <w:rFonts w:ascii="Verdana" w:hAnsi="Verdana"/>
        </w:rPr>
      </w:pPr>
      <w:r w:rsidRPr="008B3051">
        <w:rPr>
          <w:rStyle w:val="num"/>
          <w:rFonts w:ascii="Verdana" w:hAnsi="Verdana"/>
          <w:b/>
          <w:bCs/>
        </w:rPr>
        <w:t>(g)</w:t>
      </w:r>
      <w:r w:rsidRPr="008B3051">
        <w:rPr>
          <w:rStyle w:val="heading"/>
          <w:rFonts w:ascii="Verdana" w:hAnsi="Verdana"/>
          <w:b/>
          <w:bCs/>
          <w:smallCaps/>
        </w:rPr>
        <w:t>Credit allowed for 2- and 3-wheeled plug-in electric vehicles</w:t>
      </w:r>
    </w:p>
    <w:p w14:paraId="1568C01B" w14:textId="30DC5ECD" w:rsidR="00B5587E" w:rsidRPr="008B3051" w:rsidRDefault="00B5587E" w:rsidP="00B5587E">
      <w:pPr>
        <w:shd w:val="clear" w:color="auto" w:fill="FFFFFF"/>
        <w:rPr>
          <w:rFonts w:ascii="Verdana" w:hAnsi="Verdana"/>
        </w:rPr>
      </w:pPr>
      <w:r w:rsidRPr="008B3051">
        <w:rPr>
          <w:rStyle w:val="num"/>
          <w:rFonts w:ascii="Verdana" w:hAnsi="Verdana"/>
          <w:b/>
          <w:bCs/>
        </w:rPr>
        <w:t>(1)</w:t>
      </w:r>
      <w:r w:rsidRPr="008B3051">
        <w:rPr>
          <w:rStyle w:val="heading"/>
          <w:rFonts w:ascii="Verdana" w:hAnsi="Verdana"/>
          <w:b/>
          <w:bCs/>
          <w:smallCaps/>
        </w:rPr>
        <w:t>In general</w:t>
      </w:r>
      <w:r w:rsidRPr="008B3051">
        <w:rPr>
          <w:rStyle w:val="chapeau"/>
          <w:rFonts w:ascii="Verdana" w:hAnsi="Verdana"/>
        </w:rPr>
        <w:t>In the case of a qualified 2- or 3-wheeled plug-in electric vehicle—</w:t>
      </w:r>
    </w:p>
    <w:p w14:paraId="6E9E91DD"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544EC51E" w14:textId="0B3CE5D3" w:rsidR="00B5587E" w:rsidRPr="008B3051" w:rsidRDefault="00B5587E" w:rsidP="00B5587E">
      <w:pPr>
        <w:shd w:val="clear" w:color="auto" w:fill="FFFFFF"/>
        <w:rPr>
          <w:rFonts w:ascii="Verdana" w:hAnsi="Verdana"/>
        </w:rPr>
      </w:pPr>
      <w:r w:rsidRPr="008B3051">
        <w:rPr>
          <w:rFonts w:ascii="Verdana" w:hAnsi="Verdana"/>
        </w:rPr>
        <w:t>there shall be allowed as a credit against the tax imposed by this chapter for the taxable year an amount equal to the sum of the applicable amount with respect to each such qualified 2- or 3-wheeled plug-in electric vehicle placed in service by the taxpayer during the taxable year, and</w:t>
      </w:r>
    </w:p>
    <w:p w14:paraId="6CECF739"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59D5320D" w14:textId="77777777" w:rsidR="00B5587E" w:rsidRPr="008B3051" w:rsidRDefault="00B5587E" w:rsidP="00B5587E">
      <w:pPr>
        <w:shd w:val="clear" w:color="auto" w:fill="FFFFFF"/>
        <w:rPr>
          <w:rFonts w:ascii="Verdana" w:hAnsi="Verdana"/>
        </w:rPr>
      </w:pPr>
      <w:r w:rsidRPr="008B3051">
        <w:rPr>
          <w:rFonts w:ascii="Verdana" w:hAnsi="Verdana"/>
        </w:rPr>
        <w:t>the amount of the credit allowed under subparagraph (A) shall be treated as a credit allowed under subsection (a).</w:t>
      </w:r>
    </w:p>
    <w:p w14:paraId="62EE0FBC" w14:textId="77777777" w:rsidR="00B5587E" w:rsidRPr="008B3051" w:rsidRDefault="00B5587E" w:rsidP="00B5587E">
      <w:pPr>
        <w:shd w:val="clear" w:color="auto" w:fill="FFFFFF"/>
        <w:rPr>
          <w:rFonts w:ascii="Verdana" w:hAnsi="Verdana"/>
        </w:rPr>
      </w:pPr>
      <w:r w:rsidRPr="008B3051">
        <w:rPr>
          <w:rStyle w:val="num"/>
          <w:rFonts w:ascii="Verdana" w:hAnsi="Verdana"/>
          <w:b/>
          <w:bCs/>
        </w:rPr>
        <w:t>(2)</w:t>
      </w:r>
      <w:r w:rsidRPr="008B3051">
        <w:rPr>
          <w:rStyle w:val="heading"/>
          <w:rFonts w:ascii="Verdana" w:hAnsi="Verdana"/>
          <w:b/>
          <w:bCs/>
          <w:smallCaps/>
        </w:rPr>
        <w:t>Applicable amount</w:t>
      </w:r>
      <w:r w:rsidRPr="008B3051">
        <w:rPr>
          <w:rStyle w:val="chapeau"/>
          <w:rFonts w:ascii="Verdana" w:hAnsi="Verdana"/>
        </w:rPr>
        <w:t>For purposes of paragraph (1), the applicable amount is an amount equal to the lesser of—</w:t>
      </w:r>
    </w:p>
    <w:p w14:paraId="61DE9887"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338E6F33" w14:textId="736696A0" w:rsidR="00B5587E" w:rsidRPr="008B3051" w:rsidRDefault="00B5587E" w:rsidP="00B5587E">
      <w:pPr>
        <w:shd w:val="clear" w:color="auto" w:fill="FFFFFF"/>
        <w:rPr>
          <w:rFonts w:ascii="Verdana" w:hAnsi="Verdana"/>
        </w:rPr>
      </w:pPr>
      <w:r w:rsidRPr="008B3051">
        <w:rPr>
          <w:rFonts w:ascii="Verdana" w:hAnsi="Verdana"/>
        </w:rPr>
        <w:t>10 percent of the cost of the qualified 2- or 3-wheeled plug-in electric vehicle, or</w:t>
      </w:r>
    </w:p>
    <w:p w14:paraId="7A4CD08A"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6FE9363E" w14:textId="77777777" w:rsidR="00B5587E" w:rsidRPr="008B3051" w:rsidRDefault="00B5587E" w:rsidP="00B5587E">
      <w:pPr>
        <w:shd w:val="clear" w:color="auto" w:fill="FFFFFF"/>
        <w:rPr>
          <w:rFonts w:ascii="Verdana" w:hAnsi="Verdana"/>
        </w:rPr>
      </w:pPr>
      <w:r w:rsidRPr="008B3051">
        <w:rPr>
          <w:rFonts w:ascii="Verdana" w:hAnsi="Verdana"/>
        </w:rPr>
        <w:t>$2,500.</w:t>
      </w:r>
    </w:p>
    <w:p w14:paraId="60D2C8F4" w14:textId="4EE632DA" w:rsidR="00B5587E" w:rsidRPr="008B3051" w:rsidRDefault="00B5587E" w:rsidP="00B5587E">
      <w:pPr>
        <w:shd w:val="clear" w:color="auto" w:fill="FFFFFF"/>
        <w:rPr>
          <w:rFonts w:ascii="Verdana" w:hAnsi="Verdana"/>
        </w:rPr>
      </w:pPr>
      <w:r w:rsidRPr="008B3051">
        <w:rPr>
          <w:rStyle w:val="num"/>
          <w:rFonts w:ascii="Verdana" w:hAnsi="Verdana"/>
          <w:b/>
          <w:bCs/>
        </w:rPr>
        <w:t>(3)</w:t>
      </w:r>
      <w:r w:rsidRPr="008B3051">
        <w:rPr>
          <w:rStyle w:val="heading"/>
          <w:rFonts w:ascii="Verdana" w:hAnsi="Verdana"/>
          <w:b/>
          <w:bCs/>
          <w:smallCaps/>
        </w:rPr>
        <w:t>Qualified 2- or 3-wheeled plug-in electric vehicle</w:t>
      </w:r>
      <w:r w:rsidRPr="008B3051">
        <w:rPr>
          <w:rStyle w:val="chapeau"/>
          <w:rFonts w:ascii="Verdana" w:hAnsi="Verdana"/>
        </w:rPr>
        <w:t>The term “qualified 2- or 3-wheeled plug-in electric vehicle” means any vehicle which—</w:t>
      </w:r>
    </w:p>
    <w:p w14:paraId="11743028" w14:textId="77777777" w:rsidR="00B5587E" w:rsidRPr="008B3051" w:rsidRDefault="00B5587E" w:rsidP="00B5587E">
      <w:pPr>
        <w:shd w:val="clear" w:color="auto" w:fill="FFFFFF"/>
        <w:rPr>
          <w:rFonts w:ascii="Verdana" w:hAnsi="Verdana"/>
        </w:rPr>
      </w:pPr>
      <w:r w:rsidRPr="008B3051">
        <w:rPr>
          <w:rStyle w:val="num"/>
          <w:rFonts w:ascii="Verdana" w:hAnsi="Verdana"/>
          <w:b/>
          <w:bCs/>
        </w:rPr>
        <w:t>(A)</w:t>
      </w:r>
    </w:p>
    <w:p w14:paraId="31681725" w14:textId="77777777" w:rsidR="00B5587E" w:rsidRPr="008B3051" w:rsidRDefault="00B5587E" w:rsidP="00B5587E">
      <w:pPr>
        <w:shd w:val="clear" w:color="auto" w:fill="FFFFFF"/>
        <w:rPr>
          <w:rFonts w:ascii="Verdana" w:hAnsi="Verdana"/>
        </w:rPr>
      </w:pPr>
      <w:r w:rsidRPr="008B3051">
        <w:rPr>
          <w:rFonts w:ascii="Verdana" w:hAnsi="Verdana"/>
        </w:rPr>
        <w:t>has 2 or 3 wheels,</w:t>
      </w:r>
    </w:p>
    <w:p w14:paraId="014CAB28" w14:textId="77777777" w:rsidR="00B5587E" w:rsidRPr="008B3051" w:rsidRDefault="00B5587E" w:rsidP="00B5587E">
      <w:pPr>
        <w:shd w:val="clear" w:color="auto" w:fill="FFFFFF"/>
        <w:rPr>
          <w:rFonts w:ascii="Verdana" w:hAnsi="Verdana"/>
        </w:rPr>
      </w:pPr>
      <w:r w:rsidRPr="008B3051">
        <w:rPr>
          <w:rStyle w:val="num"/>
          <w:rFonts w:ascii="Verdana" w:hAnsi="Verdana"/>
          <w:b/>
          <w:bCs/>
        </w:rPr>
        <w:t>(B)</w:t>
      </w:r>
    </w:p>
    <w:p w14:paraId="754EC04C" w14:textId="6A3C8E28" w:rsidR="00B5587E" w:rsidRPr="008B3051" w:rsidRDefault="00B5587E" w:rsidP="00B5587E">
      <w:pPr>
        <w:shd w:val="clear" w:color="auto" w:fill="FFFFFF"/>
        <w:rPr>
          <w:rFonts w:ascii="Verdana" w:hAnsi="Verdana"/>
        </w:rPr>
      </w:pPr>
      <w:r w:rsidRPr="008B3051">
        <w:rPr>
          <w:rFonts w:ascii="Verdana" w:hAnsi="Verdana"/>
        </w:rPr>
        <w:t>meets the requirements of subparagraphs (A), (B), (C), (E), and (F) of subsection (d)(1) (determined by substituting “2.5 kilowatt hours” for “4 kilowatt hours” in subparagraph (F)(i)),</w:t>
      </w:r>
    </w:p>
    <w:p w14:paraId="6934083D" w14:textId="77777777" w:rsidR="00B5587E" w:rsidRPr="008B3051" w:rsidRDefault="00B5587E" w:rsidP="00B5587E">
      <w:pPr>
        <w:shd w:val="clear" w:color="auto" w:fill="FFFFFF"/>
        <w:rPr>
          <w:rFonts w:ascii="Verdana" w:hAnsi="Verdana"/>
        </w:rPr>
      </w:pPr>
      <w:r w:rsidRPr="008B3051">
        <w:rPr>
          <w:rStyle w:val="num"/>
          <w:rFonts w:ascii="Verdana" w:hAnsi="Verdana"/>
          <w:b/>
          <w:bCs/>
        </w:rPr>
        <w:t>(C)</w:t>
      </w:r>
    </w:p>
    <w:p w14:paraId="0C2CEF72" w14:textId="77777777" w:rsidR="00B5587E" w:rsidRPr="008B3051" w:rsidRDefault="00B5587E" w:rsidP="00B5587E">
      <w:pPr>
        <w:shd w:val="clear" w:color="auto" w:fill="FFFFFF"/>
        <w:rPr>
          <w:rFonts w:ascii="Verdana" w:hAnsi="Verdana"/>
        </w:rPr>
      </w:pPr>
      <w:r w:rsidRPr="008B3051">
        <w:rPr>
          <w:rFonts w:ascii="Verdana" w:hAnsi="Verdana"/>
        </w:rPr>
        <w:t>is manufactured primarily for use on public streets, roads, and highways,</w:t>
      </w:r>
    </w:p>
    <w:p w14:paraId="32EA8F61" w14:textId="77777777" w:rsidR="00B5587E" w:rsidRPr="008B3051" w:rsidRDefault="00B5587E" w:rsidP="00B5587E">
      <w:pPr>
        <w:shd w:val="clear" w:color="auto" w:fill="FFFFFF"/>
        <w:rPr>
          <w:rFonts w:ascii="Verdana" w:hAnsi="Verdana"/>
        </w:rPr>
      </w:pPr>
      <w:bookmarkStart w:id="537" w:name="g_3_D"/>
      <w:bookmarkEnd w:id="537"/>
      <w:r w:rsidRPr="008B3051">
        <w:rPr>
          <w:rStyle w:val="num"/>
          <w:rFonts w:ascii="Verdana" w:hAnsi="Verdana"/>
          <w:b/>
          <w:bCs/>
        </w:rPr>
        <w:t>(D)</w:t>
      </w:r>
    </w:p>
    <w:p w14:paraId="6B8B4118" w14:textId="77777777" w:rsidR="00B5587E" w:rsidRPr="008B3051" w:rsidRDefault="00B5587E" w:rsidP="00B5587E">
      <w:pPr>
        <w:shd w:val="clear" w:color="auto" w:fill="FFFFFF"/>
        <w:rPr>
          <w:rFonts w:ascii="Verdana" w:hAnsi="Verdana"/>
        </w:rPr>
      </w:pPr>
      <w:r w:rsidRPr="008B3051">
        <w:rPr>
          <w:rFonts w:ascii="Verdana" w:hAnsi="Verdana"/>
        </w:rPr>
        <w:lastRenderedPageBreak/>
        <w:t>is capable of achieving a speed of 45 miles per hour or greater, and</w:t>
      </w:r>
    </w:p>
    <w:p w14:paraId="584D3326" w14:textId="77777777" w:rsidR="00B5587E" w:rsidRPr="008B3051" w:rsidRDefault="00B5587E" w:rsidP="00B5587E">
      <w:pPr>
        <w:shd w:val="clear" w:color="auto" w:fill="FFFFFF"/>
        <w:rPr>
          <w:rFonts w:ascii="Verdana" w:hAnsi="Verdana"/>
        </w:rPr>
      </w:pPr>
      <w:bookmarkStart w:id="538" w:name="g_3_E"/>
      <w:bookmarkEnd w:id="538"/>
      <w:r w:rsidRPr="008B3051">
        <w:rPr>
          <w:rStyle w:val="num"/>
          <w:rFonts w:ascii="Verdana" w:hAnsi="Verdana"/>
          <w:b/>
          <w:bCs/>
        </w:rPr>
        <w:t>(E)</w:t>
      </w:r>
      <w:r w:rsidRPr="008B3051">
        <w:rPr>
          <w:rStyle w:val="chapeau"/>
          <w:rFonts w:ascii="Verdana" w:hAnsi="Verdana"/>
        </w:rPr>
        <w:t>is acquired—</w:t>
      </w:r>
    </w:p>
    <w:p w14:paraId="24B01558" w14:textId="77777777" w:rsidR="00B5587E" w:rsidRPr="008B3051" w:rsidRDefault="00B5587E" w:rsidP="00B5587E">
      <w:pPr>
        <w:shd w:val="clear" w:color="auto" w:fill="FFFFFF"/>
        <w:rPr>
          <w:rFonts w:ascii="Verdana" w:hAnsi="Verdana"/>
        </w:rPr>
      </w:pPr>
      <w:bookmarkStart w:id="539" w:name="g_3_E_i"/>
      <w:bookmarkEnd w:id="539"/>
      <w:r w:rsidRPr="008B3051">
        <w:rPr>
          <w:rStyle w:val="num"/>
          <w:rFonts w:ascii="Verdana" w:hAnsi="Verdana"/>
          <w:b/>
          <w:bCs/>
        </w:rPr>
        <w:t>(i)</w:t>
      </w:r>
    </w:p>
    <w:p w14:paraId="122F90F6" w14:textId="77777777" w:rsidR="00B5587E" w:rsidRPr="008B3051" w:rsidRDefault="00B5587E" w:rsidP="00B5587E">
      <w:pPr>
        <w:shd w:val="clear" w:color="auto" w:fill="FFFFFF"/>
        <w:rPr>
          <w:rFonts w:ascii="Verdana" w:hAnsi="Verdana"/>
        </w:rPr>
      </w:pPr>
      <w:r w:rsidRPr="008B3051">
        <w:rPr>
          <w:rFonts w:ascii="Verdana" w:hAnsi="Verdana"/>
        </w:rPr>
        <w:t>after </w:t>
      </w:r>
      <w:r w:rsidRPr="008B3051">
        <w:rPr>
          <w:rStyle w:val="Date3"/>
          <w:rFonts w:ascii="Verdana" w:hAnsi="Verdana"/>
        </w:rPr>
        <w:t>December 31, 2011</w:t>
      </w:r>
      <w:r w:rsidRPr="008B3051">
        <w:rPr>
          <w:rFonts w:ascii="Verdana" w:hAnsi="Verdana"/>
        </w:rPr>
        <w:t>, and before </w:t>
      </w:r>
      <w:r w:rsidRPr="008B3051">
        <w:rPr>
          <w:rStyle w:val="Date3"/>
          <w:rFonts w:ascii="Verdana" w:hAnsi="Verdana"/>
        </w:rPr>
        <w:t>January 1, 2014</w:t>
      </w:r>
      <w:r w:rsidRPr="008B3051">
        <w:rPr>
          <w:rFonts w:ascii="Verdana" w:hAnsi="Verdana"/>
        </w:rPr>
        <w:t>, or</w:t>
      </w:r>
    </w:p>
    <w:p w14:paraId="45D8E57D" w14:textId="77777777" w:rsidR="00B5587E" w:rsidRPr="008B3051" w:rsidRDefault="00B5587E" w:rsidP="00B5587E">
      <w:pPr>
        <w:shd w:val="clear" w:color="auto" w:fill="FFFFFF"/>
        <w:rPr>
          <w:rFonts w:ascii="Verdana" w:hAnsi="Verdana"/>
        </w:rPr>
      </w:pPr>
      <w:bookmarkStart w:id="540" w:name="g_3_E_ii"/>
      <w:bookmarkEnd w:id="540"/>
      <w:r w:rsidRPr="008B3051">
        <w:rPr>
          <w:rStyle w:val="num"/>
          <w:rFonts w:ascii="Verdana" w:hAnsi="Verdana"/>
          <w:b/>
          <w:bCs/>
        </w:rPr>
        <w:t>(ii)</w:t>
      </w:r>
    </w:p>
    <w:p w14:paraId="2CE8C820" w14:textId="6C7C2F1C" w:rsidR="00B5587E" w:rsidRPr="008B3051" w:rsidRDefault="00B5587E" w:rsidP="00B5587E">
      <w:pPr>
        <w:shd w:val="clear" w:color="auto" w:fill="FFFFFF"/>
        <w:rPr>
          <w:rFonts w:ascii="Verdana" w:hAnsi="Verdana"/>
        </w:rPr>
      </w:pPr>
      <w:r w:rsidRPr="008B3051">
        <w:rPr>
          <w:rFonts w:ascii="Verdana" w:hAnsi="Verdana"/>
        </w:rPr>
        <w:t>in the case of a vehicle that has 2 wheels, after </w:t>
      </w:r>
      <w:r w:rsidRPr="008B3051">
        <w:rPr>
          <w:rStyle w:val="Date3"/>
          <w:rFonts w:ascii="Verdana" w:hAnsi="Verdana"/>
        </w:rPr>
        <w:t>December 31, 2014</w:t>
      </w:r>
      <w:r w:rsidRPr="008B3051">
        <w:rPr>
          <w:rFonts w:ascii="Verdana" w:hAnsi="Verdana"/>
        </w:rPr>
        <w:t>, and before </w:t>
      </w:r>
      <w:r w:rsidRPr="008B3051">
        <w:rPr>
          <w:rStyle w:val="Date3"/>
          <w:rFonts w:ascii="Verdana" w:hAnsi="Verdana"/>
        </w:rPr>
        <w:t>January 1, 2017</w:t>
      </w:r>
      <w:r w:rsidRPr="008B3051">
        <w:rPr>
          <w:rFonts w:ascii="Verdana" w:hAnsi="Verdana"/>
        </w:rPr>
        <w:t>.</w:t>
      </w:r>
    </w:p>
    <w:p w14:paraId="795233AF" w14:textId="06368B7B" w:rsidR="00B5587E" w:rsidRPr="008B3051" w:rsidRDefault="00B5587E" w:rsidP="00B5587E">
      <w:pPr>
        <w:shd w:val="clear" w:color="auto" w:fill="FFFFFF"/>
        <w:rPr>
          <w:rFonts w:ascii="Verdana" w:hAnsi="Verdana"/>
        </w:rPr>
      </w:pPr>
      <w:r w:rsidRPr="008B3051">
        <w:rPr>
          <w:rFonts w:ascii="Verdana" w:hAnsi="Verdana"/>
        </w:rPr>
        <w:t>(Added Pub. L. 110–343, div. B, title II, § 205(a), </w:t>
      </w:r>
      <w:r w:rsidRPr="008B3051">
        <w:rPr>
          <w:rStyle w:val="Date3"/>
          <w:rFonts w:ascii="Verdana" w:hAnsi="Verdana"/>
        </w:rPr>
        <w:t>Oct. 3, 2008</w:t>
      </w:r>
      <w:r w:rsidRPr="008B3051">
        <w:rPr>
          <w:rFonts w:ascii="Verdana" w:hAnsi="Verdana"/>
        </w:rPr>
        <w:t>, 122 Stat. 3835; amended Pub. L. 111–5, div. B, title I, § 1141(a), </w:t>
      </w:r>
      <w:r w:rsidRPr="008B3051">
        <w:rPr>
          <w:rStyle w:val="Date3"/>
          <w:rFonts w:ascii="Verdana" w:hAnsi="Verdana"/>
        </w:rPr>
        <w:t>Feb. 17, 2009</w:t>
      </w:r>
      <w:r w:rsidRPr="008B3051">
        <w:rPr>
          <w:rFonts w:ascii="Verdana" w:hAnsi="Verdana"/>
        </w:rPr>
        <w:t>, 123 Stat. 326; Pub. L. 111–148, title X, § 10909(b)(2)(H), (c), </w:t>
      </w:r>
      <w:r w:rsidRPr="008B3051">
        <w:rPr>
          <w:rStyle w:val="Date3"/>
          <w:rFonts w:ascii="Verdana" w:hAnsi="Verdana"/>
        </w:rPr>
        <w:t>Mar. 23, 2010</w:t>
      </w:r>
      <w:r w:rsidRPr="008B3051">
        <w:rPr>
          <w:rFonts w:ascii="Verdana" w:hAnsi="Verdana"/>
        </w:rPr>
        <w:t>, 124 Stat. 1023; Pub. L. 111–312, title I, § 101(b)(1), </w:t>
      </w:r>
      <w:r w:rsidRPr="008B3051">
        <w:rPr>
          <w:rStyle w:val="Date3"/>
          <w:rFonts w:ascii="Verdana" w:hAnsi="Verdana"/>
        </w:rPr>
        <w:t>Dec. 17, 2010</w:t>
      </w:r>
      <w:r w:rsidRPr="008B3051">
        <w:rPr>
          <w:rFonts w:ascii="Verdana" w:hAnsi="Verdana"/>
        </w:rPr>
        <w:t>, 124 Stat. 3298; Pub. L. 112–240, title I, § 104(c)(2)(I), title IV, § 403(a), (b), </w:t>
      </w:r>
      <w:r w:rsidRPr="008B3051">
        <w:rPr>
          <w:rStyle w:val="Date3"/>
          <w:rFonts w:ascii="Verdana" w:hAnsi="Verdana"/>
        </w:rPr>
        <w:t>Jan. 2, 2013</w:t>
      </w:r>
      <w:r w:rsidRPr="008B3051">
        <w:rPr>
          <w:rFonts w:ascii="Verdana" w:hAnsi="Verdana"/>
        </w:rPr>
        <w:t>, 126 Stat. 2322, 2337, 2338; Pub. L. 113–295, div. A, title II, § 209(e), </w:t>
      </w:r>
      <w:r w:rsidRPr="008B3051">
        <w:rPr>
          <w:rStyle w:val="Date3"/>
          <w:rFonts w:ascii="Verdana" w:hAnsi="Verdana"/>
        </w:rPr>
        <w:t>Dec. 19, 2014</w:t>
      </w:r>
      <w:r w:rsidRPr="008B3051">
        <w:rPr>
          <w:rFonts w:ascii="Verdana" w:hAnsi="Verdana"/>
        </w:rPr>
        <w:t>, 128 Stat. 4028; Pub. L. 114–113, div. Q, title I, § 183(a), </w:t>
      </w:r>
      <w:r w:rsidRPr="008B3051">
        <w:rPr>
          <w:rStyle w:val="Date3"/>
          <w:rFonts w:ascii="Verdana" w:hAnsi="Verdana"/>
        </w:rPr>
        <w:t>Dec. 18, 2015</w:t>
      </w:r>
      <w:r w:rsidRPr="008B3051">
        <w:rPr>
          <w:rFonts w:ascii="Verdana" w:hAnsi="Verdana"/>
        </w:rPr>
        <w:t>, 129 Stat. 3072.)</w:t>
      </w:r>
    </w:p>
    <w:p w14:paraId="616AF365" w14:textId="3DC3C029" w:rsidR="00963B91" w:rsidRPr="008B3051" w:rsidRDefault="00963B91" w:rsidP="000805FD">
      <w:pPr>
        <w:numPr>
          <w:ilvl w:val="0"/>
          <w:numId w:val="3"/>
        </w:numPr>
        <w:shd w:val="clear" w:color="auto" w:fill="FFFFFF"/>
        <w:spacing w:after="60" w:line="240" w:lineRule="auto"/>
        <w:ind w:left="360"/>
        <w:rPr>
          <w:rFonts w:ascii="Verdana" w:hAnsi="Verdana"/>
        </w:rPr>
      </w:pPr>
      <w:r w:rsidRPr="008B3051">
        <w:rPr>
          <w:rStyle w:val="Hyperlink"/>
          <w:rFonts w:ascii="Verdana" w:hAnsi="Verdana"/>
          <w:color w:val="auto"/>
        </w:rPr>
        <w:t>SUBPART C - Refundable Credits (§§ 31 to 37)</w:t>
      </w:r>
    </w:p>
    <w:p w14:paraId="106CBBDB" w14:textId="04F6CED6"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31 - Tax withheld on wages</w:t>
      </w:r>
    </w:p>
    <w:p w14:paraId="366F8DBC" w14:textId="3B3570E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32 - Earned income</w:t>
      </w:r>
    </w:p>
    <w:p w14:paraId="709D4294" w14:textId="7D649DDF"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33 - Tax withheld at source on nonresident aliens and foreign corporations</w:t>
      </w:r>
    </w:p>
    <w:p w14:paraId="5C102D70" w14:textId="6E6169B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34 - Certain uses of gasoline and special fuels</w:t>
      </w:r>
    </w:p>
    <w:p w14:paraId="73ABFD52" w14:textId="094D73ED"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35 - Health insurance costs of eligible individuals</w:t>
      </w:r>
    </w:p>
    <w:p w14:paraId="2822389D" w14:textId="10CD1878"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36 - First-time homebuyer credit</w:t>
      </w:r>
    </w:p>
    <w:p w14:paraId="43E2A265" w14:textId="6CD36D69"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36A - Repealed. Pub. L. 113–295, div. A, title II, § 221(a)(5)(A), Dec. 19, 2014, 128 Stat. 4037]</w:t>
      </w:r>
    </w:p>
    <w:p w14:paraId="687CE1D8" w14:textId="370A3350"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36B - Refundable credit for coverage under a qualified health plan</w:t>
      </w:r>
    </w:p>
    <w:p w14:paraId="19F0FD8D" w14:textId="4CD59A2A"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36C - Renumbered § 23]</w:t>
      </w:r>
    </w:p>
    <w:p w14:paraId="4D3BDB25" w14:textId="5D0996DB" w:rsidR="00B5587E" w:rsidRPr="008B3051" w:rsidRDefault="00B5587E" w:rsidP="000805FD">
      <w:pPr>
        <w:pStyle w:val="la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37 - Overpayments of tax</w:t>
      </w:r>
    </w:p>
    <w:p w14:paraId="3D0FE431" w14:textId="77777777" w:rsidR="00B5587E" w:rsidRPr="008B3051" w:rsidRDefault="00B5587E" w:rsidP="00B5587E">
      <w:pPr>
        <w:shd w:val="clear" w:color="auto" w:fill="FFFFFF"/>
        <w:spacing w:after="60" w:line="240" w:lineRule="auto"/>
        <w:ind w:left="360"/>
        <w:rPr>
          <w:rStyle w:val="Hyperlink"/>
          <w:rFonts w:ascii="Verdana" w:hAnsi="Verdana"/>
          <w:color w:val="auto"/>
          <w:u w:val="none"/>
        </w:rPr>
      </w:pPr>
    </w:p>
    <w:p w14:paraId="5F085FA1" w14:textId="0C52FAE1" w:rsidR="00963B91" w:rsidRPr="008B3051" w:rsidRDefault="00963B91" w:rsidP="000805FD">
      <w:pPr>
        <w:numPr>
          <w:ilvl w:val="0"/>
          <w:numId w:val="3"/>
        </w:numPr>
        <w:shd w:val="clear" w:color="auto" w:fill="FFFFFF"/>
        <w:spacing w:after="60" w:line="240" w:lineRule="auto"/>
        <w:ind w:left="360"/>
        <w:rPr>
          <w:rStyle w:val="Hyperlink"/>
          <w:rFonts w:ascii="Verdana" w:hAnsi="Verdana"/>
          <w:color w:val="auto"/>
          <w:u w:val="none"/>
        </w:rPr>
      </w:pPr>
      <w:r w:rsidRPr="008B3051">
        <w:rPr>
          <w:rStyle w:val="Hyperlink"/>
          <w:rFonts w:ascii="Verdana" w:hAnsi="Verdana"/>
          <w:color w:val="auto"/>
        </w:rPr>
        <w:t>SUBPART D - Business Related Credits (§§ 38 to 45S)</w:t>
      </w:r>
    </w:p>
    <w:p w14:paraId="58100763" w14:textId="4AC28515"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38 - General business credit</w:t>
      </w:r>
    </w:p>
    <w:p w14:paraId="79F836FB" w14:textId="1D72F1D0"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39 - Carryback and carryforward of unused credits</w:t>
      </w:r>
    </w:p>
    <w:p w14:paraId="4262291B" w14:textId="4D678A31"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40 - Alcohol, etc., used as fuel</w:t>
      </w:r>
    </w:p>
    <w:p w14:paraId="4ACFB644" w14:textId="62C84B03"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40A - Biodiesel and renewable diesel used as fuel</w:t>
      </w:r>
    </w:p>
    <w:p w14:paraId="1D903728" w14:textId="73193BB3"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41 - Credit for increasing research activities</w:t>
      </w:r>
    </w:p>
    <w:p w14:paraId="40A0B4F3" w14:textId="20AA868A"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42 - Low-income housing credit</w:t>
      </w:r>
    </w:p>
    <w:p w14:paraId="704AA9B0" w14:textId="4CF3622F"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43 - Enhanced oil recovery credit</w:t>
      </w:r>
    </w:p>
    <w:p w14:paraId="7B5CB5DA" w14:textId="382E2ED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44 - Expenditures to provide access to disabled individuals</w:t>
      </w:r>
    </w:p>
    <w:p w14:paraId="2EB96235" w14:textId="0066B94D"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44A - Renumbered § 21]</w:t>
      </w:r>
    </w:p>
    <w:p w14:paraId="18F96864" w14:textId="5CE63109"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lastRenderedPageBreak/>
        <w:t>§ 44B - Repealed. Pub. L. 98–369, div. A, title IV, § 474(m)(1), July 18, 1984, 98 Stat. 833]</w:t>
      </w:r>
    </w:p>
    <w:p w14:paraId="332695B4" w14:textId="420DD6EB"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44C - Renumbered § 23]</w:t>
      </w:r>
    </w:p>
    <w:p w14:paraId="6A49D7E8" w14:textId="7465EC08"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44D - Renumbered § 29]</w:t>
      </w:r>
    </w:p>
    <w:p w14:paraId="2DECBDFE" w14:textId="43E06CF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44E - Renumbered § 40]</w:t>
      </w:r>
    </w:p>
    <w:p w14:paraId="6E418386" w14:textId="4107064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44F - Renumbered § 30]</w:t>
      </w:r>
    </w:p>
    <w:p w14:paraId="625FAC1B" w14:textId="5E7B64C9"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44G - Renumbered § 41]</w:t>
      </w:r>
    </w:p>
    <w:p w14:paraId="0B5A6E8A" w14:textId="00AC92E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44H - Renumbered § 45C]</w:t>
      </w:r>
    </w:p>
    <w:p w14:paraId="274F58BC" w14:textId="6443F35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45 - Electricity produced from certain renewable resources, etc.</w:t>
      </w:r>
    </w:p>
    <w:p w14:paraId="2A0BEB68" w14:textId="7A40606B"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45A - Indian employment credit</w:t>
      </w:r>
    </w:p>
    <w:p w14:paraId="2652B6B8" w14:textId="67263049"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45B - Credit for portion of employer social security taxes paid with respect to employee cash tips</w:t>
      </w:r>
    </w:p>
    <w:p w14:paraId="4E3884B0" w14:textId="2BE44905"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45C - Clinical testing expenses for certain drugs for rare diseases or conditions</w:t>
      </w:r>
    </w:p>
    <w:p w14:paraId="69473797" w14:textId="7089958F"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45D - New markets tax credit</w:t>
      </w:r>
    </w:p>
    <w:p w14:paraId="6C2C8C05" w14:textId="7A65ACE3"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45E - Small employer pension plan startup costs</w:t>
      </w:r>
    </w:p>
    <w:p w14:paraId="040498CD" w14:textId="36AEDA15"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45F - Employer-provided child care credit</w:t>
      </w:r>
    </w:p>
    <w:p w14:paraId="3F66A30D" w14:textId="1D046E22"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45G - Railroad track maintenance credit</w:t>
      </w:r>
    </w:p>
    <w:p w14:paraId="5F89F480" w14:textId="522973C2"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45H - Credit for production of low sulfur diesel fuel</w:t>
      </w:r>
    </w:p>
    <w:p w14:paraId="4A75B6FB" w14:textId="3833CD4A"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45I - Credit for producing oil and gas from marginal wells</w:t>
      </w:r>
    </w:p>
    <w:p w14:paraId="20F984EA" w14:textId="27C73CD6"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45J - Credit for production from advanced nuclear power facilities</w:t>
      </w:r>
    </w:p>
    <w:p w14:paraId="1F6CD4A9" w14:textId="0D6882F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45K - Credit for producing fuel from a nonconventional source</w:t>
      </w:r>
    </w:p>
    <w:p w14:paraId="2D270E18" w14:textId="53F11FF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45L - New energy efficient home credit</w:t>
      </w:r>
    </w:p>
    <w:p w14:paraId="4E54791F" w14:textId="5A3DE373"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45M - Energy efficient appliance credit</w:t>
      </w:r>
    </w:p>
    <w:p w14:paraId="19B78244" w14:textId="4EA3890E"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45N - Mine rescue team training credit</w:t>
      </w:r>
    </w:p>
    <w:p w14:paraId="300D22AD" w14:textId="5D502AE6"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45O - Agricultural chemicals security credit</w:t>
      </w:r>
    </w:p>
    <w:p w14:paraId="02F814A1" w14:textId="0943D41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45P - Employer wage credit for employees who are active duty members of the uniformed services</w:t>
      </w:r>
    </w:p>
    <w:p w14:paraId="023C066F" w14:textId="6C9D00C8"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45Q - Credit for carbon dioxide sequestration</w:t>
      </w:r>
    </w:p>
    <w:p w14:paraId="53CF8EAB" w14:textId="18EE36A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45R - Employee health insurance expenses of small employers</w:t>
      </w:r>
    </w:p>
    <w:p w14:paraId="5CA10564" w14:textId="707060EF" w:rsidR="00B5587E" w:rsidRPr="008B3051" w:rsidRDefault="00B5587E" w:rsidP="000805FD">
      <w:pPr>
        <w:pStyle w:val="la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45S - Employer credit for paid family and medical leave</w:t>
      </w:r>
    </w:p>
    <w:p w14:paraId="666F3472" w14:textId="77777777" w:rsidR="00B5587E" w:rsidRPr="008B3051" w:rsidRDefault="00B5587E" w:rsidP="00B5587E">
      <w:pPr>
        <w:shd w:val="clear" w:color="auto" w:fill="FFFFFF"/>
        <w:spacing w:after="60" w:line="240" w:lineRule="auto"/>
        <w:ind w:left="360"/>
        <w:rPr>
          <w:rFonts w:ascii="Verdana" w:hAnsi="Verdana"/>
        </w:rPr>
      </w:pPr>
    </w:p>
    <w:p w14:paraId="5F497994" w14:textId="2858A645" w:rsidR="00963B91" w:rsidRPr="008B3051" w:rsidRDefault="00963B91" w:rsidP="000805FD">
      <w:pPr>
        <w:numPr>
          <w:ilvl w:val="0"/>
          <w:numId w:val="3"/>
        </w:numPr>
        <w:shd w:val="clear" w:color="auto" w:fill="FFFFFF"/>
        <w:spacing w:after="60" w:line="240" w:lineRule="auto"/>
        <w:ind w:left="360"/>
        <w:rPr>
          <w:rStyle w:val="Hyperlink"/>
          <w:rFonts w:ascii="Verdana" w:hAnsi="Verdana"/>
          <w:color w:val="auto"/>
          <w:u w:val="none"/>
        </w:rPr>
      </w:pPr>
      <w:r w:rsidRPr="008B3051">
        <w:rPr>
          <w:rStyle w:val="Hyperlink"/>
          <w:rFonts w:ascii="Verdana" w:hAnsi="Verdana"/>
          <w:color w:val="auto"/>
        </w:rPr>
        <w:t>SUBPART E - Rules for Computing Investment Credit (§§ 46 to 50A)</w:t>
      </w:r>
    </w:p>
    <w:p w14:paraId="186048D6" w14:textId="16D40182"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46 - Amount of credit</w:t>
      </w:r>
    </w:p>
    <w:p w14:paraId="40D6EDBE" w14:textId="478CEB8F"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47 - Rehabilitation credit</w:t>
      </w:r>
    </w:p>
    <w:p w14:paraId="106B6E1D" w14:textId="14899C3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48 - Energy credit</w:t>
      </w:r>
    </w:p>
    <w:p w14:paraId="046C0B15" w14:textId="5BF96666"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48A - Qualifying advanced coal project credit</w:t>
      </w:r>
    </w:p>
    <w:p w14:paraId="3FF1CF1D" w14:textId="6EB8C1D0"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48B - Qualifying gasification project credit</w:t>
      </w:r>
    </w:p>
    <w:p w14:paraId="3AA36500" w14:textId="37FA607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48C - Qualifying advanced energy project credit</w:t>
      </w:r>
    </w:p>
    <w:p w14:paraId="29668632" w14:textId="15A98D17"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48D - Qualifying therapeutic discovery project credit</w:t>
      </w:r>
    </w:p>
    <w:p w14:paraId="5D36F3CB" w14:textId="33689559"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lastRenderedPageBreak/>
        <w:t>§ 49 - At-risk rules</w:t>
      </w:r>
    </w:p>
    <w:p w14:paraId="2033A577" w14:textId="56BB8A7E"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50 - Other special rules</w:t>
      </w:r>
    </w:p>
    <w:p w14:paraId="785F7D3A" w14:textId="64B0B7AF" w:rsidR="00B5587E" w:rsidRPr="008B3051" w:rsidRDefault="00B5587E" w:rsidP="000805FD">
      <w:pPr>
        <w:pStyle w:val="la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50A - Repealed. Pub. L. 98–369, div. A, title IV, § 474(m)(2), July 18, 1984, 98 Stat. 833]</w:t>
      </w:r>
    </w:p>
    <w:p w14:paraId="6BEF6FD8" w14:textId="77777777" w:rsidR="00B5587E" w:rsidRPr="008B3051" w:rsidRDefault="00B5587E" w:rsidP="00B5587E">
      <w:pPr>
        <w:shd w:val="clear" w:color="auto" w:fill="FFFFFF"/>
        <w:spacing w:after="60" w:line="240" w:lineRule="auto"/>
        <w:ind w:left="360"/>
        <w:rPr>
          <w:rFonts w:ascii="Verdana" w:hAnsi="Verdana"/>
        </w:rPr>
      </w:pPr>
    </w:p>
    <w:p w14:paraId="20CA17A8" w14:textId="0254005A" w:rsidR="00963B91" w:rsidRPr="008B3051" w:rsidRDefault="00963B91" w:rsidP="000805FD">
      <w:pPr>
        <w:numPr>
          <w:ilvl w:val="0"/>
          <w:numId w:val="3"/>
        </w:numPr>
        <w:shd w:val="clear" w:color="auto" w:fill="FFFFFF"/>
        <w:spacing w:after="60" w:line="240" w:lineRule="auto"/>
        <w:ind w:left="360"/>
        <w:rPr>
          <w:rStyle w:val="Hyperlink"/>
          <w:rFonts w:ascii="Verdana" w:hAnsi="Verdana"/>
          <w:color w:val="auto"/>
          <w:u w:val="none"/>
        </w:rPr>
      </w:pPr>
      <w:r w:rsidRPr="008B3051">
        <w:rPr>
          <w:rStyle w:val="Hyperlink"/>
          <w:rFonts w:ascii="Verdana" w:hAnsi="Verdana"/>
          <w:color w:val="auto"/>
        </w:rPr>
        <w:t>SUBPART F - Rules for Computing Work Opportunity Credit (§§ 51 to 52)</w:t>
      </w:r>
    </w:p>
    <w:p w14:paraId="684EF467" w14:textId="5B1A1895"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51 - Amount of credit</w:t>
      </w:r>
    </w:p>
    <w:p w14:paraId="3802FB58" w14:textId="49B59D6C" w:rsidR="00B5587E" w:rsidRPr="008B3051" w:rsidRDefault="00B5587E" w:rsidP="000805FD">
      <w:pPr>
        <w:numPr>
          <w:ilvl w:val="0"/>
          <w:numId w:val="3"/>
        </w:numPr>
        <w:shd w:val="clear" w:color="auto" w:fill="FFFFFF"/>
        <w:spacing w:after="60" w:line="240" w:lineRule="auto"/>
        <w:rPr>
          <w:rFonts w:ascii="Verdana" w:hAnsi="Verdana"/>
        </w:rPr>
      </w:pPr>
      <w:r w:rsidRPr="008B3051">
        <w:rPr>
          <w:rStyle w:val="Hyperlink"/>
          <w:rFonts w:ascii="Verdana" w:hAnsi="Verdana"/>
          <w:color w:val="auto"/>
        </w:rPr>
        <w:t>§ 51A - Repealed. Pub. L. 109–432, div. A, title I, § 105(e)(4)(A), Dec. 20, 2006, 120 Stat. 2937]</w:t>
      </w:r>
    </w:p>
    <w:p w14:paraId="65713655" w14:textId="6FE87681" w:rsidR="00B5587E" w:rsidRPr="008B3051" w:rsidRDefault="00B5587E" w:rsidP="000805FD">
      <w:pPr>
        <w:pStyle w:val="la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52 - Special rules</w:t>
      </w:r>
    </w:p>
    <w:p w14:paraId="6B9E2DEC" w14:textId="77777777" w:rsidR="00B5587E" w:rsidRPr="008B3051" w:rsidRDefault="00B5587E" w:rsidP="00B5587E">
      <w:pPr>
        <w:shd w:val="clear" w:color="auto" w:fill="FFFFFF"/>
        <w:spacing w:after="60" w:line="240" w:lineRule="auto"/>
        <w:ind w:left="360"/>
        <w:rPr>
          <w:rFonts w:ascii="Verdana" w:hAnsi="Verdana"/>
        </w:rPr>
      </w:pPr>
    </w:p>
    <w:p w14:paraId="03FA494C" w14:textId="433E5324" w:rsidR="00963B91" w:rsidRPr="008B3051" w:rsidRDefault="00963B91" w:rsidP="000805FD">
      <w:pPr>
        <w:numPr>
          <w:ilvl w:val="0"/>
          <w:numId w:val="3"/>
        </w:numPr>
        <w:shd w:val="clear" w:color="auto" w:fill="FFFFFF"/>
        <w:spacing w:after="60" w:line="240" w:lineRule="auto"/>
        <w:ind w:left="360"/>
        <w:rPr>
          <w:rStyle w:val="Hyperlink"/>
          <w:rFonts w:ascii="Verdana" w:hAnsi="Verdana"/>
          <w:color w:val="auto"/>
          <w:u w:val="none"/>
        </w:rPr>
      </w:pPr>
      <w:r w:rsidRPr="008B3051">
        <w:rPr>
          <w:rStyle w:val="Hyperlink"/>
          <w:rFonts w:ascii="Verdana" w:hAnsi="Verdana"/>
          <w:color w:val="auto"/>
        </w:rPr>
        <w:t>SUBPART G - Credit Against Regular Tax for Prior Year Minimum Tax Liability (§ 53)</w:t>
      </w:r>
    </w:p>
    <w:p w14:paraId="72430D51" w14:textId="221378F3"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53 - Credit for prior year minimum tax liability</w:t>
      </w:r>
    </w:p>
    <w:p w14:paraId="49085402" w14:textId="77777777" w:rsidR="00B5587E" w:rsidRPr="008B3051" w:rsidRDefault="00B5587E" w:rsidP="00B5587E">
      <w:pPr>
        <w:shd w:val="clear" w:color="auto" w:fill="FFFFFF"/>
        <w:spacing w:after="60" w:line="240" w:lineRule="auto"/>
        <w:ind w:left="360"/>
        <w:rPr>
          <w:rFonts w:ascii="Verdana" w:hAnsi="Verdana"/>
        </w:rPr>
      </w:pPr>
    </w:p>
    <w:p w14:paraId="33DAA41A" w14:textId="2002A258" w:rsidR="00963B91" w:rsidRPr="008B3051" w:rsidRDefault="00963B91" w:rsidP="000805FD">
      <w:pPr>
        <w:numPr>
          <w:ilvl w:val="0"/>
          <w:numId w:val="3"/>
        </w:numPr>
        <w:shd w:val="clear" w:color="auto" w:fill="FFFFFF"/>
        <w:spacing w:after="60" w:line="240" w:lineRule="auto"/>
        <w:ind w:left="360"/>
        <w:rPr>
          <w:rFonts w:ascii="Verdana" w:hAnsi="Verdana"/>
        </w:rPr>
      </w:pPr>
      <w:r w:rsidRPr="008B3051">
        <w:rPr>
          <w:rStyle w:val="Hyperlink"/>
          <w:rFonts w:ascii="Verdana" w:hAnsi="Verdana"/>
          <w:color w:val="auto"/>
        </w:rPr>
        <w:t>SUBPART H - Repealed] (§ 54)</w:t>
      </w:r>
    </w:p>
    <w:p w14:paraId="78914019" w14:textId="605C30A7"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54 - Repealed. Pub. L. 115–97, title I, § 13404(a), Dec. 22, 2017, 131 Stat. 2138]</w:t>
      </w:r>
    </w:p>
    <w:p w14:paraId="17F646D4" w14:textId="77777777" w:rsidR="00B5587E" w:rsidRPr="008B3051" w:rsidRDefault="00B5587E" w:rsidP="00B5587E">
      <w:pPr>
        <w:shd w:val="clear" w:color="auto" w:fill="FFFFFF"/>
        <w:spacing w:after="60" w:line="240" w:lineRule="auto"/>
        <w:ind w:left="360"/>
        <w:rPr>
          <w:rStyle w:val="Hyperlink"/>
          <w:rFonts w:ascii="Verdana" w:hAnsi="Verdana"/>
          <w:color w:val="auto"/>
          <w:u w:val="none"/>
        </w:rPr>
      </w:pPr>
    </w:p>
    <w:p w14:paraId="65D65BD3" w14:textId="1162D79C" w:rsidR="00963B91" w:rsidRPr="008B3051" w:rsidRDefault="00963B91" w:rsidP="000805FD">
      <w:pPr>
        <w:numPr>
          <w:ilvl w:val="0"/>
          <w:numId w:val="3"/>
        </w:numPr>
        <w:shd w:val="clear" w:color="auto" w:fill="FFFFFF"/>
        <w:spacing w:after="60" w:line="240" w:lineRule="auto"/>
        <w:ind w:left="360"/>
        <w:rPr>
          <w:rFonts w:ascii="Verdana" w:hAnsi="Verdana"/>
        </w:rPr>
      </w:pPr>
      <w:r w:rsidRPr="008B3051">
        <w:rPr>
          <w:rStyle w:val="Hyperlink"/>
          <w:rFonts w:ascii="Verdana" w:hAnsi="Verdana"/>
          <w:color w:val="auto"/>
        </w:rPr>
        <w:t>SUBPART I - Repealed] (§ 54A)</w:t>
      </w:r>
    </w:p>
    <w:p w14:paraId="73D3871C" w14:textId="18B0220C"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54 - Repealed. Pub. L. 115–97, title I, § 13404(a), Dec. 22, 2017, 131 Stat. 2138]</w:t>
      </w:r>
    </w:p>
    <w:p w14:paraId="12510B2A" w14:textId="77777777" w:rsidR="00B5587E" w:rsidRPr="008B3051" w:rsidRDefault="00B5587E" w:rsidP="00B5587E">
      <w:pPr>
        <w:pStyle w:val="last"/>
        <w:shd w:val="clear" w:color="auto" w:fill="FFFFFF"/>
        <w:spacing w:before="0" w:beforeAutospacing="0" w:after="60" w:afterAutospacing="0"/>
        <w:ind w:left="360"/>
        <w:rPr>
          <w:rStyle w:val="Hyperlink"/>
          <w:rFonts w:ascii="Verdana" w:hAnsi="Verdana"/>
          <w:color w:val="auto"/>
          <w:u w:val="none"/>
        </w:rPr>
      </w:pPr>
    </w:p>
    <w:p w14:paraId="6B8D9A72" w14:textId="7754FBE9" w:rsidR="00963B91" w:rsidRPr="008B3051" w:rsidRDefault="00963B91" w:rsidP="000805FD">
      <w:pPr>
        <w:pStyle w:val="last"/>
        <w:numPr>
          <w:ilvl w:val="0"/>
          <w:numId w:val="3"/>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t>SUBPART J - Repealed] (§ 54AA)</w:t>
      </w:r>
    </w:p>
    <w:p w14:paraId="1F8F4224" w14:textId="657FD8B3" w:rsidR="00B5587E" w:rsidRPr="008B3051" w:rsidRDefault="00B5587E" w:rsidP="000805FD">
      <w:pPr>
        <w:pStyle w:val="first"/>
        <w:numPr>
          <w:ilvl w:val="0"/>
          <w:numId w:val="3"/>
        </w:numPr>
        <w:shd w:val="clear" w:color="auto" w:fill="FFFFFF"/>
        <w:spacing w:before="0" w:beforeAutospacing="0" w:after="60" w:afterAutospacing="0"/>
        <w:rPr>
          <w:rFonts w:ascii="Verdana" w:hAnsi="Verdana"/>
        </w:rPr>
      </w:pPr>
      <w:r w:rsidRPr="008B3051">
        <w:rPr>
          <w:rStyle w:val="Hyperlink"/>
          <w:rFonts w:ascii="Verdana" w:hAnsi="Verdana"/>
          <w:color w:val="auto"/>
        </w:rPr>
        <w:t>§ 54AA - Repealed. Pub. L. 115–97, title I, § 13404(a), Dec. 22, 2017, 131 Stat. 2138]</w:t>
      </w:r>
    </w:p>
    <w:p w14:paraId="16981494" w14:textId="77777777" w:rsidR="00963B91" w:rsidRPr="008B3051" w:rsidRDefault="00963B91" w:rsidP="00963B91">
      <w:pPr>
        <w:shd w:val="clear" w:color="auto" w:fill="FFFFFF"/>
        <w:spacing w:after="60" w:line="240" w:lineRule="auto"/>
        <w:ind w:left="720"/>
        <w:rPr>
          <w:rFonts w:ascii="Verdana" w:eastAsia="Times New Roman" w:hAnsi="Verdana" w:cs="Times New Roman"/>
          <w:sz w:val="24"/>
          <w:szCs w:val="24"/>
        </w:rPr>
      </w:pPr>
    </w:p>
    <w:p w14:paraId="18D8207D" w14:textId="57D76B9B"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V - REPEALED]</w:t>
      </w:r>
    </w:p>
    <w:p w14:paraId="6E9E2806" w14:textId="77777777" w:rsidR="00B5587E" w:rsidRPr="008B3051" w:rsidRDefault="00B5587E" w:rsidP="00B5587E">
      <w:pPr>
        <w:shd w:val="clear" w:color="auto" w:fill="FFFFFF"/>
        <w:spacing w:after="60" w:line="240" w:lineRule="auto"/>
        <w:ind w:left="720"/>
        <w:rPr>
          <w:rFonts w:ascii="Verdana" w:eastAsia="Times New Roman" w:hAnsi="Verdana" w:cs="Times New Roman"/>
          <w:sz w:val="24"/>
          <w:szCs w:val="24"/>
        </w:rPr>
      </w:pPr>
    </w:p>
    <w:p w14:paraId="366316FB" w14:textId="4E97C57F"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VI - ALTERNATIVE MINIMUM TAX (§§ 55 to 59)</w:t>
      </w:r>
    </w:p>
    <w:p w14:paraId="239AB0C5" w14:textId="67755EE0"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55 - Alternative minimum tax imposed</w:t>
      </w:r>
    </w:p>
    <w:p w14:paraId="007C4B5D" w14:textId="2AFD86F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56 - Adjustments in computing alternative minimum taxable income</w:t>
      </w:r>
    </w:p>
    <w:p w14:paraId="3B63E170" w14:textId="2D63D58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57 - Items of tax preference</w:t>
      </w:r>
    </w:p>
    <w:p w14:paraId="01CC5771" w14:textId="5E09F55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58 - Denial of certain losses</w:t>
      </w:r>
    </w:p>
    <w:p w14:paraId="17432926" w14:textId="3CD2C735"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59 - Other definitions and special rules</w:t>
      </w:r>
    </w:p>
    <w:p w14:paraId="2F8087A8" w14:textId="77777777" w:rsidR="007173CA" w:rsidRPr="008B3051" w:rsidRDefault="007173CA" w:rsidP="007173CA">
      <w:pPr>
        <w:shd w:val="clear" w:color="auto" w:fill="FFFFFF"/>
        <w:spacing w:after="60" w:line="240" w:lineRule="auto"/>
        <w:ind w:left="720"/>
        <w:rPr>
          <w:rFonts w:ascii="Verdana" w:eastAsia="Times New Roman" w:hAnsi="Verdana" w:cs="Times New Roman"/>
          <w:sz w:val="24"/>
          <w:szCs w:val="24"/>
        </w:rPr>
      </w:pPr>
    </w:p>
    <w:p w14:paraId="12755E2C" w14:textId="068E58E6"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VII - BASE EROSION AND ANTI-ABUSE TAX (§ 59A)</w:t>
      </w:r>
    </w:p>
    <w:p w14:paraId="5F312861" w14:textId="77777777" w:rsidR="007173CA" w:rsidRPr="008B3051" w:rsidRDefault="007173CA" w:rsidP="007173CA">
      <w:pPr>
        <w:pStyle w:val="ListParagraph"/>
        <w:rPr>
          <w:rFonts w:ascii="Verdana" w:eastAsia="Times New Roman" w:hAnsi="Verdana" w:cs="Times New Roman"/>
          <w:sz w:val="24"/>
          <w:szCs w:val="24"/>
        </w:rPr>
      </w:pPr>
    </w:p>
    <w:p w14:paraId="26E34D64" w14:textId="48F55294" w:rsidR="007173CA" w:rsidRPr="008B3051" w:rsidRDefault="007173CA" w:rsidP="000805FD">
      <w:pPr>
        <w:pStyle w:val="first"/>
        <w:numPr>
          <w:ilvl w:val="0"/>
          <w:numId w:val="5"/>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lastRenderedPageBreak/>
        <w:t>§ 59A - Tax on base erosion payments of taxpayers with substantial gross receipts</w:t>
      </w:r>
    </w:p>
    <w:p w14:paraId="1DF51B9D" w14:textId="77777777" w:rsidR="007173CA" w:rsidRPr="008B3051" w:rsidRDefault="007173CA" w:rsidP="007173CA">
      <w:pPr>
        <w:shd w:val="clear" w:color="auto" w:fill="FFFFFF"/>
        <w:spacing w:after="60" w:line="240" w:lineRule="auto"/>
        <w:ind w:left="720"/>
        <w:rPr>
          <w:rFonts w:ascii="Verdana" w:eastAsia="Times New Roman" w:hAnsi="Verdana" w:cs="Times New Roman"/>
          <w:sz w:val="24"/>
          <w:szCs w:val="24"/>
        </w:rPr>
      </w:pPr>
    </w:p>
    <w:p w14:paraId="3BAA804C" w14:textId="791CC3B3"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PART VIII - REPEALED] (§ 59B)</w:t>
      </w:r>
    </w:p>
    <w:p w14:paraId="50132E89" w14:textId="6A873FDC"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59B - Repealed. Pub. L. 101–234, title I, § 102(a), Dec. 13, 1989, 103 Stat. 1980]</w:t>
      </w:r>
    </w:p>
    <w:p w14:paraId="5F8CAA14" w14:textId="77777777" w:rsidR="007173CA" w:rsidRPr="008B3051" w:rsidRDefault="007173CA" w:rsidP="007173CA">
      <w:pPr>
        <w:shd w:val="clear" w:color="auto" w:fill="FFFFFF"/>
        <w:spacing w:after="60" w:line="240" w:lineRule="auto"/>
        <w:ind w:left="720"/>
        <w:rPr>
          <w:rFonts w:ascii="Verdana" w:eastAsia="Times New Roman" w:hAnsi="Verdana" w:cs="Times New Roman"/>
          <w:sz w:val="24"/>
          <w:szCs w:val="24"/>
        </w:rPr>
      </w:pPr>
    </w:p>
    <w:p w14:paraId="152CE01B" w14:textId="77777777" w:rsidR="00003067" w:rsidRPr="008B3051" w:rsidRDefault="00003067" w:rsidP="00003067">
      <w:pPr>
        <w:shd w:val="clear" w:color="auto" w:fill="FFFFFF"/>
        <w:spacing w:after="60" w:line="240" w:lineRule="auto"/>
        <w:ind w:left="720"/>
        <w:rPr>
          <w:rFonts w:ascii="Verdana" w:eastAsia="Times New Roman" w:hAnsi="Verdana" w:cs="Times New Roman"/>
          <w:sz w:val="24"/>
          <w:szCs w:val="24"/>
        </w:rPr>
      </w:pPr>
    </w:p>
    <w:p w14:paraId="5514A430" w14:textId="0AED2147"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B - Computation of Taxable Income (§§ 61 to 291)</w:t>
      </w:r>
    </w:p>
    <w:p w14:paraId="67E960D3" w14:textId="0ABF9745"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I - DEFINITION OF GROSS INCOME, ADJUSTED GROSS INCOME, TAXABLE INCOME, ETC. (§§ 61 to 68)</w:t>
      </w:r>
    </w:p>
    <w:p w14:paraId="654338AA" w14:textId="0162260F"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61 - Gross income defined</w:t>
      </w:r>
    </w:p>
    <w:p w14:paraId="5EE1C49F" w14:textId="075E56B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62 - Adjusted gross income defined</w:t>
      </w:r>
    </w:p>
    <w:p w14:paraId="1640F310" w14:textId="78B588A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63 - Taxable income defined</w:t>
      </w:r>
    </w:p>
    <w:p w14:paraId="54B9647C" w14:textId="420E0EB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64 - Ordinary income defined</w:t>
      </w:r>
    </w:p>
    <w:p w14:paraId="6750C14F" w14:textId="40FA0DA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65 - Ordinary loss defined</w:t>
      </w:r>
    </w:p>
    <w:p w14:paraId="2014F2DB" w14:textId="4F5C1C0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66 - Treatment of community income</w:t>
      </w:r>
    </w:p>
    <w:p w14:paraId="5EB57866" w14:textId="2A51DE0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67 - 2-percent floor on miscellaneous itemized deductions</w:t>
      </w:r>
    </w:p>
    <w:p w14:paraId="72D8CDC6" w14:textId="4538F9B8"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68 - Overall limitation on itemized deductions</w:t>
      </w:r>
    </w:p>
    <w:p w14:paraId="5F40A3F0" w14:textId="77777777" w:rsidR="007173CA" w:rsidRPr="008B3051" w:rsidRDefault="007173CA" w:rsidP="007173CA">
      <w:pPr>
        <w:pStyle w:val="first"/>
        <w:shd w:val="clear" w:color="auto" w:fill="FFFFFF"/>
        <w:spacing w:before="0" w:beforeAutospacing="0" w:after="60" w:afterAutospacing="0"/>
        <w:ind w:left="720"/>
        <w:rPr>
          <w:rFonts w:ascii="Verdana" w:hAnsi="Verdana"/>
        </w:rPr>
      </w:pPr>
    </w:p>
    <w:p w14:paraId="7F346B98" w14:textId="7BBDE02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II - ITEMS SPECIFICALLY INCLUDED IN GROSS INCOME (§§ 71 to 91)</w:t>
      </w:r>
    </w:p>
    <w:p w14:paraId="03EE3113" w14:textId="547606D2"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71 - Alimony and separate maintenance payments</w:t>
      </w:r>
    </w:p>
    <w:p w14:paraId="63DD5AA7" w14:textId="6AEE5C8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72 - Annuities; certain proceeds of endowment and life insurance contracts</w:t>
      </w:r>
    </w:p>
    <w:p w14:paraId="3DEBA4B5" w14:textId="18C930B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73 - Services of child</w:t>
      </w:r>
    </w:p>
    <w:p w14:paraId="141A7B77" w14:textId="0FF63A8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74 - Prizes and awards</w:t>
      </w:r>
    </w:p>
    <w:p w14:paraId="56FF3130" w14:textId="38181E6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75 - Dealers in tax-exempt securities</w:t>
      </w:r>
    </w:p>
    <w:p w14:paraId="170ED7AE" w14:textId="4708CE3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76 - Repealed. Pub. L. 94–455, title XIX, § 1901(a)(14), Oct. 4, 1976, 90 Stat. 1765]</w:t>
      </w:r>
    </w:p>
    <w:p w14:paraId="2F74EE80" w14:textId="7BAB44F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77 - Commodity credit loans</w:t>
      </w:r>
    </w:p>
    <w:p w14:paraId="33EE787F" w14:textId="52C71CE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78 - Gross up for deemed paid foreign tax credit</w:t>
      </w:r>
    </w:p>
    <w:p w14:paraId="5E916B5D" w14:textId="149D27D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79 - Group-term life insurance purchased for employees</w:t>
      </w:r>
    </w:p>
    <w:p w14:paraId="0BD0B6B7" w14:textId="7093C89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80 - Restoration of value of certain securities</w:t>
      </w:r>
    </w:p>
    <w:p w14:paraId="60FE3B7B" w14:textId="11A6EF7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81 - Repealed. Pub. L. 100–203, title X, § 10201(b)(1), Dec. 22, 1987, 101 Stat. 1330–387]</w:t>
      </w:r>
    </w:p>
    <w:p w14:paraId="143CD5F2" w14:textId="4AE1BC1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82 - Reimbursement for expenses of moving</w:t>
      </w:r>
    </w:p>
    <w:p w14:paraId="7CE86CD8" w14:textId="2CAD115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83 - Property transferred in connection with performance of services</w:t>
      </w:r>
    </w:p>
    <w:p w14:paraId="7BA482B1" w14:textId="781A651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84 - Transfer of appreciated property to political organization</w:t>
      </w:r>
    </w:p>
    <w:p w14:paraId="7136B39D" w14:textId="435148E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85 - Unemployment compensation</w:t>
      </w:r>
    </w:p>
    <w:p w14:paraId="5A957CDA" w14:textId="167C267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86 - Social security and tier 1 railroad retirement benefits</w:t>
      </w:r>
    </w:p>
    <w:p w14:paraId="33E3A9E9" w14:textId="7310DCB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 87 - Alcohol and biodiesel fuels credits</w:t>
      </w:r>
    </w:p>
    <w:p w14:paraId="3FFA2D01" w14:textId="1D9C6D2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88 - Certain amounts with respect to nuclear decommissioning costs</w:t>
      </w:r>
    </w:p>
    <w:p w14:paraId="7B9D65A3" w14:textId="12398EF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89 - Repealed. Pub. L. 101–140, title II, § 202(a), Nov. 8, 1989, 103 Stat. 830]</w:t>
      </w:r>
    </w:p>
    <w:p w14:paraId="60511C18" w14:textId="1A81E9A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90 - Illegal Federal irrigation subsidies</w:t>
      </w:r>
    </w:p>
    <w:p w14:paraId="22AFA48E" w14:textId="00976414"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91 - Certain foreign branch losses transferred to specified 10-percent owned foreign corporations</w:t>
      </w:r>
    </w:p>
    <w:p w14:paraId="7B259845" w14:textId="77777777" w:rsidR="007173CA" w:rsidRPr="008B3051" w:rsidRDefault="007173CA" w:rsidP="007173CA">
      <w:pPr>
        <w:shd w:val="clear" w:color="auto" w:fill="FFFFFF"/>
        <w:spacing w:after="60" w:line="240" w:lineRule="auto"/>
        <w:ind w:left="720"/>
        <w:rPr>
          <w:rFonts w:ascii="Verdana" w:hAnsi="Verdana"/>
        </w:rPr>
      </w:pPr>
    </w:p>
    <w:p w14:paraId="1910AA78" w14:textId="1DFDFE3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III - ITEMS SPECIFICALLY EXCLUDED FROM GROSS INCOME (§§ 101 to 140)</w:t>
      </w:r>
    </w:p>
    <w:p w14:paraId="252F5FEF" w14:textId="29D5D0F0"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101 - Certain death benefits</w:t>
      </w:r>
    </w:p>
    <w:p w14:paraId="258009A0" w14:textId="4C4CDC8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102 - Gifts and inheritances</w:t>
      </w:r>
    </w:p>
    <w:p w14:paraId="3BFE02A3" w14:textId="72B4657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103 - Interest on State and local bonds</w:t>
      </w:r>
    </w:p>
    <w:p w14:paraId="1AB7F3F2" w14:textId="296C1BB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103A - Repealed. Pub. L. 99–514, title XIII, § 1301(j)(1), Oct. 22, 1986, 100 Stat. 2657]</w:t>
      </w:r>
    </w:p>
    <w:p w14:paraId="1E163E64" w14:textId="1EB3378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104 - Compensation for injuries or sickness</w:t>
      </w:r>
    </w:p>
    <w:p w14:paraId="56645400" w14:textId="745993A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105 - Amounts received under accident and health plans</w:t>
      </w:r>
    </w:p>
    <w:p w14:paraId="61F75D63" w14:textId="7543025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106 - Contributions by employer to accident and health plans</w:t>
      </w:r>
    </w:p>
    <w:p w14:paraId="69C6938D" w14:textId="4353221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107 - Rental value of parsonages</w:t>
      </w:r>
    </w:p>
    <w:p w14:paraId="02177A58" w14:textId="49A38A6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108 - Income from discharge of indebtedness</w:t>
      </w:r>
    </w:p>
    <w:p w14:paraId="59BD2795" w14:textId="7ECD310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109 - Improvements by lessee on lessor’s property</w:t>
      </w:r>
    </w:p>
    <w:p w14:paraId="48A46003" w14:textId="78B522B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110 - Qualified lessee construction allowances for short-term leases</w:t>
      </w:r>
    </w:p>
    <w:p w14:paraId="65043E9C" w14:textId="06761F2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111 - Recovery of tax benefit items</w:t>
      </w:r>
    </w:p>
    <w:p w14:paraId="6EE2D99C" w14:textId="2A222AC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112 - Certain combat zone compensation of members of the Armed Forces</w:t>
      </w:r>
    </w:p>
    <w:p w14:paraId="0FC327F1" w14:textId="713F2EF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113 - Repealed. Pub. L. 101–508, title XI, § 11801(a)(7), Nov. 5, 1990, 104 Stat. 1388–520]</w:t>
      </w:r>
    </w:p>
    <w:p w14:paraId="4CDFFC2D" w14:textId="7DE9F9F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114 - Repealed. Pub. L. 108–357, title I, § 101(a), Oct. 22, 2004, 118 Stat. 1423]</w:t>
      </w:r>
    </w:p>
    <w:p w14:paraId="47DA29F5" w14:textId="497B3A6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115 - Income of States, municipalities, etc.</w:t>
      </w:r>
    </w:p>
    <w:p w14:paraId="17886D27" w14:textId="448B56A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116 - Repealed. Pub. L. 99–514, title VI, § 612(a), Oct. 22, 1986, 100 Stat. 2250]</w:t>
      </w:r>
    </w:p>
    <w:p w14:paraId="67D04024" w14:textId="404544F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117 - Qualified scholarships</w:t>
      </w:r>
    </w:p>
    <w:p w14:paraId="3B399027" w14:textId="0CCE9B0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118 - Contributions to the capital of a corporation</w:t>
      </w:r>
    </w:p>
    <w:p w14:paraId="2A5BF14D" w14:textId="733FB98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119 - Meals or lodging furnished for the convenience of the employer</w:t>
      </w:r>
    </w:p>
    <w:p w14:paraId="2444D53D" w14:textId="12EA528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120 - Repealed. Pub. L. 113–295, div. A, title II, § 221(a)(19)(A), Dec. 19, 2014, 128 Stat. 4039]</w:t>
      </w:r>
    </w:p>
    <w:p w14:paraId="7FB55CD3" w14:textId="2F808C7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121 - Exclusion of gain from sale of principal residence</w:t>
      </w:r>
    </w:p>
    <w:p w14:paraId="6BB6F86C" w14:textId="2CAA55F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122 - Certain reduced uniformed services retirement pay</w:t>
      </w:r>
    </w:p>
    <w:p w14:paraId="6565251E" w14:textId="1805F1A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123 - Amounts received under insurance contracts for certain living expenses</w:t>
      </w:r>
    </w:p>
    <w:p w14:paraId="744DE0AA" w14:textId="64103C1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 124 - Repealed. Pub. L. 101–508, title XI, § 11801(a)(9), Nov. 5, 1990, 104 Stat. 1388–520]</w:t>
      </w:r>
    </w:p>
    <w:p w14:paraId="6AB0C1C2" w14:textId="5182188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125 - Cafeteria plans</w:t>
      </w:r>
    </w:p>
    <w:p w14:paraId="1A060DD0" w14:textId="368B104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126 - Certain cost-sharing payments</w:t>
      </w:r>
    </w:p>
    <w:p w14:paraId="754CB256" w14:textId="2F26D01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127 - Educational assistance programs</w:t>
      </w:r>
    </w:p>
    <w:p w14:paraId="1A627BEA" w14:textId="5943D09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128 - Repealed. Pub. L. 101–508, title XI, § 11801(a)(10), Nov. 5, 1990, 104 Stat. 1388–520]</w:t>
      </w:r>
    </w:p>
    <w:p w14:paraId="4F387E6C" w14:textId="004AFC4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129 - Dependent care assistance programs</w:t>
      </w:r>
    </w:p>
    <w:p w14:paraId="4556DAD6" w14:textId="193E4D5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130 - Certain personal injury liability assignments</w:t>
      </w:r>
    </w:p>
    <w:p w14:paraId="30162945" w14:textId="0F1F8AB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131 - Certain foster care payments</w:t>
      </w:r>
    </w:p>
    <w:p w14:paraId="5D3A1AA0" w14:textId="568EDAC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132 - Certain fringe benefits</w:t>
      </w:r>
    </w:p>
    <w:p w14:paraId="191C4ECF" w14:textId="3957A94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133 - Repealed. Pub. L. 104–188, title I, § 1602(a), Aug. 20, 1996, 110 Stat. 1833]</w:t>
      </w:r>
    </w:p>
    <w:p w14:paraId="6E081724" w14:textId="0789BDA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134 - Certain military benefits</w:t>
      </w:r>
    </w:p>
    <w:p w14:paraId="476CA5E8" w14:textId="5B33ABA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135 - Income from United States savings bonds used to pay higher education tuition and fees</w:t>
      </w:r>
    </w:p>
    <w:p w14:paraId="2E25896D" w14:textId="68AE2C5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136 - Energy conservation subsidies provided by public utilities</w:t>
      </w:r>
    </w:p>
    <w:p w14:paraId="7115F3C2" w14:textId="0993090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137 - Adoption assistance programs</w:t>
      </w:r>
    </w:p>
    <w:p w14:paraId="72355F85" w14:textId="3F22855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138 - Medicare Advantage MSA</w:t>
      </w:r>
    </w:p>
    <w:p w14:paraId="049E6FE0" w14:textId="5D8092F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139 - Disaster relief payments</w:t>
      </w:r>
    </w:p>
    <w:p w14:paraId="4D368FE8" w14:textId="049EBCC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139A - Federal subsidies for prescription drug plans</w:t>
      </w:r>
    </w:p>
    <w:p w14:paraId="413BA593" w14:textId="110653A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139B - Benefits provided to volunteer firefighters and emergency medical responders</w:t>
      </w:r>
    </w:p>
    <w:p w14:paraId="284BE0A1" w14:textId="1B8C7CF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139C - COBRA premium assistance</w:t>
      </w:r>
    </w:p>
    <w:p w14:paraId="01F54D5E" w14:textId="4D524A3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139D - Indian health care benefits</w:t>
      </w:r>
    </w:p>
    <w:p w14:paraId="3AA5D090" w14:textId="6D21945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139E - Indian general welfare benefits</w:t>
      </w:r>
    </w:p>
    <w:p w14:paraId="063EEDC0" w14:textId="27D83D1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139F - Certain amounts received by wrongfully incarcerated individuals</w:t>
      </w:r>
    </w:p>
    <w:p w14:paraId="3733832B" w14:textId="5D21596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139G - Assignments to Alaska Native Settlement Trusts</w:t>
      </w:r>
    </w:p>
    <w:p w14:paraId="4E3BC6BC" w14:textId="451EFFFA"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140 - Cross references to other Acts</w:t>
      </w:r>
    </w:p>
    <w:p w14:paraId="4779B567" w14:textId="77777777" w:rsidR="007173CA" w:rsidRPr="008B3051" w:rsidRDefault="007173CA" w:rsidP="007173CA">
      <w:pPr>
        <w:shd w:val="clear" w:color="auto" w:fill="FFFFFF"/>
        <w:spacing w:after="60" w:line="240" w:lineRule="auto"/>
        <w:ind w:left="720"/>
        <w:rPr>
          <w:rFonts w:ascii="Verdana" w:hAnsi="Verdana"/>
        </w:rPr>
      </w:pPr>
    </w:p>
    <w:p w14:paraId="2F688800" w14:textId="1B2FD9D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IV - TAX EXEMPTION REQUIREMENTS FOR STATE AND LOCAL BONDS (§§ 141 to 150)</w:t>
      </w:r>
    </w:p>
    <w:p w14:paraId="4EE3AEA8" w14:textId="012F2809"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Private Activity Bonds (§§ 141 to 147)</w:t>
      </w:r>
    </w:p>
    <w:p w14:paraId="6347538F" w14:textId="79A57978"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141 - Private activity bond; qualified bond</w:t>
      </w:r>
    </w:p>
    <w:p w14:paraId="425D911B" w14:textId="660352D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142 - Exempt facility bond</w:t>
      </w:r>
    </w:p>
    <w:p w14:paraId="1A9491D3" w14:textId="57F285F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143 - Mortgage revenue bonds: qualified mortgage bond and qualified veterans’ mortgage bond</w:t>
      </w:r>
    </w:p>
    <w:p w14:paraId="50AB1D66" w14:textId="58B1A90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144 - Qualified small issue bond; qualified student loan bond; qualified redevelopment bond</w:t>
      </w:r>
    </w:p>
    <w:p w14:paraId="4F93B269" w14:textId="1F99897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145 - Qualified 501(c)(3) bond</w:t>
      </w:r>
    </w:p>
    <w:p w14:paraId="7030569C" w14:textId="2F79C30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146 - Volume cap</w:t>
      </w:r>
    </w:p>
    <w:p w14:paraId="0977912A" w14:textId="24087F18"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lastRenderedPageBreak/>
        <w:t>§ 147 - Other requirements applicable to certain private activity bonds</w:t>
      </w:r>
    </w:p>
    <w:p w14:paraId="3BE85082" w14:textId="77777777" w:rsidR="007173CA" w:rsidRPr="008B3051" w:rsidRDefault="007173CA" w:rsidP="007173CA">
      <w:pPr>
        <w:pStyle w:val="first"/>
        <w:shd w:val="clear" w:color="auto" w:fill="FFFFFF"/>
        <w:spacing w:before="0" w:beforeAutospacing="0" w:after="60" w:afterAutospacing="0"/>
        <w:ind w:left="720"/>
        <w:rPr>
          <w:rFonts w:ascii="Verdana" w:hAnsi="Verdana"/>
        </w:rPr>
      </w:pPr>
    </w:p>
    <w:p w14:paraId="0FB03B9A" w14:textId="685EC63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B - Requirements Applicable to All State and Local Bonds (§§ 148 to 149)</w:t>
      </w:r>
    </w:p>
    <w:p w14:paraId="1F334977" w14:textId="5A5331FC"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148 - Arbitrage</w:t>
      </w:r>
    </w:p>
    <w:p w14:paraId="0D9625B0" w14:textId="47BDE95F"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149 - Bonds must be registered to be tax exempt; other requirements</w:t>
      </w:r>
    </w:p>
    <w:p w14:paraId="29D5F8C2" w14:textId="77777777" w:rsidR="007173CA" w:rsidRPr="008B3051" w:rsidRDefault="007173CA" w:rsidP="007173CA">
      <w:pPr>
        <w:shd w:val="clear" w:color="auto" w:fill="FFFFFF"/>
        <w:spacing w:after="60" w:line="240" w:lineRule="auto"/>
        <w:ind w:left="720"/>
        <w:rPr>
          <w:rFonts w:ascii="Verdana" w:hAnsi="Verdana"/>
        </w:rPr>
      </w:pPr>
    </w:p>
    <w:p w14:paraId="76EB2AE1" w14:textId="3CF71342"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C - Definitions and Special Rules (§ 150)</w:t>
      </w:r>
    </w:p>
    <w:p w14:paraId="6B2C32D4" w14:textId="26354BB7"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150 - Definitions and special rules</w:t>
      </w:r>
    </w:p>
    <w:p w14:paraId="038290DE" w14:textId="77777777" w:rsidR="007173CA" w:rsidRPr="008B3051" w:rsidRDefault="007173CA" w:rsidP="007173CA">
      <w:pPr>
        <w:shd w:val="clear" w:color="auto" w:fill="FFFFFF"/>
        <w:spacing w:after="60" w:line="240" w:lineRule="auto"/>
        <w:ind w:left="720"/>
        <w:rPr>
          <w:rFonts w:ascii="Verdana" w:hAnsi="Verdana"/>
        </w:rPr>
      </w:pPr>
    </w:p>
    <w:p w14:paraId="583629A3" w14:textId="47B7BA3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V - DEDUCTIONS FOR PERSONAL EXEMPTIONS (§§ 151 to 153)</w:t>
      </w:r>
    </w:p>
    <w:p w14:paraId="0626DB2E" w14:textId="20EFF15F"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151 - Allowance of deductions for personal exemptions</w:t>
      </w:r>
    </w:p>
    <w:p w14:paraId="1BB316B4" w14:textId="1C28434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152 - Dependent defined</w:t>
      </w:r>
    </w:p>
    <w:p w14:paraId="407ACA90" w14:textId="7928C5CA"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153 - Cross references</w:t>
      </w:r>
    </w:p>
    <w:p w14:paraId="318AC7D1" w14:textId="77777777" w:rsidR="007173CA" w:rsidRPr="008B3051" w:rsidRDefault="007173CA" w:rsidP="007173CA">
      <w:pPr>
        <w:shd w:val="clear" w:color="auto" w:fill="FFFFFF"/>
        <w:spacing w:after="60" w:line="240" w:lineRule="auto"/>
        <w:ind w:left="720"/>
        <w:rPr>
          <w:rFonts w:ascii="Verdana" w:hAnsi="Verdana"/>
        </w:rPr>
      </w:pPr>
    </w:p>
    <w:p w14:paraId="30E8308D" w14:textId="356C089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VI - ITEMIZED DEDUCTIONS FOR INDIVIDUALS AND CORPORATIONS (§§ 161 to 199A)</w:t>
      </w:r>
    </w:p>
    <w:p w14:paraId="12F0D59C" w14:textId="039A6FFF"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161 - Allowance of deductions</w:t>
      </w:r>
    </w:p>
    <w:p w14:paraId="3C3F839C" w14:textId="2288A37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162 - Trade or business expenses</w:t>
      </w:r>
    </w:p>
    <w:p w14:paraId="6BA8CB84" w14:textId="271C92B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163 - Interest</w:t>
      </w:r>
    </w:p>
    <w:p w14:paraId="45946A9C" w14:textId="00F0BFA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164 - Taxes</w:t>
      </w:r>
    </w:p>
    <w:p w14:paraId="69CAACA0" w14:textId="29E1AD0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165 - Losses</w:t>
      </w:r>
    </w:p>
    <w:p w14:paraId="1F4D5AAE" w14:textId="7E6F29D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166 - Bad debts</w:t>
      </w:r>
    </w:p>
    <w:p w14:paraId="759C95E8" w14:textId="14AE35D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167 - Depreciation</w:t>
      </w:r>
    </w:p>
    <w:p w14:paraId="132FD72D" w14:textId="1A05DE1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168 - Accelerated cost recovery system</w:t>
      </w:r>
    </w:p>
    <w:p w14:paraId="2D5E906C" w14:textId="3F882F6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169 - Amortization of pollution control facilities</w:t>
      </w:r>
    </w:p>
    <w:p w14:paraId="1FD7461E" w14:textId="083BC8A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170 - Charitable, etc., contributions and gifts</w:t>
      </w:r>
    </w:p>
    <w:p w14:paraId="20A9C04C" w14:textId="7A98EC1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171 - Amortizable bond premium</w:t>
      </w:r>
    </w:p>
    <w:p w14:paraId="2B42DD75" w14:textId="5DDBF93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172 - Net operating loss deduction</w:t>
      </w:r>
    </w:p>
    <w:p w14:paraId="3F368DAC" w14:textId="3FC41BB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173 - Circulation expenditures</w:t>
      </w:r>
    </w:p>
    <w:p w14:paraId="2AE5D3DB" w14:textId="31351AD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174 - Research and experimental expenditures</w:t>
      </w:r>
    </w:p>
    <w:p w14:paraId="4DFD4044" w14:textId="74F9C38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175 - Soil and water conservation expenditures; endangered species recovery expenditures</w:t>
      </w:r>
    </w:p>
    <w:p w14:paraId="07974407" w14:textId="0F76349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176 - Payments with respect to employees of certain foreign corporations</w:t>
      </w:r>
    </w:p>
    <w:p w14:paraId="5119736B" w14:textId="0CB5787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177 - Repealed. Pub. L. 99–514, title II, § 241(a), Oct. 22, 1986, 100 Stat. 2181]</w:t>
      </w:r>
    </w:p>
    <w:p w14:paraId="586DB686" w14:textId="5541966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178 - Amortization of cost of acquiring a lease</w:t>
      </w:r>
    </w:p>
    <w:p w14:paraId="040006AE" w14:textId="3F548EA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179 - Election to expense certain depreciable business assets</w:t>
      </w:r>
    </w:p>
    <w:p w14:paraId="100CE614" w14:textId="0B16EB6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 179A - Repealed. Pub. L. 113–295, div. A, title II, § 221(a)(34)(A), Dec. 19, 2014, 128 Stat. 4042]</w:t>
      </w:r>
    </w:p>
    <w:p w14:paraId="59E34ED4" w14:textId="122F823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179B - Deduction for capital costs incurred in complying with Environmental Protection Agency sulfur regulations</w:t>
      </w:r>
    </w:p>
    <w:p w14:paraId="0053F263" w14:textId="7E6921F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179C - Election to expense certain refineries</w:t>
      </w:r>
    </w:p>
    <w:p w14:paraId="2F866B80" w14:textId="013B7DB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179D - Energy efficient commercial buildings deduction</w:t>
      </w:r>
    </w:p>
    <w:p w14:paraId="52D6D56F" w14:textId="380AA3E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179E - Election to expense advanced mine safety equipment</w:t>
      </w:r>
    </w:p>
    <w:p w14:paraId="16C6D393" w14:textId="4A558E8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180 - Expenditures by farmers for fertilizer, etc.</w:t>
      </w:r>
    </w:p>
    <w:p w14:paraId="64AF767B" w14:textId="15C4E2A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181 - Treatment of certain qualified film and television and live theatrical productions</w:t>
      </w:r>
    </w:p>
    <w:p w14:paraId="3A6142D9" w14:textId="671F739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182 - Repealed. Pub. L. 99–514, title IV, § 402(a), Oct. 22, 1986, 100 Stat. 2221]</w:t>
      </w:r>
    </w:p>
    <w:p w14:paraId="404E4377" w14:textId="6436477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183 - Activities not engaged in for profit</w:t>
      </w:r>
    </w:p>
    <w:p w14:paraId="157F14C2" w14:textId="081B4BA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184 - Repealed. Pub. L. 101–508, title XI, § 11801(a)(12), Nov. 5, 1990, 104 Stat. 1388–520]</w:t>
      </w:r>
    </w:p>
    <w:p w14:paraId="474C18DD" w14:textId="5682822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185 - Repealed. Pub. L. 99–514, title II, § 242(a), Oct. 22, 1986, 100 Stat. 2181]</w:t>
      </w:r>
    </w:p>
    <w:p w14:paraId="4D62AD93" w14:textId="3C25170A"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186 - Recoveries of damages for antitrust violations, etc.</w:t>
      </w:r>
    </w:p>
    <w:p w14:paraId="5DA9D1B1" w14:textId="5E88671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187 - Repealed. Pub. L. 94–455, title XIX, § 1901(a)(31), Oct. 4, 1976, 90 Stat. 1769]</w:t>
      </w:r>
    </w:p>
    <w:p w14:paraId="56DE65B7" w14:textId="5690A5D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188 - Repealed. Pub. L. 101–508, title XI, § 11801(a)(13), Nov. 5, 1990, 104 Stat. 1388–520]</w:t>
      </w:r>
    </w:p>
    <w:p w14:paraId="2CF10555" w14:textId="346F6D6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189 - Repealed. Pub. L. 99–514, title VIII, § 803(b)(1), Oct. 22, 1986, 100 Stat. 2355]</w:t>
      </w:r>
    </w:p>
    <w:p w14:paraId="35665E47" w14:textId="3D32258E"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190 - Expenditures to remove architectural and transportation barriers to the handicapped and elderly</w:t>
      </w:r>
    </w:p>
    <w:p w14:paraId="333B9FD0" w14:textId="079ACCB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191 - Repealed. Pub. L. 97–34, title II, § 212(d)(1), Aug. 13, 1981, 95 Stat. 239]</w:t>
      </w:r>
    </w:p>
    <w:p w14:paraId="116EB61F" w14:textId="7B61D11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192 - Contributions to black lung benefit trust</w:t>
      </w:r>
    </w:p>
    <w:p w14:paraId="5F4D88A5" w14:textId="394198C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193 - Tertiary injectants</w:t>
      </w:r>
    </w:p>
    <w:p w14:paraId="3C80036C" w14:textId="449D59C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194 - Treatment of reforestation expenditures</w:t>
      </w:r>
    </w:p>
    <w:p w14:paraId="16102C24" w14:textId="68C537E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194A - Contributions to employer liability trusts</w:t>
      </w:r>
    </w:p>
    <w:p w14:paraId="057A15C2" w14:textId="4F560D7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195 - Start-up expenditures</w:t>
      </w:r>
    </w:p>
    <w:p w14:paraId="37A15B30" w14:textId="1FD7C33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196 - Deduction for certain unused business credits</w:t>
      </w:r>
    </w:p>
    <w:p w14:paraId="4434249E" w14:textId="224B026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197 - Amortization of goodwill and certain other intangibles</w:t>
      </w:r>
    </w:p>
    <w:p w14:paraId="1F6D959F" w14:textId="1D46AD9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198 - Expensing of environmental remediation costs</w:t>
      </w:r>
    </w:p>
    <w:p w14:paraId="4A11AE88" w14:textId="0F082BA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198A - Repealed. Pub. L. 113–295, div. A, title II, § 221(a)(35), Dec. 19, 2014, 128 Stat. 4042]</w:t>
      </w:r>
    </w:p>
    <w:p w14:paraId="236172F8" w14:textId="05F3A42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199 - Repealed. Pub. L. 115–97, title I, § 13305(a), Dec. 22, 2017, 131 Stat. 2126]</w:t>
      </w:r>
    </w:p>
    <w:p w14:paraId="6C846C95" w14:textId="537DD50E"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199A - Qualified business income</w:t>
      </w:r>
    </w:p>
    <w:p w14:paraId="0E4592EF" w14:textId="77777777" w:rsidR="007173CA" w:rsidRPr="008B3051" w:rsidRDefault="007173CA" w:rsidP="007173CA">
      <w:pPr>
        <w:shd w:val="clear" w:color="auto" w:fill="FFFFFF"/>
        <w:spacing w:after="60" w:line="240" w:lineRule="auto"/>
        <w:ind w:left="720"/>
        <w:rPr>
          <w:rFonts w:ascii="Verdana" w:hAnsi="Verdana"/>
        </w:rPr>
      </w:pPr>
    </w:p>
    <w:p w14:paraId="569B5EFF" w14:textId="6055AD0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PART VII - ADDITIONAL ITEMIZED DEDUCTIONS FOR INDIVIDUALS (§§ 211 to 224)</w:t>
      </w:r>
    </w:p>
    <w:p w14:paraId="479E4EF8" w14:textId="1CC756B8"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211 - Allowance of deductions</w:t>
      </w:r>
    </w:p>
    <w:p w14:paraId="1F485D62" w14:textId="0F53C0F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212 - Expenses for production of income</w:t>
      </w:r>
    </w:p>
    <w:p w14:paraId="3633318C" w14:textId="4A011F1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213 - Medical, dental, etc., expenses</w:t>
      </w:r>
    </w:p>
    <w:p w14:paraId="6500A37F" w14:textId="2F2EDDD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214 - Repealed. Pub. L. 94–455, title V, § 504(b)(1), Oct. 4, 1976, 90 Stat. 1565]</w:t>
      </w:r>
    </w:p>
    <w:p w14:paraId="648D1E98" w14:textId="4FF1A8D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215 - Alimony, etc., payments</w:t>
      </w:r>
    </w:p>
    <w:p w14:paraId="14DB96CC" w14:textId="77F53C83"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216 - Deduction of taxes, interest, and business depreciation by cooperative housing corporation tenant-stockholder</w:t>
      </w:r>
    </w:p>
    <w:p w14:paraId="4734C0F6" w14:textId="5B21E09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217 - Moving expenses</w:t>
      </w:r>
    </w:p>
    <w:p w14:paraId="4DDB87B1" w14:textId="6EBEA51F"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218 - Repealed. Pub. L. 95–600, title I, § 113(a)(1), Nov. 6, 1978, 92 Stat. 2778]</w:t>
      </w:r>
    </w:p>
    <w:p w14:paraId="79F16179" w14:textId="44F2697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219 - Retirement savings</w:t>
      </w:r>
    </w:p>
    <w:p w14:paraId="3C35466F" w14:textId="39EBD96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220 - Archer MSAs</w:t>
      </w:r>
    </w:p>
    <w:p w14:paraId="62DBE451" w14:textId="6576492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221 - Interest on education loans</w:t>
      </w:r>
    </w:p>
    <w:p w14:paraId="28D2E905" w14:textId="6A8AA477"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222 - Qualified tuition and related expenses</w:t>
      </w:r>
    </w:p>
    <w:p w14:paraId="3E422661" w14:textId="10EBDAB4"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223 - Health savings accounts</w:t>
      </w:r>
    </w:p>
    <w:p w14:paraId="0AC72E9C" w14:textId="19F72339"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224 - Cross reference</w:t>
      </w:r>
    </w:p>
    <w:p w14:paraId="3E55DE7F" w14:textId="77777777" w:rsidR="007173CA" w:rsidRPr="008B3051" w:rsidRDefault="007173CA" w:rsidP="007173CA">
      <w:pPr>
        <w:shd w:val="clear" w:color="auto" w:fill="FFFFFF"/>
        <w:spacing w:after="60" w:line="240" w:lineRule="auto"/>
        <w:ind w:left="720"/>
        <w:rPr>
          <w:rFonts w:ascii="Verdana" w:hAnsi="Verdana"/>
        </w:rPr>
      </w:pPr>
    </w:p>
    <w:p w14:paraId="21984B4F" w14:textId="598B965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VIII - SPECIAL DEDUCTIONS FOR CORPORATIONS (§§ 241 to 250)</w:t>
      </w:r>
    </w:p>
    <w:p w14:paraId="35D105E6" w14:textId="14DEB6C5" w:rsidR="007173CA" w:rsidRPr="008B3051" w:rsidRDefault="007173CA" w:rsidP="007173CA">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241 - Allowance of special deductions</w:t>
      </w:r>
    </w:p>
    <w:p w14:paraId="2EDC2997" w14:textId="4904A780"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242 - Repealed. Pub. L. 94–455, title XIX, § 1901(a)(33), Oct. 4, 1976, 90 Stat. 1769]</w:t>
      </w:r>
    </w:p>
    <w:p w14:paraId="4F3441F3" w14:textId="1D6AEA52"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243 - Dividends received by corporations</w:t>
      </w:r>
    </w:p>
    <w:p w14:paraId="22D2D4AE" w14:textId="0ECBA2B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244 - Repealed. Pub. L. 113–295, div. A, title II, § 221(a)(41)(A), Dec. 19, 2014, 128 Stat. 4043]</w:t>
      </w:r>
    </w:p>
    <w:p w14:paraId="0D35E30B" w14:textId="5A3D793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245 - Dividends received from certain foreign corporations</w:t>
      </w:r>
    </w:p>
    <w:p w14:paraId="6753C994" w14:textId="66C15B8D"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245A - Deduction for foreign source-portion of dividends received by domestic corporations from specified 10-percent owned foreign corporations</w:t>
      </w:r>
    </w:p>
    <w:p w14:paraId="14690F88" w14:textId="649374E6"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246 - Rules applying to deductions for dividends received</w:t>
      </w:r>
    </w:p>
    <w:p w14:paraId="1D8582F0" w14:textId="0AD7DAE1"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246A - Dividends received deduction reduced where portfolio stock is debt financed</w:t>
      </w:r>
    </w:p>
    <w:p w14:paraId="25FD0350" w14:textId="6ADB9A0C"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247 - Contributions to Alaska Native Settlement Trusts</w:t>
      </w:r>
    </w:p>
    <w:p w14:paraId="7674CA88" w14:textId="098D53AB"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248 - Organizational expenditures</w:t>
      </w:r>
    </w:p>
    <w:p w14:paraId="798AC5A1" w14:textId="49F140A8"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249 - Limitation on deduction of bond premium on repurchase</w:t>
      </w:r>
    </w:p>
    <w:p w14:paraId="5BCCA600" w14:textId="4B1C5C54"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250 - Foreign-derived intangible income and global intangible low-taxed income</w:t>
      </w:r>
    </w:p>
    <w:p w14:paraId="264E3330" w14:textId="77777777" w:rsidR="007173CA" w:rsidRPr="008B3051" w:rsidRDefault="007173CA" w:rsidP="007173CA">
      <w:pPr>
        <w:shd w:val="clear" w:color="auto" w:fill="FFFFFF"/>
        <w:spacing w:after="60" w:line="240" w:lineRule="auto"/>
        <w:ind w:left="720"/>
        <w:rPr>
          <w:rFonts w:ascii="Verdana" w:hAnsi="Verdana"/>
        </w:rPr>
      </w:pPr>
    </w:p>
    <w:p w14:paraId="6A8DD40A" w14:textId="44AFAEF5"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IX - ITEMS NOT DEDUCTIBLE (§§ 261 to 280H)</w:t>
      </w:r>
    </w:p>
    <w:p w14:paraId="7B97C013" w14:textId="77777777" w:rsidR="00A70DD8" w:rsidRPr="008B3051" w:rsidRDefault="00A70DD8" w:rsidP="00A70DD8">
      <w:pPr>
        <w:pStyle w:val="ListParagraph"/>
        <w:rPr>
          <w:rFonts w:ascii="Verdana" w:hAnsi="Verdana"/>
        </w:rPr>
      </w:pPr>
    </w:p>
    <w:p w14:paraId="2E42840F" w14:textId="4BD8DAFB" w:rsidR="00A70DD8" w:rsidRPr="008B3051" w:rsidRDefault="00A70DD8" w:rsidP="000805FD">
      <w:pPr>
        <w:pStyle w:val="first"/>
        <w:numPr>
          <w:ilvl w:val="0"/>
          <w:numId w:val="6"/>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lastRenderedPageBreak/>
        <w:t>§ 261 - General rule for disallowance of deductions</w:t>
      </w:r>
    </w:p>
    <w:p w14:paraId="48D0FFCD" w14:textId="64C4FEF0"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262 - Personal, living, and family expenses</w:t>
      </w:r>
    </w:p>
    <w:p w14:paraId="14F238D6" w14:textId="7C91D333"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263 - Capital expenditures</w:t>
      </w:r>
    </w:p>
    <w:p w14:paraId="2B7B29A8" w14:textId="3CFE4867"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263A - Capitalization and inclusion in inventory costs of certain expenses</w:t>
      </w:r>
    </w:p>
    <w:p w14:paraId="2EF9E98D" w14:textId="0025E99B"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264 - Certain amounts paid in connection with insurance contracts</w:t>
      </w:r>
    </w:p>
    <w:p w14:paraId="44817FB1" w14:textId="2DE25F8C"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265 - Expenses and interest relating to tax-exempt income</w:t>
      </w:r>
    </w:p>
    <w:p w14:paraId="370C8F5B" w14:textId="5C7EC03D"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266 - Carrying charges</w:t>
      </w:r>
    </w:p>
    <w:p w14:paraId="77E458AB" w14:textId="71BCFD98"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267 - Losses, expenses, and interest with respect to transactions between related taxpayers</w:t>
      </w:r>
    </w:p>
    <w:p w14:paraId="0E2A8452" w14:textId="40F54588"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267A - Certain related party amounts paid or accrued in hybrid transactions or with hybrid entities</w:t>
      </w:r>
    </w:p>
    <w:p w14:paraId="1022FC5C" w14:textId="0CB42F27"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268 - Sale of land with unharvested crop</w:t>
      </w:r>
    </w:p>
    <w:p w14:paraId="2937FC3D" w14:textId="16CBC88D"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269 - Acquisitions made to evade or avoid income tax</w:t>
      </w:r>
    </w:p>
    <w:p w14:paraId="63D46715" w14:textId="4C470C6D"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269A - Personal service corporations formed or availed of to avoid or evade income tax</w:t>
      </w:r>
    </w:p>
    <w:p w14:paraId="66836FF0" w14:textId="3FDAC246"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269B - Stapled entities</w:t>
      </w:r>
    </w:p>
    <w:p w14:paraId="5B6A25D3" w14:textId="00E89BEE"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270 - Repealed. Pub. L. 91–172, title II, § 213(b), Dec. 30, 1969, 83 Stat. 572]</w:t>
      </w:r>
    </w:p>
    <w:p w14:paraId="1239EF1D" w14:textId="6D2D4E92"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271 - Debts owed by political parties, etc.</w:t>
      </w:r>
    </w:p>
    <w:p w14:paraId="5396EEBF" w14:textId="523238A4"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272 - Disposal of coal or domestic iron ore</w:t>
      </w:r>
    </w:p>
    <w:p w14:paraId="6051EC9A" w14:textId="0BE94DB0"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273 - Holders of life or terminable interest</w:t>
      </w:r>
    </w:p>
    <w:p w14:paraId="41EEBA45" w14:textId="4AA12E7C"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274 - Disallowance of certain entertainment, etc., expenses</w:t>
      </w:r>
    </w:p>
    <w:p w14:paraId="7E6CB93C" w14:textId="01FDC625"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275 - Certain taxes</w:t>
      </w:r>
    </w:p>
    <w:p w14:paraId="2C0B40A3" w14:textId="5D121103"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276 - Certain indirect contributions to political parties</w:t>
      </w:r>
    </w:p>
    <w:p w14:paraId="46BB8136" w14:textId="7CCB1C8E"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277 - Deductions incurred by certain membership organizations in transactions with members</w:t>
      </w:r>
    </w:p>
    <w:p w14:paraId="2258BFD9" w14:textId="2C0CBF4A"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278 - Repealed. Pub. L. 99–514, title VIII, § 803(b)(6), Oct. 22, 1986, 100 Stat. 2356]</w:t>
      </w:r>
    </w:p>
    <w:p w14:paraId="41C4A965" w14:textId="67BFD846"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279 - Interest on indebtedness incurred by corporation to acquire stock or assets of another corporation</w:t>
      </w:r>
    </w:p>
    <w:p w14:paraId="30A35F0F" w14:textId="0DE8E369"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280 - Repealed. Pub. L. 99–514, title VIII, § 803(b)(2)(A), Oct. 22, 1986, 100 Stat. 2355]</w:t>
      </w:r>
    </w:p>
    <w:p w14:paraId="0682945A" w14:textId="0922F7DD"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280A - Disallowance of certain expenses in connection with business use of home, rental of vacation homes, etc.</w:t>
      </w:r>
    </w:p>
    <w:p w14:paraId="5A81E243" w14:textId="291DAFDC"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280B - Demolition of structures</w:t>
      </w:r>
    </w:p>
    <w:p w14:paraId="43D20C91" w14:textId="5378312C"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280C - Certain expenses for which credits are allowable</w:t>
      </w:r>
    </w:p>
    <w:p w14:paraId="6C38E38D" w14:textId="093EFF9B"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280D - Repealed. Pub. L. 100–418, title I, § 1941(b)(4)(A), Aug. 23, 1988, 102 Stat. 1324]</w:t>
      </w:r>
    </w:p>
    <w:p w14:paraId="5D7E7FFF" w14:textId="46851A77"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280E - Expenditures in connection with the illegal sale of drugs</w:t>
      </w:r>
    </w:p>
    <w:p w14:paraId="59014981" w14:textId="2933EB6C"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t>§ 280F - Limitation on depreciation for luxury automobiles; limitation where certain property used for personal purposes</w:t>
      </w:r>
    </w:p>
    <w:p w14:paraId="216DBAF9" w14:textId="3602B196" w:rsidR="00A70DD8" w:rsidRPr="008B3051" w:rsidRDefault="00A70DD8" w:rsidP="000805FD">
      <w:pPr>
        <w:numPr>
          <w:ilvl w:val="0"/>
          <w:numId w:val="6"/>
        </w:numPr>
        <w:shd w:val="clear" w:color="auto" w:fill="FFFFFF"/>
        <w:spacing w:after="60" w:line="240" w:lineRule="auto"/>
        <w:ind w:left="360"/>
        <w:rPr>
          <w:rFonts w:ascii="Verdana" w:hAnsi="Verdana"/>
        </w:rPr>
      </w:pPr>
      <w:r w:rsidRPr="008B3051">
        <w:rPr>
          <w:rStyle w:val="Hyperlink"/>
          <w:rFonts w:ascii="Verdana" w:hAnsi="Verdana"/>
          <w:color w:val="auto"/>
        </w:rPr>
        <w:lastRenderedPageBreak/>
        <w:t>§ 280G - Golden parachute payments</w:t>
      </w:r>
    </w:p>
    <w:p w14:paraId="09AAA586" w14:textId="6DA36523" w:rsidR="00A70DD8" w:rsidRPr="008B3051" w:rsidRDefault="00A70DD8" w:rsidP="000805FD">
      <w:pPr>
        <w:pStyle w:val="last"/>
        <w:numPr>
          <w:ilvl w:val="0"/>
          <w:numId w:val="6"/>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t>§ 280H - Limitation on certain amounts paid to employee-owners by personal service corporations electing alternative taxable years</w:t>
      </w:r>
    </w:p>
    <w:p w14:paraId="17E65D58" w14:textId="77777777" w:rsidR="00A70DD8" w:rsidRPr="008B3051" w:rsidRDefault="00A70DD8" w:rsidP="00A70DD8">
      <w:pPr>
        <w:shd w:val="clear" w:color="auto" w:fill="FFFFFF"/>
        <w:spacing w:after="60" w:line="240" w:lineRule="auto"/>
        <w:ind w:left="720"/>
        <w:rPr>
          <w:rFonts w:ascii="Verdana" w:hAnsi="Verdana"/>
        </w:rPr>
      </w:pPr>
    </w:p>
    <w:p w14:paraId="5E0C6244" w14:textId="7B3655A9" w:rsidR="007173CA" w:rsidRPr="008B3051" w:rsidRDefault="007173CA" w:rsidP="007173CA">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X - TERMINAL RAILROAD CORPORATIONS AND THEIR SHAREHOLDERS (§ 281)</w:t>
      </w:r>
    </w:p>
    <w:p w14:paraId="61F9BE71" w14:textId="29AB099A"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281 - Terminal railroad corporations and their shareholders</w:t>
      </w:r>
    </w:p>
    <w:p w14:paraId="7EFCC1C8" w14:textId="77777777" w:rsidR="00A70DD8" w:rsidRPr="008B3051" w:rsidRDefault="00A70DD8" w:rsidP="00A70DD8">
      <w:pPr>
        <w:shd w:val="clear" w:color="auto" w:fill="FFFFFF"/>
        <w:spacing w:after="60" w:line="240" w:lineRule="auto"/>
        <w:ind w:left="720"/>
        <w:rPr>
          <w:rFonts w:ascii="Verdana" w:hAnsi="Verdana"/>
        </w:rPr>
      </w:pPr>
    </w:p>
    <w:p w14:paraId="1C22B45B" w14:textId="0008F860" w:rsidR="007173CA" w:rsidRPr="008B3051" w:rsidRDefault="007173CA" w:rsidP="007173CA">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XI - SPECIAL RULES RELATING TO CORPORATE PREFERENCE ITEMS (§ 291)</w:t>
      </w:r>
    </w:p>
    <w:p w14:paraId="2C9858BB" w14:textId="668BEC38"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291 - Special rules relating to corporate preference items</w:t>
      </w:r>
    </w:p>
    <w:p w14:paraId="75BE5C70" w14:textId="77777777" w:rsidR="00A70DD8" w:rsidRPr="008B3051" w:rsidRDefault="00A70DD8" w:rsidP="00A70DD8">
      <w:pPr>
        <w:pStyle w:val="last"/>
        <w:shd w:val="clear" w:color="auto" w:fill="FFFFFF"/>
        <w:spacing w:before="0" w:beforeAutospacing="0" w:after="60" w:afterAutospacing="0"/>
        <w:ind w:left="720"/>
        <w:rPr>
          <w:rFonts w:ascii="Verdana" w:hAnsi="Verdana"/>
        </w:rPr>
      </w:pPr>
    </w:p>
    <w:p w14:paraId="46225CA9" w14:textId="77777777" w:rsidR="007173CA" w:rsidRPr="008B3051" w:rsidRDefault="007173CA" w:rsidP="007173CA">
      <w:pPr>
        <w:shd w:val="clear" w:color="auto" w:fill="FFFFFF"/>
        <w:spacing w:after="60" w:line="240" w:lineRule="auto"/>
        <w:ind w:left="720"/>
        <w:rPr>
          <w:rFonts w:ascii="Verdana" w:eastAsia="Times New Roman" w:hAnsi="Verdana" w:cs="Times New Roman"/>
          <w:sz w:val="24"/>
          <w:szCs w:val="24"/>
        </w:rPr>
      </w:pPr>
    </w:p>
    <w:p w14:paraId="13EBA3DA" w14:textId="6B90D081"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C - Corporate Distributions and Adjustments (§§ 301 to 391)</w:t>
      </w:r>
    </w:p>
    <w:p w14:paraId="3FFF7046" w14:textId="490E7015"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I - DISTRIBUTIONS BY CORPORATIONS (§§ 301 to 318)</w:t>
      </w:r>
    </w:p>
    <w:p w14:paraId="68FCE97D" w14:textId="22C08D3B"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Effects on Recipients (§§ 301 to 307)</w:t>
      </w:r>
    </w:p>
    <w:p w14:paraId="614638B9" w14:textId="110299AD"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301 - Distributions of property</w:t>
      </w:r>
    </w:p>
    <w:p w14:paraId="5DFB0B6A" w14:textId="7A800B23"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302 - Distributions in redemption of stock</w:t>
      </w:r>
    </w:p>
    <w:p w14:paraId="02F1C52B" w14:textId="024FC5B1"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303 - Distributions in redemption of stock to pay death taxes</w:t>
      </w:r>
    </w:p>
    <w:p w14:paraId="1025A611" w14:textId="0876266E"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304 - Redemption through use of related corporations</w:t>
      </w:r>
    </w:p>
    <w:p w14:paraId="0F608A6F" w14:textId="6CFAC585"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305 - Distributions of stock and stock rights</w:t>
      </w:r>
    </w:p>
    <w:p w14:paraId="05AB8DE8" w14:textId="02ED7241"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306 - Dispositions of certain stock</w:t>
      </w:r>
    </w:p>
    <w:p w14:paraId="216FBEFF" w14:textId="54A38BEA"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307 - Basis of stock and stock rights acquired in distributions</w:t>
      </w:r>
    </w:p>
    <w:p w14:paraId="07E41C75" w14:textId="77777777" w:rsidR="00A70DD8" w:rsidRPr="008B3051" w:rsidRDefault="00A70DD8" w:rsidP="00A70DD8">
      <w:pPr>
        <w:pStyle w:val="first"/>
        <w:shd w:val="clear" w:color="auto" w:fill="FFFFFF"/>
        <w:spacing w:before="0" w:beforeAutospacing="0" w:after="60" w:afterAutospacing="0"/>
        <w:ind w:left="720"/>
        <w:rPr>
          <w:rFonts w:ascii="Verdana" w:hAnsi="Verdana"/>
        </w:rPr>
      </w:pPr>
    </w:p>
    <w:p w14:paraId="49964530" w14:textId="7521BFB6"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B - Effects on Corporation (§§ 311 to 312)</w:t>
      </w:r>
    </w:p>
    <w:p w14:paraId="24EB43CC" w14:textId="233F4191"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311 - Taxability of corporation on distribution</w:t>
      </w:r>
    </w:p>
    <w:p w14:paraId="70949E02" w14:textId="2FD206A6"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312 - Effect on earnings and profits</w:t>
      </w:r>
    </w:p>
    <w:p w14:paraId="0F06266C" w14:textId="77777777" w:rsidR="00A70DD8" w:rsidRPr="008B3051" w:rsidRDefault="00A70DD8" w:rsidP="00A70DD8">
      <w:pPr>
        <w:shd w:val="clear" w:color="auto" w:fill="FFFFFF"/>
        <w:spacing w:after="60" w:line="240" w:lineRule="auto"/>
        <w:ind w:left="720"/>
        <w:rPr>
          <w:rFonts w:ascii="Verdana" w:hAnsi="Verdana"/>
        </w:rPr>
      </w:pPr>
    </w:p>
    <w:p w14:paraId="24E9280B" w14:textId="47D52CBD"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C - Definitions; Constructive Ownership of Stock (§§ 316 to 318)</w:t>
      </w:r>
    </w:p>
    <w:p w14:paraId="1ABAD530" w14:textId="4039B727"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316 - Dividend defined</w:t>
      </w:r>
    </w:p>
    <w:p w14:paraId="0C9143AB" w14:textId="71F2F801"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317 - Other definitions</w:t>
      </w:r>
    </w:p>
    <w:p w14:paraId="3BDDB78F" w14:textId="29A69791"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318 - Constructive ownership of stock</w:t>
      </w:r>
    </w:p>
    <w:p w14:paraId="6BC6560E" w14:textId="77777777" w:rsidR="00A70DD8" w:rsidRPr="008B3051" w:rsidRDefault="00A70DD8" w:rsidP="00A70DD8">
      <w:pPr>
        <w:pStyle w:val="first"/>
        <w:shd w:val="clear" w:color="auto" w:fill="FFFFFF"/>
        <w:spacing w:before="0" w:beforeAutospacing="0" w:after="60" w:afterAutospacing="0"/>
        <w:ind w:left="720"/>
        <w:rPr>
          <w:rFonts w:ascii="Verdana" w:hAnsi="Verdana"/>
        </w:rPr>
      </w:pPr>
    </w:p>
    <w:p w14:paraId="4582F2E3" w14:textId="7072D046"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II - CORPORATE LIQUIDATIONS (§§ 331 to 346)</w:t>
      </w:r>
    </w:p>
    <w:p w14:paraId="3D898394" w14:textId="3EBC8DF2"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Effects on Recipients (§§ 331 to 334)</w:t>
      </w:r>
    </w:p>
    <w:p w14:paraId="2EA7F09D" w14:textId="4F5BEE33"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331 - Gain or loss to shareholders in corporate liquidations</w:t>
      </w:r>
    </w:p>
    <w:p w14:paraId="7BC67047" w14:textId="6C3ED081"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 332 - Complete liquidations of subsidiaries</w:t>
      </w:r>
    </w:p>
    <w:p w14:paraId="06CE4B4F" w14:textId="193FB978"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333 - Repealed. Pub. L. 99–514, title VI, § 631(e)(3), Oct. 22, 1986, 100 Stat. 2273]</w:t>
      </w:r>
    </w:p>
    <w:p w14:paraId="332BBE63" w14:textId="7398A1D0"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334 - Basis of property received in liquidations</w:t>
      </w:r>
    </w:p>
    <w:p w14:paraId="3EF0EAED" w14:textId="77777777" w:rsidR="00A70DD8" w:rsidRPr="008B3051" w:rsidRDefault="00A70DD8" w:rsidP="00A70DD8">
      <w:pPr>
        <w:pStyle w:val="first"/>
        <w:shd w:val="clear" w:color="auto" w:fill="FFFFFF"/>
        <w:spacing w:before="0" w:beforeAutospacing="0" w:after="60" w:afterAutospacing="0"/>
        <w:ind w:left="720"/>
        <w:rPr>
          <w:rFonts w:ascii="Verdana" w:hAnsi="Verdana"/>
        </w:rPr>
      </w:pPr>
    </w:p>
    <w:p w14:paraId="5F8997A2" w14:textId="2F2E82A7"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B - Effects on Corporation (§ 336 to 338)</w:t>
      </w:r>
    </w:p>
    <w:p w14:paraId="282FDE5B" w14:textId="5C9612F1"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336 - Gain or loss recognized on property distributed in complete liquidation</w:t>
      </w:r>
    </w:p>
    <w:p w14:paraId="4F721782" w14:textId="53018B43"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337 - Nonrecognition for property distributed to parent in complete liquidation of subsidiary</w:t>
      </w:r>
    </w:p>
    <w:p w14:paraId="66FCB6E2" w14:textId="1B636486"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338 - Certain stock purchases treated as asset acquisitions</w:t>
      </w:r>
    </w:p>
    <w:p w14:paraId="48B329F3" w14:textId="77777777" w:rsidR="00A70DD8" w:rsidRPr="008B3051" w:rsidRDefault="00A70DD8" w:rsidP="00A70DD8">
      <w:pPr>
        <w:shd w:val="clear" w:color="auto" w:fill="FFFFFF"/>
        <w:spacing w:after="60" w:line="240" w:lineRule="auto"/>
        <w:ind w:left="720"/>
        <w:rPr>
          <w:rFonts w:ascii="Verdana" w:hAnsi="Verdana"/>
        </w:rPr>
      </w:pPr>
    </w:p>
    <w:p w14:paraId="3C8B1E02" w14:textId="784A1314"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C - Repealed] (§§ 341 to 342)</w:t>
      </w:r>
    </w:p>
    <w:p w14:paraId="303FB310" w14:textId="55E0AB4E"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341 - Repealed. Pub. L. 108–27, title III, § 302(e)(4)(A), May 28, 2003, 117 Stat. 763]</w:t>
      </w:r>
    </w:p>
    <w:p w14:paraId="16C5460E" w14:textId="7D0FBA81"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342 - Repealed. Pub. L. 94–455, title XIX, § 1901(a)(47), Oct. 4, 1976, 90 Stat. 1772]</w:t>
      </w:r>
    </w:p>
    <w:p w14:paraId="24EDFB46" w14:textId="77777777" w:rsidR="00A70DD8" w:rsidRPr="008B3051" w:rsidRDefault="00A70DD8" w:rsidP="00A70DD8">
      <w:pPr>
        <w:shd w:val="clear" w:color="auto" w:fill="FFFFFF"/>
        <w:spacing w:after="60" w:line="240" w:lineRule="auto"/>
        <w:ind w:left="720"/>
        <w:rPr>
          <w:rFonts w:ascii="Verdana" w:hAnsi="Verdana"/>
        </w:rPr>
      </w:pPr>
    </w:p>
    <w:p w14:paraId="400B0BBE" w14:textId="1E611063"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D - Definition and Special Rule (§ 346)</w:t>
      </w:r>
    </w:p>
    <w:p w14:paraId="045862FE" w14:textId="7ABD34F1"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346 - Definition and special rule</w:t>
      </w:r>
    </w:p>
    <w:p w14:paraId="634801DE" w14:textId="77777777" w:rsidR="00A70DD8" w:rsidRPr="008B3051" w:rsidRDefault="00A70DD8" w:rsidP="00A70DD8">
      <w:pPr>
        <w:pStyle w:val="last"/>
        <w:shd w:val="clear" w:color="auto" w:fill="FFFFFF"/>
        <w:spacing w:before="0" w:beforeAutospacing="0" w:after="60" w:afterAutospacing="0"/>
        <w:ind w:left="720"/>
        <w:rPr>
          <w:rFonts w:ascii="Verdana" w:hAnsi="Verdana"/>
        </w:rPr>
      </w:pPr>
    </w:p>
    <w:p w14:paraId="4BACD6EA" w14:textId="581166F7"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III - CORPORATE ORGANIZATIONS AND REORGANIZATIONS (§§ 351 to 368)</w:t>
      </w:r>
    </w:p>
    <w:p w14:paraId="335DB582" w14:textId="11B41EEA"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Corporate Organizations (§ 351)</w:t>
      </w:r>
    </w:p>
    <w:p w14:paraId="68A29457" w14:textId="5CFC3263"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351 - Transfer to corporation controlled by transferor</w:t>
      </w:r>
    </w:p>
    <w:p w14:paraId="6C4E8EC8" w14:textId="77777777" w:rsidR="00A70DD8" w:rsidRPr="008B3051" w:rsidRDefault="00A70DD8" w:rsidP="00A70DD8">
      <w:pPr>
        <w:pStyle w:val="first"/>
        <w:shd w:val="clear" w:color="auto" w:fill="FFFFFF"/>
        <w:spacing w:before="0" w:beforeAutospacing="0" w:after="60" w:afterAutospacing="0"/>
        <w:ind w:left="720"/>
        <w:rPr>
          <w:rFonts w:ascii="Verdana" w:hAnsi="Verdana"/>
        </w:rPr>
      </w:pPr>
    </w:p>
    <w:p w14:paraId="2D090ECD" w14:textId="6C67F231"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B - Effects on Shareholders and Security Holders (§§ 354 to 358)</w:t>
      </w:r>
    </w:p>
    <w:p w14:paraId="563D5823" w14:textId="20D88A58"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354 - Exchanges of stock and securities in certain reorganizations</w:t>
      </w:r>
    </w:p>
    <w:p w14:paraId="0A6B1B92" w14:textId="6CB01F39"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355 - Distribution of stock and securities of a controlled corporation</w:t>
      </w:r>
    </w:p>
    <w:p w14:paraId="4A0D763F" w14:textId="611E464E"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356 - Receipt of additional consideration</w:t>
      </w:r>
    </w:p>
    <w:p w14:paraId="017E304C" w14:textId="62AE46FC"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357 - Assumption of liability</w:t>
      </w:r>
    </w:p>
    <w:p w14:paraId="610F8C2E" w14:textId="0AD1934A"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358 - Basis to distributees</w:t>
      </w:r>
    </w:p>
    <w:p w14:paraId="66E2296B" w14:textId="77777777" w:rsidR="00A70DD8" w:rsidRPr="008B3051" w:rsidRDefault="00A70DD8" w:rsidP="00A70DD8">
      <w:pPr>
        <w:shd w:val="clear" w:color="auto" w:fill="FFFFFF"/>
        <w:spacing w:after="60" w:line="240" w:lineRule="auto"/>
        <w:ind w:left="720"/>
        <w:rPr>
          <w:rFonts w:ascii="Verdana" w:hAnsi="Verdana"/>
        </w:rPr>
      </w:pPr>
    </w:p>
    <w:p w14:paraId="4F898864" w14:textId="3AFEF074"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C - Effects on Corporation (§§ 361 to 363)</w:t>
      </w:r>
    </w:p>
    <w:p w14:paraId="3105F2A9" w14:textId="51CEF224" w:rsidR="00A70DD8" w:rsidRPr="008B3051" w:rsidRDefault="00A70DD8" w:rsidP="00A70DD8">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361 - Nonrecognition of gain or loss to corporations; treatment of distributions</w:t>
      </w:r>
    </w:p>
    <w:p w14:paraId="4C3B0B9F" w14:textId="59E2741E"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362 - Basis to corporations</w:t>
      </w:r>
    </w:p>
    <w:p w14:paraId="10399E84" w14:textId="58E05E6D"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363 - Repealed. Pub. L. 94–455, title XIX, § 1901(a)(49), Oct. 4, 1976, 90 Stat. 1773]</w:t>
      </w:r>
    </w:p>
    <w:p w14:paraId="03DF072E" w14:textId="77777777" w:rsidR="00A70DD8" w:rsidRPr="008B3051" w:rsidRDefault="00A70DD8" w:rsidP="00A70DD8">
      <w:pPr>
        <w:shd w:val="clear" w:color="auto" w:fill="FFFFFF"/>
        <w:spacing w:after="60" w:line="240" w:lineRule="auto"/>
        <w:ind w:left="720"/>
        <w:rPr>
          <w:rFonts w:ascii="Verdana" w:hAnsi="Verdana"/>
        </w:rPr>
      </w:pPr>
    </w:p>
    <w:p w14:paraId="6A424DD3" w14:textId="3AC012A3"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D - Special Rule; Definitions (§§ 367 to 368)</w:t>
      </w:r>
    </w:p>
    <w:p w14:paraId="0DB5E581" w14:textId="45706AA9"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367 - Foreign corporations</w:t>
      </w:r>
    </w:p>
    <w:p w14:paraId="16324E79" w14:textId="6F0BC2EC"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368 - Definitions relating to corporate reorganizations</w:t>
      </w:r>
    </w:p>
    <w:p w14:paraId="4DFAB888" w14:textId="77777777" w:rsidR="00A70DD8" w:rsidRPr="008B3051" w:rsidRDefault="00A70DD8" w:rsidP="00A70DD8">
      <w:pPr>
        <w:shd w:val="clear" w:color="auto" w:fill="FFFFFF"/>
        <w:spacing w:after="60" w:line="240" w:lineRule="auto"/>
        <w:ind w:left="720"/>
        <w:rPr>
          <w:rFonts w:ascii="Verdana" w:hAnsi="Verdana"/>
        </w:rPr>
      </w:pPr>
    </w:p>
    <w:p w14:paraId="40BDB0CA" w14:textId="394C72B7"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IV - REPEALED] (§§ 370 to 374)</w:t>
      </w:r>
    </w:p>
    <w:p w14:paraId="78DFF4F1" w14:textId="1254F5B2"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370 - Repealed. Pub. L. 101–508, title XI, § 11801(a)(19), Nov. 5, 1990, 104 Stat. 1388–521]</w:t>
      </w:r>
    </w:p>
    <w:p w14:paraId="42C4AC79" w14:textId="1CEF4912"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373 - Repealed. Pub. L. 94–455, title XIX, § 1901(a)(52), Oct. 4, 1976, 90 Stat. 1773]</w:t>
      </w:r>
    </w:p>
    <w:p w14:paraId="0E197F98" w14:textId="46D214B9"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374 - Repealed. Pub. L. 101–508, title XI, § 11801(a)(19), Nov. 5, 1990, 104 Stat. 1388–521]</w:t>
      </w:r>
    </w:p>
    <w:p w14:paraId="4C127259" w14:textId="77777777" w:rsidR="000805FD" w:rsidRPr="008B3051" w:rsidRDefault="000805FD" w:rsidP="000805FD">
      <w:pPr>
        <w:shd w:val="clear" w:color="auto" w:fill="FFFFFF"/>
        <w:spacing w:after="60" w:line="240" w:lineRule="auto"/>
        <w:ind w:left="720"/>
        <w:rPr>
          <w:rFonts w:ascii="Verdana" w:hAnsi="Verdana"/>
        </w:rPr>
      </w:pPr>
    </w:p>
    <w:p w14:paraId="483410CC" w14:textId="102962E3"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V - CARRYOVERS (§§ 381 to 384)</w:t>
      </w:r>
    </w:p>
    <w:p w14:paraId="15157EDF" w14:textId="5C6BB252"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381 - Carryovers in certain corporate acquisitions</w:t>
      </w:r>
    </w:p>
    <w:p w14:paraId="74B1000F" w14:textId="3CB3CF08"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382 - Limitation on net operating loss carryforwards and certain built-in losses following ownership change</w:t>
      </w:r>
    </w:p>
    <w:p w14:paraId="455C317D" w14:textId="7E4CFF05"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383 - Special limitations on certain excess credits, etc.</w:t>
      </w:r>
    </w:p>
    <w:p w14:paraId="7CE373EE" w14:textId="4CDA0174"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384 - Limitation on use of preacquisition losses to offset built-in gains</w:t>
      </w:r>
    </w:p>
    <w:p w14:paraId="5F143CAC" w14:textId="77777777" w:rsidR="000805FD" w:rsidRPr="008B3051" w:rsidRDefault="000805FD" w:rsidP="000805FD">
      <w:pPr>
        <w:shd w:val="clear" w:color="auto" w:fill="FFFFFF"/>
        <w:spacing w:after="60" w:line="240" w:lineRule="auto"/>
        <w:ind w:left="720"/>
        <w:rPr>
          <w:rFonts w:ascii="Verdana" w:hAnsi="Verdana"/>
        </w:rPr>
      </w:pPr>
    </w:p>
    <w:p w14:paraId="10752CAB" w14:textId="175A47DF" w:rsidR="00A70DD8" w:rsidRPr="008B3051" w:rsidRDefault="00A70DD8" w:rsidP="00A70DD8">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VI - TREATMENT OF CERTAIN CORPORATE INTERESTS AS STOCK OR INDEBTEDNESS (§ 385)</w:t>
      </w:r>
    </w:p>
    <w:p w14:paraId="707FD671" w14:textId="77777777" w:rsidR="000805FD" w:rsidRPr="008B3051" w:rsidRDefault="000805FD" w:rsidP="000805FD">
      <w:pPr>
        <w:pStyle w:val="ListParagraph"/>
        <w:rPr>
          <w:rFonts w:ascii="Verdana" w:hAnsi="Verdana"/>
        </w:rPr>
      </w:pPr>
    </w:p>
    <w:p w14:paraId="74DC0D2E" w14:textId="46E1F64D" w:rsidR="000805FD" w:rsidRPr="008B3051" w:rsidRDefault="000805FD" w:rsidP="000805FD">
      <w:pPr>
        <w:pStyle w:val="first"/>
        <w:numPr>
          <w:ilvl w:val="0"/>
          <w:numId w:val="7"/>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t>§ 385 - Treatment of certain interests in corporations as stock or indebtedness</w:t>
      </w:r>
    </w:p>
    <w:p w14:paraId="7A8F8F78" w14:textId="77777777" w:rsidR="000805FD" w:rsidRPr="008B3051" w:rsidRDefault="000805FD" w:rsidP="000805FD">
      <w:pPr>
        <w:shd w:val="clear" w:color="auto" w:fill="FFFFFF"/>
        <w:spacing w:after="60" w:line="240" w:lineRule="auto"/>
        <w:ind w:left="720"/>
        <w:rPr>
          <w:rFonts w:ascii="Verdana" w:hAnsi="Verdana"/>
        </w:rPr>
      </w:pPr>
    </w:p>
    <w:p w14:paraId="7A3F4554" w14:textId="08186EB2" w:rsidR="00A70DD8" w:rsidRPr="008B3051" w:rsidRDefault="00A70DD8" w:rsidP="00A70DD8">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VII - REPEALED] (§§ 386 to 391)</w:t>
      </w:r>
    </w:p>
    <w:p w14:paraId="2D9BC526" w14:textId="77777777" w:rsidR="00A70DD8" w:rsidRPr="008B3051" w:rsidRDefault="00A70DD8" w:rsidP="00A70DD8">
      <w:pPr>
        <w:shd w:val="clear" w:color="auto" w:fill="FFFFFF"/>
        <w:spacing w:after="60" w:line="240" w:lineRule="auto"/>
        <w:ind w:left="720"/>
        <w:rPr>
          <w:rFonts w:ascii="Verdana" w:eastAsia="Times New Roman" w:hAnsi="Verdana" w:cs="Times New Roman"/>
          <w:sz w:val="24"/>
          <w:szCs w:val="24"/>
        </w:rPr>
      </w:pPr>
    </w:p>
    <w:p w14:paraId="51F99093" w14:textId="4856E7CE"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D - Deferred Compensation, Etc. (§§ 401 to 436)</w:t>
      </w:r>
    </w:p>
    <w:p w14:paraId="02D7BE5E" w14:textId="5C186CD4"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I - PENSION, PROFIT-SHARING, STOCK BONUS PLANS, ETC. (§§ 401 to 420)</w:t>
      </w:r>
    </w:p>
    <w:p w14:paraId="609D6D8E" w14:textId="48AAD6E6"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General Rule (§§ 401 to 409A)</w:t>
      </w:r>
    </w:p>
    <w:p w14:paraId="608B537A" w14:textId="02CCEFA3"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401 - Qualified pension, profit-sharing, and stock bonus plans</w:t>
      </w:r>
    </w:p>
    <w:p w14:paraId="5C0E4DBB" w14:textId="367AF1D7"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402 - Taxability of beneficiary of employees’ trust</w:t>
      </w:r>
    </w:p>
    <w:p w14:paraId="2BC8D3AE" w14:textId="55CF6CBF"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402A - Optional treatment of elective deferrals as Roth contributions</w:t>
      </w:r>
    </w:p>
    <w:p w14:paraId="526D7E65" w14:textId="752AEDC7"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403 - Taxation of employee annuities</w:t>
      </w:r>
    </w:p>
    <w:p w14:paraId="4D96CDC5" w14:textId="5180C894"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404 - Deduction for contributions of an employer to an employees’ trust or annuity plan and compensation under a deferred-payment plan</w:t>
      </w:r>
    </w:p>
    <w:p w14:paraId="2D60D9AE" w14:textId="27B94D18"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lastRenderedPageBreak/>
        <w:t>§ 404A - Deduction for certain foreign deferred compensation plans</w:t>
      </w:r>
    </w:p>
    <w:p w14:paraId="778BBD40" w14:textId="1257947F"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405 - Repealed. Pub. L. 98–369, div. A, title IV, § 491(a), July 18, 1984, 98 Stat. 848]</w:t>
      </w:r>
    </w:p>
    <w:p w14:paraId="46E846AC" w14:textId="05385976"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406 - Employees of foreign affiliates covered by section 3121(l) agreements</w:t>
      </w:r>
    </w:p>
    <w:p w14:paraId="57EC093A" w14:textId="7F59A33D"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407 - Certain employees of domestic subsidiaries engaged in business outside the United States</w:t>
      </w:r>
    </w:p>
    <w:p w14:paraId="152AE09F" w14:textId="79F4CAB0"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408 - Individual retirement accounts</w:t>
      </w:r>
    </w:p>
    <w:p w14:paraId="28F7F27A" w14:textId="2F1E8554"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408A - Roth IRAs</w:t>
      </w:r>
    </w:p>
    <w:p w14:paraId="4B1E0D6F" w14:textId="2E025F47"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409 - Qualifications for tax credit employee stock ownership plans</w:t>
      </w:r>
    </w:p>
    <w:p w14:paraId="5AF6305E" w14:textId="30DC588C"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409A - Inclusion in gross income of deferred compensation under nonqualified deferred compensation plans</w:t>
      </w:r>
    </w:p>
    <w:p w14:paraId="65D8515C" w14:textId="77777777" w:rsidR="000805FD" w:rsidRPr="008B3051" w:rsidRDefault="000805FD" w:rsidP="000805FD">
      <w:pPr>
        <w:pStyle w:val="first"/>
        <w:shd w:val="clear" w:color="auto" w:fill="FFFFFF"/>
        <w:spacing w:before="0" w:beforeAutospacing="0" w:after="60" w:afterAutospacing="0"/>
        <w:ind w:left="720"/>
        <w:rPr>
          <w:rFonts w:ascii="Verdana" w:hAnsi="Verdana"/>
        </w:rPr>
      </w:pPr>
    </w:p>
    <w:p w14:paraId="1280BEB3" w14:textId="6A778EF6"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B - Special Rules (§§ 410 to 417)</w:t>
      </w:r>
    </w:p>
    <w:p w14:paraId="48C4BC8B" w14:textId="3E15D09E"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410 - Minimum participation standards</w:t>
      </w:r>
    </w:p>
    <w:p w14:paraId="3E81F611" w14:textId="164312C8"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411 - Minimum vesting standards</w:t>
      </w:r>
    </w:p>
    <w:p w14:paraId="1AC9AE4A" w14:textId="04CDE95F"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412 - Minimum funding standards</w:t>
      </w:r>
    </w:p>
    <w:p w14:paraId="463004A1" w14:textId="1EB33ADE"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413 - Collectively bargained plans, etc.</w:t>
      </w:r>
    </w:p>
    <w:p w14:paraId="3B2E73B9" w14:textId="6B9D9BD4"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414 - Definitions and special rules</w:t>
      </w:r>
    </w:p>
    <w:p w14:paraId="001A54E1" w14:textId="3741B628"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415 - Limitations on benefits and contribution under qualified plans</w:t>
      </w:r>
    </w:p>
    <w:p w14:paraId="0D36F8F5" w14:textId="7205BBCC"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416 - Special rules for top-heavy plans</w:t>
      </w:r>
    </w:p>
    <w:p w14:paraId="10F991D8" w14:textId="4EBE1BA8"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417 - Definitions and special rules for purposes of minimum survivor annuity requirements</w:t>
      </w:r>
    </w:p>
    <w:p w14:paraId="711FD3D8" w14:textId="77777777" w:rsidR="000805FD" w:rsidRPr="008B3051" w:rsidRDefault="000805FD" w:rsidP="000805FD">
      <w:pPr>
        <w:shd w:val="clear" w:color="auto" w:fill="FFFFFF"/>
        <w:spacing w:after="60" w:line="240" w:lineRule="auto"/>
        <w:ind w:left="720"/>
        <w:rPr>
          <w:rFonts w:ascii="Verdana" w:hAnsi="Verdana"/>
        </w:rPr>
      </w:pPr>
    </w:p>
    <w:p w14:paraId="702091E5" w14:textId="287E4A21"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C - Insolvent Plans (§§ 418 to 418E)</w:t>
      </w:r>
    </w:p>
    <w:p w14:paraId="64621BB9" w14:textId="2C5B2547"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418 - Repealed. Pub. L. 113–235, div. O, title I, § 108(b)(1), Dec. 16, 2014, 128 Stat. 2787]</w:t>
      </w:r>
    </w:p>
    <w:p w14:paraId="22CE7169" w14:textId="07126CFA"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418E - Insolvent plans</w:t>
      </w:r>
    </w:p>
    <w:p w14:paraId="7060253A" w14:textId="77777777" w:rsidR="000805FD" w:rsidRPr="008B3051" w:rsidRDefault="000805FD" w:rsidP="000805FD">
      <w:pPr>
        <w:shd w:val="clear" w:color="auto" w:fill="FFFFFF"/>
        <w:spacing w:after="60" w:line="240" w:lineRule="auto"/>
        <w:ind w:left="720"/>
        <w:rPr>
          <w:rFonts w:ascii="Verdana" w:hAnsi="Verdana"/>
        </w:rPr>
      </w:pPr>
    </w:p>
    <w:p w14:paraId="2C89F93A" w14:textId="012D7F2A"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SUBPART D - Treatment of Welfare Benefit Funds (§§ 419 to 419A)</w:t>
      </w:r>
    </w:p>
    <w:p w14:paraId="1AA37F59" w14:textId="015E140B"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419 - Treatment of funded welfare benefit plans</w:t>
      </w:r>
    </w:p>
    <w:p w14:paraId="0D594949" w14:textId="6E27C630"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419A - Qualified asset account; limitation on additions to account</w:t>
      </w:r>
    </w:p>
    <w:p w14:paraId="39992FE2" w14:textId="77777777" w:rsidR="000805FD" w:rsidRPr="008B3051" w:rsidRDefault="000805FD" w:rsidP="000805FD">
      <w:pPr>
        <w:shd w:val="clear" w:color="auto" w:fill="FFFFFF"/>
        <w:spacing w:after="60" w:line="240" w:lineRule="auto"/>
        <w:ind w:left="720"/>
        <w:rPr>
          <w:rFonts w:ascii="Verdana" w:hAnsi="Verdana"/>
        </w:rPr>
      </w:pPr>
    </w:p>
    <w:p w14:paraId="442AE370" w14:textId="123CA3C4"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E - Treatment of Transfers to Retiree Health Accounts (§ 420)</w:t>
      </w:r>
    </w:p>
    <w:p w14:paraId="2E923BA4" w14:textId="59F53F5A"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420 - Transfers of excess pension assets to retiree health accounts</w:t>
      </w:r>
    </w:p>
    <w:p w14:paraId="3796DFFA" w14:textId="77777777" w:rsidR="000805FD" w:rsidRPr="008B3051" w:rsidRDefault="000805FD" w:rsidP="000805FD">
      <w:pPr>
        <w:pStyle w:val="first"/>
        <w:shd w:val="clear" w:color="auto" w:fill="FFFFFF"/>
        <w:spacing w:before="0" w:beforeAutospacing="0" w:after="60" w:afterAutospacing="0"/>
        <w:ind w:left="720"/>
        <w:rPr>
          <w:rFonts w:ascii="Verdana" w:hAnsi="Verdana"/>
        </w:rPr>
      </w:pPr>
    </w:p>
    <w:p w14:paraId="29AEC8F5" w14:textId="42FBD4AA"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PART II - CERTAIN STOCK OPTIONS (§§ 421 to 425)</w:t>
      </w:r>
    </w:p>
    <w:p w14:paraId="505613D3" w14:textId="77777777" w:rsidR="000805FD" w:rsidRPr="008B3051" w:rsidRDefault="000805FD" w:rsidP="000805FD">
      <w:pPr>
        <w:pStyle w:val="ListParagraph"/>
        <w:rPr>
          <w:rFonts w:ascii="Verdana" w:hAnsi="Verdana"/>
        </w:rPr>
      </w:pPr>
    </w:p>
    <w:p w14:paraId="47AB1384" w14:textId="336CBD22" w:rsidR="000805FD" w:rsidRPr="008B3051" w:rsidRDefault="000805FD" w:rsidP="000805FD">
      <w:pPr>
        <w:pStyle w:val="first"/>
        <w:numPr>
          <w:ilvl w:val="0"/>
          <w:numId w:val="8"/>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lastRenderedPageBreak/>
        <w:t>§ 421 - General rules</w:t>
      </w:r>
    </w:p>
    <w:p w14:paraId="09187A69" w14:textId="3D9FD719" w:rsidR="000805FD" w:rsidRPr="008B3051" w:rsidRDefault="000805FD" w:rsidP="000805FD">
      <w:pPr>
        <w:numPr>
          <w:ilvl w:val="0"/>
          <w:numId w:val="8"/>
        </w:numPr>
        <w:shd w:val="clear" w:color="auto" w:fill="FFFFFF"/>
        <w:spacing w:after="60" w:line="240" w:lineRule="auto"/>
        <w:ind w:left="360"/>
        <w:rPr>
          <w:rFonts w:ascii="Verdana" w:hAnsi="Verdana"/>
        </w:rPr>
      </w:pPr>
      <w:r w:rsidRPr="008B3051">
        <w:rPr>
          <w:rStyle w:val="Hyperlink"/>
          <w:rFonts w:ascii="Verdana" w:hAnsi="Verdana"/>
          <w:color w:val="auto"/>
        </w:rPr>
        <w:t>§ 422 - Incentive stock options</w:t>
      </w:r>
    </w:p>
    <w:p w14:paraId="0B1CBE41" w14:textId="205A8B84" w:rsidR="000805FD" w:rsidRPr="008B3051" w:rsidRDefault="000805FD" w:rsidP="000805FD">
      <w:pPr>
        <w:numPr>
          <w:ilvl w:val="0"/>
          <w:numId w:val="8"/>
        </w:numPr>
        <w:shd w:val="clear" w:color="auto" w:fill="FFFFFF"/>
        <w:spacing w:after="60" w:line="240" w:lineRule="auto"/>
        <w:ind w:left="360"/>
        <w:rPr>
          <w:rFonts w:ascii="Verdana" w:hAnsi="Verdana"/>
        </w:rPr>
      </w:pPr>
      <w:r w:rsidRPr="008B3051">
        <w:rPr>
          <w:rStyle w:val="Hyperlink"/>
          <w:rFonts w:ascii="Verdana" w:hAnsi="Verdana"/>
          <w:color w:val="auto"/>
        </w:rPr>
        <w:t>§ 422A - Renumbered § 422]</w:t>
      </w:r>
    </w:p>
    <w:p w14:paraId="68BB6840" w14:textId="5F92BE1D" w:rsidR="000805FD" w:rsidRPr="008B3051" w:rsidRDefault="000805FD" w:rsidP="000805FD">
      <w:pPr>
        <w:numPr>
          <w:ilvl w:val="0"/>
          <w:numId w:val="8"/>
        </w:numPr>
        <w:shd w:val="clear" w:color="auto" w:fill="FFFFFF"/>
        <w:spacing w:after="60" w:line="240" w:lineRule="auto"/>
        <w:ind w:left="360"/>
        <w:rPr>
          <w:rFonts w:ascii="Verdana" w:hAnsi="Verdana"/>
        </w:rPr>
      </w:pPr>
      <w:r w:rsidRPr="008B3051">
        <w:rPr>
          <w:rStyle w:val="Hyperlink"/>
          <w:rFonts w:ascii="Verdana" w:hAnsi="Verdana"/>
          <w:color w:val="auto"/>
        </w:rPr>
        <w:t>§ 423 - Employee stock purchase plans</w:t>
      </w:r>
    </w:p>
    <w:p w14:paraId="789B58A1" w14:textId="62DE941D" w:rsidR="000805FD" w:rsidRPr="008B3051" w:rsidRDefault="000805FD" w:rsidP="000805FD">
      <w:pPr>
        <w:numPr>
          <w:ilvl w:val="0"/>
          <w:numId w:val="8"/>
        </w:numPr>
        <w:shd w:val="clear" w:color="auto" w:fill="FFFFFF"/>
        <w:spacing w:after="60" w:line="240" w:lineRule="auto"/>
        <w:ind w:left="360"/>
        <w:rPr>
          <w:rFonts w:ascii="Verdana" w:hAnsi="Verdana"/>
        </w:rPr>
      </w:pPr>
      <w:r w:rsidRPr="008B3051">
        <w:rPr>
          <w:rStyle w:val="Hyperlink"/>
          <w:rFonts w:ascii="Verdana" w:hAnsi="Verdana"/>
          <w:color w:val="auto"/>
        </w:rPr>
        <w:t>§ 424 - Definitions and special rules</w:t>
      </w:r>
    </w:p>
    <w:p w14:paraId="7AA42294" w14:textId="61539D64" w:rsidR="000805FD" w:rsidRPr="008B3051" w:rsidRDefault="000805FD" w:rsidP="000805FD">
      <w:pPr>
        <w:pStyle w:val="last"/>
        <w:numPr>
          <w:ilvl w:val="0"/>
          <w:numId w:val="8"/>
        </w:numPr>
        <w:shd w:val="clear" w:color="auto" w:fill="FFFFFF"/>
        <w:spacing w:before="0" w:beforeAutospacing="0" w:after="60" w:afterAutospacing="0"/>
        <w:ind w:left="360"/>
        <w:rPr>
          <w:rFonts w:ascii="Verdana" w:hAnsi="Verdana"/>
        </w:rPr>
      </w:pPr>
      <w:r w:rsidRPr="008B3051">
        <w:rPr>
          <w:rStyle w:val="Hyperlink"/>
          <w:rFonts w:ascii="Verdana" w:hAnsi="Verdana"/>
          <w:color w:val="auto"/>
        </w:rPr>
        <w:t>§ 425 - Renumbered § 424]</w:t>
      </w:r>
    </w:p>
    <w:p w14:paraId="0D5D536C" w14:textId="77777777" w:rsidR="000805FD" w:rsidRPr="008B3051" w:rsidRDefault="000805FD" w:rsidP="000805FD">
      <w:pPr>
        <w:shd w:val="clear" w:color="auto" w:fill="FFFFFF"/>
        <w:spacing w:after="60" w:line="240" w:lineRule="auto"/>
        <w:ind w:left="720"/>
        <w:rPr>
          <w:rFonts w:ascii="Verdana" w:hAnsi="Verdana"/>
        </w:rPr>
      </w:pPr>
    </w:p>
    <w:p w14:paraId="31602A4F" w14:textId="16D98C2F"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PART III - RULES RELATING TO MINIMUM FUNDING STANDARDS AND BENEFIT LIMITATIONS (§§ 430 to 436)</w:t>
      </w:r>
    </w:p>
    <w:p w14:paraId="03B25969" w14:textId="1915B9C9"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A - Minimum Funding Standards for Pension Plans (§§ 430 to 433)</w:t>
      </w:r>
    </w:p>
    <w:p w14:paraId="3DC80A60" w14:textId="79B64FFB"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430 - Minimum funding standards for single-employer defined benefit pension plans</w:t>
      </w:r>
    </w:p>
    <w:p w14:paraId="3E42DA98" w14:textId="6878D76E"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431 - Minimum funding standards for multiemployer plans</w:t>
      </w:r>
    </w:p>
    <w:p w14:paraId="25C8CB44" w14:textId="0BDAF046" w:rsidR="000805FD" w:rsidRPr="008B3051" w:rsidRDefault="000805FD" w:rsidP="000805FD">
      <w:pPr>
        <w:numPr>
          <w:ilvl w:val="0"/>
          <w:numId w:val="2"/>
        </w:numPr>
        <w:shd w:val="clear" w:color="auto" w:fill="FFFFFF"/>
        <w:spacing w:after="60" w:line="240" w:lineRule="auto"/>
        <w:rPr>
          <w:rFonts w:ascii="Verdana" w:hAnsi="Verdana"/>
        </w:rPr>
      </w:pPr>
      <w:r w:rsidRPr="008B3051">
        <w:rPr>
          <w:rStyle w:val="Hyperlink"/>
          <w:rFonts w:ascii="Verdana" w:hAnsi="Verdana"/>
          <w:color w:val="auto"/>
        </w:rPr>
        <w:t>§ 432 - Additional funding rules for multiemployer plans in endangered status or critical status</w:t>
      </w:r>
    </w:p>
    <w:p w14:paraId="232AC593" w14:textId="47F52653"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433 - Minimum funding standards</w:t>
      </w:r>
    </w:p>
    <w:p w14:paraId="53271FDD" w14:textId="77777777" w:rsidR="000805FD" w:rsidRPr="008B3051" w:rsidRDefault="000805FD" w:rsidP="000805FD">
      <w:pPr>
        <w:pStyle w:val="first"/>
        <w:shd w:val="clear" w:color="auto" w:fill="FFFFFF"/>
        <w:spacing w:before="0" w:beforeAutospacing="0" w:after="60" w:afterAutospacing="0"/>
        <w:ind w:left="720"/>
        <w:rPr>
          <w:rFonts w:ascii="Verdana" w:hAnsi="Verdana"/>
        </w:rPr>
      </w:pPr>
    </w:p>
    <w:p w14:paraId="6C1CBCFA" w14:textId="13EF5935" w:rsidR="000805FD" w:rsidRPr="008B3051" w:rsidRDefault="000805FD" w:rsidP="000805FD">
      <w:pPr>
        <w:pStyle w:val="la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SUBPART B - Benefit Limitations Under Single-Employer Plans (§ 436)</w:t>
      </w:r>
    </w:p>
    <w:p w14:paraId="506B3844" w14:textId="12F23B01" w:rsidR="000805FD" w:rsidRPr="008B3051" w:rsidRDefault="000805FD" w:rsidP="000805FD">
      <w:pPr>
        <w:pStyle w:val="first"/>
        <w:numPr>
          <w:ilvl w:val="0"/>
          <w:numId w:val="2"/>
        </w:numPr>
        <w:shd w:val="clear" w:color="auto" w:fill="FFFFFF"/>
        <w:spacing w:before="0" w:beforeAutospacing="0" w:after="60" w:afterAutospacing="0"/>
        <w:rPr>
          <w:rFonts w:ascii="Verdana" w:hAnsi="Verdana"/>
        </w:rPr>
      </w:pPr>
      <w:r w:rsidRPr="008B3051">
        <w:rPr>
          <w:rStyle w:val="Hyperlink"/>
          <w:rFonts w:ascii="Verdana" w:hAnsi="Verdana"/>
          <w:color w:val="auto"/>
        </w:rPr>
        <w:t>§ 436 - Funding-based limits on benefits and benefit accruals under single-employer plans</w:t>
      </w:r>
    </w:p>
    <w:p w14:paraId="0447165D" w14:textId="77777777" w:rsidR="000805FD" w:rsidRPr="008B3051" w:rsidRDefault="000805FD" w:rsidP="000805FD">
      <w:pPr>
        <w:pStyle w:val="last"/>
        <w:shd w:val="clear" w:color="auto" w:fill="FFFFFF"/>
        <w:spacing w:before="0" w:beforeAutospacing="0" w:after="60" w:afterAutospacing="0"/>
        <w:ind w:left="720"/>
        <w:rPr>
          <w:rFonts w:ascii="Verdana" w:hAnsi="Verdana"/>
        </w:rPr>
      </w:pPr>
    </w:p>
    <w:p w14:paraId="6E2C41F3" w14:textId="38F2A302"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E - Accounting Periods and Methods of Accounting (§§ 441 to 483)</w:t>
      </w:r>
    </w:p>
    <w:p w14:paraId="6883B45A" w14:textId="2CF67178" w:rsidR="009A2C7B" w:rsidRPr="008B3051" w:rsidRDefault="009A2C7B" w:rsidP="009A2C7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ACCOUNTING PERIODS (§§ 441 to 444)</w:t>
      </w:r>
    </w:p>
    <w:p w14:paraId="2CDF627A" w14:textId="6A2385B4" w:rsidR="009A2C7B" w:rsidRPr="008B3051" w:rsidRDefault="009A2C7B" w:rsidP="009A2C7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441 - Period for computation of taxable income</w:t>
      </w:r>
    </w:p>
    <w:p w14:paraId="10D1A948" w14:textId="4F856E5C"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442 - Change of annual accounting period</w:t>
      </w:r>
    </w:p>
    <w:p w14:paraId="5657E328" w14:textId="651F204C"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443 - Returns for a period of less than 12 months</w:t>
      </w:r>
    </w:p>
    <w:p w14:paraId="04B2519F" w14:textId="33F331D0" w:rsidR="009A2C7B" w:rsidRPr="008B3051" w:rsidRDefault="009A2C7B" w:rsidP="009A2C7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444 - Election of taxable year other than required taxable year</w:t>
      </w:r>
    </w:p>
    <w:p w14:paraId="195450DA" w14:textId="77777777" w:rsidR="009A2C7B" w:rsidRPr="008B3051" w:rsidRDefault="009A2C7B" w:rsidP="009A2C7B">
      <w:pPr>
        <w:pStyle w:val="first"/>
        <w:shd w:val="clear" w:color="auto" w:fill="FFFFFF"/>
        <w:spacing w:before="0" w:beforeAutospacing="0" w:after="60" w:afterAutospacing="0"/>
        <w:ind w:left="720"/>
        <w:rPr>
          <w:rFonts w:ascii="Verdana" w:hAnsi="Verdana"/>
        </w:rPr>
      </w:pPr>
    </w:p>
    <w:p w14:paraId="1FAACF71" w14:textId="31693C48"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PART II - METHODS OF ACCOUNTING (§§ 446 to 475)</w:t>
      </w:r>
    </w:p>
    <w:p w14:paraId="5495C34F" w14:textId="34274862" w:rsidR="009A2C7B" w:rsidRPr="008B3051" w:rsidRDefault="009A2C7B" w:rsidP="009A2C7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SUBPART A - Methods of Accounting in General (§§ 446 to 448)</w:t>
      </w:r>
    </w:p>
    <w:p w14:paraId="1C69F13F" w14:textId="530EA34D" w:rsidR="009A2C7B" w:rsidRPr="008B3051" w:rsidRDefault="009A2C7B" w:rsidP="009A2C7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446 - General rule for methods of accounting</w:t>
      </w:r>
    </w:p>
    <w:p w14:paraId="2758C5BF" w14:textId="6CEC14A6"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447 - Method of accounting for corporations engaged in farming</w:t>
      </w:r>
    </w:p>
    <w:p w14:paraId="13A6EB49" w14:textId="23C75556" w:rsidR="009A2C7B" w:rsidRPr="008B3051" w:rsidRDefault="009A2C7B" w:rsidP="009A2C7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448 - Limitation on use of cash method of accounting</w:t>
      </w:r>
    </w:p>
    <w:p w14:paraId="03876CE7" w14:textId="77777777" w:rsidR="009A2C7B" w:rsidRPr="008B3051" w:rsidRDefault="009A2C7B" w:rsidP="009A2C7B">
      <w:pPr>
        <w:pStyle w:val="first"/>
        <w:shd w:val="clear" w:color="auto" w:fill="FFFFFF"/>
        <w:spacing w:before="0" w:beforeAutospacing="0" w:after="60" w:afterAutospacing="0"/>
        <w:ind w:left="720"/>
        <w:rPr>
          <w:rFonts w:ascii="Verdana" w:hAnsi="Verdana"/>
        </w:rPr>
      </w:pPr>
    </w:p>
    <w:p w14:paraId="107296AD" w14:textId="3C5FACAF"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SUBPART B - Taxable Year for Which Items of Gross Income Included (§§ 451 to 460)</w:t>
      </w:r>
    </w:p>
    <w:p w14:paraId="0C1E5AFE" w14:textId="77777777" w:rsidR="009A2C7B" w:rsidRPr="008B3051" w:rsidRDefault="009A2C7B" w:rsidP="009A2C7B">
      <w:pPr>
        <w:pStyle w:val="ListParagraph"/>
        <w:rPr>
          <w:rFonts w:ascii="Verdana" w:hAnsi="Verdana"/>
        </w:rPr>
      </w:pPr>
    </w:p>
    <w:p w14:paraId="6AE87CB2" w14:textId="470BC52A"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lastRenderedPageBreak/>
        <w:t>§ 451 - General rule for taxable year of inclusion</w:t>
      </w:r>
    </w:p>
    <w:p w14:paraId="74049652" w14:textId="5A9DC37E"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452 - Repealed. June 15, 1955, ch. 143, § 1(a), 69 Stat. 134]</w:t>
      </w:r>
    </w:p>
    <w:p w14:paraId="6F07CA16" w14:textId="00E413D5"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453 - Installment method</w:t>
      </w:r>
    </w:p>
    <w:p w14:paraId="18E0A967" w14:textId="30136D65"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453A - Special rules for nondealers</w:t>
      </w:r>
    </w:p>
    <w:p w14:paraId="7DCF8E2F" w14:textId="166022DD"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453B - Gain or loss disposition of installment obligations</w:t>
      </w:r>
    </w:p>
    <w:p w14:paraId="1E8EA301" w14:textId="200EB962"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453C - Repealed. Pub. L. 100–203, title X, § 10202(a)(1), Dec. 22, 1987, 101 Stat. 1330–388]</w:t>
      </w:r>
    </w:p>
    <w:p w14:paraId="61100FA3" w14:textId="412D9445"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454 - Obligations issued at discount</w:t>
      </w:r>
    </w:p>
    <w:p w14:paraId="4034DBD9" w14:textId="30EEFA18"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455 - Prepaid subscription income</w:t>
      </w:r>
    </w:p>
    <w:p w14:paraId="46E2E26F" w14:textId="563222BF"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456 - Prepaid dues income of certain membership organizations</w:t>
      </w:r>
    </w:p>
    <w:p w14:paraId="0915848F" w14:textId="2413FF4A"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457 - Deferred compensation plans of State and local governments and tax-exempt organizations</w:t>
      </w:r>
    </w:p>
    <w:p w14:paraId="198B1953" w14:textId="34BAEE51"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457A - Nonqualified deferred compensation from certain tax indifferent parties</w:t>
      </w:r>
    </w:p>
    <w:p w14:paraId="0857418C" w14:textId="70407CA0"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458 - Magazines, paperbacks, and records returned after the close of the taxable year</w:t>
      </w:r>
    </w:p>
    <w:p w14:paraId="167A5AC6" w14:textId="6A961CE7" w:rsidR="009A2C7B" w:rsidRPr="008B3051" w:rsidRDefault="009A2C7B" w:rsidP="00C02C60">
      <w:pPr>
        <w:numPr>
          <w:ilvl w:val="0"/>
          <w:numId w:val="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460 - Special rules for long-term contracts</w:t>
      </w:r>
    </w:p>
    <w:p w14:paraId="72359191" w14:textId="77777777" w:rsidR="009A2C7B" w:rsidRPr="008B3051" w:rsidRDefault="009A2C7B" w:rsidP="009A2C7B">
      <w:pPr>
        <w:shd w:val="clear" w:color="auto" w:fill="FFFFFF"/>
        <w:spacing w:after="60" w:line="240" w:lineRule="auto"/>
        <w:ind w:left="720"/>
        <w:rPr>
          <w:rFonts w:ascii="Verdana" w:hAnsi="Verdana"/>
        </w:rPr>
      </w:pPr>
    </w:p>
    <w:p w14:paraId="170B30AF" w14:textId="120696E6"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SUBPART C - Taxable Year for Which Deductions Taken (§§ 461 to 470)</w:t>
      </w:r>
    </w:p>
    <w:p w14:paraId="6EE5827E" w14:textId="16C82637" w:rsidR="009A2C7B" w:rsidRPr="008B3051" w:rsidRDefault="009A2C7B" w:rsidP="009A2C7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461 - General rule for taxable year of deduction</w:t>
      </w:r>
    </w:p>
    <w:p w14:paraId="75CC1A19" w14:textId="289CF8F3"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462 - Repealed. June 15, 1955, ch. 143, § 1(b), 69 Stat. 134]</w:t>
      </w:r>
    </w:p>
    <w:p w14:paraId="32123AE0" w14:textId="3A5950D9"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463 - Repealed. Pub. L. 100–203, title X, § 10201(a), Dec. 22, 1987, 101 Stat. 1330–387]</w:t>
      </w:r>
    </w:p>
    <w:p w14:paraId="00697EB7" w14:textId="41C17306"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464 - Limitations on deductions for certain farming</w:t>
      </w:r>
    </w:p>
    <w:p w14:paraId="6A2EF610" w14:textId="2846321E"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465 - Deductions limited to amount at risk</w:t>
      </w:r>
    </w:p>
    <w:p w14:paraId="26A2BDE0" w14:textId="3C667EFF"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466 - Repealed. Pub. L. 99–514, title VIII, § 823(a), Oct. 22, 1986, 100 Stat. 2373]</w:t>
      </w:r>
    </w:p>
    <w:p w14:paraId="4C5AF81E" w14:textId="3C0F0BF2"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467 - Certain payments for the use of property or services</w:t>
      </w:r>
    </w:p>
    <w:p w14:paraId="58ED6426" w14:textId="491EAE5A"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468 - Special rules for mining and solid waste reclamation and closing costs</w:t>
      </w:r>
    </w:p>
    <w:p w14:paraId="2627EA10" w14:textId="0284261A"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468A - Special rules for nuclear decommissioning costs</w:t>
      </w:r>
    </w:p>
    <w:p w14:paraId="644B1CA3" w14:textId="285F3B07"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468B - Special rules for designated settlement funds</w:t>
      </w:r>
    </w:p>
    <w:p w14:paraId="3096753A" w14:textId="3D9CDA16" w:rsidR="009A2C7B" w:rsidRPr="008B3051" w:rsidRDefault="009A2C7B" w:rsidP="009A2C7B">
      <w:pPr>
        <w:numPr>
          <w:ilvl w:val="0"/>
          <w:numId w:val="2"/>
        </w:numPr>
        <w:shd w:val="clear" w:color="auto" w:fill="FFFFFF"/>
        <w:spacing w:after="60" w:line="240" w:lineRule="auto"/>
        <w:rPr>
          <w:rFonts w:ascii="Verdana" w:hAnsi="Verdana"/>
        </w:rPr>
      </w:pPr>
      <w:r w:rsidRPr="008B3051">
        <w:rPr>
          <w:rFonts w:ascii="Verdana" w:hAnsi="Verdana"/>
        </w:rPr>
        <w:t>§ 469 - Passive activity losses and credits limited</w:t>
      </w:r>
    </w:p>
    <w:p w14:paraId="171C0E03" w14:textId="7681468D" w:rsidR="009A2C7B" w:rsidRPr="008B3051" w:rsidRDefault="009A2C7B" w:rsidP="009A2C7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470 - Limitation on deductions allocable to property used by governments or other tax-exempt entities</w:t>
      </w:r>
    </w:p>
    <w:p w14:paraId="654B66DF" w14:textId="77777777" w:rsidR="009A2C7B" w:rsidRPr="008B3051" w:rsidRDefault="009A2C7B" w:rsidP="009A2C7B">
      <w:pPr>
        <w:shd w:val="clear" w:color="auto" w:fill="FFFFFF"/>
        <w:spacing w:after="60" w:line="240" w:lineRule="auto"/>
        <w:ind w:left="720"/>
        <w:rPr>
          <w:rFonts w:ascii="Verdana" w:hAnsi="Verdana"/>
        </w:rPr>
      </w:pPr>
    </w:p>
    <w:p w14:paraId="23576824" w14:textId="3F89ECC1" w:rsidR="009A2C7B" w:rsidRPr="008B3051" w:rsidRDefault="009A2C7B" w:rsidP="009A2C7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SUBPART D - Inventories (§§ 471 to 475)</w:t>
      </w:r>
    </w:p>
    <w:p w14:paraId="4C6B44D4" w14:textId="77777777" w:rsidR="009A2C7B" w:rsidRPr="008B3051" w:rsidRDefault="009A2C7B" w:rsidP="009A2C7B">
      <w:pPr>
        <w:pStyle w:val="ListParagraph"/>
        <w:rPr>
          <w:rFonts w:ascii="Verdana" w:hAnsi="Verdana"/>
        </w:rPr>
      </w:pPr>
    </w:p>
    <w:p w14:paraId="089B4F62" w14:textId="3D777212" w:rsidR="008F6220" w:rsidRPr="008B3051" w:rsidRDefault="008F6220" w:rsidP="00C02C60">
      <w:pPr>
        <w:numPr>
          <w:ilvl w:val="0"/>
          <w:numId w:val="1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471 - General rule for inventories</w:t>
      </w:r>
    </w:p>
    <w:p w14:paraId="49411DA5" w14:textId="053104A4" w:rsidR="008F6220" w:rsidRPr="008B3051" w:rsidRDefault="008F6220" w:rsidP="00C02C60">
      <w:pPr>
        <w:numPr>
          <w:ilvl w:val="0"/>
          <w:numId w:val="1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lastRenderedPageBreak/>
        <w:t>§ 472 - Last-in, first-out inventories</w:t>
      </w:r>
    </w:p>
    <w:p w14:paraId="621B21E0" w14:textId="0A4E0801" w:rsidR="008F6220" w:rsidRPr="008B3051" w:rsidRDefault="008F6220" w:rsidP="00C02C60">
      <w:pPr>
        <w:numPr>
          <w:ilvl w:val="0"/>
          <w:numId w:val="1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473 - Qualified liquidations of LIFO inventories</w:t>
      </w:r>
    </w:p>
    <w:p w14:paraId="45EF6D89" w14:textId="171D3AA6" w:rsidR="008F6220" w:rsidRPr="008B3051" w:rsidRDefault="008F6220" w:rsidP="00C02C60">
      <w:pPr>
        <w:numPr>
          <w:ilvl w:val="0"/>
          <w:numId w:val="1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474 - Simplified dollar-value LIFO method for certain small businesses</w:t>
      </w:r>
    </w:p>
    <w:p w14:paraId="0D49EE79" w14:textId="12B83D71" w:rsidR="008F6220" w:rsidRPr="008B3051" w:rsidRDefault="008F6220" w:rsidP="00C02C60">
      <w:pPr>
        <w:numPr>
          <w:ilvl w:val="0"/>
          <w:numId w:val="1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475 - Mark to market accounting method for dealers in securities</w:t>
      </w:r>
    </w:p>
    <w:p w14:paraId="2F2F80C1" w14:textId="77777777" w:rsidR="009A2C7B" w:rsidRPr="008B3051" w:rsidRDefault="009A2C7B" w:rsidP="009A2C7B">
      <w:pPr>
        <w:pStyle w:val="last"/>
        <w:shd w:val="clear" w:color="auto" w:fill="FFFFFF"/>
        <w:spacing w:before="0" w:beforeAutospacing="0" w:after="60" w:afterAutospacing="0"/>
        <w:ind w:left="720"/>
        <w:rPr>
          <w:rFonts w:ascii="Verdana" w:hAnsi="Verdana"/>
        </w:rPr>
      </w:pPr>
    </w:p>
    <w:p w14:paraId="298F6A2F" w14:textId="77777777" w:rsidR="009A2C7B" w:rsidRPr="008B3051" w:rsidRDefault="009A2C7B" w:rsidP="009A2C7B">
      <w:pPr>
        <w:shd w:val="clear" w:color="auto" w:fill="FFFFFF"/>
        <w:spacing w:after="60" w:line="240" w:lineRule="auto"/>
        <w:ind w:left="720"/>
        <w:rPr>
          <w:rFonts w:ascii="Verdana" w:hAnsi="Verdana"/>
        </w:rPr>
      </w:pPr>
    </w:p>
    <w:p w14:paraId="76E4E75B" w14:textId="33D7B0B1" w:rsidR="009A2C7B" w:rsidRPr="008B3051" w:rsidRDefault="009A2C7B" w:rsidP="009A2C7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III - ADJUSTMENTS (§§ 481 to 483)</w:t>
      </w:r>
    </w:p>
    <w:p w14:paraId="51926FF3" w14:textId="5E39EEB4"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481 - Adjustments required by changes in method of accounting</w:t>
      </w:r>
    </w:p>
    <w:p w14:paraId="79DDA74C" w14:textId="0622468F"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482 - Allocation of income and deductions among taxpayers</w:t>
      </w:r>
    </w:p>
    <w:p w14:paraId="47680FA3" w14:textId="506A82DB"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483 - Interest on certain deferred payments</w:t>
      </w:r>
    </w:p>
    <w:p w14:paraId="20C47B13" w14:textId="77777777" w:rsidR="008F6220" w:rsidRPr="008B3051" w:rsidRDefault="008F6220" w:rsidP="008F6220">
      <w:pPr>
        <w:pStyle w:val="last"/>
        <w:shd w:val="clear" w:color="auto" w:fill="FFFFFF"/>
        <w:spacing w:before="0" w:beforeAutospacing="0" w:after="60" w:afterAutospacing="0"/>
        <w:ind w:left="720"/>
        <w:rPr>
          <w:rFonts w:ascii="Verdana" w:hAnsi="Verdana"/>
        </w:rPr>
      </w:pPr>
    </w:p>
    <w:p w14:paraId="71F7D67A" w14:textId="77777777" w:rsidR="000805FD" w:rsidRPr="008B3051" w:rsidRDefault="000805FD" w:rsidP="000805FD">
      <w:pPr>
        <w:shd w:val="clear" w:color="auto" w:fill="FFFFFF"/>
        <w:spacing w:after="60" w:line="240" w:lineRule="auto"/>
        <w:ind w:left="720"/>
        <w:rPr>
          <w:rFonts w:ascii="Verdana" w:eastAsia="Times New Roman" w:hAnsi="Verdana" w:cs="Times New Roman"/>
          <w:sz w:val="24"/>
          <w:szCs w:val="24"/>
        </w:rPr>
      </w:pPr>
    </w:p>
    <w:p w14:paraId="32EAEC5B" w14:textId="7E2CB1F5"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F - Exempt Organizations (§§ 501 to 530)</w:t>
      </w:r>
    </w:p>
    <w:p w14:paraId="1523E0A0" w14:textId="5BF768B3"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GENERAL RULE (§§ 501 to 506)</w:t>
      </w:r>
    </w:p>
    <w:p w14:paraId="3D95A6B2" w14:textId="5C2A98D5"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501 - Exemption from tax on corporations, certain trusts, etc.</w:t>
      </w:r>
    </w:p>
    <w:p w14:paraId="3128D6FA" w14:textId="432E3F5F"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502 - Feeder organizations</w:t>
      </w:r>
    </w:p>
    <w:p w14:paraId="06CC0645" w14:textId="2D915DF3"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503 - Requirements for exemption</w:t>
      </w:r>
    </w:p>
    <w:p w14:paraId="5C19498D" w14:textId="2C6B1C6F"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504 - Status after organization ceases to qualify for exemption under section 501(c)(3) because of substantial lobbying or because of political activities</w:t>
      </w:r>
    </w:p>
    <w:p w14:paraId="512780CF" w14:textId="604E2C1E"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505 - Additional requirements for organizations described in paragraph (9), (17), or (20) of section 501(c)</w:t>
      </w:r>
    </w:p>
    <w:p w14:paraId="73857630" w14:textId="603F5BEC"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506 - Organizations required to notify Secretary of intent to operate under 501(c)(4)</w:t>
      </w:r>
    </w:p>
    <w:p w14:paraId="7EAEA526" w14:textId="77777777" w:rsidR="008F6220" w:rsidRPr="008B3051" w:rsidRDefault="008F6220" w:rsidP="008F6220">
      <w:pPr>
        <w:pStyle w:val="first"/>
        <w:shd w:val="clear" w:color="auto" w:fill="FFFFFF"/>
        <w:spacing w:before="0" w:beforeAutospacing="0" w:after="60" w:afterAutospacing="0"/>
        <w:ind w:left="720"/>
        <w:rPr>
          <w:rFonts w:ascii="Verdana" w:hAnsi="Verdana"/>
        </w:rPr>
      </w:pPr>
    </w:p>
    <w:p w14:paraId="1C6D183F" w14:textId="4BAF063F"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II - PRIVATE FOUNDATIONS (§§ 507 to 509)</w:t>
      </w:r>
    </w:p>
    <w:p w14:paraId="2968DE71" w14:textId="5D21830F"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507 - Termination of private foundation status</w:t>
      </w:r>
    </w:p>
    <w:p w14:paraId="372A684C" w14:textId="43A64B7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508 - Special rules with respect to section 501(c)(3) organizations</w:t>
      </w:r>
    </w:p>
    <w:p w14:paraId="70EFFDE1" w14:textId="520ED9A2"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509 - Private foundation defined</w:t>
      </w:r>
    </w:p>
    <w:p w14:paraId="12659553" w14:textId="77777777" w:rsidR="008F6220" w:rsidRPr="008B3051" w:rsidRDefault="008F6220" w:rsidP="008F6220">
      <w:pPr>
        <w:pStyle w:val="ListParagraph"/>
        <w:rPr>
          <w:rFonts w:ascii="Verdana" w:hAnsi="Verdana"/>
        </w:rPr>
      </w:pPr>
    </w:p>
    <w:p w14:paraId="362A5E04" w14:textId="77777777" w:rsidR="008F6220" w:rsidRPr="008B3051" w:rsidRDefault="008F6220" w:rsidP="008F6220">
      <w:pPr>
        <w:shd w:val="clear" w:color="auto" w:fill="FFFFFF"/>
        <w:spacing w:after="60" w:line="240" w:lineRule="auto"/>
        <w:ind w:left="720"/>
        <w:rPr>
          <w:rFonts w:ascii="Verdana" w:hAnsi="Verdana"/>
        </w:rPr>
      </w:pPr>
    </w:p>
    <w:p w14:paraId="2047D7C2" w14:textId="34AFC13D"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III - TAXATION OF BUSINESS INCOME OF CERTAIN EXEMPT ORGANIZATIONS (§§ 511 to 515)</w:t>
      </w:r>
    </w:p>
    <w:p w14:paraId="6C72D7DD" w14:textId="678C7C67"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511 - Imposition of tax on unrelated business income of charitable, etc., organizations</w:t>
      </w:r>
    </w:p>
    <w:p w14:paraId="0CD03A17" w14:textId="52588925"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512 - Unrelated business taxable income</w:t>
      </w:r>
    </w:p>
    <w:p w14:paraId="2B514120" w14:textId="19819349"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513 - Unrelated trade or business</w:t>
      </w:r>
    </w:p>
    <w:p w14:paraId="673C2803" w14:textId="79DC95F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514 - Unrelated debt-financed income</w:t>
      </w:r>
    </w:p>
    <w:p w14:paraId="09D7EE8F" w14:textId="0A2CD8F1"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lastRenderedPageBreak/>
        <w:t>§ 515 - Taxes of foreign countries and possessions of the United States</w:t>
      </w:r>
    </w:p>
    <w:p w14:paraId="0453F44A" w14:textId="77777777" w:rsidR="008F6220" w:rsidRPr="008B3051" w:rsidRDefault="008F6220" w:rsidP="008F6220">
      <w:pPr>
        <w:shd w:val="clear" w:color="auto" w:fill="FFFFFF"/>
        <w:spacing w:after="60" w:line="240" w:lineRule="auto"/>
        <w:ind w:left="720"/>
        <w:rPr>
          <w:rFonts w:ascii="Verdana" w:hAnsi="Verdana"/>
        </w:rPr>
      </w:pPr>
    </w:p>
    <w:p w14:paraId="7F2CE568" w14:textId="7B0A584F"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IV - FARMERS’ COOPERATIVES (§§ 521 to 522)</w:t>
      </w:r>
    </w:p>
    <w:p w14:paraId="35DB7998" w14:textId="77777777" w:rsidR="008F6220" w:rsidRPr="008B3051" w:rsidRDefault="008F6220" w:rsidP="008F6220">
      <w:pPr>
        <w:pStyle w:val="ListParagraph"/>
        <w:rPr>
          <w:rFonts w:ascii="Verdana" w:hAnsi="Verdana"/>
        </w:rPr>
      </w:pPr>
    </w:p>
    <w:p w14:paraId="55A57EBD" w14:textId="76F4D250" w:rsidR="008F6220" w:rsidRPr="008B3051" w:rsidRDefault="008F6220" w:rsidP="00C02C60">
      <w:pPr>
        <w:numPr>
          <w:ilvl w:val="0"/>
          <w:numId w:val="1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521 - Exemption of farmers’ cooperatives from tax</w:t>
      </w:r>
    </w:p>
    <w:p w14:paraId="48FBF14D" w14:textId="4CABBE27" w:rsidR="008F6220" w:rsidRPr="008B3051" w:rsidRDefault="008F6220" w:rsidP="00C02C60">
      <w:pPr>
        <w:numPr>
          <w:ilvl w:val="0"/>
          <w:numId w:val="1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522 - Repealed. Pub. L. 87–834, § 17(b)(2), Oct. 16, 1962, 76 Stat. 1051]</w:t>
      </w:r>
    </w:p>
    <w:p w14:paraId="3E21E859" w14:textId="77777777" w:rsidR="008F6220" w:rsidRPr="008B3051" w:rsidRDefault="008F6220" w:rsidP="008F6220">
      <w:pPr>
        <w:shd w:val="clear" w:color="auto" w:fill="FFFFFF"/>
        <w:spacing w:after="60" w:line="240" w:lineRule="auto"/>
        <w:ind w:left="720"/>
        <w:rPr>
          <w:rFonts w:ascii="Verdana" w:hAnsi="Verdana"/>
        </w:rPr>
      </w:pPr>
    </w:p>
    <w:p w14:paraId="7869CA9D" w14:textId="64D96598"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V - SHIPOWNERS’ PROTECTION AND INDEMNITY ASSOCIATIONS (§ 526)</w:t>
      </w:r>
    </w:p>
    <w:p w14:paraId="4071F0CA" w14:textId="37267D04"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526 - Shipowners’ protection and indemnity associations</w:t>
      </w:r>
    </w:p>
    <w:p w14:paraId="2EC7D520" w14:textId="77777777" w:rsidR="008F6220" w:rsidRPr="008B3051" w:rsidRDefault="008F6220" w:rsidP="008F6220">
      <w:pPr>
        <w:shd w:val="clear" w:color="auto" w:fill="FFFFFF"/>
        <w:spacing w:after="60" w:line="240" w:lineRule="auto"/>
        <w:ind w:left="720"/>
        <w:rPr>
          <w:rFonts w:ascii="Verdana" w:hAnsi="Verdana"/>
        </w:rPr>
      </w:pPr>
    </w:p>
    <w:p w14:paraId="0D8EECFD" w14:textId="3CB5FD31"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VI - POLITICAL ORGANIZATIONS (§ 527)</w:t>
      </w:r>
    </w:p>
    <w:p w14:paraId="540E3656" w14:textId="77777777" w:rsidR="008F6220" w:rsidRPr="008B3051" w:rsidRDefault="008F6220" w:rsidP="008F6220">
      <w:pPr>
        <w:pStyle w:val="ListParagraph"/>
        <w:rPr>
          <w:rFonts w:ascii="Verdana" w:hAnsi="Verdana"/>
        </w:rPr>
      </w:pPr>
    </w:p>
    <w:p w14:paraId="721FA9BB" w14:textId="460C0E02" w:rsidR="008F6220" w:rsidRPr="008B3051" w:rsidRDefault="008F6220" w:rsidP="00C02C60">
      <w:pPr>
        <w:numPr>
          <w:ilvl w:val="0"/>
          <w:numId w:val="1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527 - Political organizations</w:t>
      </w:r>
    </w:p>
    <w:p w14:paraId="25AC0A27" w14:textId="77777777" w:rsidR="008F6220" w:rsidRPr="008B3051" w:rsidRDefault="008F6220" w:rsidP="008F6220">
      <w:pPr>
        <w:shd w:val="clear" w:color="auto" w:fill="FFFFFF"/>
        <w:spacing w:after="60" w:line="240" w:lineRule="auto"/>
        <w:ind w:left="720"/>
        <w:rPr>
          <w:rFonts w:ascii="Verdana" w:hAnsi="Verdana"/>
        </w:rPr>
      </w:pPr>
    </w:p>
    <w:p w14:paraId="3F265471" w14:textId="06AC12A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VII - CERTAIN HOMEOWNERS ASSOCIATIONS (§ 528)</w:t>
      </w:r>
    </w:p>
    <w:p w14:paraId="6870E948" w14:textId="22219156"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528 - Certain homeowners associations</w:t>
      </w:r>
    </w:p>
    <w:p w14:paraId="1F7E467C" w14:textId="77777777" w:rsidR="008F6220" w:rsidRPr="008B3051" w:rsidRDefault="008F6220" w:rsidP="008F6220">
      <w:pPr>
        <w:shd w:val="clear" w:color="auto" w:fill="FFFFFF"/>
        <w:spacing w:after="60" w:line="240" w:lineRule="auto"/>
        <w:ind w:left="720"/>
        <w:rPr>
          <w:rFonts w:ascii="Verdana" w:hAnsi="Verdana"/>
        </w:rPr>
      </w:pPr>
    </w:p>
    <w:p w14:paraId="3C82452C" w14:textId="568E3BD6"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VIII - CERTAIN SAVINGS ENTITIES (§§ 529 to 530)</w:t>
      </w:r>
    </w:p>
    <w:p w14:paraId="335ED379" w14:textId="0BC2C1F5"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529 - Qualified tuition programs</w:t>
      </w:r>
    </w:p>
    <w:p w14:paraId="57E3A258" w14:textId="08B7618B"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529A - Qualified ABLE programs</w:t>
      </w:r>
    </w:p>
    <w:p w14:paraId="52D7FE8E" w14:textId="097816FE"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530 - Coverdell education savings accounts</w:t>
      </w:r>
    </w:p>
    <w:p w14:paraId="13B40ABA" w14:textId="77777777" w:rsidR="008F6220" w:rsidRPr="008B3051" w:rsidRDefault="008F6220" w:rsidP="008F6220">
      <w:pPr>
        <w:shd w:val="clear" w:color="auto" w:fill="FFFFFF"/>
        <w:spacing w:after="60" w:line="240" w:lineRule="auto"/>
        <w:ind w:left="720"/>
        <w:rPr>
          <w:rFonts w:ascii="Verdana" w:eastAsia="Times New Roman" w:hAnsi="Verdana" w:cs="Times New Roman"/>
          <w:sz w:val="24"/>
          <w:szCs w:val="24"/>
        </w:rPr>
      </w:pPr>
    </w:p>
    <w:p w14:paraId="797A3A3E" w14:textId="434D7FB4"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G - Corporations Used to Avoid Income Tax on Shareholders (§§ 531 to 565)</w:t>
      </w:r>
    </w:p>
    <w:p w14:paraId="2FC03884" w14:textId="59095F42"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CORPORATIONS IMPROPERLY ACCUMULATING SURPLUS (§§ 531 to 537)</w:t>
      </w:r>
    </w:p>
    <w:p w14:paraId="13FCB52C" w14:textId="00960252"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531 - Imposition of accumulated earnings tax</w:t>
      </w:r>
    </w:p>
    <w:p w14:paraId="60BF2363" w14:textId="20928DFE"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532 - Corporations subject to accumulated earnings tax</w:t>
      </w:r>
    </w:p>
    <w:p w14:paraId="1FBD74F8" w14:textId="4C9B5F88"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533 - Evidence of purpose to avoid income tax</w:t>
      </w:r>
    </w:p>
    <w:p w14:paraId="423D0611" w14:textId="2F2DE299"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534 - Burden of proof</w:t>
      </w:r>
    </w:p>
    <w:p w14:paraId="3A1E87F4" w14:textId="19350AF3"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535 - Accumulated taxable income</w:t>
      </w:r>
    </w:p>
    <w:p w14:paraId="405263F2" w14:textId="077D18A2"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536 - Income not placed on annual basis</w:t>
      </w:r>
    </w:p>
    <w:p w14:paraId="33D11F9E" w14:textId="2C2792AD"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537 - Reasonable needs of the business</w:t>
      </w:r>
    </w:p>
    <w:p w14:paraId="660A3744" w14:textId="77777777" w:rsidR="008F6220" w:rsidRPr="008B3051" w:rsidRDefault="008F6220" w:rsidP="008F6220">
      <w:pPr>
        <w:pStyle w:val="first"/>
        <w:shd w:val="clear" w:color="auto" w:fill="FFFFFF"/>
        <w:spacing w:before="0" w:beforeAutospacing="0" w:after="60" w:afterAutospacing="0"/>
        <w:ind w:left="720"/>
        <w:rPr>
          <w:rFonts w:ascii="Verdana" w:hAnsi="Verdana"/>
        </w:rPr>
      </w:pPr>
    </w:p>
    <w:p w14:paraId="7C44E57C" w14:textId="17770446"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II - PERSONAL HOLDING COMPANIES (§§ 541 to 547)</w:t>
      </w:r>
    </w:p>
    <w:p w14:paraId="36C5D8EC" w14:textId="77777777" w:rsidR="008F6220" w:rsidRPr="008B3051" w:rsidRDefault="008F6220" w:rsidP="008F6220">
      <w:pPr>
        <w:pStyle w:val="ListParagraph"/>
        <w:rPr>
          <w:rFonts w:ascii="Verdana" w:hAnsi="Verdana"/>
        </w:rPr>
      </w:pPr>
    </w:p>
    <w:p w14:paraId="60485D7E" w14:textId="5963A876"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541 - Imposition of personal holding company tax</w:t>
      </w:r>
    </w:p>
    <w:p w14:paraId="53378F1A" w14:textId="2F06D054"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542 - Definition of personal holding company</w:t>
      </w:r>
    </w:p>
    <w:p w14:paraId="1579BA9B" w14:textId="150EE236"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543 - Personal holding company income</w:t>
      </w:r>
    </w:p>
    <w:p w14:paraId="79F87DD5" w14:textId="64A45A90"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544 - Rules for determining stock ownership</w:t>
      </w:r>
    </w:p>
    <w:p w14:paraId="4D00570E" w14:textId="28EEB907"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545 - Undistributed personal holding company income</w:t>
      </w:r>
    </w:p>
    <w:p w14:paraId="21188589" w14:textId="5225C6FE"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546 - Income not placed on annual basis</w:t>
      </w:r>
    </w:p>
    <w:p w14:paraId="44C79D41" w14:textId="64E7028F" w:rsidR="008F6220" w:rsidRPr="008B3051" w:rsidRDefault="008F6220" w:rsidP="00C02C60">
      <w:pPr>
        <w:numPr>
          <w:ilvl w:val="0"/>
          <w:numId w:val="1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547 - Deduction for deficiency dividends</w:t>
      </w:r>
    </w:p>
    <w:p w14:paraId="18314F8F" w14:textId="77777777" w:rsidR="008F6220" w:rsidRPr="008B3051" w:rsidRDefault="008F6220" w:rsidP="008F6220">
      <w:pPr>
        <w:shd w:val="clear" w:color="auto" w:fill="FFFFFF"/>
        <w:spacing w:after="60" w:line="240" w:lineRule="auto"/>
        <w:ind w:left="720"/>
        <w:rPr>
          <w:rFonts w:ascii="Verdana" w:hAnsi="Verdana"/>
        </w:rPr>
      </w:pPr>
    </w:p>
    <w:p w14:paraId="7A24B576" w14:textId="593E7B5D"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PART III - REPEALED] (§ 551)</w:t>
      </w:r>
    </w:p>
    <w:p w14:paraId="48EC9730" w14:textId="359073F5"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551 - Repealed. Pub. L. 108–357, title IV, § 413(a)(1), Oct. 22, 2004, 118 Stat. 1506]</w:t>
      </w:r>
    </w:p>
    <w:p w14:paraId="4F7D1285" w14:textId="77777777" w:rsidR="008F6220" w:rsidRPr="008B3051" w:rsidRDefault="008F6220" w:rsidP="008F6220">
      <w:pPr>
        <w:shd w:val="clear" w:color="auto" w:fill="FFFFFF"/>
        <w:spacing w:after="60" w:line="240" w:lineRule="auto"/>
        <w:ind w:left="720"/>
        <w:rPr>
          <w:rFonts w:ascii="Verdana" w:hAnsi="Verdana"/>
        </w:rPr>
      </w:pPr>
    </w:p>
    <w:p w14:paraId="6D5273F7" w14:textId="27B1A5DD"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IV - DEDUCTION FOR DIVIDENDS PAID (§§ 561 to 565)</w:t>
      </w:r>
    </w:p>
    <w:p w14:paraId="17C905FB" w14:textId="682E80D0"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561 - Definition of deduction for dividends paid</w:t>
      </w:r>
    </w:p>
    <w:p w14:paraId="15F7239D" w14:textId="490B2EFB"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562 - Rules applicable in determining dividends eligible for dividends paid deduction</w:t>
      </w:r>
    </w:p>
    <w:p w14:paraId="451DEA35" w14:textId="7BC93F4A"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563 - Rules relating to dividends paid after close of taxable year</w:t>
      </w:r>
    </w:p>
    <w:p w14:paraId="27AEBCDF" w14:textId="7C6581EB"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564 - Dividend carryover</w:t>
      </w:r>
    </w:p>
    <w:p w14:paraId="75908F6D" w14:textId="313FA754"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565 - Consent dividends</w:t>
      </w:r>
    </w:p>
    <w:p w14:paraId="0F28E85F" w14:textId="77777777" w:rsidR="008F6220" w:rsidRPr="008B3051" w:rsidRDefault="008F6220" w:rsidP="008F6220">
      <w:pPr>
        <w:shd w:val="clear" w:color="auto" w:fill="FFFFFF"/>
        <w:spacing w:after="60" w:line="240" w:lineRule="auto"/>
        <w:ind w:left="720"/>
        <w:rPr>
          <w:rFonts w:ascii="Verdana" w:eastAsia="Times New Roman" w:hAnsi="Verdana" w:cs="Times New Roman"/>
          <w:sz w:val="24"/>
          <w:szCs w:val="24"/>
        </w:rPr>
      </w:pPr>
    </w:p>
    <w:p w14:paraId="61195EE6" w14:textId="45DB2F53"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H - Banking Institutions (§§ 581 to 601)</w:t>
      </w:r>
    </w:p>
    <w:p w14:paraId="63354D70" w14:textId="6782D3E1"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581 - Definition of bank</w:t>
      </w:r>
    </w:p>
    <w:p w14:paraId="0EE8B35B" w14:textId="36DEB1E0"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582 - Bad debts, losses, and gains with respect to securities held by financial institutions</w:t>
      </w:r>
    </w:p>
    <w:p w14:paraId="10357298" w14:textId="292F27A2"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583 - Repealed. Pub. L. 94–455, title XIX, § 1901(a)(82), Oct. 4, 1976, 90 Stat. 1778]</w:t>
      </w:r>
    </w:p>
    <w:p w14:paraId="6D79DE19" w14:textId="6595B43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584 - Common trust funds</w:t>
      </w:r>
    </w:p>
    <w:p w14:paraId="774A5DB7" w14:textId="2AC87E9A"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585 - Reserves for losses on loans of banks</w:t>
      </w:r>
    </w:p>
    <w:p w14:paraId="7AFA2066" w14:textId="5B50C359"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586 - Repealed. Pub. L. 99–514, title IX, § 901(c), Oct. 22, 1986, 100 Stat. 2378]</w:t>
      </w:r>
    </w:p>
    <w:p w14:paraId="3BD9DB06" w14:textId="480AECD6" w:rsidR="008F6220" w:rsidRPr="008B3051" w:rsidRDefault="008F6220" w:rsidP="008F6220">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591 - Deduction for dividends paid on deposits</w:t>
      </w:r>
    </w:p>
    <w:p w14:paraId="2FB44CFF" w14:textId="41DE41E5"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592 - Repealed. Pub. L. 94–455, title XIX, § 1901(a)(83), Oct. 4, 1976, 90 Stat. 1778]</w:t>
      </w:r>
    </w:p>
    <w:p w14:paraId="32FAA7FB" w14:textId="5C78B70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593 - Reserves for losses on loans</w:t>
      </w:r>
    </w:p>
    <w:p w14:paraId="550B1DC0" w14:textId="2CCD0E17"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594 - Alternative tax for mutual savings banks conducting life insurance business</w:t>
      </w:r>
    </w:p>
    <w:p w14:paraId="2681393A" w14:textId="1FC6107A"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t>§ 595 - Repealed. Pub. L. 104–188, title I, § 1616(b)(8), (9), Aug. 20, 1996, 110 Stat. 1857]</w:t>
      </w:r>
    </w:p>
    <w:p w14:paraId="467D1DD1" w14:textId="67814FCD" w:rsidR="008F6220" w:rsidRPr="008B3051" w:rsidRDefault="008F6220" w:rsidP="008F6220">
      <w:pPr>
        <w:numPr>
          <w:ilvl w:val="0"/>
          <w:numId w:val="2"/>
        </w:numPr>
        <w:shd w:val="clear" w:color="auto" w:fill="FFFFFF"/>
        <w:spacing w:after="60" w:line="240" w:lineRule="auto"/>
        <w:rPr>
          <w:rFonts w:ascii="Verdana" w:hAnsi="Verdana"/>
        </w:rPr>
      </w:pPr>
      <w:r w:rsidRPr="008B3051">
        <w:rPr>
          <w:rFonts w:ascii="Verdana" w:hAnsi="Verdana"/>
        </w:rPr>
        <w:lastRenderedPageBreak/>
        <w:t>§ 597 - Treatment of transactions in which Federal financial assistance provided</w:t>
      </w:r>
    </w:p>
    <w:p w14:paraId="48EDBA29" w14:textId="2796791C" w:rsidR="008F6220" w:rsidRPr="008B3051" w:rsidRDefault="008F6220" w:rsidP="008F6220">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601 - Repealed. Pub. L. 94–455, title XIX, § 1901(a)(85), Oct. 4, 1976, 90 Stat. 1778]</w:t>
      </w:r>
    </w:p>
    <w:p w14:paraId="70314BE0" w14:textId="77777777" w:rsidR="008F6220" w:rsidRPr="008B3051" w:rsidRDefault="008F6220" w:rsidP="008F6220">
      <w:pPr>
        <w:pStyle w:val="ListParagraph"/>
        <w:rPr>
          <w:rFonts w:ascii="Verdana" w:eastAsia="Times New Roman" w:hAnsi="Verdana" w:cs="Times New Roman"/>
          <w:sz w:val="24"/>
          <w:szCs w:val="24"/>
        </w:rPr>
      </w:pPr>
    </w:p>
    <w:p w14:paraId="04B35E32" w14:textId="77777777" w:rsidR="008F6220" w:rsidRPr="008B3051" w:rsidRDefault="008F6220" w:rsidP="008F6220">
      <w:pPr>
        <w:shd w:val="clear" w:color="auto" w:fill="FFFFFF"/>
        <w:spacing w:after="60" w:line="240" w:lineRule="auto"/>
        <w:ind w:left="720"/>
        <w:rPr>
          <w:rFonts w:ascii="Verdana" w:eastAsia="Times New Roman" w:hAnsi="Verdana" w:cs="Times New Roman"/>
          <w:sz w:val="24"/>
          <w:szCs w:val="24"/>
        </w:rPr>
      </w:pPr>
    </w:p>
    <w:p w14:paraId="255A797E" w14:textId="68B9F10C"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I - Natural Resources (§§ 611 to 638)</w:t>
      </w:r>
    </w:p>
    <w:p w14:paraId="00D0A9D6" w14:textId="665DE686"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DEDUCTIONS (§§ 611 to 617)</w:t>
      </w:r>
    </w:p>
    <w:p w14:paraId="26CCCFE0" w14:textId="021716B1"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611 - Allowance of deduction for depletion</w:t>
      </w:r>
    </w:p>
    <w:p w14:paraId="1A4F9CF1" w14:textId="3764FA31"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612 - Basis for cost depletion</w:t>
      </w:r>
    </w:p>
    <w:p w14:paraId="7B4497D9" w14:textId="3043C0BC"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613 - Percentage depletion</w:t>
      </w:r>
    </w:p>
    <w:p w14:paraId="118258EB" w14:textId="53612B45"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613A - Limitations on percentage depletion in case of oil and gas wells</w:t>
      </w:r>
    </w:p>
    <w:p w14:paraId="5099F73A" w14:textId="77F57AF6"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614 - Definition of property</w:t>
      </w:r>
    </w:p>
    <w:p w14:paraId="3DAE4D54" w14:textId="37F1A099"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615 - Repealed. Pub. L. 94–455, title XIX, § 1901(a)(88), Oct. 4, 1976, 90 Stat. 1779]</w:t>
      </w:r>
    </w:p>
    <w:p w14:paraId="62D96083" w14:textId="769B06AA"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616 - Development expenditures</w:t>
      </w:r>
    </w:p>
    <w:p w14:paraId="485868FE" w14:textId="1A7C3D5E" w:rsidR="000D05DC" w:rsidRPr="008B3051" w:rsidRDefault="000D05DC" w:rsidP="000D05DC">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617 - Deduction and recapture of certain mining exploration expenditures</w:t>
      </w:r>
    </w:p>
    <w:p w14:paraId="47B4FA36" w14:textId="77777777" w:rsidR="000D05DC" w:rsidRPr="008B3051" w:rsidRDefault="000D05DC" w:rsidP="000D05DC">
      <w:pPr>
        <w:pStyle w:val="first"/>
        <w:shd w:val="clear" w:color="auto" w:fill="FFFFFF"/>
        <w:spacing w:before="0" w:beforeAutospacing="0" w:after="60" w:afterAutospacing="0"/>
        <w:ind w:left="720"/>
        <w:rPr>
          <w:rFonts w:ascii="Verdana" w:hAnsi="Verdana"/>
        </w:rPr>
      </w:pPr>
    </w:p>
    <w:p w14:paraId="60101D07" w14:textId="0B6DF4B6"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PART II - REPEALED] (§ 621)</w:t>
      </w:r>
    </w:p>
    <w:p w14:paraId="1FF3A974" w14:textId="77777777" w:rsidR="000D05DC" w:rsidRPr="008B3051" w:rsidRDefault="000D05DC" w:rsidP="000D05DC">
      <w:pPr>
        <w:pStyle w:val="ListParagraph"/>
        <w:rPr>
          <w:rFonts w:ascii="Verdana" w:hAnsi="Verdana"/>
        </w:rPr>
      </w:pPr>
    </w:p>
    <w:p w14:paraId="5300758B" w14:textId="79BF6D6D" w:rsidR="000D05DC" w:rsidRPr="008B3051" w:rsidRDefault="000D05DC" w:rsidP="00C02C60">
      <w:pPr>
        <w:numPr>
          <w:ilvl w:val="0"/>
          <w:numId w:val="1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621 - Repealed. Pub. L. 101–508, title XI, § 11801(a)(28), Nov. 5, 1990, 104 Stat. 1388–521]</w:t>
      </w:r>
    </w:p>
    <w:p w14:paraId="338F6A74" w14:textId="77777777" w:rsidR="000D05DC" w:rsidRPr="008B3051" w:rsidRDefault="000D05DC" w:rsidP="000D05DC">
      <w:pPr>
        <w:shd w:val="clear" w:color="auto" w:fill="FFFFFF"/>
        <w:spacing w:after="60" w:line="240" w:lineRule="auto"/>
        <w:ind w:left="720"/>
        <w:rPr>
          <w:rFonts w:ascii="Verdana" w:hAnsi="Verdana"/>
        </w:rPr>
      </w:pPr>
    </w:p>
    <w:p w14:paraId="65368EC7" w14:textId="4FE4D545"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PART III - SALES AND EXCHANGES (§§ 631 to 632)</w:t>
      </w:r>
    </w:p>
    <w:p w14:paraId="599DD38A" w14:textId="7B4E46FA"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631 - Gain or loss in the case of timber, coal, or domestic iron ore</w:t>
      </w:r>
    </w:p>
    <w:p w14:paraId="16C940E2" w14:textId="113A7F8E" w:rsidR="000D05DC" w:rsidRPr="008B3051" w:rsidRDefault="000D05DC" w:rsidP="000D05DC">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632 - Repealed. Pub. L. 94–455, title XIX, § 1901(a)(90), Oct. 4, 1976, 90 Stat. 1779]</w:t>
      </w:r>
    </w:p>
    <w:p w14:paraId="4176D878" w14:textId="77777777" w:rsidR="000D05DC" w:rsidRPr="008B3051" w:rsidRDefault="000D05DC" w:rsidP="000D05DC">
      <w:pPr>
        <w:shd w:val="clear" w:color="auto" w:fill="FFFFFF"/>
        <w:spacing w:after="60" w:line="240" w:lineRule="auto"/>
        <w:ind w:left="720"/>
        <w:rPr>
          <w:rFonts w:ascii="Verdana" w:hAnsi="Verdana"/>
        </w:rPr>
      </w:pPr>
    </w:p>
    <w:p w14:paraId="7910498C" w14:textId="0769FCBA"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PART IV - MINERAL PRODUCTION PAYMENTS (§ 636)</w:t>
      </w:r>
    </w:p>
    <w:p w14:paraId="6C478EEC" w14:textId="77777777" w:rsidR="000D05DC" w:rsidRPr="008B3051" w:rsidRDefault="000D05DC" w:rsidP="000D05DC">
      <w:pPr>
        <w:pStyle w:val="ListParagraph"/>
        <w:rPr>
          <w:rFonts w:ascii="Verdana" w:hAnsi="Verdana"/>
        </w:rPr>
      </w:pPr>
    </w:p>
    <w:p w14:paraId="680CD620" w14:textId="6DE499B1" w:rsidR="000D05DC" w:rsidRPr="008B3051" w:rsidRDefault="000D05DC" w:rsidP="00C02C60">
      <w:pPr>
        <w:numPr>
          <w:ilvl w:val="0"/>
          <w:numId w:val="1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636 - Income tax treatment of mineral production payments</w:t>
      </w:r>
    </w:p>
    <w:p w14:paraId="1DFC1F40" w14:textId="77777777" w:rsidR="000D05DC" w:rsidRPr="008B3051" w:rsidRDefault="000D05DC" w:rsidP="000D05DC">
      <w:pPr>
        <w:shd w:val="clear" w:color="auto" w:fill="FFFFFF"/>
        <w:spacing w:after="60" w:line="240" w:lineRule="auto"/>
        <w:ind w:left="720"/>
        <w:rPr>
          <w:rFonts w:ascii="Verdana" w:hAnsi="Verdana"/>
        </w:rPr>
      </w:pPr>
    </w:p>
    <w:p w14:paraId="00E27739" w14:textId="7A03EDF7" w:rsidR="000D05DC" w:rsidRPr="008B3051" w:rsidRDefault="000D05DC" w:rsidP="000D05DC">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 - CONTINENTAL SHELF AREAS (§ 638)</w:t>
      </w:r>
    </w:p>
    <w:p w14:paraId="653F2F3D" w14:textId="5F2C2536"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638 - Continental shelf areas</w:t>
      </w:r>
    </w:p>
    <w:p w14:paraId="40614D46" w14:textId="77777777" w:rsidR="008F6220" w:rsidRPr="008B3051" w:rsidRDefault="008F6220" w:rsidP="008F6220">
      <w:pPr>
        <w:shd w:val="clear" w:color="auto" w:fill="FFFFFF"/>
        <w:spacing w:after="60" w:line="240" w:lineRule="auto"/>
        <w:ind w:left="720"/>
        <w:rPr>
          <w:rFonts w:ascii="Verdana" w:eastAsia="Times New Roman" w:hAnsi="Verdana" w:cs="Times New Roman"/>
          <w:sz w:val="24"/>
          <w:szCs w:val="24"/>
        </w:rPr>
      </w:pPr>
    </w:p>
    <w:p w14:paraId="1AF3ABBF" w14:textId="44042767"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J - Estates, Trusts, Beneficiaries, and Decedents (§§ 641 to 692)</w:t>
      </w:r>
    </w:p>
    <w:p w14:paraId="38D0932F" w14:textId="77777777" w:rsidR="000D05DC" w:rsidRPr="008B3051" w:rsidRDefault="000D05DC" w:rsidP="000D05DC">
      <w:pPr>
        <w:pStyle w:val="ListParagraph"/>
        <w:rPr>
          <w:rFonts w:ascii="Verdana" w:eastAsia="Times New Roman" w:hAnsi="Verdana" w:cs="Times New Roman"/>
          <w:sz w:val="24"/>
          <w:szCs w:val="24"/>
        </w:rPr>
      </w:pPr>
    </w:p>
    <w:p w14:paraId="32031060" w14:textId="54837568" w:rsidR="000D05DC" w:rsidRPr="008B3051" w:rsidRDefault="000D05DC" w:rsidP="00C02C60">
      <w:pPr>
        <w:numPr>
          <w:ilvl w:val="0"/>
          <w:numId w:val="1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 - ESTATES, TRUSTS, AND BENEFICIARIES (§§ 641 to 685)</w:t>
      </w:r>
    </w:p>
    <w:p w14:paraId="48FF514C" w14:textId="19AE8486"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SUBPART A - General Rules for Taxation of Estates and Trusts (§§ 641 to 646)</w:t>
      </w:r>
    </w:p>
    <w:p w14:paraId="4DEC9C24" w14:textId="45049622"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 641 - Imposition of tax</w:t>
      </w:r>
    </w:p>
    <w:p w14:paraId="092EF26A" w14:textId="4837639B"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642 - Special rules for credits and deductions</w:t>
      </w:r>
    </w:p>
    <w:p w14:paraId="69167E1C" w14:textId="23D48AC6"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643 - Definitions applicable to subparts A, B, C, and</w:t>
      </w:r>
      <w:r w:rsidRPr="008B3051">
        <w:rPr>
          <w:rFonts w:ascii="Arial" w:hAnsi="Arial" w:cs="Arial"/>
        </w:rPr>
        <w:t> </w:t>
      </w:r>
      <w:r w:rsidRPr="008B3051">
        <w:rPr>
          <w:rFonts w:ascii="Verdana" w:hAnsi="Verdana"/>
        </w:rPr>
        <w:t>D</w:t>
      </w:r>
    </w:p>
    <w:p w14:paraId="1EF0DB74" w14:textId="1F5D1F24"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644 - Taxable year of trusts</w:t>
      </w:r>
    </w:p>
    <w:p w14:paraId="191FBE78" w14:textId="15218990"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645 - Certain revocable trusts treated as part of estate</w:t>
      </w:r>
    </w:p>
    <w:p w14:paraId="71DAC673" w14:textId="0744826F"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646 - Tax treatment of electing Alaska Native Settlement Trusts</w:t>
      </w:r>
    </w:p>
    <w:p w14:paraId="0CDABC10" w14:textId="77777777" w:rsidR="000D05DC" w:rsidRPr="008B3051" w:rsidRDefault="000D05DC" w:rsidP="000D05DC">
      <w:pPr>
        <w:pStyle w:val="first"/>
        <w:shd w:val="clear" w:color="auto" w:fill="FFFFFF"/>
        <w:spacing w:before="0" w:beforeAutospacing="0" w:after="60" w:afterAutospacing="0"/>
        <w:ind w:left="720"/>
        <w:rPr>
          <w:rFonts w:ascii="Verdana" w:hAnsi="Verdana"/>
        </w:rPr>
      </w:pPr>
    </w:p>
    <w:p w14:paraId="05DEB94A" w14:textId="05A7925F"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SUBPART B - Trusts Which Distribute Current Income Only (§§ 651 to 652)</w:t>
      </w:r>
    </w:p>
    <w:p w14:paraId="551E764A" w14:textId="2AD297F2"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 651 - Deduction for trusts distributing current income only</w:t>
      </w:r>
    </w:p>
    <w:p w14:paraId="0CACCD27" w14:textId="32715B06"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652 - Inclusion of amounts in gross income of beneficiaries of trusts distributing current income only</w:t>
      </w:r>
    </w:p>
    <w:p w14:paraId="7FED43CE" w14:textId="77777777" w:rsidR="000D05DC" w:rsidRPr="008B3051" w:rsidRDefault="000D05DC" w:rsidP="000D05DC">
      <w:pPr>
        <w:pStyle w:val="ListParagraph"/>
        <w:rPr>
          <w:rFonts w:ascii="Verdana" w:hAnsi="Verdana"/>
        </w:rPr>
      </w:pPr>
    </w:p>
    <w:p w14:paraId="4C76F5D8" w14:textId="5003B859"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SUBPART C - Estates and Trusts Which May Accumulate Income or Which Distribute Corpus (§§ 661 to 664)</w:t>
      </w:r>
    </w:p>
    <w:p w14:paraId="1C1E8F4E" w14:textId="25FD729B"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 661 - Deduction for estates and trusts accumulating income or distributing corpus</w:t>
      </w:r>
    </w:p>
    <w:p w14:paraId="5B6C5B15" w14:textId="18A913DD"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662 - Inclusion of amounts in gross income of beneficiaries of estates and trusts accumulating income or distributing corpus</w:t>
      </w:r>
    </w:p>
    <w:p w14:paraId="66EF13DC" w14:textId="756DCA92"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663 - Special rules applicable to sections 661 and 662</w:t>
      </w:r>
    </w:p>
    <w:p w14:paraId="7CD9D9F3" w14:textId="3478A538"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664 - Charitable remainder trusts</w:t>
      </w:r>
    </w:p>
    <w:p w14:paraId="2B61C16D" w14:textId="77777777" w:rsidR="000D05DC" w:rsidRPr="008B3051" w:rsidRDefault="000D05DC" w:rsidP="000D05DC">
      <w:pPr>
        <w:shd w:val="clear" w:color="auto" w:fill="FFFFFF"/>
        <w:spacing w:after="60" w:line="240" w:lineRule="auto"/>
        <w:ind w:left="720"/>
        <w:rPr>
          <w:rFonts w:ascii="Verdana" w:hAnsi="Verdana"/>
        </w:rPr>
      </w:pPr>
    </w:p>
    <w:p w14:paraId="0AC22E86" w14:textId="437F373F"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SUBPART D - Treatment of Excess Distributions by Trusts (§§ 665 to 669)</w:t>
      </w:r>
    </w:p>
    <w:p w14:paraId="03014284" w14:textId="64B50BDD"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 665 - Definitions applicable to subpart D</w:t>
      </w:r>
    </w:p>
    <w:p w14:paraId="62617E1E" w14:textId="776CF99E"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666 - Accumulation distribution allocated to preceding years</w:t>
      </w:r>
    </w:p>
    <w:p w14:paraId="51303FA2" w14:textId="6B08D080"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667 - Treatment of amounts deemed distributed by trust in preceding years</w:t>
      </w:r>
    </w:p>
    <w:p w14:paraId="43060890" w14:textId="4C661EAA"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668 - Interest charge on accumulation distributions from foreign trusts</w:t>
      </w:r>
    </w:p>
    <w:p w14:paraId="59834691" w14:textId="1945CD76"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669 - Repealed. Pub. L. 94–455, title VII, § 701(d)(1), Oct. 4, 1976, 90 Stat. 1578]</w:t>
      </w:r>
    </w:p>
    <w:p w14:paraId="0090D91C" w14:textId="77777777" w:rsidR="000D05DC" w:rsidRPr="008B3051" w:rsidRDefault="000D05DC" w:rsidP="000D05DC">
      <w:pPr>
        <w:pStyle w:val="ListParagraph"/>
        <w:rPr>
          <w:rFonts w:ascii="Verdana" w:hAnsi="Verdana"/>
        </w:rPr>
      </w:pPr>
    </w:p>
    <w:p w14:paraId="1684D29F" w14:textId="77777777" w:rsidR="000D05DC" w:rsidRPr="008B3051" w:rsidRDefault="000D05DC" w:rsidP="000D05DC">
      <w:pPr>
        <w:shd w:val="clear" w:color="auto" w:fill="FFFFFF"/>
        <w:spacing w:after="60" w:line="240" w:lineRule="auto"/>
        <w:ind w:left="720"/>
        <w:rPr>
          <w:rFonts w:ascii="Verdana" w:hAnsi="Verdana"/>
        </w:rPr>
      </w:pPr>
    </w:p>
    <w:p w14:paraId="567F6FFE" w14:textId="2C875837"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SUBPART E - Grantors and Others Treated as Substantial Owners (§§ 671 to 679)</w:t>
      </w:r>
    </w:p>
    <w:p w14:paraId="40E30011" w14:textId="7D14CD93"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lastRenderedPageBreak/>
        <w:t>§ 671 - Trust income, deductions, and credits attributable to grantors and others as substantial owners</w:t>
      </w:r>
    </w:p>
    <w:p w14:paraId="5F8662A4" w14:textId="17053A41"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672 - Definitions and rules</w:t>
      </w:r>
    </w:p>
    <w:p w14:paraId="41831EF2" w14:textId="7FEB0388"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673 - Reversionary interests</w:t>
      </w:r>
    </w:p>
    <w:p w14:paraId="5E46FCEF" w14:textId="129D90A9"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674 - Power to control beneficial enjoyment</w:t>
      </w:r>
    </w:p>
    <w:p w14:paraId="6462408D" w14:textId="705DD7EC"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675 - Administrative powers</w:t>
      </w:r>
    </w:p>
    <w:p w14:paraId="2853585C" w14:textId="139F3EDA"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676 - Power to revoke</w:t>
      </w:r>
    </w:p>
    <w:p w14:paraId="207193EC" w14:textId="4C0D0840"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677 - Income for benefit of grantor</w:t>
      </w:r>
    </w:p>
    <w:p w14:paraId="404477B0" w14:textId="71CBA83E" w:rsidR="000D05DC" w:rsidRPr="008B3051" w:rsidRDefault="000D05DC" w:rsidP="00C02C60">
      <w:pPr>
        <w:numPr>
          <w:ilvl w:val="0"/>
          <w:numId w:val="16"/>
        </w:numPr>
        <w:shd w:val="clear" w:color="auto" w:fill="FFFFFF"/>
        <w:spacing w:after="60" w:line="240" w:lineRule="auto"/>
        <w:rPr>
          <w:rFonts w:ascii="Verdana" w:hAnsi="Verdana"/>
        </w:rPr>
      </w:pPr>
      <w:r w:rsidRPr="008B3051">
        <w:rPr>
          <w:rFonts w:ascii="Verdana" w:hAnsi="Verdana"/>
        </w:rPr>
        <w:t>§ 678 - Person other than grantor treated as substantial owner</w:t>
      </w:r>
    </w:p>
    <w:p w14:paraId="1DB06232" w14:textId="4AAD5AD7"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679 - Foreign trusts having one or more United States beneficiaries</w:t>
      </w:r>
    </w:p>
    <w:p w14:paraId="0570F33E" w14:textId="77777777" w:rsidR="000D05DC" w:rsidRPr="008B3051" w:rsidRDefault="000D05DC" w:rsidP="000D05DC">
      <w:pPr>
        <w:shd w:val="clear" w:color="auto" w:fill="FFFFFF"/>
        <w:spacing w:after="60" w:line="240" w:lineRule="auto"/>
        <w:ind w:left="720"/>
        <w:rPr>
          <w:rFonts w:ascii="Verdana" w:hAnsi="Verdana"/>
        </w:rPr>
      </w:pPr>
    </w:p>
    <w:p w14:paraId="71F84EA5" w14:textId="6AD20A2E"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SUBPART F - Miscellaneous (§§ 681 to 685)</w:t>
      </w:r>
    </w:p>
    <w:p w14:paraId="27F24934" w14:textId="77777777" w:rsidR="000D05DC" w:rsidRPr="008B3051" w:rsidRDefault="000D05DC" w:rsidP="000D05DC">
      <w:pPr>
        <w:pStyle w:val="ListParagraph"/>
        <w:rPr>
          <w:rFonts w:ascii="Verdana" w:hAnsi="Verdana"/>
        </w:rPr>
      </w:pPr>
    </w:p>
    <w:p w14:paraId="61A205CF" w14:textId="00CD0F3E" w:rsidR="000D05DC" w:rsidRPr="008B3051" w:rsidRDefault="000D05DC" w:rsidP="00C02C60">
      <w:pPr>
        <w:numPr>
          <w:ilvl w:val="0"/>
          <w:numId w:val="1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681 - Limitation on charitable deduction</w:t>
      </w:r>
    </w:p>
    <w:p w14:paraId="1FC5B68F" w14:textId="39BFD271" w:rsidR="000D05DC" w:rsidRPr="008B3051" w:rsidRDefault="000D05DC" w:rsidP="00C02C60">
      <w:pPr>
        <w:numPr>
          <w:ilvl w:val="0"/>
          <w:numId w:val="1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682 - Income of an estate or trust in case of divorce, etc.</w:t>
      </w:r>
    </w:p>
    <w:p w14:paraId="7EF9560D" w14:textId="27D723A3" w:rsidR="000D05DC" w:rsidRPr="008B3051" w:rsidRDefault="000D05DC" w:rsidP="00C02C60">
      <w:pPr>
        <w:numPr>
          <w:ilvl w:val="0"/>
          <w:numId w:val="1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683 - Use of trust as an exchange fund</w:t>
      </w:r>
    </w:p>
    <w:p w14:paraId="3E672337" w14:textId="6F118CD1" w:rsidR="000D05DC" w:rsidRPr="008B3051" w:rsidRDefault="000D05DC" w:rsidP="00C02C60">
      <w:pPr>
        <w:numPr>
          <w:ilvl w:val="0"/>
          <w:numId w:val="1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684 - Recognition of gain on certain transfers to certain foreign trusts and estates</w:t>
      </w:r>
    </w:p>
    <w:p w14:paraId="15BEBD70" w14:textId="00C09535" w:rsidR="000D05DC" w:rsidRPr="008B3051" w:rsidRDefault="000D05DC" w:rsidP="00C02C60">
      <w:pPr>
        <w:numPr>
          <w:ilvl w:val="0"/>
          <w:numId w:val="1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685 - Treatment of funeral trusts</w:t>
      </w:r>
    </w:p>
    <w:p w14:paraId="1AD9933D" w14:textId="77777777" w:rsidR="000D05DC" w:rsidRPr="008B3051" w:rsidRDefault="000D05DC" w:rsidP="000D05DC">
      <w:pPr>
        <w:pStyle w:val="last"/>
        <w:shd w:val="clear" w:color="auto" w:fill="FFFFFF"/>
        <w:spacing w:before="0" w:beforeAutospacing="0" w:after="60" w:afterAutospacing="0"/>
        <w:ind w:left="720"/>
        <w:rPr>
          <w:rFonts w:ascii="Verdana" w:hAnsi="Verdana"/>
        </w:rPr>
      </w:pPr>
    </w:p>
    <w:p w14:paraId="2AB4A7C0" w14:textId="77777777" w:rsidR="000D05DC" w:rsidRPr="008B3051" w:rsidRDefault="000D05DC" w:rsidP="000D05DC">
      <w:pPr>
        <w:shd w:val="clear" w:color="auto" w:fill="FFFFFF"/>
        <w:spacing w:after="60" w:line="240" w:lineRule="auto"/>
        <w:ind w:left="360"/>
        <w:rPr>
          <w:rFonts w:ascii="Verdana" w:eastAsia="Times New Roman" w:hAnsi="Verdana" w:cs="Times New Roman"/>
          <w:sz w:val="24"/>
          <w:szCs w:val="24"/>
        </w:rPr>
      </w:pPr>
    </w:p>
    <w:p w14:paraId="3A97F4A0" w14:textId="1D294CF9" w:rsidR="000D05DC" w:rsidRPr="008B3051" w:rsidRDefault="000D05DC" w:rsidP="00C02C60">
      <w:pPr>
        <w:numPr>
          <w:ilvl w:val="0"/>
          <w:numId w:val="1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II - INCOME IN RESPECT OF DECEDENTS (§§ 691 to 692)</w:t>
      </w:r>
    </w:p>
    <w:p w14:paraId="73720568" w14:textId="47DB3220" w:rsidR="000D05DC" w:rsidRPr="008B3051" w:rsidRDefault="000D05DC" w:rsidP="00C02C60">
      <w:pPr>
        <w:pStyle w:val="first"/>
        <w:numPr>
          <w:ilvl w:val="0"/>
          <w:numId w:val="16"/>
        </w:numPr>
        <w:shd w:val="clear" w:color="auto" w:fill="FFFFFF"/>
        <w:spacing w:before="0" w:beforeAutospacing="0" w:after="60" w:afterAutospacing="0"/>
        <w:rPr>
          <w:rFonts w:ascii="Verdana" w:hAnsi="Verdana"/>
        </w:rPr>
      </w:pPr>
      <w:r w:rsidRPr="008B3051">
        <w:rPr>
          <w:rFonts w:ascii="Verdana" w:hAnsi="Verdana"/>
        </w:rPr>
        <w:t>§ 691 - Recipients of income in respect of decedents</w:t>
      </w:r>
    </w:p>
    <w:p w14:paraId="78465872" w14:textId="59250406" w:rsidR="000D05DC" w:rsidRPr="008B3051" w:rsidRDefault="000D05DC" w:rsidP="00C02C60">
      <w:pPr>
        <w:pStyle w:val="last"/>
        <w:numPr>
          <w:ilvl w:val="0"/>
          <w:numId w:val="16"/>
        </w:numPr>
        <w:shd w:val="clear" w:color="auto" w:fill="FFFFFF"/>
        <w:spacing w:before="0" w:beforeAutospacing="0" w:after="60" w:afterAutospacing="0"/>
        <w:rPr>
          <w:rFonts w:ascii="Verdana" w:hAnsi="Verdana"/>
        </w:rPr>
      </w:pPr>
      <w:r w:rsidRPr="008B3051">
        <w:rPr>
          <w:rFonts w:ascii="Verdana" w:hAnsi="Verdana"/>
        </w:rPr>
        <w:t>§ 692 - Income taxes of members of Armed Forces, astronauts, and victims of certain terrorist attacks on death</w:t>
      </w:r>
    </w:p>
    <w:p w14:paraId="6E687800" w14:textId="77777777" w:rsidR="000D05DC" w:rsidRPr="008B3051" w:rsidRDefault="000D05DC" w:rsidP="000D05DC">
      <w:pPr>
        <w:shd w:val="clear" w:color="auto" w:fill="FFFFFF"/>
        <w:spacing w:after="60" w:line="240" w:lineRule="auto"/>
        <w:ind w:left="720"/>
        <w:rPr>
          <w:rFonts w:ascii="Verdana" w:eastAsia="Times New Roman" w:hAnsi="Verdana" w:cs="Times New Roman"/>
          <w:sz w:val="24"/>
          <w:szCs w:val="24"/>
        </w:rPr>
      </w:pPr>
    </w:p>
    <w:p w14:paraId="1110711E" w14:textId="3DBBFC62"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K - Partners and Partnerships (§§ 701 to 771)</w:t>
      </w:r>
    </w:p>
    <w:p w14:paraId="358E6E29" w14:textId="211E5D8F"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DETERMINATION OF TAX LIABILITY (§§ 701 to 709)</w:t>
      </w:r>
    </w:p>
    <w:p w14:paraId="13C681AE" w14:textId="31D24863" w:rsidR="000D05DC" w:rsidRPr="008B3051" w:rsidRDefault="000D05DC" w:rsidP="000D05DC">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701 - Partners, not partnership, subject to tax</w:t>
      </w:r>
    </w:p>
    <w:p w14:paraId="4169BA51" w14:textId="29E031C4"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702 - Income and credits of partner</w:t>
      </w:r>
    </w:p>
    <w:p w14:paraId="101D818E" w14:textId="34C72BA8"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703 - Partnership computations</w:t>
      </w:r>
    </w:p>
    <w:p w14:paraId="56FFED0A" w14:textId="5324E742"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704 - Partner’s distributive share</w:t>
      </w:r>
    </w:p>
    <w:p w14:paraId="33358B46" w14:textId="769533FC"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705 - Determination of basis of partner’s interest</w:t>
      </w:r>
    </w:p>
    <w:p w14:paraId="282CD2D3" w14:textId="2BBA3EE1"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706 - Taxable years of partner and partnership</w:t>
      </w:r>
    </w:p>
    <w:p w14:paraId="5AA0ACB0" w14:textId="70D3DD99"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707 - Transactions between partner and partnership</w:t>
      </w:r>
    </w:p>
    <w:p w14:paraId="610DB314" w14:textId="3D99B6B1"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 708 - Continuation of partnership</w:t>
      </w:r>
    </w:p>
    <w:p w14:paraId="659BE99E" w14:textId="1677BB10" w:rsidR="000D05DC" w:rsidRPr="008B3051" w:rsidRDefault="000D05DC" w:rsidP="000D05DC">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709 - Treatment of organization and syndication fees</w:t>
      </w:r>
    </w:p>
    <w:p w14:paraId="49173898" w14:textId="77777777" w:rsidR="000D05DC" w:rsidRPr="008B3051" w:rsidRDefault="000D05DC" w:rsidP="000D05DC">
      <w:pPr>
        <w:pStyle w:val="first"/>
        <w:shd w:val="clear" w:color="auto" w:fill="FFFFFF"/>
        <w:spacing w:before="0" w:beforeAutospacing="0" w:after="60" w:afterAutospacing="0"/>
        <w:ind w:left="720"/>
        <w:rPr>
          <w:rFonts w:ascii="Verdana" w:hAnsi="Verdana"/>
        </w:rPr>
      </w:pPr>
    </w:p>
    <w:p w14:paraId="3424D830" w14:textId="28129FF1"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lastRenderedPageBreak/>
        <w:t>PART II - CONTRIBUTIONS, DISTRIBUTIONS, AND TRANSFERS (§§ 721 to 755)</w:t>
      </w:r>
    </w:p>
    <w:p w14:paraId="366A7DE1" w14:textId="77777777" w:rsidR="000D05DC" w:rsidRPr="008B3051" w:rsidRDefault="000D05DC" w:rsidP="000D05DC">
      <w:pPr>
        <w:pStyle w:val="ListParagraph"/>
        <w:rPr>
          <w:rFonts w:ascii="Verdana" w:hAnsi="Verdana"/>
        </w:rPr>
      </w:pPr>
    </w:p>
    <w:p w14:paraId="501ACAD4" w14:textId="2DCF2E5D" w:rsidR="000D05DC" w:rsidRPr="008B3051" w:rsidRDefault="000D05DC" w:rsidP="00C02C60">
      <w:pPr>
        <w:numPr>
          <w:ilvl w:val="0"/>
          <w:numId w:val="1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A - Contributions to a Partnership (§§ 721 to 724)</w:t>
      </w:r>
    </w:p>
    <w:p w14:paraId="6D13096A" w14:textId="13C1203E" w:rsidR="000D05DC" w:rsidRPr="008B3051" w:rsidRDefault="000D05DC" w:rsidP="00C02C60">
      <w:pPr>
        <w:pStyle w:val="first"/>
        <w:numPr>
          <w:ilvl w:val="0"/>
          <w:numId w:val="18"/>
        </w:numPr>
        <w:shd w:val="clear" w:color="auto" w:fill="FFFFFF"/>
        <w:spacing w:before="0" w:beforeAutospacing="0" w:after="60" w:afterAutospacing="0"/>
        <w:rPr>
          <w:rFonts w:ascii="Verdana" w:hAnsi="Verdana"/>
        </w:rPr>
      </w:pPr>
      <w:r w:rsidRPr="008B3051">
        <w:rPr>
          <w:rFonts w:ascii="Verdana" w:hAnsi="Verdana"/>
        </w:rPr>
        <w:t>§ 721 - Nonrecognition of gain or loss on contribution</w:t>
      </w:r>
    </w:p>
    <w:p w14:paraId="0E5D0BC4" w14:textId="3F63D2CD" w:rsidR="000D05DC" w:rsidRPr="008B3051" w:rsidRDefault="000D05DC" w:rsidP="00C02C60">
      <w:pPr>
        <w:numPr>
          <w:ilvl w:val="0"/>
          <w:numId w:val="18"/>
        </w:numPr>
        <w:shd w:val="clear" w:color="auto" w:fill="FFFFFF"/>
        <w:spacing w:after="60" w:line="240" w:lineRule="auto"/>
        <w:rPr>
          <w:rFonts w:ascii="Verdana" w:hAnsi="Verdana"/>
        </w:rPr>
      </w:pPr>
      <w:r w:rsidRPr="008B3051">
        <w:rPr>
          <w:rFonts w:ascii="Verdana" w:hAnsi="Verdana"/>
        </w:rPr>
        <w:t>§ 722 - Basis of contributing partner’s interest</w:t>
      </w:r>
    </w:p>
    <w:p w14:paraId="2299132E" w14:textId="595D6234" w:rsidR="000D05DC" w:rsidRPr="008B3051" w:rsidRDefault="000D05DC" w:rsidP="00C02C60">
      <w:pPr>
        <w:numPr>
          <w:ilvl w:val="0"/>
          <w:numId w:val="18"/>
        </w:numPr>
        <w:shd w:val="clear" w:color="auto" w:fill="FFFFFF"/>
        <w:spacing w:after="60" w:line="240" w:lineRule="auto"/>
        <w:rPr>
          <w:rFonts w:ascii="Verdana" w:hAnsi="Verdana"/>
        </w:rPr>
      </w:pPr>
      <w:r w:rsidRPr="008B3051">
        <w:rPr>
          <w:rFonts w:ascii="Verdana" w:hAnsi="Verdana"/>
        </w:rPr>
        <w:t>§ 723 - Basis of property contributed to partnership</w:t>
      </w:r>
    </w:p>
    <w:p w14:paraId="65818F4B" w14:textId="13DCD32B" w:rsidR="000D05DC" w:rsidRPr="008B3051" w:rsidRDefault="000D05DC" w:rsidP="00C02C60">
      <w:pPr>
        <w:pStyle w:val="last"/>
        <w:numPr>
          <w:ilvl w:val="0"/>
          <w:numId w:val="18"/>
        </w:numPr>
        <w:shd w:val="clear" w:color="auto" w:fill="FFFFFF"/>
        <w:spacing w:before="0" w:beforeAutospacing="0" w:after="60" w:afterAutospacing="0"/>
        <w:rPr>
          <w:rFonts w:ascii="Verdana" w:hAnsi="Verdana"/>
        </w:rPr>
      </w:pPr>
      <w:r w:rsidRPr="008B3051">
        <w:rPr>
          <w:rFonts w:ascii="Verdana" w:hAnsi="Verdana"/>
        </w:rPr>
        <w:t>§ 724 - Character of gain or loss on contributed unrealized receivables, inventory items, and capital loss property</w:t>
      </w:r>
    </w:p>
    <w:p w14:paraId="3624C9C4" w14:textId="77777777" w:rsidR="000D05DC" w:rsidRPr="008B3051" w:rsidRDefault="000D05DC" w:rsidP="000D05DC">
      <w:pPr>
        <w:shd w:val="clear" w:color="auto" w:fill="FFFFFF"/>
        <w:spacing w:after="60" w:line="240" w:lineRule="auto"/>
        <w:ind w:left="360"/>
        <w:rPr>
          <w:rFonts w:ascii="Verdana" w:eastAsia="Times New Roman" w:hAnsi="Verdana" w:cs="Times New Roman"/>
          <w:sz w:val="24"/>
          <w:szCs w:val="24"/>
        </w:rPr>
      </w:pPr>
    </w:p>
    <w:p w14:paraId="2EE40534" w14:textId="3870E484" w:rsidR="000D05DC" w:rsidRPr="008B3051" w:rsidRDefault="000D05DC" w:rsidP="00C02C60">
      <w:pPr>
        <w:numPr>
          <w:ilvl w:val="0"/>
          <w:numId w:val="1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B - Distributions by a Partnership (§§ 731 to 737)</w:t>
      </w:r>
    </w:p>
    <w:p w14:paraId="56B99322" w14:textId="77777777" w:rsidR="000D05DC" w:rsidRPr="008B3051" w:rsidRDefault="000D05DC" w:rsidP="000D05DC">
      <w:pPr>
        <w:pStyle w:val="ListParagraph"/>
        <w:rPr>
          <w:rFonts w:ascii="Verdana" w:eastAsia="Times New Roman" w:hAnsi="Verdana" w:cs="Times New Roman"/>
          <w:sz w:val="24"/>
          <w:szCs w:val="24"/>
        </w:rPr>
      </w:pPr>
    </w:p>
    <w:p w14:paraId="20661E2D" w14:textId="2D745649"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731 - Extent of recognition of gain or loss on distribution</w:t>
      </w:r>
    </w:p>
    <w:p w14:paraId="08A05FEB" w14:textId="03DC9124"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732 - Basis of distributed property other than money</w:t>
      </w:r>
    </w:p>
    <w:p w14:paraId="0B8C7D5C" w14:textId="6E78195E"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733 - Basis of distributee partner’s interest</w:t>
      </w:r>
    </w:p>
    <w:p w14:paraId="27B1F4BC" w14:textId="61AA9F24"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734 - Adjustment to basis of undistributed partnership property where section 754 election or substantial basis reduction</w:t>
      </w:r>
    </w:p>
    <w:p w14:paraId="7106A09E" w14:textId="17043168"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735 - Character of gain or loss on disposition of distributed property</w:t>
      </w:r>
    </w:p>
    <w:p w14:paraId="264CC2D0" w14:textId="20CA0C81"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736 - Payments to a retiring partner or a deceased partner’s successor in interest</w:t>
      </w:r>
    </w:p>
    <w:p w14:paraId="69DA7150" w14:textId="0FDA582D" w:rsidR="000D05DC" w:rsidRPr="008B3051" w:rsidRDefault="000D05DC" w:rsidP="00C02C60">
      <w:pPr>
        <w:numPr>
          <w:ilvl w:val="0"/>
          <w:numId w:val="1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737 - Recognition of precontribution gain in case of certain distributions to contributing partner</w:t>
      </w:r>
    </w:p>
    <w:p w14:paraId="155AC80F" w14:textId="77777777" w:rsidR="000D05DC" w:rsidRPr="008B3051" w:rsidRDefault="000D05DC" w:rsidP="000D05DC">
      <w:pPr>
        <w:shd w:val="clear" w:color="auto" w:fill="FFFFFF"/>
        <w:spacing w:after="60" w:line="240" w:lineRule="auto"/>
        <w:ind w:left="360"/>
        <w:rPr>
          <w:rFonts w:ascii="Verdana" w:eastAsia="Times New Roman" w:hAnsi="Verdana" w:cs="Times New Roman"/>
          <w:sz w:val="24"/>
          <w:szCs w:val="24"/>
        </w:rPr>
      </w:pPr>
    </w:p>
    <w:p w14:paraId="7CA85BBA" w14:textId="22EAAB16" w:rsidR="000D05DC" w:rsidRPr="008B3051" w:rsidRDefault="000D05DC" w:rsidP="00C02C60">
      <w:pPr>
        <w:numPr>
          <w:ilvl w:val="0"/>
          <w:numId w:val="1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C - Transfers of Interests in a Partnership (§§ 741 to 743)</w:t>
      </w:r>
    </w:p>
    <w:p w14:paraId="2438D05C" w14:textId="37CAF832" w:rsidR="000D05DC" w:rsidRPr="008B3051" w:rsidRDefault="000D05DC" w:rsidP="00C02C60">
      <w:pPr>
        <w:pStyle w:val="first"/>
        <w:numPr>
          <w:ilvl w:val="0"/>
          <w:numId w:val="18"/>
        </w:numPr>
        <w:shd w:val="clear" w:color="auto" w:fill="FFFFFF"/>
        <w:spacing w:before="0" w:beforeAutospacing="0" w:after="60" w:afterAutospacing="0"/>
        <w:rPr>
          <w:rFonts w:ascii="Verdana" w:hAnsi="Verdana"/>
        </w:rPr>
      </w:pPr>
      <w:r w:rsidRPr="008B3051">
        <w:rPr>
          <w:rFonts w:ascii="Verdana" w:hAnsi="Verdana"/>
        </w:rPr>
        <w:t>§ 741 - Recognition and character of gain or loss on sale or exchange</w:t>
      </w:r>
    </w:p>
    <w:p w14:paraId="329E2E18" w14:textId="0FA0382F" w:rsidR="000D05DC" w:rsidRPr="008B3051" w:rsidRDefault="000D05DC" w:rsidP="00C02C60">
      <w:pPr>
        <w:numPr>
          <w:ilvl w:val="0"/>
          <w:numId w:val="18"/>
        </w:numPr>
        <w:shd w:val="clear" w:color="auto" w:fill="FFFFFF"/>
        <w:spacing w:after="60" w:line="240" w:lineRule="auto"/>
        <w:rPr>
          <w:rFonts w:ascii="Verdana" w:hAnsi="Verdana"/>
        </w:rPr>
      </w:pPr>
      <w:r w:rsidRPr="008B3051">
        <w:rPr>
          <w:rFonts w:ascii="Verdana" w:hAnsi="Verdana"/>
        </w:rPr>
        <w:t>§ 742 - Basis of transferee partner’s interest</w:t>
      </w:r>
    </w:p>
    <w:p w14:paraId="795B0BEF" w14:textId="6E7F20BC" w:rsidR="000D05DC" w:rsidRPr="008B3051" w:rsidRDefault="000D05DC" w:rsidP="00C02C60">
      <w:pPr>
        <w:pStyle w:val="last"/>
        <w:numPr>
          <w:ilvl w:val="0"/>
          <w:numId w:val="18"/>
        </w:numPr>
        <w:shd w:val="clear" w:color="auto" w:fill="FFFFFF"/>
        <w:spacing w:before="0" w:beforeAutospacing="0" w:after="60" w:afterAutospacing="0"/>
        <w:rPr>
          <w:rFonts w:ascii="Verdana" w:hAnsi="Verdana"/>
        </w:rPr>
      </w:pPr>
      <w:r w:rsidRPr="008B3051">
        <w:rPr>
          <w:rFonts w:ascii="Verdana" w:hAnsi="Verdana"/>
        </w:rPr>
        <w:t>§ 743 - Special rules where section 754 election or substantial built-in loss</w:t>
      </w:r>
    </w:p>
    <w:p w14:paraId="5794DC4D" w14:textId="77777777" w:rsidR="000D05DC" w:rsidRPr="008B3051" w:rsidRDefault="000D05DC" w:rsidP="000D05DC">
      <w:pPr>
        <w:shd w:val="clear" w:color="auto" w:fill="FFFFFF"/>
        <w:spacing w:after="60" w:line="240" w:lineRule="auto"/>
        <w:ind w:left="360"/>
        <w:rPr>
          <w:rFonts w:ascii="Verdana" w:eastAsia="Times New Roman" w:hAnsi="Verdana" w:cs="Times New Roman"/>
          <w:sz w:val="24"/>
          <w:szCs w:val="24"/>
        </w:rPr>
      </w:pPr>
    </w:p>
    <w:p w14:paraId="61D3E57B" w14:textId="37E1CF5C" w:rsidR="000D05DC" w:rsidRPr="008B3051" w:rsidRDefault="000D05DC" w:rsidP="00C02C60">
      <w:pPr>
        <w:numPr>
          <w:ilvl w:val="0"/>
          <w:numId w:val="1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D - Provisions Common to Other Subparts (§§ 751 to 755)</w:t>
      </w:r>
    </w:p>
    <w:p w14:paraId="4EFBC0CF" w14:textId="0634A72F" w:rsidR="00E56BF7" w:rsidRPr="008B3051" w:rsidRDefault="00E56BF7" w:rsidP="00C02C60">
      <w:pPr>
        <w:pStyle w:val="first"/>
        <w:numPr>
          <w:ilvl w:val="0"/>
          <w:numId w:val="18"/>
        </w:numPr>
        <w:shd w:val="clear" w:color="auto" w:fill="FFFFFF"/>
        <w:spacing w:before="0" w:beforeAutospacing="0" w:after="60" w:afterAutospacing="0"/>
        <w:rPr>
          <w:rFonts w:ascii="Verdana" w:hAnsi="Verdana"/>
        </w:rPr>
      </w:pPr>
      <w:r w:rsidRPr="008B3051">
        <w:rPr>
          <w:rFonts w:ascii="Verdana" w:hAnsi="Verdana"/>
        </w:rPr>
        <w:t>§ 751 - Unrealized receivables and inventory items</w:t>
      </w:r>
    </w:p>
    <w:p w14:paraId="2B20ACD4" w14:textId="518975F0" w:rsidR="00E56BF7" w:rsidRPr="008B3051" w:rsidRDefault="00E56BF7" w:rsidP="00C02C60">
      <w:pPr>
        <w:numPr>
          <w:ilvl w:val="0"/>
          <w:numId w:val="18"/>
        </w:numPr>
        <w:shd w:val="clear" w:color="auto" w:fill="FFFFFF"/>
        <w:spacing w:after="60" w:line="240" w:lineRule="auto"/>
        <w:rPr>
          <w:rFonts w:ascii="Verdana" w:hAnsi="Verdana"/>
        </w:rPr>
      </w:pPr>
      <w:r w:rsidRPr="008B3051">
        <w:rPr>
          <w:rFonts w:ascii="Verdana" w:hAnsi="Verdana"/>
        </w:rPr>
        <w:t>§ 752 - Treatment of certain liabilities</w:t>
      </w:r>
    </w:p>
    <w:p w14:paraId="1F92FC83" w14:textId="625FFAD8" w:rsidR="00E56BF7" w:rsidRPr="008B3051" w:rsidRDefault="00E56BF7" w:rsidP="00C02C60">
      <w:pPr>
        <w:numPr>
          <w:ilvl w:val="0"/>
          <w:numId w:val="18"/>
        </w:numPr>
        <w:shd w:val="clear" w:color="auto" w:fill="FFFFFF"/>
        <w:spacing w:after="60" w:line="240" w:lineRule="auto"/>
        <w:rPr>
          <w:rFonts w:ascii="Verdana" w:hAnsi="Verdana"/>
        </w:rPr>
      </w:pPr>
      <w:r w:rsidRPr="008B3051">
        <w:rPr>
          <w:rFonts w:ascii="Verdana" w:hAnsi="Verdana"/>
        </w:rPr>
        <w:t>§ 753 - Partner receiving income in respect of decedent</w:t>
      </w:r>
    </w:p>
    <w:p w14:paraId="64EDE99B" w14:textId="3C2F8FC8" w:rsidR="00E56BF7" w:rsidRPr="008B3051" w:rsidRDefault="00E56BF7" w:rsidP="00C02C60">
      <w:pPr>
        <w:numPr>
          <w:ilvl w:val="0"/>
          <w:numId w:val="18"/>
        </w:numPr>
        <w:shd w:val="clear" w:color="auto" w:fill="FFFFFF"/>
        <w:spacing w:after="60" w:line="240" w:lineRule="auto"/>
        <w:rPr>
          <w:rFonts w:ascii="Verdana" w:hAnsi="Verdana"/>
        </w:rPr>
      </w:pPr>
      <w:r w:rsidRPr="008B3051">
        <w:rPr>
          <w:rFonts w:ascii="Verdana" w:hAnsi="Verdana"/>
        </w:rPr>
        <w:t>§ 754 - Manner of electing optional adjustment to basis of partnership property</w:t>
      </w:r>
    </w:p>
    <w:p w14:paraId="1627CC1B" w14:textId="5F5060F9" w:rsidR="00E56BF7" w:rsidRPr="008B3051" w:rsidRDefault="00E56BF7" w:rsidP="00C02C60">
      <w:pPr>
        <w:pStyle w:val="last"/>
        <w:numPr>
          <w:ilvl w:val="0"/>
          <w:numId w:val="18"/>
        </w:numPr>
        <w:shd w:val="clear" w:color="auto" w:fill="FFFFFF"/>
        <w:spacing w:before="0" w:beforeAutospacing="0" w:after="60" w:afterAutospacing="0"/>
        <w:rPr>
          <w:rFonts w:ascii="Verdana" w:hAnsi="Verdana"/>
        </w:rPr>
      </w:pPr>
      <w:r w:rsidRPr="008B3051">
        <w:rPr>
          <w:rFonts w:ascii="Verdana" w:hAnsi="Verdana"/>
        </w:rPr>
        <w:t>§ 755 - Rules for allocation of basis</w:t>
      </w:r>
    </w:p>
    <w:p w14:paraId="00296EE0" w14:textId="77777777" w:rsidR="00E56BF7" w:rsidRPr="008B3051" w:rsidRDefault="00E56BF7" w:rsidP="00E56BF7">
      <w:pPr>
        <w:pStyle w:val="ListParagraph"/>
        <w:rPr>
          <w:rFonts w:ascii="Verdana" w:eastAsia="Times New Roman" w:hAnsi="Verdana" w:cs="Times New Roman"/>
          <w:sz w:val="24"/>
          <w:szCs w:val="24"/>
        </w:rPr>
      </w:pPr>
    </w:p>
    <w:p w14:paraId="3E7095A3" w14:textId="77777777" w:rsidR="00E56BF7" w:rsidRPr="008B3051" w:rsidRDefault="00E56BF7" w:rsidP="00E56BF7">
      <w:pPr>
        <w:shd w:val="clear" w:color="auto" w:fill="FFFFFF"/>
        <w:spacing w:after="60" w:line="240" w:lineRule="auto"/>
        <w:ind w:left="360"/>
        <w:rPr>
          <w:rFonts w:ascii="Verdana" w:eastAsia="Times New Roman" w:hAnsi="Verdana" w:cs="Times New Roman"/>
          <w:sz w:val="24"/>
          <w:szCs w:val="24"/>
        </w:rPr>
      </w:pPr>
    </w:p>
    <w:p w14:paraId="21BEF930" w14:textId="77777777" w:rsidR="000D05DC" w:rsidRPr="008B3051" w:rsidRDefault="000D05DC" w:rsidP="000D05DC">
      <w:pPr>
        <w:shd w:val="clear" w:color="auto" w:fill="FFFFFF"/>
        <w:spacing w:after="60" w:line="240" w:lineRule="auto"/>
        <w:ind w:left="720"/>
        <w:rPr>
          <w:rFonts w:ascii="Verdana" w:hAnsi="Verdana"/>
        </w:rPr>
      </w:pPr>
    </w:p>
    <w:p w14:paraId="0486733F" w14:textId="676CFF31" w:rsidR="000D05DC" w:rsidRPr="008B3051" w:rsidRDefault="000D05DC" w:rsidP="000D05DC">
      <w:pPr>
        <w:numPr>
          <w:ilvl w:val="0"/>
          <w:numId w:val="2"/>
        </w:numPr>
        <w:shd w:val="clear" w:color="auto" w:fill="FFFFFF"/>
        <w:spacing w:after="60" w:line="240" w:lineRule="auto"/>
        <w:rPr>
          <w:rFonts w:ascii="Verdana" w:hAnsi="Verdana"/>
        </w:rPr>
      </w:pPr>
      <w:r w:rsidRPr="008B3051">
        <w:rPr>
          <w:rFonts w:ascii="Verdana" w:hAnsi="Verdana"/>
        </w:rPr>
        <w:t>PART III - DEFINITIONS (§ 761)</w:t>
      </w:r>
    </w:p>
    <w:p w14:paraId="3A6F3660" w14:textId="4AD4B86E"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761 - Terms defined</w:t>
      </w:r>
    </w:p>
    <w:p w14:paraId="6BA6A00C" w14:textId="77777777" w:rsidR="00E56BF7" w:rsidRPr="008B3051" w:rsidRDefault="00E56BF7" w:rsidP="00E56BF7">
      <w:pPr>
        <w:shd w:val="clear" w:color="auto" w:fill="FFFFFF"/>
        <w:spacing w:after="60" w:line="240" w:lineRule="auto"/>
        <w:ind w:left="720"/>
        <w:rPr>
          <w:rFonts w:ascii="Verdana" w:hAnsi="Verdana"/>
        </w:rPr>
      </w:pPr>
    </w:p>
    <w:p w14:paraId="34FFE824" w14:textId="0409C31B" w:rsidR="000D05DC" w:rsidRPr="008B3051" w:rsidRDefault="000D05DC" w:rsidP="000D05DC">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IV - REPEALED] (§ 771)</w:t>
      </w:r>
    </w:p>
    <w:p w14:paraId="7452ADEA" w14:textId="47DCCCCA"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771 - Repealed. Pub. L. 114–74, title XI, § 1101(b)(1), Nov. 2, 2015, 129 Stat. 625]</w:t>
      </w:r>
    </w:p>
    <w:p w14:paraId="6FCE15E3" w14:textId="77777777" w:rsidR="000D05DC" w:rsidRPr="008B3051" w:rsidRDefault="000D05DC" w:rsidP="000D05DC">
      <w:pPr>
        <w:shd w:val="clear" w:color="auto" w:fill="FFFFFF"/>
        <w:spacing w:after="60" w:line="240" w:lineRule="auto"/>
        <w:ind w:left="720"/>
        <w:rPr>
          <w:rFonts w:ascii="Verdana" w:eastAsia="Times New Roman" w:hAnsi="Verdana" w:cs="Times New Roman"/>
          <w:sz w:val="24"/>
          <w:szCs w:val="24"/>
        </w:rPr>
      </w:pPr>
    </w:p>
    <w:p w14:paraId="3ED03E40" w14:textId="22E6E1BF"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L - Insurance Companies (§§ 801 to 848)</w:t>
      </w:r>
    </w:p>
    <w:p w14:paraId="2CF1E737" w14:textId="025D4CF6"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LIFE INSURANCE COMPANIES (§§ 801 to 818)</w:t>
      </w:r>
    </w:p>
    <w:p w14:paraId="5EC1F06A" w14:textId="76D92756"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SUBPART A - Tax Imposed (§ 801)</w:t>
      </w:r>
    </w:p>
    <w:p w14:paraId="4F9F5AD7" w14:textId="27707569"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801 - Tax imposed</w:t>
      </w:r>
    </w:p>
    <w:p w14:paraId="2A816FD9" w14:textId="77777777" w:rsidR="00E56BF7" w:rsidRPr="008B3051" w:rsidRDefault="00E56BF7" w:rsidP="00E56BF7">
      <w:pPr>
        <w:pStyle w:val="first"/>
        <w:shd w:val="clear" w:color="auto" w:fill="FFFFFF"/>
        <w:spacing w:before="0" w:beforeAutospacing="0" w:after="60" w:afterAutospacing="0"/>
        <w:ind w:left="720"/>
        <w:rPr>
          <w:rFonts w:ascii="Verdana" w:hAnsi="Verdana"/>
        </w:rPr>
      </w:pPr>
    </w:p>
    <w:p w14:paraId="513108D2" w14:textId="7B124AB0"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SUBPART B - Life Insurance Gross Income (§ 803)</w:t>
      </w:r>
    </w:p>
    <w:p w14:paraId="4608B638" w14:textId="77777777" w:rsidR="00E56BF7" w:rsidRPr="008B3051" w:rsidRDefault="00E56BF7" w:rsidP="00E56BF7">
      <w:pPr>
        <w:pStyle w:val="ListParagraph"/>
        <w:rPr>
          <w:rFonts w:ascii="Verdana" w:hAnsi="Verdana"/>
        </w:rPr>
      </w:pPr>
    </w:p>
    <w:p w14:paraId="333260D5" w14:textId="06D704E2" w:rsidR="00E56BF7" w:rsidRPr="008B3051" w:rsidRDefault="00E56BF7" w:rsidP="00C02C60">
      <w:pPr>
        <w:numPr>
          <w:ilvl w:val="0"/>
          <w:numId w:val="2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803 - Life insurance gross income</w:t>
      </w:r>
    </w:p>
    <w:p w14:paraId="7D7D2BDD" w14:textId="77777777" w:rsidR="00E56BF7" w:rsidRPr="008B3051" w:rsidRDefault="00E56BF7" w:rsidP="00E56BF7">
      <w:pPr>
        <w:shd w:val="clear" w:color="auto" w:fill="FFFFFF"/>
        <w:spacing w:after="60" w:line="240" w:lineRule="auto"/>
        <w:ind w:left="720"/>
        <w:rPr>
          <w:rFonts w:ascii="Verdana" w:hAnsi="Verdana"/>
        </w:rPr>
      </w:pPr>
    </w:p>
    <w:p w14:paraId="612C32DC" w14:textId="553B1E4D"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SUBPART C - Life Insurance Deductions (§§ 804 to 810)</w:t>
      </w:r>
    </w:p>
    <w:p w14:paraId="2FFA084A" w14:textId="2A2A4EF3"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804 - Life insurance deductions</w:t>
      </w:r>
    </w:p>
    <w:p w14:paraId="261CD0EE" w14:textId="4F7C21CF"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805 - General deductions</w:t>
      </w:r>
    </w:p>
    <w:p w14:paraId="3A881054" w14:textId="3E38B5D2"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806 - Repealed. Pub. L. 115–97, title I, § 13512(a), Dec. 22, 2017, 131 Stat. 2142]</w:t>
      </w:r>
    </w:p>
    <w:p w14:paraId="10E74681" w14:textId="2A552F4D"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807 - Rules for certain reserves</w:t>
      </w:r>
    </w:p>
    <w:p w14:paraId="13886A21" w14:textId="5CB895E2"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808 - Policyholder dividends deduction</w:t>
      </w:r>
    </w:p>
    <w:p w14:paraId="735C2E5B" w14:textId="5681FAF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809 - Repealed. Pub. L. 108–218, title II, § 205(a), Apr. 10, 2004, 118 Stat. 610]</w:t>
      </w:r>
    </w:p>
    <w:p w14:paraId="326B4601" w14:textId="7CD5F3BB"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810 - Repealed. Pub. L. 115–97, title I, § 13511(b)(1), Dec. 22, 2017, 131 Stat. 2142]</w:t>
      </w:r>
    </w:p>
    <w:p w14:paraId="20386738" w14:textId="77777777" w:rsidR="00E56BF7" w:rsidRPr="008B3051" w:rsidRDefault="00E56BF7" w:rsidP="00E56BF7">
      <w:pPr>
        <w:shd w:val="clear" w:color="auto" w:fill="FFFFFF"/>
        <w:spacing w:after="60" w:line="240" w:lineRule="auto"/>
        <w:ind w:left="720"/>
        <w:rPr>
          <w:rFonts w:ascii="Verdana" w:hAnsi="Verdana"/>
        </w:rPr>
      </w:pPr>
    </w:p>
    <w:p w14:paraId="77A80234" w14:textId="20A8F84D"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SUBPART D - Accounting, Allocation, and Foreign Provisions (§§ 811 to 815)</w:t>
      </w:r>
    </w:p>
    <w:p w14:paraId="4BA54C5C" w14:textId="1339DC52"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811 - Accounting provisions</w:t>
      </w:r>
    </w:p>
    <w:p w14:paraId="1F6F3586" w14:textId="446C831D"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812 - Definition of company’s share and policyholder’s share</w:t>
      </w:r>
    </w:p>
    <w:p w14:paraId="08651E37" w14:textId="162F27CE"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813 - Repealed. Pub. L. 100–203, title X, § 10242(c)(1), Dec. 22, 1987, 101 Stat. 1330–423]</w:t>
      </w:r>
    </w:p>
    <w:p w14:paraId="2A44D0DD" w14:textId="001BA34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814 - Contiguous country branches of domestic life insurance companies</w:t>
      </w:r>
    </w:p>
    <w:p w14:paraId="2D0D808F" w14:textId="2F32AA6A"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815 - Repealed. Pub. L. 115–97, title I, § 13514(a), Dec. 22, 2017, 131 Stat. 2143]</w:t>
      </w:r>
    </w:p>
    <w:p w14:paraId="732BA194" w14:textId="77777777" w:rsidR="00E56BF7" w:rsidRPr="008B3051" w:rsidRDefault="00E56BF7" w:rsidP="00E56BF7">
      <w:pPr>
        <w:pStyle w:val="ListParagraph"/>
        <w:rPr>
          <w:rFonts w:ascii="Verdana" w:hAnsi="Verdana"/>
        </w:rPr>
      </w:pPr>
    </w:p>
    <w:p w14:paraId="60568B52" w14:textId="77777777" w:rsidR="00E56BF7" w:rsidRPr="008B3051" w:rsidRDefault="00E56BF7" w:rsidP="00E56BF7">
      <w:pPr>
        <w:shd w:val="clear" w:color="auto" w:fill="FFFFFF"/>
        <w:spacing w:after="60" w:line="240" w:lineRule="auto"/>
        <w:ind w:left="720"/>
        <w:rPr>
          <w:rFonts w:ascii="Verdana" w:hAnsi="Verdana"/>
        </w:rPr>
      </w:pPr>
    </w:p>
    <w:p w14:paraId="03696E65" w14:textId="002011DB"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SUBPART E - Definitions and Special Rules (§§ 816 to 818)</w:t>
      </w:r>
    </w:p>
    <w:p w14:paraId="218ABF6F" w14:textId="67653E15"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816 - Life insurance company defined</w:t>
      </w:r>
    </w:p>
    <w:p w14:paraId="62DEC204" w14:textId="4CBE50F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817 - Treatment of variable contracts</w:t>
      </w:r>
    </w:p>
    <w:p w14:paraId="16C6093E" w14:textId="3F3025D1"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817A - Special rules for modified guaranteed contracts</w:t>
      </w:r>
    </w:p>
    <w:p w14:paraId="465D57AE" w14:textId="455C3FC1"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818 - Other definitions and special rules</w:t>
      </w:r>
    </w:p>
    <w:p w14:paraId="610C470A" w14:textId="77777777" w:rsidR="00E56BF7" w:rsidRPr="008B3051" w:rsidRDefault="00E56BF7" w:rsidP="00E56BF7">
      <w:pPr>
        <w:pStyle w:val="last"/>
        <w:shd w:val="clear" w:color="auto" w:fill="FFFFFF"/>
        <w:spacing w:before="0" w:beforeAutospacing="0" w:after="60" w:afterAutospacing="0"/>
        <w:ind w:left="720"/>
        <w:rPr>
          <w:rFonts w:ascii="Verdana" w:hAnsi="Verdana"/>
        </w:rPr>
      </w:pPr>
    </w:p>
    <w:p w14:paraId="6D47CD84" w14:textId="77777777" w:rsidR="00E56BF7" w:rsidRPr="008B3051" w:rsidRDefault="00E56BF7" w:rsidP="00E56BF7">
      <w:pPr>
        <w:pStyle w:val="first"/>
        <w:shd w:val="clear" w:color="auto" w:fill="FFFFFF"/>
        <w:spacing w:before="0" w:beforeAutospacing="0" w:after="60" w:afterAutospacing="0"/>
        <w:ind w:left="720"/>
        <w:rPr>
          <w:rFonts w:ascii="Verdana" w:hAnsi="Verdana"/>
        </w:rPr>
      </w:pPr>
    </w:p>
    <w:p w14:paraId="573FF867" w14:textId="0EF24C5F"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II - OTHER INSURANCE COMPANIES (§§ 831 to 835)</w:t>
      </w:r>
    </w:p>
    <w:p w14:paraId="0996F456" w14:textId="451C36AB"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831 - Tax on insurance companies other than life insurance companies</w:t>
      </w:r>
    </w:p>
    <w:p w14:paraId="7F28310C" w14:textId="424B1939"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832 - Insurance company taxable income</w:t>
      </w:r>
    </w:p>
    <w:p w14:paraId="43EEA733" w14:textId="0302CEA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833 - Treatment of Blue Cross and Blue Shield organizations, etc.</w:t>
      </w:r>
    </w:p>
    <w:p w14:paraId="35912386" w14:textId="60CFEA9F"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834 - Determination of taxable investment income</w:t>
      </w:r>
    </w:p>
    <w:p w14:paraId="1C0C96E9" w14:textId="03D9966F"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835 - Election by reciprocal</w:t>
      </w:r>
    </w:p>
    <w:p w14:paraId="506F51B2" w14:textId="77777777" w:rsidR="00E56BF7" w:rsidRPr="008B3051" w:rsidRDefault="00E56BF7" w:rsidP="00E56BF7">
      <w:pPr>
        <w:shd w:val="clear" w:color="auto" w:fill="FFFFFF"/>
        <w:spacing w:after="60" w:line="240" w:lineRule="auto"/>
        <w:ind w:left="720"/>
        <w:rPr>
          <w:rFonts w:ascii="Verdana" w:hAnsi="Verdana"/>
        </w:rPr>
      </w:pPr>
    </w:p>
    <w:p w14:paraId="4C2975F0" w14:textId="78F354D9"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III - PROVISIONS OF GENERAL APPLICATION (§§ 841 to 848)</w:t>
      </w:r>
    </w:p>
    <w:p w14:paraId="5747515E" w14:textId="77777777" w:rsidR="00E56BF7" w:rsidRPr="008B3051" w:rsidRDefault="00E56BF7" w:rsidP="00E56BF7">
      <w:pPr>
        <w:pStyle w:val="ListParagraph"/>
        <w:rPr>
          <w:rFonts w:ascii="Verdana" w:eastAsia="Times New Roman" w:hAnsi="Verdana" w:cs="Times New Roman"/>
          <w:sz w:val="24"/>
          <w:szCs w:val="24"/>
        </w:rPr>
      </w:pPr>
    </w:p>
    <w:p w14:paraId="73A12A77" w14:textId="722FAE40"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841 - Credit for foreign taxes</w:t>
      </w:r>
    </w:p>
    <w:p w14:paraId="08E7199C" w14:textId="29402443"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842 - Foreign companies carrying on insurance business</w:t>
      </w:r>
    </w:p>
    <w:p w14:paraId="24CE2B3F" w14:textId="4F2205D8"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843 - Annual accounting period</w:t>
      </w:r>
    </w:p>
    <w:p w14:paraId="145DE4DC" w14:textId="7370C330"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844 - Repealed. Pub. L. 115–97, title I, § 13511(b)(2)(A), Dec. 22, 2017, 131 Stat. 2142]</w:t>
      </w:r>
    </w:p>
    <w:p w14:paraId="71217EA5" w14:textId="3EE98E95"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845 - Certain reinsurance agreements</w:t>
      </w:r>
    </w:p>
    <w:p w14:paraId="2D047F05" w14:textId="6F9C328C"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846 - Discounted unpaid losses defined</w:t>
      </w:r>
    </w:p>
    <w:p w14:paraId="2089BF0E" w14:textId="4C9CFB92"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847 - Repealed. Pub. L. 115–97, title I, § 13516(a), Dec. 22, 2017, 131 Stat. 2144]</w:t>
      </w:r>
    </w:p>
    <w:p w14:paraId="5F734690" w14:textId="0DEA4705" w:rsidR="00E56BF7" w:rsidRPr="008B3051" w:rsidRDefault="00E56BF7" w:rsidP="00C02C60">
      <w:pPr>
        <w:numPr>
          <w:ilvl w:val="0"/>
          <w:numId w:val="2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848 - Capitalization of certain policy acquisition expenses</w:t>
      </w:r>
    </w:p>
    <w:p w14:paraId="0E6F1A0E" w14:textId="77777777" w:rsidR="00E56BF7" w:rsidRPr="008B3051" w:rsidRDefault="00E56BF7" w:rsidP="00E56BF7">
      <w:pPr>
        <w:shd w:val="clear" w:color="auto" w:fill="FFFFFF"/>
        <w:spacing w:after="60" w:line="240" w:lineRule="auto"/>
        <w:ind w:left="720"/>
        <w:rPr>
          <w:rFonts w:ascii="Verdana" w:eastAsia="Times New Roman" w:hAnsi="Verdana" w:cs="Times New Roman"/>
          <w:sz w:val="24"/>
          <w:szCs w:val="24"/>
        </w:rPr>
      </w:pPr>
    </w:p>
    <w:p w14:paraId="55F0F97C" w14:textId="6466F148"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M - Regulated Investment Companies and Real Estate Investment Trusts (§§ 851 to 860H)</w:t>
      </w:r>
    </w:p>
    <w:p w14:paraId="787125F0" w14:textId="32B9318B"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REGULATED INVESTMENT COMPANIES (§§ 851 to 855)</w:t>
      </w:r>
    </w:p>
    <w:p w14:paraId="04AC16EE" w14:textId="7ABEBFFB"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851 - Definition of regulated investment company</w:t>
      </w:r>
    </w:p>
    <w:p w14:paraId="58F85258" w14:textId="55609FB8"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852 - Taxation of regulated investment companies and their shareholders</w:t>
      </w:r>
    </w:p>
    <w:p w14:paraId="497BE86A" w14:textId="4BC9FCC2"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853 - Foreign tax credit allowed to shareholders</w:t>
      </w:r>
    </w:p>
    <w:p w14:paraId="318FFA4F" w14:textId="1B614DE7"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853A - Credits from tax credit bonds allowed to shareholders</w:t>
      </w:r>
    </w:p>
    <w:p w14:paraId="7B826D55" w14:textId="075AD3E0"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 854 - Limitations applicable to dividends received from regulated investment company</w:t>
      </w:r>
    </w:p>
    <w:p w14:paraId="55A93E67" w14:textId="16B36989"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lastRenderedPageBreak/>
        <w:t>§ 855 - Dividends paid by regulated investment company after close of taxable year</w:t>
      </w:r>
    </w:p>
    <w:p w14:paraId="21DB1DC0" w14:textId="77777777" w:rsidR="00E56BF7" w:rsidRPr="008B3051" w:rsidRDefault="00E56BF7" w:rsidP="00E56BF7">
      <w:pPr>
        <w:pStyle w:val="first"/>
        <w:shd w:val="clear" w:color="auto" w:fill="FFFFFF"/>
        <w:spacing w:before="0" w:beforeAutospacing="0" w:after="60" w:afterAutospacing="0"/>
        <w:ind w:left="720"/>
        <w:rPr>
          <w:rFonts w:ascii="Verdana" w:hAnsi="Verdana"/>
        </w:rPr>
      </w:pPr>
    </w:p>
    <w:p w14:paraId="27C9647F" w14:textId="467A4DB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II - REAL ESTATE INVESTMENT TRUSTS (§§ 856 to 859)</w:t>
      </w:r>
    </w:p>
    <w:p w14:paraId="191EBBD4" w14:textId="77777777" w:rsidR="00E56BF7" w:rsidRPr="008B3051" w:rsidRDefault="00E56BF7" w:rsidP="00E56BF7">
      <w:pPr>
        <w:pStyle w:val="ListParagraph"/>
        <w:rPr>
          <w:rFonts w:ascii="Verdana" w:hAnsi="Verdana"/>
        </w:rPr>
      </w:pPr>
    </w:p>
    <w:p w14:paraId="53046685" w14:textId="1B76D816" w:rsidR="00E56BF7" w:rsidRPr="008B3051" w:rsidRDefault="00E56BF7" w:rsidP="00C02C60">
      <w:pPr>
        <w:numPr>
          <w:ilvl w:val="0"/>
          <w:numId w:val="2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856 - Definition of real estate investment trust</w:t>
      </w:r>
    </w:p>
    <w:p w14:paraId="6ADDD2EE" w14:textId="256497C8" w:rsidR="00E56BF7" w:rsidRPr="008B3051" w:rsidRDefault="00E56BF7" w:rsidP="00C02C60">
      <w:pPr>
        <w:numPr>
          <w:ilvl w:val="0"/>
          <w:numId w:val="2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857 - Taxation of real estate investment trusts and their beneficiaries</w:t>
      </w:r>
    </w:p>
    <w:p w14:paraId="5AF1F3C3" w14:textId="310147C5" w:rsidR="00E56BF7" w:rsidRPr="008B3051" w:rsidRDefault="00E56BF7" w:rsidP="00C02C60">
      <w:pPr>
        <w:numPr>
          <w:ilvl w:val="0"/>
          <w:numId w:val="2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858 - Dividends paid by real estate investment trust after close of taxable year</w:t>
      </w:r>
    </w:p>
    <w:p w14:paraId="0F21710F" w14:textId="1B61C5E8" w:rsidR="00E56BF7" w:rsidRPr="008B3051" w:rsidRDefault="00E56BF7" w:rsidP="00C02C60">
      <w:pPr>
        <w:numPr>
          <w:ilvl w:val="0"/>
          <w:numId w:val="2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859 - Adoption of annual accounting period</w:t>
      </w:r>
    </w:p>
    <w:p w14:paraId="2019CEC9" w14:textId="77777777" w:rsidR="00E56BF7" w:rsidRPr="008B3051" w:rsidRDefault="00E56BF7" w:rsidP="00E56BF7">
      <w:pPr>
        <w:shd w:val="clear" w:color="auto" w:fill="FFFFFF"/>
        <w:spacing w:after="60" w:line="240" w:lineRule="auto"/>
        <w:ind w:left="720"/>
        <w:rPr>
          <w:rFonts w:ascii="Verdana" w:hAnsi="Verdana"/>
        </w:rPr>
      </w:pPr>
    </w:p>
    <w:p w14:paraId="74211CCC" w14:textId="02335521"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III - PROVISIONS WHICH APPLY TO BOTH REGULATED INVESTMENT COMPANIES AND REAL ESTATE INVESTMENT TRUSTS (§ 860)</w:t>
      </w:r>
    </w:p>
    <w:p w14:paraId="02ACE510" w14:textId="414A666A"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860 - Deduction for deficiency dividends</w:t>
      </w:r>
    </w:p>
    <w:p w14:paraId="0ADC7A62" w14:textId="77777777" w:rsidR="00E56BF7" w:rsidRPr="008B3051" w:rsidRDefault="00E56BF7" w:rsidP="00E56BF7">
      <w:pPr>
        <w:shd w:val="clear" w:color="auto" w:fill="FFFFFF"/>
        <w:spacing w:after="60" w:line="240" w:lineRule="auto"/>
        <w:ind w:left="720"/>
        <w:rPr>
          <w:rFonts w:ascii="Verdana" w:hAnsi="Verdana"/>
        </w:rPr>
      </w:pPr>
    </w:p>
    <w:p w14:paraId="355AB4F2" w14:textId="47B49DA2"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IV - REAL ESTATE MORTGAGE INVESTMENT CONDUITS (§§ 860A to 860G)</w:t>
      </w:r>
    </w:p>
    <w:p w14:paraId="44DCE104" w14:textId="77777777" w:rsidR="00E56BF7" w:rsidRPr="008B3051" w:rsidRDefault="00E56BF7" w:rsidP="00E56BF7">
      <w:pPr>
        <w:pStyle w:val="ListParagraph"/>
        <w:rPr>
          <w:rFonts w:ascii="Verdana" w:hAnsi="Verdana"/>
        </w:rPr>
      </w:pPr>
    </w:p>
    <w:p w14:paraId="5968CAFE" w14:textId="78F4F846"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860A - Taxation of REMIC’s</w:t>
      </w:r>
    </w:p>
    <w:p w14:paraId="24404E70" w14:textId="00E8F0AE"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860B - Taxation of holders of regular interests</w:t>
      </w:r>
    </w:p>
    <w:p w14:paraId="520DE232" w14:textId="5D62D9F3"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860C - Taxation of residual interests</w:t>
      </w:r>
    </w:p>
    <w:p w14:paraId="79AB8B40" w14:textId="624B6F0F"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860D - REMIC defined</w:t>
      </w:r>
    </w:p>
    <w:p w14:paraId="450A1674" w14:textId="67584416"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860E - Treatment of income in excess of daily accruals on residual interests</w:t>
      </w:r>
    </w:p>
    <w:p w14:paraId="2F0C31E4" w14:textId="341418F2"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860F - Other rules</w:t>
      </w:r>
    </w:p>
    <w:p w14:paraId="01E2B1D4" w14:textId="6EFEE94A" w:rsidR="00E56BF7" w:rsidRPr="008B3051" w:rsidRDefault="00E56BF7" w:rsidP="00C02C60">
      <w:pPr>
        <w:numPr>
          <w:ilvl w:val="0"/>
          <w:numId w:val="2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860G - Other definitions and special rules</w:t>
      </w:r>
    </w:p>
    <w:p w14:paraId="4488882C" w14:textId="77777777" w:rsidR="00E56BF7" w:rsidRPr="008B3051" w:rsidRDefault="00E56BF7" w:rsidP="00E56BF7">
      <w:pPr>
        <w:shd w:val="clear" w:color="auto" w:fill="FFFFFF"/>
        <w:spacing w:after="60" w:line="240" w:lineRule="auto"/>
        <w:ind w:left="720"/>
        <w:rPr>
          <w:rFonts w:ascii="Verdana" w:hAnsi="Verdana"/>
        </w:rPr>
      </w:pPr>
    </w:p>
    <w:p w14:paraId="73DC850C" w14:textId="7DB36130"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 - REPEALED] (§ 860H)</w:t>
      </w:r>
    </w:p>
    <w:p w14:paraId="78659F9A" w14:textId="77777777" w:rsidR="00E56BF7" w:rsidRPr="008B3051" w:rsidRDefault="00E56BF7" w:rsidP="00E56BF7">
      <w:pPr>
        <w:pStyle w:val="last"/>
        <w:shd w:val="clear" w:color="auto" w:fill="FFFFFF"/>
        <w:spacing w:before="0" w:beforeAutospacing="0" w:after="60" w:afterAutospacing="0"/>
        <w:ind w:left="720"/>
        <w:rPr>
          <w:rFonts w:ascii="Verdana" w:hAnsi="Verdana"/>
        </w:rPr>
      </w:pPr>
    </w:p>
    <w:p w14:paraId="231AD121" w14:textId="458DFEFE" w:rsidR="00E56BF7" w:rsidRPr="008B3051" w:rsidRDefault="00E56BF7" w:rsidP="00C02C60">
      <w:pPr>
        <w:numPr>
          <w:ilvl w:val="0"/>
          <w:numId w:val="2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860H - Repealed. Pub. L. 108–357, title VIII, § 835(a), Oct. 22, 2004, 118 Stat. 1593]</w:t>
      </w:r>
    </w:p>
    <w:p w14:paraId="5C43315E" w14:textId="77777777" w:rsidR="00E56BF7" w:rsidRPr="008B3051" w:rsidRDefault="00E56BF7" w:rsidP="00E56BF7">
      <w:pPr>
        <w:shd w:val="clear" w:color="auto" w:fill="FFFFFF"/>
        <w:spacing w:after="60" w:line="240" w:lineRule="auto"/>
        <w:ind w:left="720"/>
        <w:rPr>
          <w:rFonts w:ascii="Verdana" w:eastAsia="Times New Roman" w:hAnsi="Verdana" w:cs="Times New Roman"/>
          <w:sz w:val="24"/>
          <w:szCs w:val="24"/>
        </w:rPr>
      </w:pPr>
    </w:p>
    <w:p w14:paraId="189FFAE4" w14:textId="56D5ABE9"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N - Tax Based on Income From Sources Within or Without the United States (§§ 861 to 1000)</w:t>
      </w:r>
    </w:p>
    <w:p w14:paraId="1B39606E" w14:textId="4C2D67D4" w:rsidR="00E56BF7" w:rsidRPr="008B3051" w:rsidRDefault="00E56BF7" w:rsidP="00E56BF7">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SOURCE RULES AND OTHER GENERAL RULES RELATING TO FOREIGN INCOME (§§ 861 to 865)</w:t>
      </w:r>
    </w:p>
    <w:p w14:paraId="437C90CF" w14:textId="11AEB7B5"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861 - Income from sources within the United States</w:t>
      </w:r>
    </w:p>
    <w:p w14:paraId="1CCC3230" w14:textId="61043E76"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862 - Income from sources without the United States</w:t>
      </w:r>
    </w:p>
    <w:p w14:paraId="60AE1EDF" w14:textId="5042C5E9"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lastRenderedPageBreak/>
        <w:t>§ 863 - Special rules for determining source</w:t>
      </w:r>
    </w:p>
    <w:p w14:paraId="12E33D23" w14:textId="6CEB2E2C"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864 - Definitions and special rules</w:t>
      </w:r>
    </w:p>
    <w:p w14:paraId="32AD1F50" w14:textId="58FE2B42"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865 - Source rules for personal property sales</w:t>
      </w:r>
    </w:p>
    <w:p w14:paraId="28F3E79C" w14:textId="77777777" w:rsidR="00E56BF7" w:rsidRPr="008B3051" w:rsidRDefault="00E56BF7" w:rsidP="00E56BF7">
      <w:pPr>
        <w:pStyle w:val="first"/>
        <w:shd w:val="clear" w:color="auto" w:fill="FFFFFF"/>
        <w:spacing w:before="0" w:beforeAutospacing="0" w:after="60" w:afterAutospacing="0"/>
        <w:ind w:left="720"/>
        <w:rPr>
          <w:rFonts w:ascii="Verdana" w:hAnsi="Verdana"/>
        </w:rPr>
      </w:pPr>
    </w:p>
    <w:p w14:paraId="033513DD" w14:textId="712FEEFC"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II - NONRESIDENT ALIENS AND FOREIGN CORPORATIONS (§§ 871 to 898)</w:t>
      </w:r>
    </w:p>
    <w:p w14:paraId="7B9546B5" w14:textId="77777777" w:rsidR="006B4B8B" w:rsidRPr="008B3051" w:rsidRDefault="006B4B8B" w:rsidP="006B4B8B">
      <w:pPr>
        <w:pStyle w:val="ListParagraph"/>
        <w:rPr>
          <w:rFonts w:ascii="Verdana" w:hAnsi="Verdana"/>
        </w:rPr>
      </w:pPr>
    </w:p>
    <w:p w14:paraId="2564FDF7" w14:textId="4E5CBB73" w:rsidR="006B4B8B" w:rsidRPr="008B3051" w:rsidRDefault="006B4B8B" w:rsidP="00C02C60">
      <w:pPr>
        <w:numPr>
          <w:ilvl w:val="0"/>
          <w:numId w:val="2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A - Nonresident Alien Individuals (§§ 871 to 879)</w:t>
      </w:r>
    </w:p>
    <w:p w14:paraId="036631F5" w14:textId="5C0159ED" w:rsidR="006B4B8B" w:rsidRPr="008B3051" w:rsidRDefault="006B4B8B" w:rsidP="00C02C60">
      <w:pPr>
        <w:pStyle w:val="first"/>
        <w:numPr>
          <w:ilvl w:val="0"/>
          <w:numId w:val="25"/>
        </w:numPr>
        <w:shd w:val="clear" w:color="auto" w:fill="FFFFFF"/>
        <w:spacing w:before="0" w:beforeAutospacing="0" w:after="60" w:afterAutospacing="0"/>
        <w:rPr>
          <w:rFonts w:ascii="Verdana" w:hAnsi="Verdana"/>
        </w:rPr>
      </w:pPr>
      <w:r w:rsidRPr="008B3051">
        <w:rPr>
          <w:rFonts w:ascii="Verdana" w:hAnsi="Verdana"/>
        </w:rPr>
        <w:t>§ 871 - Tax on nonresident alien individuals</w:t>
      </w:r>
    </w:p>
    <w:p w14:paraId="02973C5B" w14:textId="29309255"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872 - Gross income</w:t>
      </w:r>
    </w:p>
    <w:p w14:paraId="7EF312F2" w14:textId="2813DF24"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873 - Deductions</w:t>
      </w:r>
    </w:p>
    <w:p w14:paraId="4E2ACE58" w14:textId="2E01B9DA"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874 - Allowance of deductions and credits</w:t>
      </w:r>
    </w:p>
    <w:p w14:paraId="5B3ADD42" w14:textId="5FDEFBE6"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875 - Partnerships; beneficiaries of estates and trusts</w:t>
      </w:r>
    </w:p>
    <w:p w14:paraId="7C471E44" w14:textId="76B8FF2B"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876 - Alien residents of Puerto Rico, Guam, American Samoa, or the Northern Mariana Islands</w:t>
      </w:r>
    </w:p>
    <w:p w14:paraId="4F61091E" w14:textId="5B932BF4"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877 - Expatriation to avoid tax</w:t>
      </w:r>
    </w:p>
    <w:p w14:paraId="58A7ABD3" w14:textId="10904BF7"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877A - Tax responsibilities of expatriation</w:t>
      </w:r>
    </w:p>
    <w:p w14:paraId="33779505" w14:textId="03057224" w:rsidR="006B4B8B" w:rsidRPr="008B3051" w:rsidRDefault="006B4B8B" w:rsidP="00C02C60">
      <w:pPr>
        <w:numPr>
          <w:ilvl w:val="0"/>
          <w:numId w:val="25"/>
        </w:numPr>
        <w:shd w:val="clear" w:color="auto" w:fill="FFFFFF"/>
        <w:spacing w:after="60" w:line="240" w:lineRule="auto"/>
        <w:rPr>
          <w:rFonts w:ascii="Verdana" w:hAnsi="Verdana"/>
        </w:rPr>
      </w:pPr>
      <w:r w:rsidRPr="008B3051">
        <w:rPr>
          <w:rFonts w:ascii="Verdana" w:hAnsi="Verdana"/>
        </w:rPr>
        <w:t>§ 878 - Foreign educational, charitable, and certain other exempt organizations</w:t>
      </w:r>
    </w:p>
    <w:p w14:paraId="0D9CB2B7" w14:textId="5F443C0A" w:rsidR="006B4B8B" w:rsidRPr="008B3051" w:rsidRDefault="006B4B8B" w:rsidP="00C02C60">
      <w:pPr>
        <w:pStyle w:val="last"/>
        <w:numPr>
          <w:ilvl w:val="0"/>
          <w:numId w:val="25"/>
        </w:numPr>
        <w:shd w:val="clear" w:color="auto" w:fill="FFFFFF"/>
        <w:spacing w:before="0" w:beforeAutospacing="0" w:after="60" w:afterAutospacing="0"/>
        <w:rPr>
          <w:rFonts w:ascii="Verdana" w:hAnsi="Verdana"/>
        </w:rPr>
      </w:pPr>
      <w:r w:rsidRPr="008B3051">
        <w:rPr>
          <w:rFonts w:ascii="Verdana" w:hAnsi="Verdana"/>
        </w:rPr>
        <w:t>§ 879 - Tax treatment of certain community income in the case of nonresident alien individuals</w:t>
      </w:r>
    </w:p>
    <w:p w14:paraId="60BB1932"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2E6FBE1B" w14:textId="3F6B2E7C" w:rsidR="006B4B8B" w:rsidRPr="008B3051" w:rsidRDefault="006B4B8B" w:rsidP="00C02C60">
      <w:pPr>
        <w:numPr>
          <w:ilvl w:val="0"/>
          <w:numId w:val="2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B - Foreign Corporations (§§ 881 to 885)</w:t>
      </w:r>
    </w:p>
    <w:p w14:paraId="66EEEB63" w14:textId="77777777" w:rsidR="006B4B8B" w:rsidRPr="008B3051" w:rsidRDefault="006B4B8B" w:rsidP="006B4B8B">
      <w:pPr>
        <w:pStyle w:val="ListParagraph"/>
        <w:rPr>
          <w:rFonts w:ascii="Verdana" w:eastAsia="Times New Roman" w:hAnsi="Verdana" w:cs="Times New Roman"/>
          <w:sz w:val="24"/>
          <w:szCs w:val="24"/>
        </w:rPr>
      </w:pPr>
    </w:p>
    <w:p w14:paraId="33320AE0" w14:textId="768623BA" w:rsidR="006B4B8B" w:rsidRPr="008B3051" w:rsidRDefault="006B4B8B" w:rsidP="00C02C60">
      <w:pPr>
        <w:numPr>
          <w:ilvl w:val="0"/>
          <w:numId w:val="2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881 - Tax on income of foreign corporations not connected with United States business</w:t>
      </w:r>
    </w:p>
    <w:p w14:paraId="21D805B9" w14:textId="7AA3B6CF" w:rsidR="006B4B8B" w:rsidRPr="008B3051" w:rsidRDefault="006B4B8B" w:rsidP="00C02C60">
      <w:pPr>
        <w:numPr>
          <w:ilvl w:val="0"/>
          <w:numId w:val="2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882 - Tax on income of foreign corporations connected with United States business</w:t>
      </w:r>
    </w:p>
    <w:p w14:paraId="77605595" w14:textId="04AC0801" w:rsidR="006B4B8B" w:rsidRPr="008B3051" w:rsidRDefault="006B4B8B" w:rsidP="00C02C60">
      <w:pPr>
        <w:numPr>
          <w:ilvl w:val="0"/>
          <w:numId w:val="2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883 - Exclusions from gross income</w:t>
      </w:r>
    </w:p>
    <w:p w14:paraId="45C02AFE" w14:textId="1EA8D372" w:rsidR="006B4B8B" w:rsidRPr="008B3051" w:rsidRDefault="006B4B8B" w:rsidP="00C02C60">
      <w:pPr>
        <w:numPr>
          <w:ilvl w:val="0"/>
          <w:numId w:val="2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884 - Branch profits tax</w:t>
      </w:r>
    </w:p>
    <w:p w14:paraId="783E2178" w14:textId="49F1B9E9" w:rsidR="006B4B8B" w:rsidRPr="008B3051" w:rsidRDefault="006B4B8B" w:rsidP="00C02C60">
      <w:pPr>
        <w:numPr>
          <w:ilvl w:val="0"/>
          <w:numId w:val="2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885 - Cross references</w:t>
      </w:r>
    </w:p>
    <w:p w14:paraId="1DE14A5F"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0FDCCF54" w14:textId="36629967" w:rsidR="006B4B8B" w:rsidRPr="008B3051" w:rsidRDefault="006B4B8B" w:rsidP="00C02C60">
      <w:pPr>
        <w:numPr>
          <w:ilvl w:val="0"/>
          <w:numId w:val="2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C - Tax on Gross Transportation Income (§ 887)</w:t>
      </w:r>
    </w:p>
    <w:p w14:paraId="017260D0" w14:textId="46ADB852" w:rsidR="006B4B8B" w:rsidRPr="008B3051" w:rsidRDefault="006B4B8B" w:rsidP="00C02C60">
      <w:pPr>
        <w:pStyle w:val="first"/>
        <w:numPr>
          <w:ilvl w:val="0"/>
          <w:numId w:val="25"/>
        </w:numPr>
        <w:shd w:val="clear" w:color="auto" w:fill="FFFFFF"/>
        <w:spacing w:before="0" w:beforeAutospacing="0" w:after="60" w:afterAutospacing="0"/>
        <w:rPr>
          <w:rFonts w:ascii="Verdana" w:hAnsi="Verdana"/>
        </w:rPr>
      </w:pPr>
      <w:r w:rsidRPr="008B3051">
        <w:rPr>
          <w:rFonts w:ascii="Verdana" w:hAnsi="Verdana"/>
        </w:rPr>
        <w:t>§ 887 - Imposition of tax on gross transportation income of nonresident aliens and foreign corporations</w:t>
      </w:r>
    </w:p>
    <w:p w14:paraId="74CADC2B"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250A81DD" w14:textId="5D1B5442" w:rsidR="006B4B8B" w:rsidRPr="008B3051" w:rsidRDefault="006B4B8B" w:rsidP="00C02C60">
      <w:pPr>
        <w:numPr>
          <w:ilvl w:val="0"/>
          <w:numId w:val="2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D - Miscellaneous Provisions (§§ 891 to 898)</w:t>
      </w:r>
    </w:p>
    <w:p w14:paraId="27D5311A" w14:textId="77777777" w:rsidR="006B4B8B" w:rsidRPr="008B3051" w:rsidRDefault="006B4B8B" w:rsidP="006B4B8B">
      <w:pPr>
        <w:pStyle w:val="ListParagraph"/>
        <w:rPr>
          <w:rFonts w:ascii="Verdana" w:eastAsia="Times New Roman" w:hAnsi="Verdana" w:cs="Times New Roman"/>
          <w:sz w:val="24"/>
          <w:szCs w:val="24"/>
        </w:rPr>
      </w:pPr>
    </w:p>
    <w:p w14:paraId="4F6A242B" w14:textId="4A997E8B"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lastRenderedPageBreak/>
        <w:t>§ 891 - Doubling of rates of tax on citizens and corporations of certain foreign countries</w:t>
      </w:r>
    </w:p>
    <w:p w14:paraId="35FA75B7" w14:textId="6A846909"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892 - Income of foreign governments and of international organizations</w:t>
      </w:r>
    </w:p>
    <w:p w14:paraId="6482BD21" w14:textId="0DD96EE4"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893 - Compensation of employees of foreign governments or international organizations</w:t>
      </w:r>
    </w:p>
    <w:p w14:paraId="069E780E" w14:textId="7880987A"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894 - Income affected by treaty</w:t>
      </w:r>
    </w:p>
    <w:p w14:paraId="08705521" w14:textId="10896D80"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895 - Income derived by a foreign central bank of issue from obligations of the United States or from bank deposits</w:t>
      </w:r>
    </w:p>
    <w:p w14:paraId="587E94A0" w14:textId="3A43BA36"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896 - Adjustment of tax on nationals, residents, and corporations of certain foreign countries</w:t>
      </w:r>
    </w:p>
    <w:p w14:paraId="0B189C77" w14:textId="52305816"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897 - Disposition of investment in United States real property</w:t>
      </w:r>
    </w:p>
    <w:p w14:paraId="4A3728A4" w14:textId="7125DDBF" w:rsidR="006B4B8B" w:rsidRPr="008B3051" w:rsidRDefault="006B4B8B" w:rsidP="00C02C60">
      <w:pPr>
        <w:numPr>
          <w:ilvl w:val="0"/>
          <w:numId w:val="2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898 - Taxable year of certain foreign corporations</w:t>
      </w:r>
    </w:p>
    <w:p w14:paraId="2FF6BD9E"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5C81D355" w14:textId="77777777" w:rsidR="006B4B8B" w:rsidRPr="008B3051" w:rsidRDefault="006B4B8B" w:rsidP="006B4B8B">
      <w:pPr>
        <w:shd w:val="clear" w:color="auto" w:fill="FFFFFF"/>
        <w:spacing w:after="60" w:line="240" w:lineRule="auto"/>
        <w:ind w:left="720"/>
        <w:rPr>
          <w:rFonts w:ascii="Verdana" w:hAnsi="Verdana"/>
        </w:rPr>
      </w:pPr>
    </w:p>
    <w:p w14:paraId="2647A5BB" w14:textId="425A6329"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III - INCOME FROM SOURCES WITHOUT THE UNITED STATES (§§ 901 to 989)</w:t>
      </w:r>
    </w:p>
    <w:p w14:paraId="7DD9803C" w14:textId="2E8D29B5"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SUBPART A - Foreign Tax Credit (§ 901)</w:t>
      </w:r>
    </w:p>
    <w:p w14:paraId="0204224C" w14:textId="3FE9E706"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901 - Taxes of foreign countries and of possessions of United States</w:t>
      </w:r>
    </w:p>
    <w:p w14:paraId="73A45ECD" w14:textId="3580897D"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902 - Repealed. Pub. L. 115–97, title I, § 14301(a), Dec. 22, 2017, 131 Stat. 2221]</w:t>
      </w:r>
    </w:p>
    <w:p w14:paraId="03D5CA3A" w14:textId="7974786E"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903 - Credit for taxes in lieu of income, etc., taxes</w:t>
      </w:r>
    </w:p>
    <w:p w14:paraId="3BBBBEE7" w14:textId="6C43E627"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904 - Limitation on credit</w:t>
      </w:r>
    </w:p>
    <w:p w14:paraId="2C9787B9" w14:textId="51CD4003"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905 - Applicable rules</w:t>
      </w:r>
    </w:p>
    <w:p w14:paraId="4C3E9BF3" w14:textId="46936554"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906 - Nonresident alien individuals and foreign corporations</w:t>
      </w:r>
    </w:p>
    <w:p w14:paraId="18F187A8" w14:textId="331499B1"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907 - Special rules in case of foreign oil and gas income</w:t>
      </w:r>
    </w:p>
    <w:p w14:paraId="04EDEB5C" w14:textId="26C25BE1"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908 - Reduction of credit for participation in or cooperation with an international boycott</w:t>
      </w:r>
    </w:p>
    <w:p w14:paraId="366AEC28" w14:textId="35AB3D4E"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909 - Suspension of taxes and credits until related income taken into account</w:t>
      </w:r>
    </w:p>
    <w:p w14:paraId="77E2BEA9" w14:textId="77777777" w:rsidR="006B4B8B" w:rsidRPr="008B3051" w:rsidRDefault="006B4B8B" w:rsidP="006B4B8B">
      <w:pPr>
        <w:pStyle w:val="first"/>
        <w:shd w:val="clear" w:color="auto" w:fill="FFFFFF"/>
        <w:spacing w:before="0" w:beforeAutospacing="0" w:after="60" w:afterAutospacing="0"/>
        <w:ind w:left="720"/>
        <w:rPr>
          <w:rFonts w:ascii="Verdana" w:hAnsi="Verdana"/>
        </w:rPr>
      </w:pPr>
    </w:p>
    <w:p w14:paraId="1C197529" w14:textId="025A512A"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B - Earned Income of Citizens or Residents of United States (§§ 911 to 913)</w:t>
      </w:r>
    </w:p>
    <w:p w14:paraId="34513318" w14:textId="77777777" w:rsidR="006B4B8B" w:rsidRPr="008B3051" w:rsidRDefault="006B4B8B" w:rsidP="006B4B8B">
      <w:pPr>
        <w:pStyle w:val="ListParagraph"/>
        <w:rPr>
          <w:rFonts w:ascii="Verdana" w:hAnsi="Verdana"/>
        </w:rPr>
      </w:pPr>
    </w:p>
    <w:p w14:paraId="1DBE977F" w14:textId="5259A50A" w:rsidR="006B4B8B" w:rsidRPr="008B3051" w:rsidRDefault="006B4B8B" w:rsidP="00C02C60">
      <w:pPr>
        <w:numPr>
          <w:ilvl w:val="0"/>
          <w:numId w:val="2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911 - Citizens or residents of the United States living abroad</w:t>
      </w:r>
    </w:p>
    <w:p w14:paraId="33C6B51C" w14:textId="72F38256" w:rsidR="006B4B8B" w:rsidRPr="008B3051" w:rsidRDefault="006B4B8B" w:rsidP="00C02C60">
      <w:pPr>
        <w:numPr>
          <w:ilvl w:val="0"/>
          <w:numId w:val="2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912 - Exemption for certain allowances</w:t>
      </w:r>
    </w:p>
    <w:p w14:paraId="691EC212" w14:textId="32B9E58E" w:rsidR="006B4B8B" w:rsidRPr="008B3051" w:rsidRDefault="006B4B8B" w:rsidP="00C02C60">
      <w:pPr>
        <w:numPr>
          <w:ilvl w:val="0"/>
          <w:numId w:val="2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913 - Repealed. Pub. L. 97–34, title I, § 112(a), Aug. 13, 1981, 95 Stat. 194]</w:t>
      </w:r>
    </w:p>
    <w:p w14:paraId="7C5DC4BB" w14:textId="77777777" w:rsidR="006B4B8B" w:rsidRPr="008B3051" w:rsidRDefault="006B4B8B" w:rsidP="006B4B8B">
      <w:pPr>
        <w:shd w:val="clear" w:color="auto" w:fill="FFFFFF"/>
        <w:spacing w:after="60" w:line="240" w:lineRule="auto"/>
        <w:ind w:left="720"/>
        <w:rPr>
          <w:rFonts w:ascii="Verdana" w:hAnsi="Verdana"/>
        </w:rPr>
      </w:pPr>
    </w:p>
    <w:p w14:paraId="17B06703" w14:textId="4AC507DD"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C - Repealed] (§ 921)</w:t>
      </w:r>
    </w:p>
    <w:p w14:paraId="3F534BB2" w14:textId="405902D2"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lastRenderedPageBreak/>
        <w:t>§ 921 - Repealed. Pub. L. 106–519, § 2, Nov. 15, 2000, 114 Stat. 2423]</w:t>
      </w:r>
    </w:p>
    <w:p w14:paraId="36F7FFA6" w14:textId="77777777" w:rsidR="006B4B8B" w:rsidRPr="008B3051" w:rsidRDefault="006B4B8B" w:rsidP="006B4B8B">
      <w:pPr>
        <w:shd w:val="clear" w:color="auto" w:fill="FFFFFF"/>
        <w:spacing w:after="60" w:line="240" w:lineRule="auto"/>
        <w:ind w:left="720"/>
        <w:rPr>
          <w:rFonts w:ascii="Verdana" w:hAnsi="Verdana"/>
        </w:rPr>
      </w:pPr>
    </w:p>
    <w:p w14:paraId="656C8BA5" w14:textId="59BF2AF4"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D - Possessions of the United States (§§ 931 to 937)</w:t>
      </w:r>
    </w:p>
    <w:p w14:paraId="6187A91E" w14:textId="77777777" w:rsidR="006B4B8B" w:rsidRPr="008B3051" w:rsidRDefault="006B4B8B" w:rsidP="006B4B8B">
      <w:pPr>
        <w:pStyle w:val="ListParagraph"/>
        <w:rPr>
          <w:rFonts w:ascii="Verdana" w:hAnsi="Verdana"/>
        </w:rPr>
      </w:pPr>
    </w:p>
    <w:p w14:paraId="11B8E5E8" w14:textId="3E7C2CF3"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931 - Income from sources within Guam, American Samoa, or the Northern Mariana Islands</w:t>
      </w:r>
    </w:p>
    <w:p w14:paraId="7D58A827" w14:textId="42488BE3"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932 - Coordination of United States and Virgin Islands income taxes</w:t>
      </w:r>
    </w:p>
    <w:p w14:paraId="4D37ED2F" w14:textId="43A9A914"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933 - Income from sources within Puerto Rico</w:t>
      </w:r>
    </w:p>
    <w:p w14:paraId="7592F837" w14:textId="75AE1E46"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934 - Limitation on reduction in income tax liability incurred to the Virgin Islands</w:t>
      </w:r>
    </w:p>
    <w:p w14:paraId="22495583" w14:textId="724891E4"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934A - Repealed. Pub. L. 99–514, title XII, § 1275(c)(3), Oct. 22, 1986, 100 Stat. 2599]</w:t>
      </w:r>
    </w:p>
    <w:p w14:paraId="72623C0F" w14:textId="33C06868"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935 - Repealed. Pub. L. 99–514, title XII, § 1272(d)(2), Oct. 22, 1986, 100 Stat. 2594]</w:t>
      </w:r>
    </w:p>
    <w:p w14:paraId="3DA6F181" w14:textId="3E733085"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936 - Puerto Rico and possession tax credit</w:t>
      </w:r>
    </w:p>
    <w:p w14:paraId="488BA4A0" w14:textId="7BE192A3" w:rsidR="006B4B8B" w:rsidRPr="008B3051" w:rsidRDefault="006B4B8B" w:rsidP="00C02C60">
      <w:pPr>
        <w:numPr>
          <w:ilvl w:val="0"/>
          <w:numId w:val="2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937 - Residence and source rules involving possessions</w:t>
      </w:r>
    </w:p>
    <w:p w14:paraId="01A63D3B" w14:textId="77777777" w:rsidR="006B4B8B" w:rsidRPr="008B3051" w:rsidRDefault="006B4B8B" w:rsidP="006B4B8B">
      <w:pPr>
        <w:shd w:val="clear" w:color="auto" w:fill="FFFFFF"/>
        <w:spacing w:after="60" w:line="240" w:lineRule="auto"/>
        <w:ind w:left="720"/>
        <w:rPr>
          <w:rFonts w:ascii="Verdana" w:hAnsi="Verdana"/>
        </w:rPr>
      </w:pPr>
    </w:p>
    <w:p w14:paraId="3C735731" w14:textId="77777777" w:rsidR="006B4B8B" w:rsidRPr="008B3051" w:rsidRDefault="006B4B8B" w:rsidP="006B4B8B">
      <w:pPr>
        <w:shd w:val="clear" w:color="auto" w:fill="FFFFFF"/>
        <w:spacing w:after="60" w:line="240" w:lineRule="auto"/>
        <w:ind w:left="720"/>
        <w:rPr>
          <w:rFonts w:ascii="Verdana" w:hAnsi="Verdana"/>
        </w:rPr>
      </w:pPr>
    </w:p>
    <w:p w14:paraId="10362391" w14:textId="62C42029"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E - Repealed] (§ 941)</w:t>
      </w:r>
    </w:p>
    <w:p w14:paraId="6F57C459" w14:textId="7A431D95"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941 - Repealed. Pub. L. 108–357, title I, § 101(b)(1), Oct. 22, 2004, 118 Stat. 1423]</w:t>
      </w:r>
    </w:p>
    <w:p w14:paraId="57B36AE0" w14:textId="77777777" w:rsidR="006B4B8B" w:rsidRPr="008B3051" w:rsidRDefault="006B4B8B" w:rsidP="006B4B8B">
      <w:pPr>
        <w:shd w:val="clear" w:color="auto" w:fill="FFFFFF"/>
        <w:spacing w:after="60" w:line="240" w:lineRule="auto"/>
        <w:ind w:left="720"/>
        <w:rPr>
          <w:rFonts w:ascii="Verdana" w:hAnsi="Verdana"/>
        </w:rPr>
      </w:pPr>
    </w:p>
    <w:p w14:paraId="07FF375D" w14:textId="4CC25C21"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F - Controlled Foreign Corporations (§§ 951 to 965)</w:t>
      </w:r>
    </w:p>
    <w:p w14:paraId="41E54AFA" w14:textId="77777777" w:rsidR="006B4B8B" w:rsidRPr="008B3051" w:rsidRDefault="006B4B8B" w:rsidP="006B4B8B">
      <w:pPr>
        <w:pStyle w:val="ListParagraph"/>
        <w:rPr>
          <w:rFonts w:ascii="Verdana" w:hAnsi="Verdana"/>
        </w:rPr>
      </w:pPr>
    </w:p>
    <w:p w14:paraId="5F084470" w14:textId="0590B1D3"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951 - Amounts included in gross income of United States shareholders</w:t>
      </w:r>
    </w:p>
    <w:p w14:paraId="5B366AE8" w14:textId="54497A4D"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951A - Global Intangible Low-Taxed Income Included in Gross Income of United States shareholders</w:t>
      </w:r>
    </w:p>
    <w:p w14:paraId="51B0278A" w14:textId="396ED9FC"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952 - Subpart F income defined</w:t>
      </w:r>
    </w:p>
    <w:p w14:paraId="6DE9AA21" w14:textId="4E14E2E0"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953 - Insurance income</w:t>
      </w:r>
    </w:p>
    <w:p w14:paraId="38309B64" w14:textId="223D85B0"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954 - Foreign base company income</w:t>
      </w:r>
    </w:p>
    <w:p w14:paraId="3BC61848" w14:textId="3D3ABC5D"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955 - Repealed. Pub. L. 115–97, title I, § 14212(a), Dec. 22, 2017, 131 Stat. 2217]</w:t>
      </w:r>
    </w:p>
    <w:p w14:paraId="399E4A8A" w14:textId="126FB913"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956 - Investment of earnings in United States property</w:t>
      </w:r>
    </w:p>
    <w:p w14:paraId="089E5572" w14:textId="791B64A9"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956A - Repealed. Pub. L. 104–188, title I, § 1501(a)(2), Aug. 20, 1996, 110 Stat. 1825]</w:t>
      </w:r>
    </w:p>
    <w:p w14:paraId="3D40AA91" w14:textId="53DFDE69"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957 - Controlled foreign corporations; United States persons</w:t>
      </w:r>
    </w:p>
    <w:p w14:paraId="74DC4055" w14:textId="4C975109"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958 - Rules for determining stock ownership</w:t>
      </w:r>
    </w:p>
    <w:p w14:paraId="409CFDE8" w14:textId="3EAA5F5D"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lastRenderedPageBreak/>
        <w:t>§ 959 - Exclusion from gross income of previously taxed earnings and profits</w:t>
      </w:r>
    </w:p>
    <w:p w14:paraId="61C57F07" w14:textId="3F85A0F5"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960 - Deemed paid credit for subpart F inclusions</w:t>
      </w:r>
    </w:p>
    <w:p w14:paraId="70A70FE6" w14:textId="66F3D148"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961 - Adjustments to basis of stock in controlled foreign corporations and of other property</w:t>
      </w:r>
    </w:p>
    <w:p w14:paraId="5419DB05" w14:textId="401E5D6C"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962 - Election by individuals to be subject to tax at corporate rates</w:t>
      </w:r>
    </w:p>
    <w:p w14:paraId="7EF44161" w14:textId="694E9C39"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963 - Repealed. Pub. L. 94–12, title VI, § 602(a)(1), Mar. 29, 1975, 89 Stat. 58]</w:t>
      </w:r>
    </w:p>
    <w:p w14:paraId="7B7D1C06" w14:textId="3AED9D0B"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964 - Miscellaneous provisions</w:t>
      </w:r>
    </w:p>
    <w:p w14:paraId="09A900B4" w14:textId="56D718DE" w:rsidR="006B4B8B" w:rsidRPr="008B3051" w:rsidRDefault="006B4B8B" w:rsidP="00C02C60">
      <w:pPr>
        <w:numPr>
          <w:ilvl w:val="0"/>
          <w:numId w:val="3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965 - Treatment of deferred foreign income upon transition to participation exemption system of taxation</w:t>
      </w:r>
    </w:p>
    <w:p w14:paraId="4F7B2272" w14:textId="77777777" w:rsidR="006B4B8B" w:rsidRPr="008B3051" w:rsidRDefault="006B4B8B" w:rsidP="006B4B8B">
      <w:pPr>
        <w:shd w:val="clear" w:color="auto" w:fill="FFFFFF"/>
        <w:spacing w:after="60" w:line="240" w:lineRule="auto"/>
        <w:ind w:left="720"/>
        <w:rPr>
          <w:rFonts w:ascii="Verdana" w:hAnsi="Verdana"/>
        </w:rPr>
      </w:pPr>
    </w:p>
    <w:p w14:paraId="64FB9B69" w14:textId="2BC5B211"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G - Export Trade Corporations (§§ 970 to 972)</w:t>
      </w:r>
    </w:p>
    <w:p w14:paraId="4C23526C" w14:textId="26134E86"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970 - Reduction of subpart F income of export trade corporations</w:t>
      </w:r>
    </w:p>
    <w:p w14:paraId="021DE98E" w14:textId="06A7F85C"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971 - Definitions</w:t>
      </w:r>
    </w:p>
    <w:p w14:paraId="5095AAC7" w14:textId="3A80C3A5"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972 - Repealed. Pub. L. 94–455, title XIX, § 1901(a)(120), Oct. 4, 1976, 90 Stat. 1784]</w:t>
      </w:r>
    </w:p>
    <w:p w14:paraId="365D977F" w14:textId="77777777" w:rsidR="006B4B8B" w:rsidRPr="008B3051" w:rsidRDefault="006B4B8B" w:rsidP="006B4B8B">
      <w:pPr>
        <w:shd w:val="clear" w:color="auto" w:fill="FFFFFF"/>
        <w:spacing w:after="60" w:line="240" w:lineRule="auto"/>
        <w:ind w:left="720"/>
        <w:rPr>
          <w:rFonts w:ascii="Verdana" w:hAnsi="Verdana"/>
        </w:rPr>
      </w:pPr>
    </w:p>
    <w:p w14:paraId="238606EE" w14:textId="7301C1BF"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H - Repealed] (§ 981)</w:t>
      </w:r>
    </w:p>
    <w:p w14:paraId="56692134" w14:textId="77777777" w:rsidR="006B4B8B" w:rsidRPr="008B3051" w:rsidRDefault="006B4B8B" w:rsidP="006B4B8B">
      <w:pPr>
        <w:pStyle w:val="ListParagraph"/>
        <w:rPr>
          <w:rFonts w:ascii="Verdana" w:hAnsi="Verdana"/>
        </w:rPr>
      </w:pPr>
    </w:p>
    <w:p w14:paraId="182ED4B8" w14:textId="62878CE8" w:rsidR="006B4B8B" w:rsidRPr="008B3051" w:rsidRDefault="006B4B8B" w:rsidP="00C02C60">
      <w:pPr>
        <w:numPr>
          <w:ilvl w:val="0"/>
          <w:numId w:val="3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981 - Repealed. Pub. L. 94–455, title X, § 1012(b)(2), Oct. 4, 1976, 90 Stat. 1614]</w:t>
      </w:r>
    </w:p>
    <w:p w14:paraId="67C046CD" w14:textId="77777777" w:rsidR="006B4B8B" w:rsidRPr="008B3051" w:rsidRDefault="006B4B8B" w:rsidP="006B4B8B">
      <w:pPr>
        <w:shd w:val="clear" w:color="auto" w:fill="FFFFFF"/>
        <w:spacing w:after="60" w:line="240" w:lineRule="auto"/>
        <w:ind w:left="720"/>
        <w:rPr>
          <w:rFonts w:ascii="Verdana" w:hAnsi="Verdana"/>
        </w:rPr>
      </w:pPr>
    </w:p>
    <w:p w14:paraId="67C48EA2" w14:textId="5F8D7950"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SUBPART I - Admissibility of Documentation Maintained in Foreign Countries (§ 982)</w:t>
      </w:r>
    </w:p>
    <w:p w14:paraId="1C3116CB" w14:textId="2713D688"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982 - Admissibility of documentation maintained in foreign countries</w:t>
      </w:r>
    </w:p>
    <w:p w14:paraId="2D786832" w14:textId="77777777" w:rsidR="006B4B8B" w:rsidRPr="008B3051" w:rsidRDefault="006B4B8B" w:rsidP="006B4B8B">
      <w:pPr>
        <w:shd w:val="clear" w:color="auto" w:fill="FFFFFF"/>
        <w:spacing w:after="60" w:line="240" w:lineRule="auto"/>
        <w:ind w:left="720"/>
        <w:rPr>
          <w:rFonts w:ascii="Verdana" w:hAnsi="Verdana"/>
        </w:rPr>
      </w:pPr>
    </w:p>
    <w:p w14:paraId="7AA0C333" w14:textId="38A81D73"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SUBPART J - Foreign Currency Transactions (§§ 985 to 989)</w:t>
      </w:r>
    </w:p>
    <w:p w14:paraId="290E675A" w14:textId="77D1F5C8"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985 - Functional currency</w:t>
      </w:r>
    </w:p>
    <w:p w14:paraId="289FA37D" w14:textId="0BE084CC"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986 - Determination of foreign taxes and foreign corporation’s earnings and profits</w:t>
      </w:r>
    </w:p>
    <w:p w14:paraId="0F4FCA4E" w14:textId="1592194F"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987 - Branch transactions</w:t>
      </w:r>
    </w:p>
    <w:p w14:paraId="0310C84A" w14:textId="62463762" w:rsidR="006B4B8B" w:rsidRPr="008B3051" w:rsidRDefault="006B4B8B" w:rsidP="006B4B8B">
      <w:pPr>
        <w:numPr>
          <w:ilvl w:val="0"/>
          <w:numId w:val="2"/>
        </w:numPr>
        <w:shd w:val="clear" w:color="auto" w:fill="FFFFFF"/>
        <w:spacing w:after="60" w:line="240" w:lineRule="auto"/>
        <w:rPr>
          <w:rFonts w:ascii="Verdana" w:hAnsi="Verdana"/>
        </w:rPr>
      </w:pPr>
      <w:r w:rsidRPr="008B3051">
        <w:rPr>
          <w:rFonts w:ascii="Verdana" w:hAnsi="Verdana"/>
        </w:rPr>
        <w:t>§ 988 - Treatment of certain foreign currency transactions</w:t>
      </w:r>
    </w:p>
    <w:p w14:paraId="35E069F8" w14:textId="6871AE7C"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989 - Other definitions and special rules</w:t>
      </w:r>
    </w:p>
    <w:p w14:paraId="5ED8F797" w14:textId="77777777" w:rsidR="006B4B8B" w:rsidRPr="008B3051" w:rsidRDefault="006B4B8B" w:rsidP="006B4B8B">
      <w:pPr>
        <w:shd w:val="clear" w:color="auto" w:fill="FFFFFF"/>
        <w:spacing w:after="60" w:line="240" w:lineRule="auto"/>
        <w:ind w:left="720"/>
        <w:rPr>
          <w:rFonts w:ascii="Verdana" w:hAnsi="Verdana"/>
        </w:rPr>
      </w:pPr>
    </w:p>
    <w:p w14:paraId="25ADC35D" w14:textId="69C2794A" w:rsidR="00E56BF7" w:rsidRPr="008B3051" w:rsidRDefault="00E56BF7" w:rsidP="00E56BF7">
      <w:pPr>
        <w:numPr>
          <w:ilvl w:val="0"/>
          <w:numId w:val="2"/>
        </w:numPr>
        <w:shd w:val="clear" w:color="auto" w:fill="FFFFFF"/>
        <w:spacing w:after="60" w:line="240" w:lineRule="auto"/>
        <w:rPr>
          <w:rFonts w:ascii="Verdana" w:hAnsi="Verdana"/>
        </w:rPr>
      </w:pPr>
      <w:r w:rsidRPr="008B3051">
        <w:rPr>
          <w:rFonts w:ascii="Verdana" w:hAnsi="Verdana"/>
        </w:rPr>
        <w:t>PART IV - DOMESTIC INTERNATIONAL SALES CORPORATIONS (§§ 991 to 997)</w:t>
      </w:r>
    </w:p>
    <w:p w14:paraId="60CAB8FC" w14:textId="77777777" w:rsidR="006B4B8B" w:rsidRPr="008B3051" w:rsidRDefault="006B4B8B" w:rsidP="006B4B8B">
      <w:pPr>
        <w:pStyle w:val="ListParagraph"/>
        <w:rPr>
          <w:rFonts w:ascii="Verdana" w:hAnsi="Verdana"/>
        </w:rPr>
      </w:pPr>
    </w:p>
    <w:p w14:paraId="5A64BF2C" w14:textId="3F8DB865" w:rsidR="006B4B8B" w:rsidRPr="008B3051" w:rsidRDefault="006B4B8B" w:rsidP="00C02C60">
      <w:pPr>
        <w:numPr>
          <w:ilvl w:val="0"/>
          <w:numId w:val="3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A - Treatment of Qualifying Corporations (§§ 991 to 994)</w:t>
      </w:r>
    </w:p>
    <w:p w14:paraId="2B326B07" w14:textId="0034CA5D" w:rsidR="006B4B8B" w:rsidRPr="008B3051" w:rsidRDefault="006B4B8B" w:rsidP="00C02C60">
      <w:pPr>
        <w:pStyle w:val="first"/>
        <w:numPr>
          <w:ilvl w:val="0"/>
          <w:numId w:val="32"/>
        </w:numPr>
        <w:shd w:val="clear" w:color="auto" w:fill="FFFFFF"/>
        <w:spacing w:before="0" w:beforeAutospacing="0" w:after="60" w:afterAutospacing="0"/>
        <w:rPr>
          <w:rFonts w:ascii="Verdana" w:hAnsi="Verdana"/>
        </w:rPr>
      </w:pPr>
      <w:r w:rsidRPr="008B3051">
        <w:rPr>
          <w:rFonts w:ascii="Verdana" w:hAnsi="Verdana"/>
        </w:rPr>
        <w:t>§ 991 - Taxation of a domestic international sales corporation</w:t>
      </w:r>
    </w:p>
    <w:p w14:paraId="4840C0A9" w14:textId="44D1658E" w:rsidR="006B4B8B" w:rsidRPr="008B3051" w:rsidRDefault="006B4B8B" w:rsidP="00C02C60">
      <w:pPr>
        <w:numPr>
          <w:ilvl w:val="0"/>
          <w:numId w:val="32"/>
        </w:numPr>
        <w:shd w:val="clear" w:color="auto" w:fill="FFFFFF"/>
        <w:spacing w:after="60" w:line="240" w:lineRule="auto"/>
        <w:rPr>
          <w:rFonts w:ascii="Verdana" w:hAnsi="Verdana"/>
        </w:rPr>
      </w:pPr>
      <w:r w:rsidRPr="008B3051">
        <w:rPr>
          <w:rFonts w:ascii="Verdana" w:hAnsi="Verdana"/>
        </w:rPr>
        <w:t>§ 992 - Requirements of a domestic international sales corporation</w:t>
      </w:r>
    </w:p>
    <w:p w14:paraId="772BFA6B" w14:textId="19C4453B" w:rsidR="006B4B8B" w:rsidRPr="008B3051" w:rsidRDefault="006B4B8B" w:rsidP="00C02C60">
      <w:pPr>
        <w:numPr>
          <w:ilvl w:val="0"/>
          <w:numId w:val="32"/>
        </w:numPr>
        <w:shd w:val="clear" w:color="auto" w:fill="FFFFFF"/>
        <w:spacing w:after="60" w:line="240" w:lineRule="auto"/>
        <w:rPr>
          <w:rFonts w:ascii="Verdana" w:hAnsi="Verdana"/>
        </w:rPr>
      </w:pPr>
      <w:r w:rsidRPr="008B3051">
        <w:rPr>
          <w:rFonts w:ascii="Verdana" w:hAnsi="Verdana"/>
        </w:rPr>
        <w:t>§ 993 - Definitions</w:t>
      </w:r>
    </w:p>
    <w:p w14:paraId="6D32D1B4" w14:textId="5F391BFD" w:rsidR="006B4B8B" w:rsidRPr="008B3051" w:rsidRDefault="006B4B8B" w:rsidP="00C02C60">
      <w:pPr>
        <w:pStyle w:val="last"/>
        <w:numPr>
          <w:ilvl w:val="0"/>
          <w:numId w:val="32"/>
        </w:numPr>
        <w:shd w:val="clear" w:color="auto" w:fill="FFFFFF"/>
        <w:spacing w:before="0" w:beforeAutospacing="0" w:after="60" w:afterAutospacing="0"/>
        <w:rPr>
          <w:rFonts w:ascii="Verdana" w:hAnsi="Verdana"/>
        </w:rPr>
      </w:pPr>
      <w:r w:rsidRPr="008B3051">
        <w:rPr>
          <w:rFonts w:ascii="Verdana" w:hAnsi="Verdana"/>
        </w:rPr>
        <w:t>§ 994 - Inter-company pricing rules</w:t>
      </w:r>
    </w:p>
    <w:p w14:paraId="2CD0FB67"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6606F471" w14:textId="41757DFB" w:rsidR="006B4B8B" w:rsidRPr="008B3051" w:rsidRDefault="006B4B8B" w:rsidP="00C02C60">
      <w:pPr>
        <w:numPr>
          <w:ilvl w:val="0"/>
          <w:numId w:val="3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B - Treatment of Distributions to Shareholders (§§ 995 to 997)</w:t>
      </w:r>
    </w:p>
    <w:p w14:paraId="6847E546" w14:textId="77777777" w:rsidR="006B4B8B" w:rsidRPr="008B3051" w:rsidRDefault="006B4B8B" w:rsidP="006B4B8B">
      <w:pPr>
        <w:pStyle w:val="ListParagraph"/>
        <w:rPr>
          <w:rFonts w:ascii="Verdana" w:eastAsia="Times New Roman" w:hAnsi="Verdana" w:cs="Times New Roman"/>
          <w:sz w:val="24"/>
          <w:szCs w:val="24"/>
        </w:rPr>
      </w:pPr>
    </w:p>
    <w:p w14:paraId="3A509FDF" w14:textId="5686441B" w:rsidR="006B4B8B" w:rsidRPr="008B3051" w:rsidRDefault="006B4B8B" w:rsidP="00C02C60">
      <w:pPr>
        <w:numPr>
          <w:ilvl w:val="0"/>
          <w:numId w:val="3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995 - Taxation of DISC income to shareholders</w:t>
      </w:r>
    </w:p>
    <w:p w14:paraId="4211EEE6" w14:textId="1974D0E3" w:rsidR="006B4B8B" w:rsidRPr="008B3051" w:rsidRDefault="006B4B8B" w:rsidP="00C02C60">
      <w:pPr>
        <w:numPr>
          <w:ilvl w:val="0"/>
          <w:numId w:val="3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996 - Rules for allocation in the case of distributions and losses</w:t>
      </w:r>
    </w:p>
    <w:p w14:paraId="4506D2EF" w14:textId="74183FA4" w:rsidR="006B4B8B" w:rsidRPr="008B3051" w:rsidRDefault="006B4B8B" w:rsidP="00C02C60">
      <w:pPr>
        <w:numPr>
          <w:ilvl w:val="0"/>
          <w:numId w:val="3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997 - Special subchapter C rules</w:t>
      </w:r>
    </w:p>
    <w:p w14:paraId="1850A147" w14:textId="77777777" w:rsidR="006B4B8B" w:rsidRPr="008B3051" w:rsidRDefault="006B4B8B" w:rsidP="006B4B8B">
      <w:pPr>
        <w:shd w:val="clear" w:color="auto" w:fill="FFFFFF"/>
        <w:spacing w:after="60" w:line="240" w:lineRule="auto"/>
        <w:ind w:left="360"/>
        <w:rPr>
          <w:rFonts w:ascii="Verdana" w:eastAsia="Times New Roman" w:hAnsi="Verdana" w:cs="Times New Roman"/>
          <w:sz w:val="24"/>
          <w:szCs w:val="24"/>
        </w:rPr>
      </w:pPr>
    </w:p>
    <w:p w14:paraId="3752065C" w14:textId="77777777" w:rsidR="006B4B8B" w:rsidRPr="008B3051" w:rsidRDefault="006B4B8B" w:rsidP="006B4B8B">
      <w:pPr>
        <w:shd w:val="clear" w:color="auto" w:fill="FFFFFF"/>
        <w:spacing w:after="60" w:line="240" w:lineRule="auto"/>
        <w:ind w:left="720"/>
        <w:rPr>
          <w:rFonts w:ascii="Verdana" w:hAnsi="Verdana"/>
        </w:rPr>
      </w:pPr>
    </w:p>
    <w:p w14:paraId="162C9BC2" w14:textId="14CED6AF" w:rsidR="00E56BF7" w:rsidRPr="008B3051" w:rsidRDefault="00E56BF7" w:rsidP="00E56BF7">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 - INTERNATIONAL BOYCOTT DETERMINATIONS (§§ 999 to 1000)</w:t>
      </w:r>
    </w:p>
    <w:p w14:paraId="23FBEB0E" w14:textId="28D0775A" w:rsidR="006B4B8B" w:rsidRPr="008B3051" w:rsidRDefault="006B4B8B" w:rsidP="006B4B8B">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999 - Reports by taxpayers; determinations</w:t>
      </w:r>
    </w:p>
    <w:p w14:paraId="12753980" w14:textId="001142EC" w:rsidR="006B4B8B" w:rsidRPr="008B3051" w:rsidRDefault="006B4B8B" w:rsidP="006B4B8B">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1000 - Reserved]</w:t>
      </w:r>
    </w:p>
    <w:p w14:paraId="5E30F0F8" w14:textId="77777777" w:rsidR="00E56BF7" w:rsidRPr="008B3051" w:rsidRDefault="00E56BF7" w:rsidP="00E56BF7">
      <w:pPr>
        <w:shd w:val="clear" w:color="auto" w:fill="FFFFFF"/>
        <w:spacing w:after="60" w:line="240" w:lineRule="auto"/>
        <w:ind w:left="720"/>
        <w:rPr>
          <w:rFonts w:ascii="Verdana" w:eastAsia="Times New Roman" w:hAnsi="Verdana" w:cs="Times New Roman"/>
          <w:sz w:val="24"/>
          <w:szCs w:val="24"/>
        </w:rPr>
      </w:pPr>
    </w:p>
    <w:p w14:paraId="4C68C56F" w14:textId="45FFA5EA"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O - Gain or Loss on Disposition of Property (§§ 1001 to 1111)</w:t>
      </w:r>
    </w:p>
    <w:p w14:paraId="6761D3EA" w14:textId="77777777" w:rsidR="00A1615F" w:rsidRPr="008B3051" w:rsidRDefault="00A1615F" w:rsidP="00A1615F">
      <w:pPr>
        <w:pStyle w:val="ListParagraph"/>
        <w:rPr>
          <w:rFonts w:ascii="Verdana" w:eastAsia="Times New Roman" w:hAnsi="Verdana" w:cs="Times New Roman"/>
          <w:sz w:val="24"/>
          <w:szCs w:val="24"/>
        </w:rPr>
      </w:pPr>
    </w:p>
    <w:p w14:paraId="5A9FFFBF" w14:textId="37DA394B"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 - DETERMINATION OF AMOUNT OF AND RECOGNITION OF GAIN OR LOSS (§§ 1001 to 1002)</w:t>
      </w:r>
    </w:p>
    <w:p w14:paraId="2D7DF8B2" w14:textId="1FB882D5"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1001 - Determination of amount of and recognition of gain or loss</w:t>
      </w:r>
    </w:p>
    <w:p w14:paraId="54BA92BD" w14:textId="6C6020D7" w:rsidR="00A1615F" w:rsidRPr="008B3051" w:rsidRDefault="00A1615F" w:rsidP="00C02C60">
      <w:pPr>
        <w:pStyle w:val="last"/>
        <w:numPr>
          <w:ilvl w:val="0"/>
          <w:numId w:val="34"/>
        </w:numPr>
        <w:shd w:val="clear" w:color="auto" w:fill="FFFFFF"/>
        <w:spacing w:before="0" w:beforeAutospacing="0" w:after="60" w:afterAutospacing="0"/>
        <w:rPr>
          <w:rFonts w:ascii="Verdana" w:hAnsi="Verdana"/>
        </w:rPr>
      </w:pPr>
      <w:r w:rsidRPr="008B3051">
        <w:rPr>
          <w:rFonts w:ascii="Verdana" w:hAnsi="Verdana"/>
        </w:rPr>
        <w:t>§ 1002 - Repealed. Pub. L. 94–455, title XIX, § 1901(b)(28)(B)(i), Oct. 4, 1976, 90 Stat. 1799]</w:t>
      </w:r>
    </w:p>
    <w:p w14:paraId="6C15B04A"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47231FE6" w14:textId="1874B709"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II - BASIS RULES OF GENERAL APPLICATION (§§ 1011 to 1024)</w:t>
      </w:r>
    </w:p>
    <w:p w14:paraId="742CEC48" w14:textId="77777777" w:rsidR="00A1615F" w:rsidRPr="008B3051" w:rsidRDefault="00A1615F" w:rsidP="00A1615F">
      <w:pPr>
        <w:pStyle w:val="ListParagraph"/>
        <w:rPr>
          <w:rFonts w:ascii="Verdana" w:eastAsia="Times New Roman" w:hAnsi="Verdana" w:cs="Times New Roman"/>
          <w:sz w:val="24"/>
          <w:szCs w:val="24"/>
        </w:rPr>
      </w:pPr>
    </w:p>
    <w:p w14:paraId="5B74A0CB" w14:textId="7C301F89"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1011 - Adjusted basis for determining gain or loss</w:t>
      </w:r>
    </w:p>
    <w:p w14:paraId="244972B3" w14:textId="7A0F9880"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1012 - Basis of property—cost</w:t>
      </w:r>
    </w:p>
    <w:p w14:paraId="30C20689" w14:textId="0117DFA9"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1013 - Basis of property included in inventory</w:t>
      </w:r>
    </w:p>
    <w:p w14:paraId="1E817084" w14:textId="6B5562E9"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1014 - Basis of property acquired from a decedent</w:t>
      </w:r>
    </w:p>
    <w:p w14:paraId="66C63B03" w14:textId="6B82FB8E"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1015 - Basis of property acquired by gifts and transfers in trust</w:t>
      </w:r>
    </w:p>
    <w:p w14:paraId="5DD2D1BB" w14:textId="467B2058"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1016 - Adjustments to basis</w:t>
      </w:r>
    </w:p>
    <w:p w14:paraId="7BC4E57F" w14:textId="7DDE9826"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1017 - Discharge of indebtedness</w:t>
      </w:r>
    </w:p>
    <w:p w14:paraId="4BA52EEC" w14:textId="02314D48"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1018 - Repealed. Pub. L. 96–589, § 6(h)(1), Dec. 24, 1980, 94 Stat. 3410]</w:t>
      </w:r>
    </w:p>
    <w:p w14:paraId="1B060242" w14:textId="13D6DF31"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1019 - Property on which lessee has made improvements</w:t>
      </w:r>
    </w:p>
    <w:p w14:paraId="50914E61" w14:textId="558C0479"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1020 - Repealed. Pub. L. 94–455, title XIX, § 1901(a)(125), Oct. 4, 1976, 90 Stat. 1784]</w:t>
      </w:r>
    </w:p>
    <w:p w14:paraId="7178C61D" w14:textId="27824EE3"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1021 - Sale of annuities</w:t>
      </w:r>
    </w:p>
    <w:p w14:paraId="41552F6F" w14:textId="13BC37EE"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1022 - Repealed. Pub. L. 111–312, title III, § 301(a), Dec. 17, 2010, 124 Stat. 3300]</w:t>
      </w:r>
    </w:p>
    <w:p w14:paraId="7C099A8D" w14:textId="50D64AEE"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1023 - Cross references</w:t>
      </w:r>
    </w:p>
    <w:p w14:paraId="177AFC46" w14:textId="4001177B" w:rsidR="00A1615F" w:rsidRPr="008B3051" w:rsidRDefault="00A1615F" w:rsidP="00C02C60">
      <w:pPr>
        <w:numPr>
          <w:ilvl w:val="0"/>
          <w:numId w:val="3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1024 - Renumbered § 1023]</w:t>
      </w:r>
    </w:p>
    <w:p w14:paraId="49704C53"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298B8868" w14:textId="6FDA176B"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III - COMMON NONTAXABLE EXCHANGES (§§ 1031 to 1045)</w:t>
      </w:r>
    </w:p>
    <w:p w14:paraId="464911D4" w14:textId="482C1A15"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1031 - Exchange of real property held for productive use or investment</w:t>
      </w:r>
    </w:p>
    <w:p w14:paraId="7C3DC302" w14:textId="28C568CD"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1032 - Exchange of stock for property</w:t>
      </w:r>
    </w:p>
    <w:p w14:paraId="686F317D" w14:textId="67B6C715"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1033 - Involuntary conversions</w:t>
      </w:r>
    </w:p>
    <w:p w14:paraId="0CCA7BBA" w14:textId="25B0A6BC"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1034 - Repealed. Pub. L. 105–34, title III, § 312(b), Aug. 5, 1997, 111 Stat. 839]</w:t>
      </w:r>
    </w:p>
    <w:p w14:paraId="4EF956F3" w14:textId="370D1286"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1035 - Certain exchanges of insurance policies</w:t>
      </w:r>
    </w:p>
    <w:p w14:paraId="4E8993F3" w14:textId="13B9DB66"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1036 - Stock for stock of same corporation</w:t>
      </w:r>
    </w:p>
    <w:p w14:paraId="0EFDABCB" w14:textId="05703426"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1037 - Certain exchanges of United States obligations</w:t>
      </w:r>
    </w:p>
    <w:p w14:paraId="34B44E68" w14:textId="0055E177"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1038 - Certain reacquisitions of real property</w:t>
      </w:r>
    </w:p>
    <w:p w14:paraId="0430C673" w14:textId="39573536"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1039 - Repealed. Pub. L. 101–508, title XI, § 11801(a)(33), Nov. 5, 1990, 104 Stat. 1388–521]</w:t>
      </w:r>
    </w:p>
    <w:p w14:paraId="5E39D502" w14:textId="331E19F0"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1040 - Transfer of certain farm, etc., real property</w:t>
      </w:r>
    </w:p>
    <w:p w14:paraId="6BADA682" w14:textId="741B05DF"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1041 - Transfers of property between spouses or incident to divorce</w:t>
      </w:r>
    </w:p>
    <w:p w14:paraId="7FD9C1EF" w14:textId="7F5C2609"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1042 - Sales of stock to employee stock ownership plans or certain cooperatives</w:t>
      </w:r>
    </w:p>
    <w:p w14:paraId="5FF1DFA4" w14:textId="657EDC1D"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1043 - Sale of property to comply with conflict-of-interest requirements</w:t>
      </w:r>
    </w:p>
    <w:p w14:paraId="5D1D6D1E" w14:textId="39832279" w:rsidR="00A1615F" w:rsidRPr="008B3051" w:rsidRDefault="00A1615F" w:rsidP="00C02C60">
      <w:pPr>
        <w:numPr>
          <w:ilvl w:val="0"/>
          <w:numId w:val="34"/>
        </w:numPr>
        <w:shd w:val="clear" w:color="auto" w:fill="FFFFFF"/>
        <w:spacing w:after="60" w:line="240" w:lineRule="auto"/>
        <w:rPr>
          <w:rFonts w:ascii="Verdana" w:hAnsi="Verdana"/>
        </w:rPr>
      </w:pPr>
      <w:r w:rsidRPr="008B3051">
        <w:rPr>
          <w:rFonts w:ascii="Verdana" w:hAnsi="Verdana"/>
        </w:rPr>
        <w:t>§ 1044 - Repealed. Pub. L. 115–97, title I, § 13313(a), Dec. 22, 2017, 131 Stat. 2133]</w:t>
      </w:r>
    </w:p>
    <w:p w14:paraId="4CF0103C" w14:textId="564C6DD9" w:rsidR="00A1615F" w:rsidRPr="008B3051" w:rsidRDefault="00A1615F" w:rsidP="00C02C60">
      <w:pPr>
        <w:pStyle w:val="last"/>
        <w:numPr>
          <w:ilvl w:val="0"/>
          <w:numId w:val="34"/>
        </w:numPr>
        <w:shd w:val="clear" w:color="auto" w:fill="FFFFFF"/>
        <w:spacing w:before="0" w:beforeAutospacing="0" w:after="60" w:afterAutospacing="0"/>
        <w:rPr>
          <w:rFonts w:ascii="Verdana" w:hAnsi="Verdana"/>
        </w:rPr>
      </w:pPr>
      <w:r w:rsidRPr="008B3051">
        <w:rPr>
          <w:rFonts w:ascii="Verdana" w:hAnsi="Verdana"/>
        </w:rPr>
        <w:t>§ 1045 - Rollover of gain from qualified small business stock to another qualified small business stock</w:t>
      </w:r>
    </w:p>
    <w:p w14:paraId="272935FC"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68FCCD0E" w14:textId="32C9D0DC"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IV - SPECIAL RULES (§§ 1051 to 1062)</w:t>
      </w:r>
    </w:p>
    <w:p w14:paraId="24D31ED2" w14:textId="77777777" w:rsidR="00A1615F" w:rsidRPr="008B3051" w:rsidRDefault="00A1615F" w:rsidP="00A1615F">
      <w:pPr>
        <w:pStyle w:val="ListParagraph"/>
        <w:rPr>
          <w:rFonts w:ascii="Verdana" w:eastAsia="Times New Roman" w:hAnsi="Verdana" w:cs="Times New Roman"/>
          <w:sz w:val="24"/>
          <w:szCs w:val="24"/>
        </w:rPr>
      </w:pPr>
    </w:p>
    <w:p w14:paraId="6D475732" w14:textId="6F6A0510"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1051 - Repealed. Pub. L. 113–295, div. A, title II, § 221(a)(78), Dec. 19, 2014, 128 Stat. 4049]</w:t>
      </w:r>
    </w:p>
    <w:p w14:paraId="64E91CF6" w14:textId="0A6CC46B"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1052 - Basis established by the Revenue Act of 1932 or 1934 or by the Internal Revenue Code of 1939</w:t>
      </w:r>
    </w:p>
    <w:p w14:paraId="5E08F6B0" w14:textId="77D56D4C"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1053 - Property acquired before March 1, 1913</w:t>
      </w:r>
    </w:p>
    <w:p w14:paraId="18EC984E" w14:textId="02FE13CB"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1054 - Certain stock of Federal National Mortgage Association</w:t>
      </w:r>
    </w:p>
    <w:p w14:paraId="479B9E0F" w14:textId="460BF07D"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1055 - Redeemable ground rents</w:t>
      </w:r>
    </w:p>
    <w:p w14:paraId="380B885B" w14:textId="611165F5"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1056 - Repealed. Pub. L. 108–357, title VIII, § 886(b)(1)(A), Oct. 22, 2004, 118 Stat. 1641]</w:t>
      </w:r>
    </w:p>
    <w:p w14:paraId="2D7ADBE8" w14:textId="39ACC720"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1057 - Repealed. Pub. L. 105–34, title XI, § 1131(c)(2), Aug. 5, 1997, 111 Stat. 980]</w:t>
      </w:r>
    </w:p>
    <w:p w14:paraId="5D532CBF" w14:textId="709E9257"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1058 - Transfers of securities under certain agreements</w:t>
      </w:r>
    </w:p>
    <w:p w14:paraId="5AE87094" w14:textId="79C6A509"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1059 - Corporate shareholder’s basis in stock reduced by nontaxed portion of extraordinary dividends</w:t>
      </w:r>
    </w:p>
    <w:p w14:paraId="2233CBC3" w14:textId="045B2874"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1059A - Limitation on taxpayer’s basis or inventory cost in property imported from related persons</w:t>
      </w:r>
    </w:p>
    <w:p w14:paraId="381CC431" w14:textId="00A45FF3"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1060 - Special allocation rules for certain asset acquisitions</w:t>
      </w:r>
    </w:p>
    <w:p w14:paraId="429F6929" w14:textId="3D142F4E"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1061 - Partnership interests held in connection with performance of services</w:t>
      </w:r>
    </w:p>
    <w:p w14:paraId="7892302B" w14:textId="0F368090" w:rsidR="00A1615F" w:rsidRPr="008B3051" w:rsidRDefault="00A1615F" w:rsidP="00C02C60">
      <w:pPr>
        <w:numPr>
          <w:ilvl w:val="0"/>
          <w:numId w:val="3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1062 - Cross references</w:t>
      </w:r>
    </w:p>
    <w:p w14:paraId="42A73CC5"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455372AB" w14:textId="49614846"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V - REPEALED] (§ 1071)</w:t>
      </w:r>
    </w:p>
    <w:p w14:paraId="0D9B4960" w14:textId="1A4D4A71"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1071 - Repealed. Pub. L. 104–7, § 2(a), Apr. 11, 1995, 109 Stat. 93]</w:t>
      </w:r>
    </w:p>
    <w:p w14:paraId="3BE11155"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2D62E922" w14:textId="22386FF2"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VI - REPEALED] (§ 1081)</w:t>
      </w:r>
    </w:p>
    <w:p w14:paraId="1B51E13C" w14:textId="77777777" w:rsidR="00A1615F" w:rsidRPr="008B3051" w:rsidRDefault="00A1615F" w:rsidP="00A1615F">
      <w:pPr>
        <w:pStyle w:val="ListParagraph"/>
        <w:rPr>
          <w:rFonts w:ascii="Verdana" w:eastAsia="Times New Roman" w:hAnsi="Verdana" w:cs="Times New Roman"/>
          <w:sz w:val="24"/>
          <w:szCs w:val="24"/>
        </w:rPr>
      </w:pPr>
    </w:p>
    <w:p w14:paraId="0F3F7B09" w14:textId="5443687B" w:rsidR="00A1615F" w:rsidRPr="008B3051" w:rsidRDefault="00A1615F" w:rsidP="00C02C60">
      <w:pPr>
        <w:numPr>
          <w:ilvl w:val="0"/>
          <w:numId w:val="3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1081 - Repealed. Pub. L. 109–135, title IV, § 402(a)(1), Dec. 21, 2005, 119 Stat. 2610]</w:t>
      </w:r>
    </w:p>
    <w:p w14:paraId="45990B43"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46967D1E" w14:textId="4F5C7505"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VII - WASH SALES; STRADDLES (§§ 1091 to 1092)</w:t>
      </w:r>
    </w:p>
    <w:p w14:paraId="4E5AC32C" w14:textId="773856B6"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1091 - Loss from wash sales of stock or securities</w:t>
      </w:r>
    </w:p>
    <w:p w14:paraId="0AFE4B13" w14:textId="12A07E5A" w:rsidR="00A1615F" w:rsidRPr="008B3051" w:rsidRDefault="00A1615F" w:rsidP="00C02C60">
      <w:pPr>
        <w:pStyle w:val="last"/>
        <w:numPr>
          <w:ilvl w:val="0"/>
          <w:numId w:val="34"/>
        </w:numPr>
        <w:shd w:val="clear" w:color="auto" w:fill="FFFFFF"/>
        <w:spacing w:before="0" w:beforeAutospacing="0" w:after="60" w:afterAutospacing="0"/>
        <w:rPr>
          <w:rFonts w:ascii="Verdana" w:hAnsi="Verdana"/>
        </w:rPr>
      </w:pPr>
      <w:r w:rsidRPr="008B3051">
        <w:rPr>
          <w:rFonts w:ascii="Verdana" w:hAnsi="Verdana"/>
        </w:rPr>
        <w:t>§ 1092 - Straddles</w:t>
      </w:r>
    </w:p>
    <w:p w14:paraId="222DCEFD"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164AB17B" w14:textId="1382B849"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VIII - REPEALED] (§ 1101)</w:t>
      </w:r>
    </w:p>
    <w:p w14:paraId="059C55D0" w14:textId="1F3AB0E3"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1101 - Repealed. Pub. L. 101–508, title XI, § 11801(a)(34), Nov. 5, 1990, 104 Stat. 1388–521]</w:t>
      </w:r>
    </w:p>
    <w:p w14:paraId="02E3E5CF" w14:textId="77777777" w:rsidR="00A1615F" w:rsidRPr="008B3051" w:rsidRDefault="00A1615F" w:rsidP="00A1615F">
      <w:pPr>
        <w:pStyle w:val="ListParagraph"/>
        <w:rPr>
          <w:rFonts w:ascii="Verdana" w:eastAsia="Times New Roman" w:hAnsi="Verdana" w:cs="Times New Roman"/>
          <w:sz w:val="24"/>
          <w:szCs w:val="24"/>
        </w:rPr>
      </w:pPr>
    </w:p>
    <w:p w14:paraId="13ECEA44"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4A877D65" w14:textId="42C8CD76" w:rsidR="00A1615F" w:rsidRPr="008B3051" w:rsidRDefault="00A1615F" w:rsidP="00C02C60">
      <w:pPr>
        <w:numPr>
          <w:ilvl w:val="0"/>
          <w:numId w:val="3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IX - REPEALED] (§ 1111)</w:t>
      </w:r>
    </w:p>
    <w:p w14:paraId="66FE5B4F" w14:textId="491BF5B6" w:rsidR="00A1615F" w:rsidRPr="008B3051" w:rsidRDefault="00A1615F" w:rsidP="00C02C60">
      <w:pPr>
        <w:pStyle w:val="first"/>
        <w:numPr>
          <w:ilvl w:val="0"/>
          <w:numId w:val="34"/>
        </w:numPr>
        <w:shd w:val="clear" w:color="auto" w:fill="FFFFFF"/>
        <w:spacing w:before="0" w:beforeAutospacing="0" w:after="60" w:afterAutospacing="0"/>
        <w:rPr>
          <w:rFonts w:ascii="Verdana" w:hAnsi="Verdana"/>
        </w:rPr>
      </w:pPr>
      <w:r w:rsidRPr="008B3051">
        <w:rPr>
          <w:rFonts w:ascii="Verdana" w:hAnsi="Verdana"/>
        </w:rPr>
        <w:t>§ 1111 - Repealed. Pub. L. 94–455, title XIX, § 1901(a)(134), Oct. 4, 1976, 90 Stat. 1786]</w:t>
      </w:r>
    </w:p>
    <w:p w14:paraId="3D3E72C9"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7B8CE609" w14:textId="77777777" w:rsidR="00A1615F" w:rsidRPr="008B3051" w:rsidRDefault="00A1615F" w:rsidP="00A1615F">
      <w:pPr>
        <w:shd w:val="clear" w:color="auto" w:fill="FFFFFF"/>
        <w:spacing w:after="60" w:line="240" w:lineRule="auto"/>
        <w:ind w:left="720"/>
        <w:rPr>
          <w:rFonts w:ascii="Verdana" w:eastAsia="Times New Roman" w:hAnsi="Verdana" w:cs="Times New Roman"/>
          <w:sz w:val="24"/>
          <w:szCs w:val="24"/>
        </w:rPr>
      </w:pPr>
    </w:p>
    <w:p w14:paraId="6A6B0D89" w14:textId="4701DEEF"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P - Capital Gains and Losses (§§ 1201 to 1298)</w:t>
      </w:r>
    </w:p>
    <w:p w14:paraId="3D4A183B" w14:textId="6BDB18B6" w:rsidR="00A1615F" w:rsidRPr="008B3051" w:rsidRDefault="00A1615F" w:rsidP="00A1615F">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TREATMENT OF CAPITAL GAINS (§§ 1201 to 1202)</w:t>
      </w:r>
    </w:p>
    <w:p w14:paraId="6C0FC218" w14:textId="2E74BF29" w:rsidR="00A1615F" w:rsidRPr="008B3051" w:rsidRDefault="00A1615F" w:rsidP="00A1615F">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1201 - Repealed. Pub. L. 115–97, title I, § 13001(b)(2)(A), Dec. 22, 2017, 131 Stat. 2096]</w:t>
      </w:r>
    </w:p>
    <w:p w14:paraId="3395F28E" w14:textId="47529EDD" w:rsidR="00A1615F" w:rsidRPr="008B3051" w:rsidRDefault="00A1615F" w:rsidP="00A1615F">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1202 - Partial exclusion for gain from certain small business stock</w:t>
      </w:r>
    </w:p>
    <w:p w14:paraId="61D4FE51" w14:textId="77777777" w:rsidR="00A1615F" w:rsidRPr="008B3051" w:rsidRDefault="00A1615F" w:rsidP="00A1615F">
      <w:pPr>
        <w:pStyle w:val="first"/>
        <w:shd w:val="clear" w:color="auto" w:fill="FFFFFF"/>
        <w:spacing w:before="0" w:beforeAutospacing="0" w:after="60" w:afterAutospacing="0"/>
        <w:ind w:left="720"/>
        <w:rPr>
          <w:rFonts w:ascii="Verdana" w:hAnsi="Verdana"/>
        </w:rPr>
      </w:pPr>
    </w:p>
    <w:p w14:paraId="5E905138" w14:textId="1432847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PART II - TREATMENT OF CAPITAL LOSSES (§§ 1211 to 1212)</w:t>
      </w:r>
    </w:p>
    <w:p w14:paraId="3ECC0601" w14:textId="01767CA1" w:rsidR="00A1615F" w:rsidRPr="008B3051" w:rsidRDefault="00A1615F" w:rsidP="00A1615F">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1211 - Limitation on capital losses</w:t>
      </w:r>
    </w:p>
    <w:p w14:paraId="340F2690" w14:textId="59D58400" w:rsidR="00A1615F" w:rsidRPr="008B3051" w:rsidRDefault="00A1615F" w:rsidP="00A1615F">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1212 - Capital loss carrybacks and carryovers</w:t>
      </w:r>
    </w:p>
    <w:p w14:paraId="45E5D346" w14:textId="77777777" w:rsidR="00A1615F" w:rsidRPr="008B3051" w:rsidRDefault="00A1615F" w:rsidP="00A1615F">
      <w:pPr>
        <w:shd w:val="clear" w:color="auto" w:fill="FFFFFF"/>
        <w:spacing w:after="60" w:line="240" w:lineRule="auto"/>
        <w:ind w:left="720"/>
        <w:rPr>
          <w:rFonts w:ascii="Verdana" w:hAnsi="Verdana"/>
        </w:rPr>
      </w:pPr>
    </w:p>
    <w:p w14:paraId="6188BD9D" w14:textId="2084F7F7"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PART III - GENERAL RULES FOR DETERMINING CAPITAL GAINS AND LOSSES (§§ 1221 to 1223)</w:t>
      </w:r>
    </w:p>
    <w:p w14:paraId="6B05CDEE" w14:textId="77777777" w:rsidR="00A1615F" w:rsidRPr="008B3051" w:rsidRDefault="00A1615F" w:rsidP="00A1615F">
      <w:pPr>
        <w:pStyle w:val="ListParagraph"/>
        <w:rPr>
          <w:rFonts w:ascii="Verdana" w:hAnsi="Verdana"/>
        </w:rPr>
      </w:pPr>
    </w:p>
    <w:p w14:paraId="60EE1D85" w14:textId="02100811" w:rsidR="00A1615F" w:rsidRPr="008B3051" w:rsidRDefault="00A1615F" w:rsidP="00C02C60">
      <w:pPr>
        <w:numPr>
          <w:ilvl w:val="0"/>
          <w:numId w:val="3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1221 - Capital asset defined</w:t>
      </w:r>
    </w:p>
    <w:p w14:paraId="29EF7127" w14:textId="370CC0EB" w:rsidR="00A1615F" w:rsidRPr="008B3051" w:rsidRDefault="00A1615F" w:rsidP="00C02C60">
      <w:pPr>
        <w:numPr>
          <w:ilvl w:val="0"/>
          <w:numId w:val="3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1222 - Other terms relating to capital gains and losses</w:t>
      </w:r>
    </w:p>
    <w:p w14:paraId="61D4A5FB" w14:textId="2D6A3E01" w:rsidR="00A1615F" w:rsidRPr="008B3051" w:rsidRDefault="00A1615F" w:rsidP="00C02C60">
      <w:pPr>
        <w:numPr>
          <w:ilvl w:val="0"/>
          <w:numId w:val="3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1223 - Holding period of property</w:t>
      </w:r>
    </w:p>
    <w:p w14:paraId="779A06DA" w14:textId="77777777" w:rsidR="00A1615F" w:rsidRPr="008B3051" w:rsidRDefault="00A1615F" w:rsidP="00A1615F">
      <w:pPr>
        <w:shd w:val="clear" w:color="auto" w:fill="FFFFFF"/>
        <w:spacing w:after="60" w:line="240" w:lineRule="auto"/>
        <w:ind w:left="720"/>
        <w:rPr>
          <w:rFonts w:ascii="Verdana" w:hAnsi="Verdana"/>
        </w:rPr>
      </w:pPr>
    </w:p>
    <w:p w14:paraId="55DF1BEE" w14:textId="479D8E7F"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PART IV - SPECIAL RULES FOR DETERMINING CAPITAL GAINS AND LOSSES (§§ 1231 to 1260)</w:t>
      </w:r>
    </w:p>
    <w:p w14:paraId="1DE7AE68" w14:textId="720AC61F" w:rsidR="00A1615F" w:rsidRPr="008B3051" w:rsidRDefault="00A1615F" w:rsidP="00A1615F">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1231 - Property used in the trade or business and involuntary conversions</w:t>
      </w:r>
    </w:p>
    <w:p w14:paraId="5C1A9536" w14:textId="0159D968"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1232 - Repealed. Pub. L. 98–369, div. A, title I, § 42(a)(1), July 18, 1984, 98 Stat. 556]</w:t>
      </w:r>
    </w:p>
    <w:p w14:paraId="02DB12C3" w14:textId="71B6A21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1233 - Gains and losses from short sales</w:t>
      </w:r>
    </w:p>
    <w:p w14:paraId="296B63A9" w14:textId="7913094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1234 - Options to buy or sell</w:t>
      </w:r>
    </w:p>
    <w:p w14:paraId="17DB134E" w14:textId="184BD1E6"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1234A - Gains or losses from certain terminations</w:t>
      </w:r>
    </w:p>
    <w:p w14:paraId="4A8057B3" w14:textId="0E6E492F"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1234B - Gains or losses from securities futures contracts</w:t>
      </w:r>
    </w:p>
    <w:p w14:paraId="38B148FE" w14:textId="0D90A909"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1235 - Sale or exchange of patents</w:t>
      </w:r>
    </w:p>
    <w:p w14:paraId="0449FF62" w14:textId="48C34FC6"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1236 - Dealers in securities</w:t>
      </w:r>
    </w:p>
    <w:p w14:paraId="25D7148A" w14:textId="5AD35377"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1237 - Real property subdivided for sale</w:t>
      </w:r>
    </w:p>
    <w:p w14:paraId="473BC5FA" w14:textId="33C53A16"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1238 - Repealed. Pub. L. 101–508, title XI, § 11801(a)(35), Nov. 5, 1990, 104 Stat. 1388–521]</w:t>
      </w:r>
    </w:p>
    <w:p w14:paraId="5B26EB79" w14:textId="38FA0C46"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1239 - Gain from sale of depreciable property between certain related taxpayers</w:t>
      </w:r>
    </w:p>
    <w:p w14:paraId="7F24711F" w14:textId="1CEA95E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1240 - Repealed. Pub. L. 94–455, title XIX, § 1901(a)(139), Oct. 4, 1976, 90 Stat. 1787]</w:t>
      </w:r>
    </w:p>
    <w:p w14:paraId="3414AF3E" w14:textId="1C21F6F9"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1241 - Cancellation of lease or distributor’s agreement</w:t>
      </w:r>
    </w:p>
    <w:p w14:paraId="1893B677" w14:textId="57E2D01C"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1242 - Losses on small business investment company stock</w:t>
      </w:r>
    </w:p>
    <w:p w14:paraId="75CBBE02" w14:textId="486D37C7"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1243 - Loss of small business investment company</w:t>
      </w:r>
    </w:p>
    <w:p w14:paraId="24453735" w14:textId="37396153"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1244 - Losses on small business stock</w:t>
      </w:r>
    </w:p>
    <w:p w14:paraId="0E63B610" w14:textId="61B0E2B0"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1245 - Gain from dispositions of certain depreciable property</w:t>
      </w:r>
    </w:p>
    <w:p w14:paraId="224C3412" w14:textId="12DEE49F"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1246 - Repealed. Pub. L. 108–357, title IV, § 413(a)(2), (3), Oct. 22, 2004, 118 Stat. 1506]</w:t>
      </w:r>
    </w:p>
    <w:p w14:paraId="6076491D" w14:textId="383C0E67"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1248 - Gain from certain sales or exchanges of stock in certain foreign corporations</w:t>
      </w:r>
    </w:p>
    <w:p w14:paraId="34DFCEAE" w14:textId="6719725D"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1249 - Gain from certain sales or exchanges of patents, etc., to foreign corporations</w:t>
      </w:r>
    </w:p>
    <w:p w14:paraId="0908A755" w14:textId="28512460"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1250 - Gain from dispositions of certain depreciable realty</w:t>
      </w:r>
    </w:p>
    <w:p w14:paraId="2C080B3F" w14:textId="743A196F"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1251 - Repealed. Pub. L. 98–369, div. A, title IV, § 492(a), July 18, 1984, 98 Stat. 853]</w:t>
      </w:r>
    </w:p>
    <w:p w14:paraId="4BA43F89" w14:textId="08FAC220"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1252 - Gain from disposition of farm land</w:t>
      </w:r>
    </w:p>
    <w:p w14:paraId="772647D4" w14:textId="3BC3FACB"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1253 - Transfers of franchises, trademarks, and trade names</w:t>
      </w:r>
    </w:p>
    <w:p w14:paraId="129E80C9" w14:textId="737AE9C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1254 - Gain from disposition of interest in oil, gas, geothermal, or other mineral properties</w:t>
      </w:r>
    </w:p>
    <w:p w14:paraId="65BF60BB" w14:textId="26B0BA59"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1255 - Gain from disposition of section 126 property</w:t>
      </w:r>
    </w:p>
    <w:p w14:paraId="79EECB3C" w14:textId="08D5AD89"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1256 - Section 1256 contracts marked to market</w:t>
      </w:r>
    </w:p>
    <w:p w14:paraId="58F7ACD0" w14:textId="79268875"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1257 - Disposition of converted wetlands or highly erodible croplands</w:t>
      </w:r>
    </w:p>
    <w:p w14:paraId="30AD96AF" w14:textId="75777F12"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1258 - Recharacterization of gain from certain financial transactions</w:t>
      </w:r>
    </w:p>
    <w:p w14:paraId="0E7A795D" w14:textId="0F78F53E"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 1259 - Constructive sales treatment for appreciated financial positions</w:t>
      </w:r>
    </w:p>
    <w:p w14:paraId="0B8EAAB2" w14:textId="6094FEAC" w:rsidR="00A1615F" w:rsidRPr="008B3051" w:rsidRDefault="00A1615F" w:rsidP="00A1615F">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1260 - Gains from constructive ownership transactions</w:t>
      </w:r>
    </w:p>
    <w:p w14:paraId="6382D7F6" w14:textId="77777777" w:rsidR="00A1615F" w:rsidRPr="008B3051" w:rsidRDefault="00A1615F" w:rsidP="00A1615F">
      <w:pPr>
        <w:shd w:val="clear" w:color="auto" w:fill="FFFFFF"/>
        <w:spacing w:after="60" w:line="240" w:lineRule="auto"/>
        <w:ind w:left="720"/>
        <w:rPr>
          <w:rFonts w:ascii="Verdana" w:hAnsi="Verdana"/>
        </w:rPr>
      </w:pPr>
    </w:p>
    <w:p w14:paraId="6B3F68E1" w14:textId="0D05D23C" w:rsidR="00A1615F" w:rsidRPr="008B3051" w:rsidRDefault="00A1615F" w:rsidP="00A1615F">
      <w:pPr>
        <w:numPr>
          <w:ilvl w:val="0"/>
          <w:numId w:val="2"/>
        </w:numPr>
        <w:shd w:val="clear" w:color="auto" w:fill="FFFFFF"/>
        <w:spacing w:after="60" w:line="240" w:lineRule="auto"/>
        <w:rPr>
          <w:rFonts w:ascii="Verdana" w:hAnsi="Verdana"/>
        </w:rPr>
      </w:pPr>
      <w:r w:rsidRPr="008B3051">
        <w:rPr>
          <w:rFonts w:ascii="Verdana" w:hAnsi="Verdana"/>
        </w:rPr>
        <w:t>PART V - SPECIAL RULES FOR BONDS AND OTHER DEBT INSTRUMENTS (§§ 1271 to 1288)</w:t>
      </w:r>
    </w:p>
    <w:p w14:paraId="45789EDD" w14:textId="77777777" w:rsidR="00A1615F" w:rsidRPr="008B3051" w:rsidRDefault="00A1615F" w:rsidP="00A1615F">
      <w:pPr>
        <w:pStyle w:val="ListParagraph"/>
        <w:rPr>
          <w:rFonts w:ascii="Verdana" w:hAnsi="Verdana"/>
        </w:rPr>
      </w:pPr>
    </w:p>
    <w:p w14:paraId="7A88279B" w14:textId="353D99D5" w:rsidR="00A1615F" w:rsidRPr="008B3051" w:rsidRDefault="00A1615F" w:rsidP="00C02C60">
      <w:pPr>
        <w:numPr>
          <w:ilvl w:val="0"/>
          <w:numId w:val="3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A - Original Issue Discount (§§ 1271 to 1275)</w:t>
      </w:r>
    </w:p>
    <w:p w14:paraId="73391F6D" w14:textId="293E7EAB" w:rsidR="00A1615F" w:rsidRPr="008B3051" w:rsidRDefault="00A1615F" w:rsidP="00C02C60">
      <w:pPr>
        <w:pStyle w:val="first"/>
        <w:numPr>
          <w:ilvl w:val="0"/>
          <w:numId w:val="39"/>
        </w:numPr>
        <w:shd w:val="clear" w:color="auto" w:fill="FFFFFF"/>
        <w:spacing w:before="0" w:beforeAutospacing="0" w:after="60" w:afterAutospacing="0"/>
        <w:rPr>
          <w:rFonts w:ascii="Verdana" w:hAnsi="Verdana"/>
        </w:rPr>
      </w:pPr>
      <w:r w:rsidRPr="008B3051">
        <w:rPr>
          <w:rFonts w:ascii="Verdana" w:hAnsi="Verdana"/>
        </w:rPr>
        <w:t>§ 1271 - Treatment of amounts received on retirement or sale or exchange of debt instruments</w:t>
      </w:r>
    </w:p>
    <w:p w14:paraId="71779C05" w14:textId="0593BA06" w:rsidR="00A1615F" w:rsidRPr="008B3051" w:rsidRDefault="00A1615F" w:rsidP="00C02C60">
      <w:pPr>
        <w:numPr>
          <w:ilvl w:val="0"/>
          <w:numId w:val="39"/>
        </w:numPr>
        <w:shd w:val="clear" w:color="auto" w:fill="FFFFFF"/>
        <w:spacing w:after="60" w:line="240" w:lineRule="auto"/>
        <w:rPr>
          <w:rFonts w:ascii="Verdana" w:hAnsi="Verdana"/>
        </w:rPr>
      </w:pPr>
      <w:r w:rsidRPr="008B3051">
        <w:rPr>
          <w:rFonts w:ascii="Verdana" w:hAnsi="Verdana"/>
        </w:rPr>
        <w:t>§ 1272 - Current inclusion in income of original issue discount</w:t>
      </w:r>
    </w:p>
    <w:p w14:paraId="14A95CBC" w14:textId="1B755E69" w:rsidR="00A1615F" w:rsidRPr="008B3051" w:rsidRDefault="00A1615F" w:rsidP="00C02C60">
      <w:pPr>
        <w:numPr>
          <w:ilvl w:val="0"/>
          <w:numId w:val="39"/>
        </w:numPr>
        <w:shd w:val="clear" w:color="auto" w:fill="FFFFFF"/>
        <w:spacing w:after="60" w:line="240" w:lineRule="auto"/>
        <w:rPr>
          <w:rFonts w:ascii="Verdana" w:hAnsi="Verdana"/>
        </w:rPr>
      </w:pPr>
      <w:r w:rsidRPr="008B3051">
        <w:rPr>
          <w:rFonts w:ascii="Verdana" w:hAnsi="Verdana"/>
        </w:rPr>
        <w:t>§ 1273 - Determination of amount of original issue discount</w:t>
      </w:r>
    </w:p>
    <w:p w14:paraId="405767F2" w14:textId="13981C36" w:rsidR="00A1615F" w:rsidRPr="008B3051" w:rsidRDefault="00A1615F" w:rsidP="00C02C60">
      <w:pPr>
        <w:numPr>
          <w:ilvl w:val="0"/>
          <w:numId w:val="39"/>
        </w:numPr>
        <w:shd w:val="clear" w:color="auto" w:fill="FFFFFF"/>
        <w:spacing w:after="60" w:line="240" w:lineRule="auto"/>
        <w:rPr>
          <w:rFonts w:ascii="Verdana" w:hAnsi="Verdana"/>
        </w:rPr>
      </w:pPr>
      <w:r w:rsidRPr="008B3051">
        <w:rPr>
          <w:rFonts w:ascii="Verdana" w:hAnsi="Verdana"/>
        </w:rPr>
        <w:t>§ 1274 - Determination of issue price in the case of certain debt instruments issued for property</w:t>
      </w:r>
    </w:p>
    <w:p w14:paraId="743B8BF9" w14:textId="047998B5" w:rsidR="00A1615F" w:rsidRPr="008B3051" w:rsidRDefault="00A1615F" w:rsidP="00C02C60">
      <w:pPr>
        <w:numPr>
          <w:ilvl w:val="0"/>
          <w:numId w:val="39"/>
        </w:numPr>
        <w:shd w:val="clear" w:color="auto" w:fill="FFFFFF"/>
        <w:spacing w:after="60" w:line="240" w:lineRule="auto"/>
        <w:rPr>
          <w:rFonts w:ascii="Verdana" w:hAnsi="Verdana"/>
        </w:rPr>
      </w:pPr>
      <w:r w:rsidRPr="008B3051">
        <w:rPr>
          <w:rFonts w:ascii="Verdana" w:hAnsi="Verdana"/>
        </w:rPr>
        <w:t>§ 1274A - Special rules for certain transactions where stated principal amount does not exceed $2,800,000</w:t>
      </w:r>
    </w:p>
    <w:p w14:paraId="2B75C03A" w14:textId="0F3395B3" w:rsidR="00A1615F" w:rsidRPr="008B3051" w:rsidRDefault="00A1615F" w:rsidP="00C02C60">
      <w:pPr>
        <w:pStyle w:val="last"/>
        <w:numPr>
          <w:ilvl w:val="0"/>
          <w:numId w:val="39"/>
        </w:numPr>
        <w:shd w:val="clear" w:color="auto" w:fill="FFFFFF"/>
        <w:spacing w:before="0" w:beforeAutospacing="0" w:after="60" w:afterAutospacing="0"/>
        <w:rPr>
          <w:rFonts w:ascii="Verdana" w:hAnsi="Verdana"/>
        </w:rPr>
      </w:pPr>
      <w:r w:rsidRPr="008B3051">
        <w:rPr>
          <w:rFonts w:ascii="Verdana" w:hAnsi="Verdana"/>
        </w:rPr>
        <w:t>§ 1275 - Other definitions and special rules</w:t>
      </w:r>
    </w:p>
    <w:p w14:paraId="1748328C"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546460F0" w14:textId="390B571D" w:rsidR="00A1615F" w:rsidRPr="008B3051" w:rsidRDefault="00A1615F" w:rsidP="00C02C60">
      <w:pPr>
        <w:numPr>
          <w:ilvl w:val="0"/>
          <w:numId w:val="3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B - Market Discount on Bonds (§§ 1276 to 1278)</w:t>
      </w:r>
    </w:p>
    <w:p w14:paraId="14DF3206" w14:textId="77777777" w:rsidR="00A1615F" w:rsidRPr="008B3051" w:rsidRDefault="00A1615F" w:rsidP="00A1615F">
      <w:pPr>
        <w:pStyle w:val="ListParagraph"/>
        <w:rPr>
          <w:rFonts w:ascii="Verdana" w:eastAsia="Times New Roman" w:hAnsi="Verdana" w:cs="Times New Roman"/>
          <w:sz w:val="24"/>
          <w:szCs w:val="24"/>
        </w:rPr>
      </w:pPr>
    </w:p>
    <w:p w14:paraId="30E15925" w14:textId="204EA953" w:rsidR="00A1615F" w:rsidRPr="008B3051" w:rsidRDefault="00A1615F" w:rsidP="00C02C60">
      <w:pPr>
        <w:numPr>
          <w:ilvl w:val="0"/>
          <w:numId w:val="4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1276 - Disposition gain representing accrued market discount treated as ordinary income</w:t>
      </w:r>
    </w:p>
    <w:p w14:paraId="5025B735" w14:textId="5D2DF0A2" w:rsidR="00A1615F" w:rsidRPr="008B3051" w:rsidRDefault="00A1615F" w:rsidP="00C02C60">
      <w:pPr>
        <w:numPr>
          <w:ilvl w:val="0"/>
          <w:numId w:val="4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1277 - Deferral of interest deduction allocable to accrued market discount</w:t>
      </w:r>
    </w:p>
    <w:p w14:paraId="51F25321" w14:textId="295B9BBF" w:rsidR="00A1615F" w:rsidRPr="008B3051" w:rsidRDefault="00A1615F" w:rsidP="00C02C60">
      <w:pPr>
        <w:numPr>
          <w:ilvl w:val="0"/>
          <w:numId w:val="40"/>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1278 - Definitions and special rules</w:t>
      </w:r>
    </w:p>
    <w:p w14:paraId="6F1507F5"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29E7CC4D" w14:textId="328759AA" w:rsidR="00A1615F" w:rsidRPr="008B3051" w:rsidRDefault="00A1615F" w:rsidP="00C02C60">
      <w:pPr>
        <w:numPr>
          <w:ilvl w:val="0"/>
          <w:numId w:val="3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C - Discount on Short-Term Obligations (§§ 1281 to 1283)</w:t>
      </w:r>
    </w:p>
    <w:p w14:paraId="1BA2BBFC" w14:textId="36B3D82C" w:rsidR="00A1615F" w:rsidRPr="008B3051" w:rsidRDefault="00A1615F" w:rsidP="00C02C60">
      <w:pPr>
        <w:pStyle w:val="first"/>
        <w:numPr>
          <w:ilvl w:val="0"/>
          <w:numId w:val="39"/>
        </w:numPr>
        <w:shd w:val="clear" w:color="auto" w:fill="FFFFFF"/>
        <w:spacing w:before="0" w:beforeAutospacing="0" w:after="60" w:afterAutospacing="0"/>
        <w:rPr>
          <w:rFonts w:ascii="Verdana" w:hAnsi="Verdana"/>
        </w:rPr>
      </w:pPr>
      <w:r w:rsidRPr="008B3051">
        <w:rPr>
          <w:rFonts w:ascii="Verdana" w:hAnsi="Verdana"/>
        </w:rPr>
        <w:t>§ 1281 - Current inclusion in income of discount on certain short-term obligations</w:t>
      </w:r>
    </w:p>
    <w:p w14:paraId="4D127A54" w14:textId="5BAD06BA" w:rsidR="00A1615F" w:rsidRPr="008B3051" w:rsidRDefault="00A1615F" w:rsidP="00C02C60">
      <w:pPr>
        <w:numPr>
          <w:ilvl w:val="0"/>
          <w:numId w:val="39"/>
        </w:numPr>
        <w:shd w:val="clear" w:color="auto" w:fill="FFFFFF"/>
        <w:spacing w:after="60" w:line="240" w:lineRule="auto"/>
        <w:rPr>
          <w:rFonts w:ascii="Verdana" w:hAnsi="Verdana"/>
        </w:rPr>
      </w:pPr>
      <w:r w:rsidRPr="008B3051">
        <w:rPr>
          <w:rFonts w:ascii="Verdana" w:hAnsi="Verdana"/>
        </w:rPr>
        <w:t>§ 1282 - Deferral of interest deduction allocable to accrued discount</w:t>
      </w:r>
    </w:p>
    <w:p w14:paraId="58EBC2CE" w14:textId="6802F9EF" w:rsidR="00A1615F" w:rsidRPr="008B3051" w:rsidRDefault="00A1615F" w:rsidP="00C02C60">
      <w:pPr>
        <w:pStyle w:val="last"/>
        <w:numPr>
          <w:ilvl w:val="0"/>
          <w:numId w:val="39"/>
        </w:numPr>
        <w:shd w:val="clear" w:color="auto" w:fill="FFFFFF"/>
        <w:spacing w:before="0" w:beforeAutospacing="0" w:after="60" w:afterAutospacing="0"/>
        <w:rPr>
          <w:rFonts w:ascii="Verdana" w:hAnsi="Verdana"/>
        </w:rPr>
      </w:pPr>
      <w:r w:rsidRPr="008B3051">
        <w:rPr>
          <w:rFonts w:ascii="Verdana" w:hAnsi="Verdana"/>
        </w:rPr>
        <w:t>§ 1283 - Definitions and special rules</w:t>
      </w:r>
    </w:p>
    <w:p w14:paraId="429146B1" w14:textId="77777777" w:rsidR="00A1615F" w:rsidRPr="008B3051" w:rsidRDefault="00A1615F" w:rsidP="00A1615F">
      <w:pPr>
        <w:shd w:val="clear" w:color="auto" w:fill="FFFFFF"/>
        <w:spacing w:after="60" w:line="240" w:lineRule="auto"/>
        <w:ind w:left="360"/>
        <w:rPr>
          <w:rFonts w:ascii="Verdana" w:eastAsia="Times New Roman" w:hAnsi="Verdana" w:cs="Times New Roman"/>
          <w:sz w:val="24"/>
          <w:szCs w:val="24"/>
        </w:rPr>
      </w:pPr>
    </w:p>
    <w:p w14:paraId="3C957C24" w14:textId="24AAAB78" w:rsidR="00A1615F" w:rsidRPr="008B3051" w:rsidRDefault="00A1615F" w:rsidP="00C02C60">
      <w:pPr>
        <w:numPr>
          <w:ilvl w:val="0"/>
          <w:numId w:val="39"/>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SUBPART D - Miscellaneous Provisions (§§ 1286 to 1288)</w:t>
      </w:r>
    </w:p>
    <w:p w14:paraId="691F4168" w14:textId="77777777" w:rsidR="00693CA5" w:rsidRPr="008B3051" w:rsidRDefault="00693CA5" w:rsidP="00693CA5">
      <w:pPr>
        <w:pStyle w:val="ListParagraph"/>
        <w:rPr>
          <w:rFonts w:ascii="Verdana" w:eastAsia="Times New Roman" w:hAnsi="Verdana" w:cs="Times New Roman"/>
          <w:sz w:val="24"/>
          <w:szCs w:val="24"/>
        </w:rPr>
      </w:pPr>
    </w:p>
    <w:p w14:paraId="680A6652" w14:textId="4149F281" w:rsidR="00693CA5" w:rsidRPr="008B3051" w:rsidRDefault="00693CA5" w:rsidP="00C02C60">
      <w:pPr>
        <w:numPr>
          <w:ilvl w:val="0"/>
          <w:numId w:val="4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1286 - Tax treatment of stripped bonds</w:t>
      </w:r>
    </w:p>
    <w:p w14:paraId="72044721" w14:textId="108730AB" w:rsidR="00693CA5" w:rsidRPr="008B3051" w:rsidRDefault="00693CA5" w:rsidP="00C02C60">
      <w:pPr>
        <w:numPr>
          <w:ilvl w:val="0"/>
          <w:numId w:val="4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1287 - Denial of capital gain treatment for gains on certain obligations not in registered form</w:t>
      </w:r>
    </w:p>
    <w:p w14:paraId="2929BA0C" w14:textId="7A555E85" w:rsidR="00693CA5" w:rsidRPr="008B3051" w:rsidRDefault="00693CA5" w:rsidP="00C02C60">
      <w:pPr>
        <w:numPr>
          <w:ilvl w:val="0"/>
          <w:numId w:val="41"/>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1288 - Treatment of original issue discount on tax-exempt obligations</w:t>
      </w:r>
    </w:p>
    <w:p w14:paraId="4886740F" w14:textId="77777777" w:rsidR="00693CA5" w:rsidRPr="008B3051" w:rsidRDefault="00693CA5" w:rsidP="00693CA5">
      <w:pPr>
        <w:shd w:val="clear" w:color="auto" w:fill="FFFFFF"/>
        <w:spacing w:after="60" w:line="240" w:lineRule="auto"/>
        <w:ind w:left="360"/>
        <w:rPr>
          <w:rFonts w:ascii="Verdana" w:eastAsia="Times New Roman" w:hAnsi="Verdana" w:cs="Times New Roman"/>
          <w:sz w:val="24"/>
          <w:szCs w:val="24"/>
        </w:rPr>
      </w:pPr>
    </w:p>
    <w:p w14:paraId="0FDA5196" w14:textId="77777777" w:rsidR="00A1615F" w:rsidRPr="008B3051" w:rsidRDefault="00A1615F" w:rsidP="00A1615F">
      <w:pPr>
        <w:shd w:val="clear" w:color="auto" w:fill="FFFFFF"/>
        <w:spacing w:after="60" w:line="240" w:lineRule="auto"/>
        <w:ind w:left="720"/>
        <w:rPr>
          <w:rFonts w:ascii="Verdana" w:hAnsi="Verdana"/>
        </w:rPr>
      </w:pPr>
    </w:p>
    <w:p w14:paraId="7AA75D65" w14:textId="659FA953" w:rsidR="00A1615F" w:rsidRPr="008B3051" w:rsidRDefault="00A1615F" w:rsidP="00A1615F">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VI - TREATMENT OF CERTAIN PASSIVE FOREIGN INVESTMENT COMPANIES (§§ 1291 to 1298)</w:t>
      </w:r>
    </w:p>
    <w:p w14:paraId="4D971812" w14:textId="0ED87603"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SUBPART A - Interest on Tax Deferral (§ 1291)</w:t>
      </w:r>
    </w:p>
    <w:p w14:paraId="537D9C15" w14:textId="62B78BDE"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1291 - Interest on tax deferral</w:t>
      </w:r>
    </w:p>
    <w:p w14:paraId="70716D71" w14:textId="77777777" w:rsidR="00693CA5" w:rsidRPr="008B3051" w:rsidRDefault="00693CA5" w:rsidP="00693CA5">
      <w:pPr>
        <w:pStyle w:val="first"/>
        <w:shd w:val="clear" w:color="auto" w:fill="FFFFFF"/>
        <w:spacing w:before="0" w:beforeAutospacing="0" w:after="60" w:afterAutospacing="0"/>
        <w:ind w:left="720"/>
        <w:rPr>
          <w:rFonts w:ascii="Verdana" w:hAnsi="Verdana"/>
        </w:rPr>
      </w:pPr>
    </w:p>
    <w:p w14:paraId="38833A57" w14:textId="66194442"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SUBPART B - Treatment of Qualified Electing Funds (§§ 1293 to 1295)</w:t>
      </w:r>
    </w:p>
    <w:p w14:paraId="7ADFEF61" w14:textId="2A349B14"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1293 - Current taxation of income from qualified electing funds</w:t>
      </w:r>
    </w:p>
    <w:p w14:paraId="7BEF5E9C" w14:textId="637FC93E"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1294 - Election to extend time for payment of tax on undistributed earnings</w:t>
      </w:r>
    </w:p>
    <w:p w14:paraId="290D88F9" w14:textId="2BA177AA"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1295 - Qualified electing fund</w:t>
      </w:r>
    </w:p>
    <w:p w14:paraId="69BD349C" w14:textId="77777777" w:rsidR="00693CA5" w:rsidRPr="008B3051" w:rsidRDefault="00693CA5" w:rsidP="00693CA5">
      <w:pPr>
        <w:pStyle w:val="ListParagraph"/>
        <w:rPr>
          <w:rFonts w:ascii="Verdana" w:hAnsi="Verdana"/>
        </w:rPr>
      </w:pPr>
    </w:p>
    <w:p w14:paraId="7EC1BEAF" w14:textId="77777777" w:rsidR="00693CA5" w:rsidRPr="008B3051" w:rsidRDefault="00693CA5" w:rsidP="00693CA5">
      <w:pPr>
        <w:shd w:val="clear" w:color="auto" w:fill="FFFFFF"/>
        <w:spacing w:after="60" w:line="240" w:lineRule="auto"/>
        <w:ind w:left="720"/>
        <w:rPr>
          <w:rFonts w:ascii="Verdana" w:hAnsi="Verdana"/>
        </w:rPr>
      </w:pPr>
    </w:p>
    <w:p w14:paraId="1D61E03E" w14:textId="4CC3B465"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SUBPART C - Election of Mark to Market for Marketable Stock (§ 1296)</w:t>
      </w:r>
    </w:p>
    <w:p w14:paraId="4CA7BEFD" w14:textId="0CB2165E"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1296 - Election of mark to market for marketable stock</w:t>
      </w:r>
    </w:p>
    <w:p w14:paraId="1EDD478F" w14:textId="77777777" w:rsidR="00693CA5" w:rsidRPr="008B3051" w:rsidRDefault="00693CA5" w:rsidP="00693CA5">
      <w:pPr>
        <w:shd w:val="clear" w:color="auto" w:fill="FFFFFF"/>
        <w:spacing w:after="60" w:line="240" w:lineRule="auto"/>
        <w:ind w:left="720"/>
        <w:rPr>
          <w:rFonts w:ascii="Verdana" w:hAnsi="Verdana"/>
        </w:rPr>
      </w:pPr>
    </w:p>
    <w:p w14:paraId="4EE46CAF" w14:textId="66DEDB86"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SUBPART D - General Provisions (§§ 1297 to 1298)</w:t>
      </w:r>
    </w:p>
    <w:p w14:paraId="164CF02D" w14:textId="11826D8F"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1297 - Passive foreign investment company</w:t>
      </w:r>
    </w:p>
    <w:p w14:paraId="20A6B9A7" w14:textId="294FCB99"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1298 - Special rules</w:t>
      </w:r>
    </w:p>
    <w:p w14:paraId="4E2D5781" w14:textId="77777777" w:rsidR="00693CA5" w:rsidRPr="008B3051" w:rsidRDefault="00693CA5" w:rsidP="00693CA5">
      <w:pPr>
        <w:pStyle w:val="ListParagraph"/>
        <w:rPr>
          <w:rFonts w:ascii="Verdana" w:hAnsi="Verdana"/>
        </w:rPr>
      </w:pPr>
    </w:p>
    <w:p w14:paraId="27F33549" w14:textId="5AF057BB"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Q - Readjustment of Tax Between Years and Special Limitations (§§ 1301 to 1351)</w:t>
      </w:r>
    </w:p>
    <w:p w14:paraId="51B20986" w14:textId="70F9E191"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INCOME AVERAGING (§ 1301)</w:t>
      </w:r>
    </w:p>
    <w:p w14:paraId="1DE011F0" w14:textId="1D3F57C7"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1301 - Averaging of farm income</w:t>
      </w:r>
    </w:p>
    <w:p w14:paraId="275E9D7A" w14:textId="77777777" w:rsidR="00693CA5" w:rsidRPr="008B3051" w:rsidRDefault="00693CA5" w:rsidP="00693CA5">
      <w:pPr>
        <w:pStyle w:val="first"/>
        <w:shd w:val="clear" w:color="auto" w:fill="FFFFFF"/>
        <w:spacing w:before="0" w:beforeAutospacing="0" w:after="60" w:afterAutospacing="0"/>
        <w:ind w:left="720"/>
        <w:rPr>
          <w:rFonts w:ascii="Verdana" w:hAnsi="Verdana"/>
        </w:rPr>
      </w:pPr>
    </w:p>
    <w:p w14:paraId="362445F4" w14:textId="678AE7F8"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II - MITIGATION OF EFFECT OF LIMITATIONS AND OTHER PROVISIONS (§§ 1311 to 1315)</w:t>
      </w:r>
    </w:p>
    <w:p w14:paraId="591A1FC5" w14:textId="77777777" w:rsidR="00693CA5" w:rsidRPr="008B3051" w:rsidRDefault="00693CA5" w:rsidP="00693CA5">
      <w:pPr>
        <w:pStyle w:val="ListParagraph"/>
        <w:rPr>
          <w:rFonts w:ascii="Verdana" w:hAnsi="Verdana"/>
        </w:rPr>
      </w:pPr>
    </w:p>
    <w:p w14:paraId="46756A1F" w14:textId="4244A2C8" w:rsidR="00693CA5" w:rsidRPr="008B3051" w:rsidRDefault="00693CA5" w:rsidP="00C02C60">
      <w:pPr>
        <w:numPr>
          <w:ilvl w:val="0"/>
          <w:numId w:val="4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1311 - Correction of error</w:t>
      </w:r>
    </w:p>
    <w:p w14:paraId="2174FF74" w14:textId="1C9F01AA" w:rsidR="00693CA5" w:rsidRPr="008B3051" w:rsidRDefault="00693CA5" w:rsidP="00C02C60">
      <w:pPr>
        <w:numPr>
          <w:ilvl w:val="0"/>
          <w:numId w:val="4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1312 - Circumstances of adjustment</w:t>
      </w:r>
    </w:p>
    <w:p w14:paraId="2078D6F7" w14:textId="3221B2BD" w:rsidR="00693CA5" w:rsidRPr="008B3051" w:rsidRDefault="00693CA5" w:rsidP="00C02C60">
      <w:pPr>
        <w:numPr>
          <w:ilvl w:val="0"/>
          <w:numId w:val="4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1313 - Definitions</w:t>
      </w:r>
    </w:p>
    <w:p w14:paraId="56DB82B1" w14:textId="6151312A" w:rsidR="00693CA5" w:rsidRPr="008B3051" w:rsidRDefault="00693CA5" w:rsidP="00C02C60">
      <w:pPr>
        <w:numPr>
          <w:ilvl w:val="0"/>
          <w:numId w:val="4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1314 - Amount and method of adjustment</w:t>
      </w:r>
    </w:p>
    <w:p w14:paraId="3E31ACA6" w14:textId="3744C833" w:rsidR="00693CA5" w:rsidRPr="008B3051" w:rsidRDefault="00693CA5" w:rsidP="00C02C60">
      <w:pPr>
        <w:numPr>
          <w:ilvl w:val="0"/>
          <w:numId w:val="4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1315 - Repealed. Pub. L. 94–455, title XIX, § 1901(a)(143), Oct. 4, 1976, 90 Stat. 1788]</w:t>
      </w:r>
    </w:p>
    <w:p w14:paraId="499AF79D" w14:textId="77777777" w:rsidR="00693CA5" w:rsidRPr="008B3051" w:rsidRDefault="00693CA5" w:rsidP="00693CA5">
      <w:pPr>
        <w:shd w:val="clear" w:color="auto" w:fill="FFFFFF"/>
        <w:spacing w:after="60" w:line="240" w:lineRule="auto"/>
        <w:ind w:left="720"/>
        <w:rPr>
          <w:rFonts w:ascii="Verdana" w:hAnsi="Verdana"/>
        </w:rPr>
      </w:pPr>
    </w:p>
    <w:p w14:paraId="289C672D" w14:textId="42711972"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III - REPEALED] (§ 1321)</w:t>
      </w:r>
    </w:p>
    <w:p w14:paraId="2CA1CB61" w14:textId="11E8B00C"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1321 - Repealed. Pub. L. 94–455, title XIX, § 1901(a)(144), Oct. 4, 1976, 90 Stat. 1788]</w:t>
      </w:r>
    </w:p>
    <w:p w14:paraId="645F5222" w14:textId="77777777" w:rsidR="00693CA5" w:rsidRPr="008B3051" w:rsidRDefault="00693CA5" w:rsidP="00693CA5">
      <w:pPr>
        <w:shd w:val="clear" w:color="auto" w:fill="FFFFFF"/>
        <w:spacing w:after="60" w:line="240" w:lineRule="auto"/>
        <w:ind w:left="720"/>
        <w:rPr>
          <w:rFonts w:ascii="Verdana" w:hAnsi="Verdana"/>
        </w:rPr>
      </w:pPr>
    </w:p>
    <w:p w14:paraId="132EF268" w14:textId="10B0B15F"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IV - REPEALED] (§ 1331)</w:t>
      </w:r>
    </w:p>
    <w:p w14:paraId="218EB0D4" w14:textId="77777777" w:rsidR="00693CA5" w:rsidRPr="008B3051" w:rsidRDefault="00693CA5" w:rsidP="00693CA5">
      <w:pPr>
        <w:pStyle w:val="ListParagraph"/>
        <w:rPr>
          <w:rFonts w:ascii="Verdana" w:hAnsi="Verdana"/>
        </w:rPr>
      </w:pPr>
    </w:p>
    <w:p w14:paraId="2F52180E" w14:textId="058AA034" w:rsidR="00693CA5" w:rsidRPr="008B3051" w:rsidRDefault="00693CA5" w:rsidP="00C02C60">
      <w:pPr>
        <w:numPr>
          <w:ilvl w:val="0"/>
          <w:numId w:val="43"/>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1331 - Repealed. Pub. L. 94–455, title XIX, § 1901(a)(145)(A), Oct. 4, 1976, 90 Stat. 1788]</w:t>
      </w:r>
    </w:p>
    <w:p w14:paraId="77CA28DD" w14:textId="77777777" w:rsidR="00693CA5" w:rsidRPr="008B3051" w:rsidRDefault="00693CA5" w:rsidP="00693CA5">
      <w:pPr>
        <w:shd w:val="clear" w:color="auto" w:fill="FFFFFF"/>
        <w:spacing w:after="60" w:line="240" w:lineRule="auto"/>
        <w:ind w:left="720"/>
        <w:rPr>
          <w:rFonts w:ascii="Verdana" w:hAnsi="Verdana"/>
        </w:rPr>
      </w:pPr>
    </w:p>
    <w:p w14:paraId="0B163715" w14:textId="1C21DE6E"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V - CLAIM OF RIGHT (§§ 1341 to 1342)</w:t>
      </w:r>
    </w:p>
    <w:p w14:paraId="1F3035D2" w14:textId="2AFC3939"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1341 - Computation of tax where taxpayer restores substantial amount held under claim of right</w:t>
      </w:r>
    </w:p>
    <w:p w14:paraId="178D899D" w14:textId="10486BBE"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1342 - Repealed. Pub. L. 94–455, title XIX, § 1901(a)(147), Oct. 4, 1976, 90 Stat. 1788]</w:t>
      </w:r>
    </w:p>
    <w:p w14:paraId="500536CF" w14:textId="77777777" w:rsidR="00693CA5" w:rsidRPr="008B3051" w:rsidRDefault="00693CA5" w:rsidP="00693CA5">
      <w:pPr>
        <w:shd w:val="clear" w:color="auto" w:fill="FFFFFF"/>
        <w:spacing w:after="60" w:line="240" w:lineRule="auto"/>
        <w:ind w:left="720"/>
        <w:rPr>
          <w:rFonts w:ascii="Verdana" w:hAnsi="Verdana"/>
        </w:rPr>
      </w:pPr>
    </w:p>
    <w:p w14:paraId="6E4BD60D" w14:textId="05D4244B"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VI - REPEALED] (§§ 1346 to 1348)</w:t>
      </w:r>
    </w:p>
    <w:p w14:paraId="143A197F" w14:textId="77777777" w:rsidR="00693CA5" w:rsidRPr="008B3051" w:rsidRDefault="00693CA5" w:rsidP="00693CA5">
      <w:pPr>
        <w:pStyle w:val="ListParagraph"/>
        <w:rPr>
          <w:rFonts w:ascii="Verdana" w:hAnsi="Verdana"/>
        </w:rPr>
      </w:pPr>
    </w:p>
    <w:p w14:paraId="5057B0C9" w14:textId="3F249E4B" w:rsidR="00693CA5" w:rsidRPr="008B3051" w:rsidRDefault="00693CA5" w:rsidP="00C02C60">
      <w:pPr>
        <w:numPr>
          <w:ilvl w:val="0"/>
          <w:numId w:val="4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1346 - Repealed. Pub. L. 94–455, title XIX, § 1901(a)(148), Oct. 4, 1976, 90 Stat. 1788]</w:t>
      </w:r>
    </w:p>
    <w:p w14:paraId="4F260089" w14:textId="7EA7A694" w:rsidR="00693CA5" w:rsidRPr="008B3051" w:rsidRDefault="00693CA5" w:rsidP="00C02C60">
      <w:pPr>
        <w:numPr>
          <w:ilvl w:val="0"/>
          <w:numId w:val="4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1347 - Repealed. Pub. L. 94–455, title XIX, § 1951(b)(12)(A), Oct. 4, 1976, 90 Stat. 1840]</w:t>
      </w:r>
    </w:p>
    <w:p w14:paraId="7FEF68B9" w14:textId="75404776" w:rsidR="00693CA5" w:rsidRPr="008B3051" w:rsidRDefault="00693CA5" w:rsidP="00C02C60">
      <w:pPr>
        <w:numPr>
          <w:ilvl w:val="0"/>
          <w:numId w:val="44"/>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1348 - Repealed. Pub. L. 97–34, title I, § 101(c)(1), Aug. 13, 1981, 95 Stat. 183]</w:t>
      </w:r>
    </w:p>
    <w:p w14:paraId="0F4CE6AC" w14:textId="77777777" w:rsidR="00693CA5" w:rsidRPr="008B3051" w:rsidRDefault="00693CA5" w:rsidP="00693CA5">
      <w:pPr>
        <w:shd w:val="clear" w:color="auto" w:fill="FFFFFF"/>
        <w:spacing w:after="60" w:line="240" w:lineRule="auto"/>
        <w:ind w:left="720"/>
        <w:rPr>
          <w:rFonts w:ascii="Verdana" w:hAnsi="Verdana"/>
        </w:rPr>
      </w:pPr>
    </w:p>
    <w:p w14:paraId="6E5F9E1E" w14:textId="418B6BC4"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VII - RECOVERIES OF FOREIGN EXPROPRIATION LOSSES (§ 1351)</w:t>
      </w:r>
    </w:p>
    <w:p w14:paraId="778E41FD" w14:textId="1ACA8360"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1351 - Treatment of recoveries of foreign expropriation losses</w:t>
      </w:r>
    </w:p>
    <w:p w14:paraId="4F5DA80C" w14:textId="77777777" w:rsidR="00693CA5" w:rsidRPr="008B3051" w:rsidRDefault="00693CA5" w:rsidP="00693CA5">
      <w:pPr>
        <w:pStyle w:val="last"/>
        <w:shd w:val="clear" w:color="auto" w:fill="FFFFFF"/>
        <w:spacing w:before="0" w:beforeAutospacing="0" w:after="60" w:afterAutospacing="0"/>
        <w:ind w:left="720"/>
        <w:rPr>
          <w:rFonts w:ascii="Verdana" w:hAnsi="Verdana"/>
        </w:rPr>
      </w:pPr>
    </w:p>
    <w:p w14:paraId="5506EBC6" w14:textId="77777777" w:rsidR="00693CA5" w:rsidRPr="008B3051" w:rsidRDefault="00693CA5" w:rsidP="00693CA5">
      <w:pPr>
        <w:shd w:val="clear" w:color="auto" w:fill="FFFFFF"/>
        <w:spacing w:after="60" w:line="240" w:lineRule="auto"/>
        <w:ind w:left="720"/>
        <w:rPr>
          <w:rFonts w:ascii="Verdana" w:eastAsia="Times New Roman" w:hAnsi="Verdana" w:cs="Times New Roman"/>
          <w:sz w:val="24"/>
          <w:szCs w:val="24"/>
        </w:rPr>
      </w:pPr>
    </w:p>
    <w:p w14:paraId="384FF64E" w14:textId="372D0433"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R - Election To Determine Corporate Tax on Certain International Shipping Activities Using Per Ton Rate (§§ 1352 to 1359)</w:t>
      </w:r>
    </w:p>
    <w:p w14:paraId="550D5A74" w14:textId="207272EA"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1352 - Alternative tax on qualifying shipping activities</w:t>
      </w:r>
    </w:p>
    <w:p w14:paraId="7C53F099" w14:textId="211AFB5E"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1353 - Notional shipping income</w:t>
      </w:r>
    </w:p>
    <w:p w14:paraId="3B422354" w14:textId="2D1CFC41"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1354 - Alternative tax election; revocation; termination</w:t>
      </w:r>
    </w:p>
    <w:p w14:paraId="73523032" w14:textId="5143FC51"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1355 - Definitions and special rules</w:t>
      </w:r>
    </w:p>
    <w:p w14:paraId="330FD079" w14:textId="750C8652"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1356 - Qualifying shipping activities</w:t>
      </w:r>
    </w:p>
    <w:p w14:paraId="00BD716D" w14:textId="4C43D82C"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1357 - Items not subject to regular tax; depreciation; interest</w:t>
      </w:r>
    </w:p>
    <w:p w14:paraId="7EB5104D" w14:textId="1F1F6716"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1358 - Allocation of credits, income, and deductions</w:t>
      </w:r>
    </w:p>
    <w:p w14:paraId="033F528A" w14:textId="5BDC0C64"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1359 - Disposition of qualifying vessels</w:t>
      </w:r>
    </w:p>
    <w:p w14:paraId="4E7A85E1" w14:textId="77777777" w:rsidR="00693CA5" w:rsidRPr="008B3051" w:rsidRDefault="00693CA5" w:rsidP="00693CA5">
      <w:pPr>
        <w:shd w:val="clear" w:color="auto" w:fill="FFFFFF"/>
        <w:spacing w:after="60" w:line="240" w:lineRule="auto"/>
        <w:ind w:left="720"/>
        <w:rPr>
          <w:rFonts w:ascii="Verdana" w:eastAsia="Times New Roman" w:hAnsi="Verdana" w:cs="Times New Roman"/>
          <w:sz w:val="24"/>
          <w:szCs w:val="24"/>
        </w:rPr>
      </w:pPr>
    </w:p>
    <w:p w14:paraId="6EA8DE6F" w14:textId="2F4E1AD3"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S - Tax Treatment of S Corporations and Their Shareholders (§§ 1361 to 1379)</w:t>
      </w:r>
    </w:p>
    <w:p w14:paraId="7B215403" w14:textId="110E94B0"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IN GENERAL (§§ 1361 to 1363)</w:t>
      </w:r>
    </w:p>
    <w:p w14:paraId="65029EAF" w14:textId="735EDFBB"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1361 - S corporation defined</w:t>
      </w:r>
    </w:p>
    <w:p w14:paraId="308E82EE" w14:textId="3FB7F158"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1362 - Election; revocation; termination</w:t>
      </w:r>
    </w:p>
    <w:p w14:paraId="6641B8C1" w14:textId="3C1E3D96"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1363 - Effect of election on corporation</w:t>
      </w:r>
    </w:p>
    <w:p w14:paraId="5908393D" w14:textId="77777777" w:rsidR="00693CA5" w:rsidRPr="008B3051" w:rsidRDefault="00693CA5" w:rsidP="00693CA5">
      <w:pPr>
        <w:pStyle w:val="first"/>
        <w:shd w:val="clear" w:color="auto" w:fill="FFFFFF"/>
        <w:spacing w:before="0" w:beforeAutospacing="0" w:after="60" w:afterAutospacing="0"/>
        <w:ind w:left="720"/>
        <w:rPr>
          <w:rFonts w:ascii="Verdana" w:hAnsi="Verdana"/>
        </w:rPr>
      </w:pPr>
    </w:p>
    <w:p w14:paraId="48A0E336" w14:textId="0B297AC9"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II - TAX TREATMENT OF SHAREHOLDERS (§§ 1366 to 1368)</w:t>
      </w:r>
    </w:p>
    <w:p w14:paraId="4611F3B9" w14:textId="26DB8EE6"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1366 - Pass-thru of items to shareholders</w:t>
      </w:r>
    </w:p>
    <w:p w14:paraId="39BFD327" w14:textId="77117F1C"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1367 - Adjustments to basis of stock of shareholders, etc.</w:t>
      </w:r>
    </w:p>
    <w:p w14:paraId="0F145BEF" w14:textId="22D01D70"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1368 - Distributions</w:t>
      </w:r>
    </w:p>
    <w:p w14:paraId="3389EC1A" w14:textId="77777777" w:rsidR="00693CA5" w:rsidRPr="008B3051" w:rsidRDefault="00693CA5" w:rsidP="00693CA5">
      <w:pPr>
        <w:pStyle w:val="ListParagraph"/>
        <w:rPr>
          <w:rFonts w:ascii="Verdana" w:hAnsi="Verdana"/>
        </w:rPr>
      </w:pPr>
    </w:p>
    <w:p w14:paraId="5F396CA7" w14:textId="64BDD75E"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III - SPECIAL RULES (§§ 1371 to 1375)</w:t>
      </w:r>
    </w:p>
    <w:p w14:paraId="5875E128" w14:textId="24E5193A"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1371 - Coordination with subchapter C</w:t>
      </w:r>
    </w:p>
    <w:p w14:paraId="3D4BAD59" w14:textId="634B2D38"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1372 - Partnership rules to apply for fringe benefit purposes</w:t>
      </w:r>
    </w:p>
    <w:p w14:paraId="1B4605CD" w14:textId="117C6BB9"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1373 - Foreign income</w:t>
      </w:r>
    </w:p>
    <w:p w14:paraId="68595479" w14:textId="6DE2741F"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1374 - Tax imposed on certain built-in gains</w:t>
      </w:r>
    </w:p>
    <w:p w14:paraId="460A9F57" w14:textId="614F0EC2"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1375 - Tax imposed when passive investment income of corporation having accumulated earnings and profits exceeds 25 percent of gross receipts</w:t>
      </w:r>
    </w:p>
    <w:p w14:paraId="71BD0B2D" w14:textId="77777777" w:rsidR="00693CA5" w:rsidRPr="008B3051" w:rsidRDefault="00693CA5" w:rsidP="00693CA5">
      <w:pPr>
        <w:pStyle w:val="last"/>
        <w:shd w:val="clear" w:color="auto" w:fill="FFFFFF"/>
        <w:spacing w:before="0" w:beforeAutospacing="0" w:after="60" w:afterAutospacing="0"/>
        <w:ind w:left="720"/>
        <w:rPr>
          <w:rFonts w:ascii="Verdana" w:hAnsi="Verdana"/>
        </w:rPr>
      </w:pPr>
    </w:p>
    <w:p w14:paraId="390A1AEF" w14:textId="406B4218"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IV - DEFINITIONS; MISCELLANEOUS (§§ 1377 to 1379)</w:t>
      </w:r>
    </w:p>
    <w:p w14:paraId="4365D0B2" w14:textId="5250983D"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1377 - Definitions and special rule</w:t>
      </w:r>
    </w:p>
    <w:p w14:paraId="34042065" w14:textId="68A8C70A"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1378 - Taxable year of S corporation</w:t>
      </w:r>
    </w:p>
    <w:p w14:paraId="1D5B9377" w14:textId="6E6BBC88"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1379 - Transitional rules on enactment</w:t>
      </w:r>
    </w:p>
    <w:p w14:paraId="33194DDB" w14:textId="0154E36F" w:rsidR="00294301" w:rsidRPr="008B3051" w:rsidRDefault="00294301"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u w:val="single"/>
        </w:rPr>
        <w:t>SUBCHAPTER T - Cooperatives and Their Patrons (§§ 1381 to 1388)</w:t>
      </w:r>
    </w:p>
    <w:p w14:paraId="15BC703B" w14:textId="2F014617"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TAX TREATMENT OF COOPERATIVES (§§ 1381 to 1383)</w:t>
      </w:r>
    </w:p>
    <w:p w14:paraId="5A34D53E" w14:textId="1DB08D86"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1381 - Organizations to which part applies</w:t>
      </w:r>
    </w:p>
    <w:p w14:paraId="37E58FC7" w14:textId="1D0074FB"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 1382 - Taxable income of cooperatives</w:t>
      </w:r>
    </w:p>
    <w:p w14:paraId="7CC9A07A" w14:textId="4A2C17AA"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1383 - Computation of tax where cooperative redeems nonqualified written notices of allocation or nonqualified per-unit retain certificates</w:t>
      </w:r>
    </w:p>
    <w:p w14:paraId="3118E928" w14:textId="77777777" w:rsidR="00693CA5" w:rsidRPr="008B3051" w:rsidRDefault="00693CA5" w:rsidP="00693CA5">
      <w:pPr>
        <w:pStyle w:val="first"/>
        <w:shd w:val="clear" w:color="auto" w:fill="FFFFFF"/>
        <w:spacing w:before="0" w:beforeAutospacing="0" w:after="60" w:afterAutospacing="0"/>
        <w:ind w:left="720"/>
        <w:rPr>
          <w:rFonts w:ascii="Verdana" w:hAnsi="Verdana"/>
        </w:rPr>
      </w:pPr>
    </w:p>
    <w:p w14:paraId="792A5249" w14:textId="3A1CEF33" w:rsidR="00693CA5" w:rsidRPr="008B3051" w:rsidRDefault="00693CA5" w:rsidP="00693CA5">
      <w:pPr>
        <w:numPr>
          <w:ilvl w:val="0"/>
          <w:numId w:val="2"/>
        </w:numPr>
        <w:shd w:val="clear" w:color="auto" w:fill="FFFFFF"/>
        <w:spacing w:after="60" w:line="240" w:lineRule="auto"/>
        <w:rPr>
          <w:rFonts w:ascii="Verdana" w:hAnsi="Verdana"/>
        </w:rPr>
      </w:pPr>
      <w:r w:rsidRPr="008B3051">
        <w:rPr>
          <w:rFonts w:ascii="Verdana" w:hAnsi="Verdana"/>
        </w:rPr>
        <w:t>PART II - TAX TREATMENT BY PATRONS OF PATRONAGE DIVIDENDS AND PER-UNIT RETAIN ALLOCATIONS (§ 1385)</w:t>
      </w:r>
    </w:p>
    <w:p w14:paraId="5539359E" w14:textId="4E017BA8" w:rsidR="00693CA5" w:rsidRPr="008B3051" w:rsidRDefault="00693CA5" w:rsidP="00693CA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1385 - Amounts includible in patron’s gross income</w:t>
      </w:r>
    </w:p>
    <w:p w14:paraId="46D38AEA" w14:textId="77777777" w:rsidR="00693CA5" w:rsidRPr="008B3051" w:rsidRDefault="00693CA5" w:rsidP="00693CA5">
      <w:pPr>
        <w:pStyle w:val="ListParagraph"/>
        <w:rPr>
          <w:rFonts w:ascii="Verdana" w:hAnsi="Verdana"/>
        </w:rPr>
      </w:pPr>
    </w:p>
    <w:p w14:paraId="4FF00A9A" w14:textId="77777777" w:rsidR="00693CA5" w:rsidRPr="008B3051" w:rsidRDefault="00693CA5" w:rsidP="00693CA5">
      <w:pPr>
        <w:shd w:val="clear" w:color="auto" w:fill="FFFFFF"/>
        <w:spacing w:after="60" w:line="240" w:lineRule="auto"/>
        <w:ind w:left="720"/>
        <w:rPr>
          <w:rFonts w:ascii="Verdana" w:hAnsi="Verdana"/>
        </w:rPr>
      </w:pPr>
    </w:p>
    <w:p w14:paraId="67A3A5F7" w14:textId="6181C6D8" w:rsidR="00693CA5" w:rsidRPr="008B3051" w:rsidRDefault="00693CA5" w:rsidP="00693CA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III - DEFINITIONS; SPECIAL RULES (§ 1388)</w:t>
      </w:r>
    </w:p>
    <w:p w14:paraId="482E65DA" w14:textId="77777777" w:rsidR="00693CA5" w:rsidRPr="008B3051" w:rsidRDefault="00693CA5" w:rsidP="00693CA5">
      <w:pPr>
        <w:pStyle w:val="ListParagraph"/>
        <w:rPr>
          <w:rFonts w:ascii="Verdana" w:eastAsia="Times New Roman" w:hAnsi="Verdana" w:cs="Times New Roman"/>
          <w:sz w:val="24"/>
          <w:szCs w:val="24"/>
        </w:rPr>
      </w:pPr>
    </w:p>
    <w:p w14:paraId="0C37A80F" w14:textId="66548C7D" w:rsidR="00693CA5" w:rsidRPr="008B3051" w:rsidRDefault="00693CA5" w:rsidP="00C02C60">
      <w:pPr>
        <w:numPr>
          <w:ilvl w:val="0"/>
          <w:numId w:val="45"/>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1388 - Definitions; special rules</w:t>
      </w:r>
    </w:p>
    <w:p w14:paraId="6267EE50" w14:textId="77777777" w:rsidR="00693CA5" w:rsidRPr="008B3051" w:rsidRDefault="00693CA5" w:rsidP="00693CA5">
      <w:pPr>
        <w:shd w:val="clear" w:color="auto" w:fill="FFFFFF"/>
        <w:spacing w:after="60" w:line="240" w:lineRule="auto"/>
        <w:ind w:left="720"/>
        <w:rPr>
          <w:rFonts w:ascii="Verdana" w:eastAsia="Times New Roman" w:hAnsi="Verdana" w:cs="Times New Roman"/>
          <w:sz w:val="24"/>
          <w:szCs w:val="24"/>
        </w:rPr>
      </w:pPr>
    </w:p>
    <w:p w14:paraId="06AD4B6C" w14:textId="2B8038ED"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U - Designation and Treatment of Empowerment Zones, Enterprise Communities, and Rural Development Investment Areas (§§ 1391 to 1397F)</w:t>
      </w:r>
    </w:p>
    <w:p w14:paraId="262C129C" w14:textId="0E233CFE"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PART I - DESIGNATION (§§ 1391 to 1393)</w:t>
      </w:r>
    </w:p>
    <w:p w14:paraId="7FF6800C" w14:textId="538BC8E7"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1391 - Designation procedure</w:t>
      </w:r>
    </w:p>
    <w:p w14:paraId="2E9B5062" w14:textId="33B49E77"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1392 - Eligibility criteria</w:t>
      </w:r>
    </w:p>
    <w:p w14:paraId="17679B8B" w14:textId="1267A77D"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1393 - Definitions and special rules</w:t>
      </w:r>
    </w:p>
    <w:p w14:paraId="48648E78" w14:textId="77777777" w:rsidR="00294301" w:rsidRPr="008B3051" w:rsidRDefault="00294301" w:rsidP="00294301">
      <w:pPr>
        <w:pStyle w:val="first"/>
        <w:shd w:val="clear" w:color="auto" w:fill="FFFFFF"/>
        <w:spacing w:before="0" w:beforeAutospacing="0" w:after="60" w:afterAutospacing="0"/>
        <w:ind w:left="720"/>
        <w:rPr>
          <w:rFonts w:ascii="Verdana" w:hAnsi="Verdana"/>
        </w:rPr>
      </w:pPr>
    </w:p>
    <w:p w14:paraId="03D2AEDC" w14:textId="504A3195"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PART II - TAX-EXEMPT FACILITY BONDS FOR EMPOWERMENT ZONES AND ENTERPRISE COMMUNITIES (§ 1394)</w:t>
      </w:r>
    </w:p>
    <w:p w14:paraId="5B8F488F" w14:textId="77777777" w:rsidR="00294301" w:rsidRPr="008B3051" w:rsidRDefault="00294301" w:rsidP="00294301">
      <w:pPr>
        <w:pStyle w:val="ListParagraph"/>
        <w:rPr>
          <w:rFonts w:ascii="Verdana" w:hAnsi="Verdana"/>
        </w:rPr>
      </w:pPr>
    </w:p>
    <w:p w14:paraId="20093E5E" w14:textId="096ED1EE" w:rsidR="00294301" w:rsidRPr="008B3051" w:rsidRDefault="00294301" w:rsidP="00C02C60">
      <w:pPr>
        <w:numPr>
          <w:ilvl w:val="0"/>
          <w:numId w:val="46"/>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1394 - Tax-exempt enterprise zone facility bonds</w:t>
      </w:r>
    </w:p>
    <w:p w14:paraId="72770888" w14:textId="77777777" w:rsidR="00294301" w:rsidRPr="008B3051" w:rsidRDefault="00294301" w:rsidP="00294301">
      <w:pPr>
        <w:shd w:val="clear" w:color="auto" w:fill="FFFFFF"/>
        <w:spacing w:after="60" w:line="240" w:lineRule="auto"/>
        <w:ind w:left="720"/>
        <w:rPr>
          <w:rFonts w:ascii="Verdana" w:hAnsi="Verdana"/>
        </w:rPr>
      </w:pPr>
    </w:p>
    <w:p w14:paraId="448AECA3" w14:textId="592B6ECA"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PART III - ADDITIONAL INCENTIVES FOR EMPOWERMENT ZONES (§§ 1396 to 1397D)</w:t>
      </w:r>
    </w:p>
    <w:p w14:paraId="38192F9E" w14:textId="005EB8B4"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SUBPART A - Empowerment Zone Employment Credit (§§ 1396 to 1397)</w:t>
      </w:r>
    </w:p>
    <w:p w14:paraId="20C901AB" w14:textId="425C7F9D"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1396 - Empowerment zone employment credit</w:t>
      </w:r>
    </w:p>
    <w:p w14:paraId="5A51BDEF" w14:textId="6256A775"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1397 - Other definitions and special rules</w:t>
      </w:r>
    </w:p>
    <w:p w14:paraId="1E626F43" w14:textId="77777777" w:rsidR="00294301" w:rsidRPr="008B3051" w:rsidRDefault="00294301" w:rsidP="00294301">
      <w:pPr>
        <w:pStyle w:val="first"/>
        <w:shd w:val="clear" w:color="auto" w:fill="FFFFFF"/>
        <w:spacing w:before="0" w:beforeAutospacing="0" w:after="60" w:afterAutospacing="0"/>
        <w:ind w:left="720"/>
        <w:rPr>
          <w:rFonts w:ascii="Verdana" w:hAnsi="Verdana"/>
        </w:rPr>
      </w:pPr>
    </w:p>
    <w:p w14:paraId="394488EE" w14:textId="0DAF108C"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SUBPART B - Additional Expensing (§ 1397A)</w:t>
      </w:r>
    </w:p>
    <w:p w14:paraId="776A8EFD" w14:textId="2A95EC9D"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1397A - Increase in expensing under section 179</w:t>
      </w:r>
    </w:p>
    <w:p w14:paraId="1545E5B6" w14:textId="6C3F135D"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xml:space="preserve">SUBPART C - Nonrecognition of Gain on Rollover of Empowerment Zone Investments (§ 1397B) </w:t>
      </w:r>
    </w:p>
    <w:p w14:paraId="028AC14D" w14:textId="2230A82C"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1397B - Nonrecognition of gain on rollover of empowerment zone investments</w:t>
      </w:r>
    </w:p>
    <w:p w14:paraId="358A2307" w14:textId="3440E517"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SUBPART D - General Provisions (§§ 1397C to 1397D)</w:t>
      </w:r>
    </w:p>
    <w:p w14:paraId="75697F28" w14:textId="1F10CD8C"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1397C - Enterprise zone business defined</w:t>
      </w:r>
    </w:p>
    <w:p w14:paraId="6B401DD6" w14:textId="1C2EC0F1"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1397D - Qualified zone property defined</w:t>
      </w:r>
    </w:p>
    <w:p w14:paraId="2BF6A531" w14:textId="77777777" w:rsidR="00294301" w:rsidRPr="008B3051" w:rsidRDefault="00294301" w:rsidP="00294301">
      <w:pPr>
        <w:shd w:val="clear" w:color="auto" w:fill="FFFFFF"/>
        <w:spacing w:after="60" w:line="240" w:lineRule="auto"/>
        <w:ind w:left="720"/>
        <w:rPr>
          <w:rFonts w:ascii="Verdana" w:hAnsi="Verdana"/>
        </w:rPr>
      </w:pPr>
    </w:p>
    <w:p w14:paraId="20A50454" w14:textId="2F880FD7"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PART IV - INCENTIVES FOR EDUCATION ZONES (§ 1397E)</w:t>
      </w:r>
    </w:p>
    <w:p w14:paraId="772A1A5A" w14:textId="72F34142"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1397E - Repealed. Pub. L. 115–97, title I, § 13404(c)(1), Dec. 22, 2017, 131 Stat. 2138]</w:t>
      </w:r>
    </w:p>
    <w:p w14:paraId="5510331D" w14:textId="77777777" w:rsidR="00294301" w:rsidRPr="008B3051" w:rsidRDefault="00294301" w:rsidP="00294301">
      <w:pPr>
        <w:shd w:val="clear" w:color="auto" w:fill="FFFFFF"/>
        <w:spacing w:after="60" w:line="240" w:lineRule="auto"/>
        <w:ind w:left="720"/>
        <w:rPr>
          <w:rFonts w:ascii="Verdana" w:hAnsi="Verdana"/>
        </w:rPr>
      </w:pPr>
    </w:p>
    <w:p w14:paraId="75A3DF8E" w14:textId="173F8B64"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PART V - REGULATIONS (§ 1397F)</w:t>
      </w:r>
    </w:p>
    <w:p w14:paraId="38A864A1" w14:textId="58634E0F"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1397F - Regulations</w:t>
      </w:r>
    </w:p>
    <w:p w14:paraId="06D6DDBB" w14:textId="77777777" w:rsidR="00294301" w:rsidRPr="008B3051" w:rsidRDefault="00294301" w:rsidP="00294301">
      <w:pPr>
        <w:shd w:val="clear" w:color="auto" w:fill="FFFFFF"/>
        <w:spacing w:after="60" w:line="240" w:lineRule="auto"/>
        <w:ind w:left="720"/>
        <w:rPr>
          <w:rFonts w:ascii="Verdana" w:eastAsia="Times New Roman" w:hAnsi="Verdana" w:cs="Times New Roman"/>
          <w:sz w:val="24"/>
          <w:szCs w:val="24"/>
        </w:rPr>
      </w:pPr>
    </w:p>
    <w:p w14:paraId="4133321F" w14:textId="2F295359"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V - Title 11 Cases (§§ 1398 to 1399)</w:t>
      </w:r>
    </w:p>
    <w:p w14:paraId="4D30C780" w14:textId="77777777" w:rsidR="00294301" w:rsidRPr="008B3051" w:rsidRDefault="00294301" w:rsidP="00294301">
      <w:pPr>
        <w:pStyle w:val="ListParagraph"/>
        <w:rPr>
          <w:rFonts w:ascii="Verdana" w:eastAsia="Times New Roman" w:hAnsi="Verdana" w:cs="Times New Roman"/>
          <w:sz w:val="24"/>
          <w:szCs w:val="24"/>
        </w:rPr>
      </w:pPr>
    </w:p>
    <w:p w14:paraId="13A52F3A" w14:textId="24395C89" w:rsidR="00294301" w:rsidRPr="008B3051" w:rsidRDefault="00294301" w:rsidP="00C02C60">
      <w:pPr>
        <w:numPr>
          <w:ilvl w:val="0"/>
          <w:numId w:val="4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1398 - Rules relating to individuals’ title 11 cases</w:t>
      </w:r>
    </w:p>
    <w:p w14:paraId="43118BB4" w14:textId="375BFEC5" w:rsidR="00294301" w:rsidRPr="008B3051" w:rsidRDefault="00294301" w:rsidP="00C02C60">
      <w:pPr>
        <w:numPr>
          <w:ilvl w:val="0"/>
          <w:numId w:val="47"/>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 1399 - No separate taxable entities for partnerships, corporations, etc.</w:t>
      </w:r>
    </w:p>
    <w:p w14:paraId="5F6F5585" w14:textId="77777777" w:rsidR="00294301" w:rsidRPr="008B3051" w:rsidRDefault="00294301" w:rsidP="00294301">
      <w:pPr>
        <w:shd w:val="clear" w:color="auto" w:fill="FFFFFF"/>
        <w:spacing w:after="60" w:line="240" w:lineRule="auto"/>
        <w:ind w:left="720"/>
        <w:rPr>
          <w:rFonts w:ascii="Verdana" w:eastAsia="Times New Roman" w:hAnsi="Verdana" w:cs="Times New Roman"/>
          <w:sz w:val="24"/>
          <w:szCs w:val="24"/>
        </w:rPr>
      </w:pPr>
    </w:p>
    <w:p w14:paraId="64169877" w14:textId="132944BF"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W - District of Columbia Enterprise Zone (§§ 1400 to 1400C)</w:t>
      </w:r>
    </w:p>
    <w:p w14:paraId="6B534D07" w14:textId="3A0D6BF8"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1400 - Establishment of DC Zone</w:t>
      </w:r>
    </w:p>
    <w:p w14:paraId="75BF0777" w14:textId="2234C98A"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1400A - Tax-exempt economic development bonds</w:t>
      </w:r>
    </w:p>
    <w:p w14:paraId="3C8E5F3C" w14:textId="3357EA85"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1400B - Zero percent capital gains rate</w:t>
      </w:r>
    </w:p>
    <w:p w14:paraId="3CE85624" w14:textId="39820B85"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1400C - First-time homebuyer credit for District of Columbia</w:t>
      </w:r>
    </w:p>
    <w:p w14:paraId="313F0A63" w14:textId="77777777" w:rsidR="00294301" w:rsidRPr="008B3051" w:rsidRDefault="00294301" w:rsidP="00294301">
      <w:pPr>
        <w:shd w:val="clear" w:color="auto" w:fill="FFFFFF"/>
        <w:spacing w:after="60" w:line="240" w:lineRule="auto"/>
        <w:ind w:left="720"/>
        <w:rPr>
          <w:rFonts w:ascii="Verdana" w:eastAsia="Times New Roman" w:hAnsi="Verdana" w:cs="Times New Roman"/>
          <w:sz w:val="24"/>
          <w:szCs w:val="24"/>
        </w:rPr>
      </w:pPr>
    </w:p>
    <w:p w14:paraId="51E3F8D4" w14:textId="383D78A6"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X - Renewal Communities (§§ 1400E to 1400J)</w:t>
      </w:r>
    </w:p>
    <w:p w14:paraId="1FFC8C9F" w14:textId="77777777" w:rsidR="00294301" w:rsidRPr="008B3051" w:rsidRDefault="00294301" w:rsidP="00294301">
      <w:pPr>
        <w:pStyle w:val="ListParagraph"/>
        <w:rPr>
          <w:rFonts w:ascii="Verdana" w:eastAsia="Times New Roman" w:hAnsi="Verdana" w:cs="Times New Roman"/>
          <w:sz w:val="24"/>
          <w:szCs w:val="24"/>
        </w:rPr>
      </w:pPr>
    </w:p>
    <w:p w14:paraId="4F1CA97F" w14:textId="3BF3E728" w:rsidR="00294301" w:rsidRPr="008B3051" w:rsidRDefault="00294301" w:rsidP="00C02C60">
      <w:pPr>
        <w:numPr>
          <w:ilvl w:val="0"/>
          <w:numId w:val="4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 - DESIGNATION (§ 1400E)</w:t>
      </w:r>
    </w:p>
    <w:p w14:paraId="1B0708DC" w14:textId="68949EFC" w:rsidR="00294301" w:rsidRPr="008B3051" w:rsidRDefault="00294301" w:rsidP="00C02C60">
      <w:pPr>
        <w:pStyle w:val="first"/>
        <w:numPr>
          <w:ilvl w:val="0"/>
          <w:numId w:val="48"/>
        </w:numPr>
        <w:shd w:val="clear" w:color="auto" w:fill="FFFFFF"/>
        <w:spacing w:before="0" w:beforeAutospacing="0" w:after="60" w:afterAutospacing="0"/>
        <w:rPr>
          <w:rFonts w:ascii="Verdana" w:hAnsi="Verdana"/>
        </w:rPr>
      </w:pPr>
      <w:r w:rsidRPr="008B3051">
        <w:rPr>
          <w:rFonts w:ascii="Verdana" w:hAnsi="Verdana"/>
        </w:rPr>
        <w:t>§ 1400E - Designation of renewal communities</w:t>
      </w:r>
    </w:p>
    <w:p w14:paraId="75266DB0" w14:textId="77777777" w:rsidR="00294301" w:rsidRPr="008B3051" w:rsidRDefault="00294301" w:rsidP="00294301">
      <w:pPr>
        <w:shd w:val="clear" w:color="auto" w:fill="FFFFFF"/>
        <w:spacing w:after="60" w:line="240" w:lineRule="auto"/>
        <w:ind w:left="360"/>
        <w:rPr>
          <w:rFonts w:ascii="Verdana" w:eastAsia="Times New Roman" w:hAnsi="Verdana" w:cs="Times New Roman"/>
          <w:sz w:val="24"/>
          <w:szCs w:val="24"/>
        </w:rPr>
      </w:pPr>
    </w:p>
    <w:p w14:paraId="199F4C99" w14:textId="2B6D14F6" w:rsidR="00294301" w:rsidRPr="008B3051" w:rsidRDefault="00294301" w:rsidP="00C02C60">
      <w:pPr>
        <w:numPr>
          <w:ilvl w:val="0"/>
          <w:numId w:val="4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II - RENEWAL COMMUNITY CAPITAL GAIN; RENEWAL COMMUNITY BUSINESS (§§ 1400F to 1400G)</w:t>
      </w:r>
    </w:p>
    <w:p w14:paraId="34670791" w14:textId="23C87157" w:rsidR="00294301" w:rsidRPr="008B3051" w:rsidRDefault="00294301" w:rsidP="00C02C60">
      <w:pPr>
        <w:pStyle w:val="first"/>
        <w:numPr>
          <w:ilvl w:val="0"/>
          <w:numId w:val="48"/>
        </w:numPr>
        <w:shd w:val="clear" w:color="auto" w:fill="FFFFFF"/>
        <w:spacing w:before="0" w:beforeAutospacing="0" w:after="60" w:afterAutospacing="0"/>
        <w:rPr>
          <w:rFonts w:ascii="Verdana" w:hAnsi="Verdana"/>
        </w:rPr>
      </w:pPr>
      <w:r w:rsidRPr="008B3051">
        <w:rPr>
          <w:rFonts w:ascii="Verdana" w:hAnsi="Verdana"/>
        </w:rPr>
        <w:t>§ 1400F - Renewal community capital gain</w:t>
      </w:r>
    </w:p>
    <w:p w14:paraId="6F9A0417" w14:textId="266CB125" w:rsidR="00294301" w:rsidRPr="008B3051" w:rsidRDefault="00294301" w:rsidP="00C02C60">
      <w:pPr>
        <w:pStyle w:val="last"/>
        <w:numPr>
          <w:ilvl w:val="0"/>
          <w:numId w:val="48"/>
        </w:numPr>
        <w:shd w:val="clear" w:color="auto" w:fill="FFFFFF"/>
        <w:spacing w:before="0" w:beforeAutospacing="0" w:after="60" w:afterAutospacing="0"/>
        <w:rPr>
          <w:rFonts w:ascii="Verdana" w:hAnsi="Verdana"/>
        </w:rPr>
      </w:pPr>
      <w:r w:rsidRPr="008B3051">
        <w:rPr>
          <w:rFonts w:ascii="Verdana" w:hAnsi="Verdana"/>
        </w:rPr>
        <w:t>§ 1400G - Renewal community business defined</w:t>
      </w:r>
    </w:p>
    <w:p w14:paraId="332663F7" w14:textId="77777777" w:rsidR="00294301" w:rsidRPr="008B3051" w:rsidRDefault="00294301" w:rsidP="00294301">
      <w:pPr>
        <w:pStyle w:val="ListParagraph"/>
        <w:rPr>
          <w:rFonts w:ascii="Verdana" w:eastAsia="Times New Roman" w:hAnsi="Verdana" w:cs="Times New Roman"/>
          <w:sz w:val="24"/>
          <w:szCs w:val="24"/>
        </w:rPr>
      </w:pPr>
    </w:p>
    <w:p w14:paraId="25290EB8" w14:textId="77777777" w:rsidR="00294301" w:rsidRPr="008B3051" w:rsidRDefault="00294301" w:rsidP="00294301">
      <w:pPr>
        <w:shd w:val="clear" w:color="auto" w:fill="FFFFFF"/>
        <w:spacing w:after="60" w:line="240" w:lineRule="auto"/>
        <w:ind w:left="360"/>
        <w:rPr>
          <w:rFonts w:ascii="Verdana" w:eastAsia="Times New Roman" w:hAnsi="Verdana" w:cs="Times New Roman"/>
          <w:sz w:val="24"/>
          <w:szCs w:val="24"/>
        </w:rPr>
      </w:pPr>
    </w:p>
    <w:p w14:paraId="0F4A4CCC" w14:textId="75053918" w:rsidR="00294301" w:rsidRPr="008B3051" w:rsidRDefault="00294301" w:rsidP="00C02C60">
      <w:pPr>
        <w:numPr>
          <w:ilvl w:val="0"/>
          <w:numId w:val="48"/>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PART III - ADDITIONAL INCENTIVES (§§ 1400H to 1400J)</w:t>
      </w:r>
    </w:p>
    <w:p w14:paraId="58E7549F" w14:textId="2B57890B" w:rsidR="00294301" w:rsidRPr="008B3051" w:rsidRDefault="00294301" w:rsidP="00C02C60">
      <w:pPr>
        <w:pStyle w:val="first"/>
        <w:numPr>
          <w:ilvl w:val="0"/>
          <w:numId w:val="48"/>
        </w:numPr>
        <w:shd w:val="clear" w:color="auto" w:fill="FFFFFF"/>
        <w:spacing w:before="0" w:beforeAutospacing="0" w:after="60" w:afterAutospacing="0"/>
        <w:rPr>
          <w:rFonts w:ascii="Verdana" w:hAnsi="Verdana"/>
        </w:rPr>
      </w:pPr>
      <w:r w:rsidRPr="008B3051">
        <w:rPr>
          <w:rFonts w:ascii="Verdana" w:hAnsi="Verdana"/>
        </w:rPr>
        <w:t>§ 1400H - Renewal community employment credit</w:t>
      </w:r>
    </w:p>
    <w:p w14:paraId="3DA62A68" w14:textId="75A36A0A" w:rsidR="00294301" w:rsidRPr="008B3051" w:rsidRDefault="00294301" w:rsidP="00C02C60">
      <w:pPr>
        <w:numPr>
          <w:ilvl w:val="0"/>
          <w:numId w:val="48"/>
        </w:numPr>
        <w:shd w:val="clear" w:color="auto" w:fill="FFFFFF"/>
        <w:spacing w:after="60" w:line="240" w:lineRule="auto"/>
        <w:rPr>
          <w:rFonts w:ascii="Verdana" w:hAnsi="Verdana"/>
        </w:rPr>
      </w:pPr>
      <w:r w:rsidRPr="008B3051">
        <w:rPr>
          <w:rFonts w:ascii="Verdana" w:hAnsi="Verdana"/>
        </w:rPr>
        <w:t>§ 1400I - Commercial revitalization deduction</w:t>
      </w:r>
    </w:p>
    <w:p w14:paraId="2AB5BF09" w14:textId="1296DE5A" w:rsidR="00294301" w:rsidRPr="008B3051" w:rsidRDefault="00294301" w:rsidP="00C02C60">
      <w:pPr>
        <w:pStyle w:val="last"/>
        <w:numPr>
          <w:ilvl w:val="0"/>
          <w:numId w:val="48"/>
        </w:numPr>
        <w:shd w:val="clear" w:color="auto" w:fill="FFFFFF"/>
        <w:spacing w:before="0" w:beforeAutospacing="0" w:after="60" w:afterAutospacing="0"/>
        <w:rPr>
          <w:rFonts w:ascii="Verdana" w:hAnsi="Verdana"/>
        </w:rPr>
      </w:pPr>
      <w:r w:rsidRPr="008B3051">
        <w:rPr>
          <w:rFonts w:ascii="Verdana" w:hAnsi="Verdana"/>
        </w:rPr>
        <w:t>§ 1400J - Increase in expensing under section 179</w:t>
      </w:r>
    </w:p>
    <w:p w14:paraId="294A3C6B" w14:textId="77777777" w:rsidR="00294301" w:rsidRPr="008B3051" w:rsidRDefault="00294301" w:rsidP="00294301">
      <w:pPr>
        <w:shd w:val="clear" w:color="auto" w:fill="FFFFFF"/>
        <w:spacing w:after="60" w:line="240" w:lineRule="auto"/>
        <w:ind w:left="720"/>
        <w:rPr>
          <w:rFonts w:ascii="Verdana" w:eastAsia="Times New Roman" w:hAnsi="Verdana" w:cs="Times New Roman"/>
          <w:sz w:val="24"/>
          <w:szCs w:val="24"/>
        </w:rPr>
      </w:pPr>
    </w:p>
    <w:p w14:paraId="31CDB090" w14:textId="196E7B49"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Y - Short-Term Regional Benefits (§§ 1400L to 1400U-3)</w:t>
      </w:r>
    </w:p>
    <w:p w14:paraId="0B601587" w14:textId="45923F8C"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1400L - Tax benefits for New York Liberty Zone</w:t>
      </w:r>
    </w:p>
    <w:p w14:paraId="28AC7F21" w14:textId="74A0D18E"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1400M - Definitions</w:t>
      </w:r>
    </w:p>
    <w:p w14:paraId="7C95D5B9" w14:textId="5FA42A85"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1400N - Tax benefits for Gulf Opportunity Zone</w:t>
      </w:r>
    </w:p>
    <w:p w14:paraId="1B351804" w14:textId="0C7008E3"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1400O - Education tax benefits</w:t>
      </w:r>
    </w:p>
    <w:p w14:paraId="5EE70407" w14:textId="4FACC053"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1400P - Housing tax benefits</w:t>
      </w:r>
    </w:p>
    <w:p w14:paraId="5F9271AF" w14:textId="5BBDB204"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1400Q - Special rules for use of retirement funds</w:t>
      </w:r>
    </w:p>
    <w:p w14:paraId="10202B0E" w14:textId="6AED88A5"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1400R - Employment relief</w:t>
      </w:r>
    </w:p>
    <w:p w14:paraId="3D2081D1" w14:textId="10DA49A7"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1400S - Additional tax relief provisions</w:t>
      </w:r>
    </w:p>
    <w:p w14:paraId="2320FE94" w14:textId="4074EFB1"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1400T - Special rules for mortgage revenue bonds</w:t>
      </w:r>
    </w:p>
    <w:p w14:paraId="22ED0F2F" w14:textId="023E8C18" w:rsidR="00294301" w:rsidRPr="008B3051" w:rsidRDefault="00294301" w:rsidP="00294301">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1400U-1 - Allocation of recovery zone bonds</w:t>
      </w:r>
    </w:p>
    <w:p w14:paraId="7B6C440E" w14:textId="26BCCBAF" w:rsidR="00294301" w:rsidRPr="008B3051" w:rsidRDefault="00294301" w:rsidP="00294301">
      <w:pPr>
        <w:numPr>
          <w:ilvl w:val="0"/>
          <w:numId w:val="2"/>
        </w:numPr>
        <w:shd w:val="clear" w:color="auto" w:fill="FFFFFF"/>
        <w:spacing w:after="60" w:line="240" w:lineRule="auto"/>
        <w:rPr>
          <w:rFonts w:ascii="Verdana" w:hAnsi="Verdana"/>
        </w:rPr>
      </w:pPr>
      <w:r w:rsidRPr="008B3051">
        <w:rPr>
          <w:rFonts w:ascii="Verdana" w:hAnsi="Verdana"/>
        </w:rPr>
        <w:t>§ 1400U-2 - Recovery zone economic development bonds</w:t>
      </w:r>
    </w:p>
    <w:p w14:paraId="037BBFF4" w14:textId="006C73CE" w:rsidR="00294301" w:rsidRPr="008B3051" w:rsidRDefault="00294301" w:rsidP="00294301">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1400U-3 - Recovery zone facility bonds</w:t>
      </w:r>
    </w:p>
    <w:p w14:paraId="3E7C7025" w14:textId="77777777" w:rsidR="00294301" w:rsidRPr="008B3051" w:rsidRDefault="00294301" w:rsidP="00294301">
      <w:pPr>
        <w:shd w:val="clear" w:color="auto" w:fill="FFFFFF"/>
        <w:spacing w:after="60" w:line="240" w:lineRule="auto"/>
        <w:ind w:left="720"/>
        <w:rPr>
          <w:rFonts w:ascii="Verdana" w:eastAsia="Times New Roman" w:hAnsi="Verdana" w:cs="Times New Roman"/>
          <w:sz w:val="24"/>
          <w:szCs w:val="24"/>
        </w:rPr>
      </w:pPr>
    </w:p>
    <w:p w14:paraId="3AFB4C18" w14:textId="038DACB0" w:rsidR="00003067" w:rsidRPr="008B3051" w:rsidRDefault="00003067" w:rsidP="00003067">
      <w:pPr>
        <w:numPr>
          <w:ilvl w:val="0"/>
          <w:numId w:val="2"/>
        </w:numPr>
        <w:shd w:val="clear" w:color="auto" w:fill="FFFFFF"/>
        <w:spacing w:after="60" w:line="240" w:lineRule="auto"/>
        <w:rPr>
          <w:rFonts w:ascii="Verdana" w:eastAsia="Times New Roman" w:hAnsi="Verdana" w:cs="Times New Roman"/>
          <w:sz w:val="24"/>
          <w:szCs w:val="24"/>
        </w:rPr>
      </w:pPr>
      <w:r w:rsidRPr="008B3051">
        <w:rPr>
          <w:rFonts w:ascii="Verdana" w:eastAsia="Times New Roman" w:hAnsi="Verdana" w:cs="Times New Roman"/>
          <w:sz w:val="24"/>
          <w:szCs w:val="24"/>
          <w:u w:val="single"/>
        </w:rPr>
        <w:t>SUBCHAPTER Z - Opportunity Zones (§§ 1400Z-1 to 1400Z-2)</w:t>
      </w:r>
    </w:p>
    <w:p w14:paraId="7D3011F8" w14:textId="77777777" w:rsidR="002D6DB5" w:rsidRPr="008B3051" w:rsidRDefault="002D6DB5" w:rsidP="002D6DB5">
      <w:pPr>
        <w:pStyle w:val="ListParagraph"/>
        <w:rPr>
          <w:rFonts w:ascii="Verdana" w:eastAsia="Times New Roman" w:hAnsi="Verdana" w:cs="Times New Roman"/>
          <w:sz w:val="24"/>
          <w:szCs w:val="24"/>
        </w:rPr>
      </w:pPr>
    </w:p>
    <w:p w14:paraId="42EEFCA3" w14:textId="565C1083" w:rsidR="002D6DB5" w:rsidRPr="008B3051" w:rsidRDefault="002D6DB5" w:rsidP="00C02C60">
      <w:pPr>
        <w:numPr>
          <w:ilvl w:val="0"/>
          <w:numId w:val="49"/>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1400Z-1 - Designation</w:t>
      </w:r>
    </w:p>
    <w:p w14:paraId="655EC7E3" w14:textId="4FE63B4F" w:rsidR="002D6DB5" w:rsidRPr="002D6DB5" w:rsidRDefault="002D6DB5" w:rsidP="00C02C60">
      <w:pPr>
        <w:numPr>
          <w:ilvl w:val="0"/>
          <w:numId w:val="49"/>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1400Z-2 - Special rules for capital gains invested in opportunity zones</w:t>
      </w:r>
    </w:p>
    <w:p w14:paraId="6D269BB3" w14:textId="77777777" w:rsidR="002D6DB5" w:rsidRPr="008B3051" w:rsidRDefault="002D6DB5" w:rsidP="002D6DB5">
      <w:pPr>
        <w:shd w:val="clear" w:color="auto" w:fill="FFFFFF"/>
        <w:spacing w:after="60" w:line="240" w:lineRule="auto"/>
        <w:ind w:left="720"/>
        <w:rPr>
          <w:rFonts w:ascii="Verdana" w:eastAsia="Times New Roman" w:hAnsi="Verdana" w:cs="Times New Roman"/>
          <w:sz w:val="24"/>
          <w:szCs w:val="24"/>
        </w:rPr>
      </w:pPr>
    </w:p>
    <w:p w14:paraId="3B3CC494" w14:textId="08FCB534"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2 - TAX ON SELF-EMPLOYMENT INCOME (§§ 1401 to 1403)</w:t>
      </w:r>
    </w:p>
    <w:p w14:paraId="3661F8B6" w14:textId="2A7DDA19"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1401 - Rate of tax</w:t>
      </w:r>
    </w:p>
    <w:p w14:paraId="678F3F13" w14:textId="2447A8E3"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1402 - Definitions</w:t>
      </w:r>
    </w:p>
    <w:p w14:paraId="7D739763" w14:textId="357A8DFB"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1403 - Miscellaneous provisions</w:t>
      </w:r>
    </w:p>
    <w:p w14:paraId="66CBF39B" w14:textId="77777777" w:rsidR="002D6DB5" w:rsidRPr="008B3051" w:rsidRDefault="002D6DB5" w:rsidP="002D6DB5">
      <w:pPr>
        <w:shd w:val="clear" w:color="auto" w:fill="FFFFFF"/>
        <w:spacing w:after="60" w:line="240" w:lineRule="auto"/>
        <w:ind w:left="360"/>
        <w:rPr>
          <w:rFonts w:ascii="Verdana" w:eastAsia="Times New Roman" w:hAnsi="Verdana" w:cs="Times New Roman"/>
          <w:sz w:val="24"/>
          <w:szCs w:val="24"/>
        </w:rPr>
      </w:pPr>
    </w:p>
    <w:p w14:paraId="254E41D3" w14:textId="5683A8D9"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2A - UNEARNED INCOME MEDICARE CONTRIBUTION (§ 1411)</w:t>
      </w:r>
    </w:p>
    <w:p w14:paraId="32947CC6" w14:textId="77777777" w:rsidR="002D6DB5" w:rsidRPr="008B3051" w:rsidRDefault="002D6DB5" w:rsidP="002D6DB5">
      <w:pPr>
        <w:pStyle w:val="ListParagraph"/>
        <w:rPr>
          <w:rFonts w:ascii="Verdana" w:eastAsia="Times New Roman" w:hAnsi="Verdana" w:cs="Times New Roman"/>
          <w:sz w:val="24"/>
          <w:szCs w:val="24"/>
        </w:rPr>
      </w:pPr>
    </w:p>
    <w:p w14:paraId="7339EC74" w14:textId="5963A4A7" w:rsidR="002D6DB5" w:rsidRPr="002D6DB5" w:rsidRDefault="002D6DB5" w:rsidP="00C02C60">
      <w:pPr>
        <w:numPr>
          <w:ilvl w:val="0"/>
          <w:numId w:val="50"/>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1411 - Imposition of tax</w:t>
      </w:r>
    </w:p>
    <w:p w14:paraId="13F17EA7" w14:textId="77777777" w:rsidR="002D6DB5" w:rsidRPr="008B3051" w:rsidRDefault="002D6DB5" w:rsidP="002D6DB5">
      <w:pPr>
        <w:shd w:val="clear" w:color="auto" w:fill="FFFFFF"/>
        <w:spacing w:after="60" w:line="240" w:lineRule="auto"/>
        <w:ind w:left="360"/>
        <w:rPr>
          <w:rFonts w:ascii="Verdana" w:eastAsia="Times New Roman" w:hAnsi="Verdana" w:cs="Times New Roman"/>
          <w:sz w:val="24"/>
          <w:szCs w:val="24"/>
        </w:rPr>
      </w:pPr>
    </w:p>
    <w:p w14:paraId="4640103F" w14:textId="10311248"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3 - WITHHOLDING OF TAX ON NONRESIDENT ALIENS AND FOREIGN CORPORATIONS (§§ 1441 to 1465)</w:t>
      </w:r>
    </w:p>
    <w:p w14:paraId="5ABDF492" w14:textId="31098A5A"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SUBCHAPTER A - Nonresident Aliens and Foreign Corporations (§§ 1441 to 1446)</w:t>
      </w:r>
    </w:p>
    <w:p w14:paraId="3E3EC727" w14:textId="00E48EB2"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1441 - Withholding of tax on nonresident aliens</w:t>
      </w:r>
    </w:p>
    <w:p w14:paraId="096AE75B" w14:textId="1DCCE63F"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1442 - Withholding of tax on foreign corporations</w:t>
      </w:r>
    </w:p>
    <w:p w14:paraId="653A4CC6" w14:textId="7EDEBB78"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1443 - Foreign tax-exempt organizations</w:t>
      </w:r>
    </w:p>
    <w:p w14:paraId="08A0230C" w14:textId="4DFA05FA"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1444 - Withholding on Virgin Islands source income</w:t>
      </w:r>
    </w:p>
    <w:p w14:paraId="026D320B" w14:textId="781A0A6E"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1445 - Withholding of tax on dispositions of United States real property interests</w:t>
      </w:r>
    </w:p>
    <w:p w14:paraId="322589B1" w14:textId="7BD82214"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1446 - Withholding tax on foreign partners’ share of effectively connected income</w:t>
      </w:r>
    </w:p>
    <w:p w14:paraId="028E354F" w14:textId="77777777" w:rsidR="002D6DB5" w:rsidRPr="008B3051" w:rsidRDefault="002D6DB5" w:rsidP="002D6DB5">
      <w:pPr>
        <w:pStyle w:val="first"/>
        <w:shd w:val="clear" w:color="auto" w:fill="FFFFFF"/>
        <w:spacing w:before="0" w:beforeAutospacing="0" w:after="60" w:afterAutospacing="0"/>
        <w:ind w:left="720"/>
        <w:rPr>
          <w:rFonts w:ascii="Verdana" w:hAnsi="Verdana"/>
        </w:rPr>
      </w:pPr>
    </w:p>
    <w:p w14:paraId="445C67F2" w14:textId="5B59BB76"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SUBCHAPTER B - Application of Withholding Provisions (§§ 1451 to 1465)</w:t>
      </w:r>
    </w:p>
    <w:p w14:paraId="3D8ACE17" w14:textId="77777777" w:rsidR="002D6DB5" w:rsidRPr="008B3051" w:rsidRDefault="002D6DB5" w:rsidP="002D6DB5">
      <w:pPr>
        <w:pStyle w:val="ListParagraph"/>
        <w:rPr>
          <w:rFonts w:ascii="Verdana" w:hAnsi="Verdana"/>
        </w:rPr>
      </w:pPr>
    </w:p>
    <w:p w14:paraId="489D8646" w14:textId="1B842870"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1451 - Repealed. Pub. L. 98–369, div. A, title IV, § 474(r)(29)(A), July 18, 1984, 98 Stat. 844]</w:t>
      </w:r>
    </w:p>
    <w:p w14:paraId="5E351647" w14:textId="455F2E62"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1461 - Liability for withheld tax</w:t>
      </w:r>
    </w:p>
    <w:p w14:paraId="35A47C62" w14:textId="58F26D7C"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1462 - Withheld tax as credit to recipient of income</w:t>
      </w:r>
    </w:p>
    <w:p w14:paraId="0244863C" w14:textId="2CB0C04B"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1463 - Tax paid by recipient of income</w:t>
      </w:r>
    </w:p>
    <w:p w14:paraId="19DE5BFA" w14:textId="6103A0CD"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1464 - Refunds and credits with respect to withheld tax</w:t>
      </w:r>
    </w:p>
    <w:p w14:paraId="027B57CC" w14:textId="3676FDE6" w:rsidR="002D6DB5" w:rsidRPr="002D6DB5" w:rsidRDefault="002D6DB5" w:rsidP="00C02C60">
      <w:pPr>
        <w:numPr>
          <w:ilvl w:val="0"/>
          <w:numId w:val="51"/>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 1465 - Repealed. Pub. L. 94–455, title XIX, § 1901(a)(156), Oct. 4, 1976, 90 Stat. 1789]</w:t>
      </w:r>
    </w:p>
    <w:p w14:paraId="1C7487CF" w14:textId="77777777" w:rsidR="002D6DB5" w:rsidRPr="008B3051" w:rsidRDefault="002D6DB5" w:rsidP="002D6DB5">
      <w:pPr>
        <w:pStyle w:val="last"/>
        <w:shd w:val="clear" w:color="auto" w:fill="FFFFFF"/>
        <w:spacing w:before="0" w:beforeAutospacing="0" w:after="60" w:afterAutospacing="0"/>
        <w:ind w:left="720"/>
        <w:rPr>
          <w:rFonts w:ascii="Verdana" w:hAnsi="Verdana"/>
        </w:rPr>
      </w:pPr>
    </w:p>
    <w:p w14:paraId="45971C9D" w14:textId="77777777" w:rsidR="002D6DB5" w:rsidRPr="008B3051" w:rsidRDefault="002D6DB5" w:rsidP="002D6DB5">
      <w:pPr>
        <w:shd w:val="clear" w:color="auto" w:fill="FFFFFF"/>
        <w:spacing w:after="60" w:line="240" w:lineRule="auto"/>
        <w:ind w:left="360"/>
        <w:rPr>
          <w:rFonts w:ascii="Verdana" w:eastAsia="Times New Roman" w:hAnsi="Verdana" w:cs="Times New Roman"/>
          <w:sz w:val="24"/>
          <w:szCs w:val="24"/>
        </w:rPr>
      </w:pPr>
    </w:p>
    <w:p w14:paraId="22BC1D80" w14:textId="23196C82"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4 - TAXES TO ENFORCE REPORTING ON CERTAIN FOREIGN ACCOUNTS (§§ 1471 to 1474)</w:t>
      </w:r>
    </w:p>
    <w:p w14:paraId="054A2775" w14:textId="6E945D48"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1471 - Withholdable payments to foreign financial institutions</w:t>
      </w:r>
    </w:p>
    <w:p w14:paraId="08D85646" w14:textId="191F25EB"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1472 - Withholdable payments to other foreign entities</w:t>
      </w:r>
    </w:p>
    <w:p w14:paraId="6E7279B1" w14:textId="49930EF4"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1473 - Definitions</w:t>
      </w:r>
    </w:p>
    <w:p w14:paraId="38B37955" w14:textId="428BCF2E"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1474 - Special rules</w:t>
      </w:r>
    </w:p>
    <w:p w14:paraId="496AF60B" w14:textId="77777777" w:rsidR="002D6DB5" w:rsidRPr="008B3051" w:rsidRDefault="002D6DB5" w:rsidP="002D6DB5">
      <w:pPr>
        <w:shd w:val="clear" w:color="auto" w:fill="FFFFFF"/>
        <w:spacing w:after="60" w:line="240" w:lineRule="auto"/>
        <w:ind w:left="360"/>
        <w:rPr>
          <w:rFonts w:ascii="Verdana" w:eastAsia="Times New Roman" w:hAnsi="Verdana" w:cs="Times New Roman"/>
          <w:sz w:val="24"/>
          <w:szCs w:val="24"/>
        </w:rPr>
      </w:pPr>
    </w:p>
    <w:p w14:paraId="25C47E76" w14:textId="5842796F"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5 - REPEALED] (§§ 1491 to 1494)</w:t>
      </w:r>
    </w:p>
    <w:p w14:paraId="245B8776" w14:textId="70E248F5"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1491 - Repealed. Pub. L. 105–34, title XI, § 1131(a), Aug. 5, 1997, 111 Stat. 978]</w:t>
      </w:r>
    </w:p>
    <w:p w14:paraId="666875F5" w14:textId="07578EA8"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1493 - Repealed. Pub. L. 89–809, title I, § 103(l)(2), Nov. 13, 1966, 80 Stat. 1554]</w:t>
      </w:r>
    </w:p>
    <w:p w14:paraId="50822BC4" w14:textId="778D59B4"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1494 - Repealed. Pub. L. 105–34, title XI, § 1131(a), Aug. 5, 1997, 111 Stat. 978]</w:t>
      </w:r>
    </w:p>
    <w:p w14:paraId="7E662B04" w14:textId="77777777" w:rsidR="002D6DB5" w:rsidRPr="008B3051" w:rsidRDefault="002D6DB5" w:rsidP="002D6DB5">
      <w:pPr>
        <w:pStyle w:val="ListParagraph"/>
        <w:rPr>
          <w:rFonts w:ascii="Verdana" w:eastAsia="Times New Roman" w:hAnsi="Verdana" w:cs="Times New Roman"/>
          <w:sz w:val="24"/>
          <w:szCs w:val="24"/>
        </w:rPr>
      </w:pPr>
    </w:p>
    <w:p w14:paraId="09398313" w14:textId="77777777" w:rsidR="002D6DB5" w:rsidRPr="008B3051" w:rsidRDefault="002D6DB5" w:rsidP="002D6DB5">
      <w:pPr>
        <w:shd w:val="clear" w:color="auto" w:fill="FFFFFF"/>
        <w:spacing w:after="60" w:line="240" w:lineRule="auto"/>
        <w:ind w:left="360"/>
        <w:rPr>
          <w:rFonts w:ascii="Verdana" w:eastAsia="Times New Roman" w:hAnsi="Verdana" w:cs="Times New Roman"/>
          <w:sz w:val="24"/>
          <w:szCs w:val="24"/>
        </w:rPr>
      </w:pPr>
    </w:p>
    <w:p w14:paraId="7E3428DD" w14:textId="2CD5F065" w:rsidR="00003067" w:rsidRPr="008B3051" w:rsidRDefault="00003067" w:rsidP="00003067">
      <w:pPr>
        <w:numPr>
          <w:ilvl w:val="0"/>
          <w:numId w:val="2"/>
        </w:numPr>
        <w:shd w:val="clear" w:color="auto" w:fill="FFFFFF"/>
        <w:spacing w:after="60" w:line="240" w:lineRule="auto"/>
        <w:ind w:left="360"/>
        <w:rPr>
          <w:rFonts w:ascii="Verdana" w:eastAsia="Times New Roman" w:hAnsi="Verdana" w:cs="Times New Roman"/>
          <w:sz w:val="24"/>
          <w:szCs w:val="24"/>
        </w:rPr>
      </w:pPr>
      <w:r w:rsidRPr="008B3051">
        <w:rPr>
          <w:rFonts w:ascii="Verdana" w:eastAsia="Times New Roman" w:hAnsi="Verdana" w:cs="Times New Roman"/>
          <w:sz w:val="24"/>
          <w:szCs w:val="24"/>
          <w:u w:val="single"/>
        </w:rPr>
        <w:t>CHAPTER 6 - CONSOLIDATED RETURNS (§§ 1501 to 1564)</w:t>
      </w:r>
    </w:p>
    <w:p w14:paraId="4F31AEBA" w14:textId="3B407BA6"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SUBCHAPTER A - Returns and Payment of Tax (§§ 1501 to 1505)</w:t>
      </w:r>
    </w:p>
    <w:p w14:paraId="491C1061" w14:textId="6CA20442" w:rsidR="002D6DB5" w:rsidRPr="008B3051" w:rsidRDefault="002D6DB5" w:rsidP="002D6DB5">
      <w:pPr>
        <w:pStyle w:val="first"/>
        <w:numPr>
          <w:ilvl w:val="0"/>
          <w:numId w:val="2"/>
        </w:numPr>
        <w:shd w:val="clear" w:color="auto" w:fill="FFFFFF"/>
        <w:spacing w:before="0" w:beforeAutospacing="0" w:after="60" w:afterAutospacing="0"/>
        <w:rPr>
          <w:rFonts w:ascii="Verdana" w:hAnsi="Verdana"/>
        </w:rPr>
      </w:pPr>
      <w:r w:rsidRPr="008B3051">
        <w:rPr>
          <w:rFonts w:ascii="Verdana" w:hAnsi="Verdana"/>
        </w:rPr>
        <w:t>§ 1501 - Privilege to file consolidated returns</w:t>
      </w:r>
    </w:p>
    <w:p w14:paraId="54AD2FB4" w14:textId="52D6FB45"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1502 - Regulations</w:t>
      </w:r>
    </w:p>
    <w:p w14:paraId="130BFDC3" w14:textId="0FAC5A3A"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1503 - Computation and payment of tax</w:t>
      </w:r>
    </w:p>
    <w:p w14:paraId="4E12CE7F" w14:textId="3C1E68B1" w:rsidR="002D6DB5" w:rsidRPr="008B3051" w:rsidRDefault="002D6DB5" w:rsidP="002D6DB5">
      <w:pPr>
        <w:numPr>
          <w:ilvl w:val="0"/>
          <w:numId w:val="2"/>
        </w:numPr>
        <w:shd w:val="clear" w:color="auto" w:fill="FFFFFF"/>
        <w:spacing w:after="60" w:line="240" w:lineRule="auto"/>
        <w:rPr>
          <w:rFonts w:ascii="Verdana" w:hAnsi="Verdana"/>
        </w:rPr>
      </w:pPr>
      <w:r w:rsidRPr="008B3051">
        <w:rPr>
          <w:rFonts w:ascii="Verdana" w:hAnsi="Verdana"/>
        </w:rPr>
        <w:t>§ 1504 - Definitions</w:t>
      </w:r>
    </w:p>
    <w:p w14:paraId="4288C1DE" w14:textId="53AA8F89"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 1505 - Cross references</w:t>
      </w:r>
    </w:p>
    <w:p w14:paraId="096F39E1" w14:textId="77777777" w:rsidR="002D6DB5" w:rsidRPr="008B3051" w:rsidRDefault="002D6DB5" w:rsidP="002D6DB5">
      <w:pPr>
        <w:pStyle w:val="first"/>
        <w:shd w:val="clear" w:color="auto" w:fill="FFFFFF"/>
        <w:spacing w:before="0" w:beforeAutospacing="0" w:after="60" w:afterAutospacing="0"/>
        <w:ind w:left="720"/>
        <w:rPr>
          <w:rFonts w:ascii="Verdana" w:hAnsi="Verdana"/>
        </w:rPr>
      </w:pPr>
    </w:p>
    <w:p w14:paraId="4008EAEA" w14:textId="4E51C481" w:rsidR="002D6DB5" w:rsidRPr="008B3051" w:rsidRDefault="002D6DB5" w:rsidP="002D6DB5">
      <w:pPr>
        <w:pStyle w:val="last"/>
        <w:numPr>
          <w:ilvl w:val="0"/>
          <w:numId w:val="2"/>
        </w:numPr>
        <w:shd w:val="clear" w:color="auto" w:fill="FFFFFF"/>
        <w:spacing w:before="0" w:beforeAutospacing="0" w:after="60" w:afterAutospacing="0"/>
        <w:rPr>
          <w:rFonts w:ascii="Verdana" w:hAnsi="Verdana"/>
        </w:rPr>
      </w:pPr>
      <w:r w:rsidRPr="008B3051">
        <w:rPr>
          <w:rFonts w:ascii="Verdana" w:hAnsi="Verdana"/>
        </w:rPr>
        <w:t>SUBCHAPTER B - Related Rules (§§ 1551 to 1564)</w:t>
      </w:r>
    </w:p>
    <w:p w14:paraId="00FB7E41" w14:textId="77777777" w:rsidR="002D6DB5" w:rsidRPr="008B3051" w:rsidRDefault="002D6DB5" w:rsidP="002D6DB5">
      <w:pPr>
        <w:pStyle w:val="ListParagraph"/>
        <w:rPr>
          <w:rFonts w:ascii="Verdana" w:hAnsi="Verdana"/>
        </w:rPr>
      </w:pPr>
    </w:p>
    <w:p w14:paraId="2572D5D1" w14:textId="3C989B46" w:rsidR="002D6DB5" w:rsidRPr="008B3051" w:rsidRDefault="002D6DB5" w:rsidP="00C02C60">
      <w:pPr>
        <w:numPr>
          <w:ilvl w:val="0"/>
          <w:numId w:val="52"/>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PART I - IN GENERAL (§§ 1551 to 1552)</w:t>
      </w:r>
    </w:p>
    <w:p w14:paraId="4A35C366" w14:textId="436866EC" w:rsidR="002D6DB5" w:rsidRPr="008B3051" w:rsidRDefault="002D6DB5" w:rsidP="00C02C60">
      <w:pPr>
        <w:pStyle w:val="first"/>
        <w:numPr>
          <w:ilvl w:val="0"/>
          <w:numId w:val="52"/>
        </w:numPr>
        <w:shd w:val="clear" w:color="auto" w:fill="FFFFFF"/>
        <w:spacing w:before="0" w:beforeAutospacing="0" w:after="60" w:afterAutospacing="0"/>
        <w:rPr>
          <w:rFonts w:ascii="Verdana" w:hAnsi="Verdana"/>
        </w:rPr>
      </w:pPr>
      <w:r w:rsidRPr="008B3051">
        <w:rPr>
          <w:rFonts w:ascii="Verdana" w:hAnsi="Verdana"/>
        </w:rPr>
        <w:t>§ 1551 - Repealed. Pub. L. 115–97, title I, § 13001(b)(5)(A), Dec. 22, 2017, 131 Stat. 2098]</w:t>
      </w:r>
    </w:p>
    <w:p w14:paraId="0B95F600" w14:textId="29AB47D5" w:rsidR="002D6DB5" w:rsidRPr="008B3051" w:rsidRDefault="002D6DB5" w:rsidP="00C02C60">
      <w:pPr>
        <w:pStyle w:val="last"/>
        <w:numPr>
          <w:ilvl w:val="0"/>
          <w:numId w:val="52"/>
        </w:numPr>
        <w:shd w:val="clear" w:color="auto" w:fill="FFFFFF"/>
        <w:spacing w:before="0" w:beforeAutospacing="0" w:after="60" w:afterAutospacing="0"/>
        <w:rPr>
          <w:rFonts w:ascii="Verdana" w:hAnsi="Verdana"/>
        </w:rPr>
      </w:pPr>
      <w:r w:rsidRPr="008B3051">
        <w:rPr>
          <w:rFonts w:ascii="Verdana" w:hAnsi="Verdana"/>
        </w:rPr>
        <w:t>§ 1552 - Earnings and profits</w:t>
      </w:r>
    </w:p>
    <w:p w14:paraId="14D8422A" w14:textId="77777777" w:rsidR="002D6DB5" w:rsidRPr="002D6DB5" w:rsidRDefault="002D6DB5" w:rsidP="002D6DB5">
      <w:pPr>
        <w:shd w:val="clear" w:color="auto" w:fill="FFFFFF"/>
        <w:spacing w:after="60" w:line="240" w:lineRule="auto"/>
        <w:ind w:left="360"/>
        <w:rPr>
          <w:rFonts w:ascii="Verdana" w:eastAsia="Times New Roman" w:hAnsi="Verdana" w:cs="Times New Roman"/>
          <w:sz w:val="24"/>
          <w:szCs w:val="24"/>
        </w:rPr>
      </w:pPr>
    </w:p>
    <w:p w14:paraId="41817CBB" w14:textId="1E480228" w:rsidR="002D6DB5" w:rsidRPr="002D6DB5" w:rsidRDefault="002D6DB5" w:rsidP="00C02C60">
      <w:pPr>
        <w:numPr>
          <w:ilvl w:val="0"/>
          <w:numId w:val="52"/>
        </w:numPr>
        <w:shd w:val="clear" w:color="auto" w:fill="FFFFFF"/>
        <w:spacing w:after="60" w:line="240" w:lineRule="auto"/>
        <w:ind w:left="360"/>
        <w:rPr>
          <w:rFonts w:ascii="Verdana" w:eastAsia="Times New Roman" w:hAnsi="Verdana" w:cs="Times New Roman"/>
          <w:sz w:val="24"/>
          <w:szCs w:val="24"/>
        </w:rPr>
      </w:pPr>
      <w:r w:rsidRPr="002D6DB5">
        <w:rPr>
          <w:rFonts w:ascii="Verdana" w:eastAsia="Times New Roman" w:hAnsi="Verdana" w:cs="Times New Roman"/>
          <w:sz w:val="24"/>
          <w:szCs w:val="24"/>
          <w:u w:val="single"/>
        </w:rPr>
        <w:t>PART II - CERTAIN CONTROLLED CORPORATIONS (§§ 1561 to 1564)</w:t>
      </w:r>
    </w:p>
    <w:p w14:paraId="7B3D04FF" w14:textId="4D3998BC" w:rsidR="002D6DB5" w:rsidRPr="008B3051" w:rsidRDefault="002D6DB5" w:rsidP="00C02C60">
      <w:pPr>
        <w:pStyle w:val="first"/>
        <w:numPr>
          <w:ilvl w:val="0"/>
          <w:numId w:val="52"/>
        </w:numPr>
        <w:shd w:val="clear" w:color="auto" w:fill="FFFFFF"/>
        <w:spacing w:before="0" w:beforeAutospacing="0" w:after="60" w:afterAutospacing="0"/>
        <w:rPr>
          <w:rFonts w:ascii="Verdana" w:hAnsi="Verdana"/>
        </w:rPr>
      </w:pPr>
      <w:r w:rsidRPr="008B3051">
        <w:rPr>
          <w:rFonts w:ascii="Verdana" w:hAnsi="Verdana"/>
        </w:rPr>
        <w:t>§ 1561 - Limitation on accumulated earnings credit in the case of certain controlled corporations</w:t>
      </w:r>
    </w:p>
    <w:p w14:paraId="6EF5A13F" w14:textId="66ECC88A" w:rsidR="002D6DB5" w:rsidRPr="008B3051" w:rsidRDefault="002D6DB5" w:rsidP="00C02C60">
      <w:pPr>
        <w:numPr>
          <w:ilvl w:val="0"/>
          <w:numId w:val="52"/>
        </w:numPr>
        <w:shd w:val="clear" w:color="auto" w:fill="FFFFFF"/>
        <w:spacing w:after="60" w:line="240" w:lineRule="auto"/>
        <w:rPr>
          <w:rFonts w:ascii="Verdana" w:hAnsi="Verdana"/>
        </w:rPr>
      </w:pPr>
      <w:r w:rsidRPr="008B3051">
        <w:rPr>
          <w:rFonts w:ascii="Verdana" w:hAnsi="Verdana"/>
        </w:rPr>
        <w:t>§ 1562 - Repealed. Pub. L. 91–172, title IV, § 401(a)(2), Dec. 30, 1969, 83 Stat. 600]</w:t>
      </w:r>
    </w:p>
    <w:p w14:paraId="6037DC68" w14:textId="629AA0A0" w:rsidR="002D6DB5" w:rsidRPr="008B3051" w:rsidRDefault="002D6DB5" w:rsidP="00C02C60">
      <w:pPr>
        <w:numPr>
          <w:ilvl w:val="0"/>
          <w:numId w:val="52"/>
        </w:numPr>
        <w:shd w:val="clear" w:color="auto" w:fill="FFFFFF"/>
        <w:spacing w:after="60" w:line="240" w:lineRule="auto"/>
        <w:rPr>
          <w:rFonts w:ascii="Verdana" w:hAnsi="Verdana"/>
        </w:rPr>
      </w:pPr>
      <w:r w:rsidRPr="008B3051">
        <w:rPr>
          <w:rFonts w:ascii="Verdana" w:hAnsi="Verdana"/>
        </w:rPr>
        <w:t>§ 1563 - Definitions and special rules</w:t>
      </w:r>
    </w:p>
    <w:p w14:paraId="5A0F589F" w14:textId="5D8B928B" w:rsidR="002D6DB5" w:rsidRPr="008B3051" w:rsidRDefault="002D6DB5" w:rsidP="00C02C60">
      <w:pPr>
        <w:pStyle w:val="last"/>
        <w:numPr>
          <w:ilvl w:val="0"/>
          <w:numId w:val="52"/>
        </w:numPr>
        <w:shd w:val="clear" w:color="auto" w:fill="FFFFFF"/>
        <w:spacing w:before="0" w:beforeAutospacing="0" w:after="60" w:afterAutospacing="0"/>
        <w:rPr>
          <w:rFonts w:ascii="Verdana" w:hAnsi="Verdana"/>
        </w:rPr>
      </w:pPr>
      <w:r w:rsidRPr="008B3051">
        <w:rPr>
          <w:rFonts w:ascii="Verdana" w:hAnsi="Verdana"/>
        </w:rPr>
        <w:t>§ 1564 - Repealed. Pub. L. 101–508, title XI, § 11801(a)(38), Nov. 5, 1990, 104 Stat. 1388–521]</w:t>
      </w:r>
    </w:p>
    <w:p w14:paraId="04D52BBC" w14:textId="77777777" w:rsidR="002D6DB5" w:rsidRPr="008B3051" w:rsidRDefault="002D6DB5" w:rsidP="002D6DB5">
      <w:pPr>
        <w:pStyle w:val="last"/>
        <w:shd w:val="clear" w:color="auto" w:fill="FFFFFF"/>
        <w:spacing w:before="0" w:beforeAutospacing="0" w:after="60" w:afterAutospacing="0"/>
        <w:ind w:left="720"/>
        <w:rPr>
          <w:rFonts w:ascii="Verdana" w:hAnsi="Verdana"/>
        </w:rPr>
      </w:pPr>
    </w:p>
    <w:p w14:paraId="267425A4" w14:textId="2411551F" w:rsidR="002D6DB5" w:rsidRPr="008B3051" w:rsidRDefault="00C02C60" w:rsidP="002D6DB5">
      <w:pPr>
        <w:shd w:val="clear" w:color="auto" w:fill="FFFFFF"/>
        <w:spacing w:after="60" w:line="240" w:lineRule="auto"/>
        <w:ind w:left="360"/>
        <w:rPr>
          <w:rFonts w:ascii="Verdana" w:eastAsia="Times New Roman" w:hAnsi="Verdana" w:cs="Times New Roman"/>
          <w:sz w:val="24"/>
          <w:szCs w:val="24"/>
        </w:rPr>
      </w:pPr>
      <w:r>
        <w:rPr>
          <w:rFonts w:ascii="Verdana" w:eastAsia="Times New Roman" w:hAnsi="Verdana" w:cs="Times New Roman"/>
          <w:sz w:val="24"/>
          <w:szCs w:val="24"/>
        </w:rPr>
        <w:t xml:space="preserve">For complete book, send mail to </w:t>
      </w:r>
      <w:hyperlink r:id="rId6" w:history="1">
        <w:r w:rsidRPr="006E6C46">
          <w:rPr>
            <w:rStyle w:val="Hyperlink"/>
            <w:rFonts w:ascii="Verdana" w:eastAsia="Times New Roman" w:hAnsi="Verdana" w:cs="Times New Roman"/>
            <w:sz w:val="24"/>
            <w:szCs w:val="24"/>
          </w:rPr>
          <w:t>carajusn@gmail.com</w:t>
        </w:r>
      </w:hyperlink>
      <w:r>
        <w:rPr>
          <w:rFonts w:ascii="Verdana" w:eastAsia="Times New Roman" w:hAnsi="Verdana" w:cs="Times New Roman"/>
          <w:sz w:val="24"/>
          <w:szCs w:val="24"/>
        </w:rPr>
        <w:t xml:space="preserve"> </w:t>
      </w:r>
    </w:p>
    <w:p w14:paraId="4575C610" w14:textId="3210A8BD" w:rsidR="00003067" w:rsidRPr="008B3051" w:rsidRDefault="00003067"/>
    <w:p w14:paraId="44261747" w14:textId="77777777" w:rsidR="00003067" w:rsidRPr="008B3051" w:rsidRDefault="00003067"/>
    <w:sectPr w:rsidR="00003067" w:rsidRPr="008B3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3CB9"/>
    <w:multiLevelType w:val="multilevel"/>
    <w:tmpl w:val="AA4C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661B3"/>
    <w:multiLevelType w:val="multilevel"/>
    <w:tmpl w:val="9A50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436B9"/>
    <w:multiLevelType w:val="multilevel"/>
    <w:tmpl w:val="40D8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E5C0A"/>
    <w:multiLevelType w:val="multilevel"/>
    <w:tmpl w:val="4DA6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74812"/>
    <w:multiLevelType w:val="multilevel"/>
    <w:tmpl w:val="60B6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C6221"/>
    <w:multiLevelType w:val="multilevel"/>
    <w:tmpl w:val="8AFC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93642"/>
    <w:multiLevelType w:val="multilevel"/>
    <w:tmpl w:val="6202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3852EF"/>
    <w:multiLevelType w:val="multilevel"/>
    <w:tmpl w:val="B94C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C5187"/>
    <w:multiLevelType w:val="multilevel"/>
    <w:tmpl w:val="E41E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F68FD"/>
    <w:multiLevelType w:val="multilevel"/>
    <w:tmpl w:val="0294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63828"/>
    <w:multiLevelType w:val="multilevel"/>
    <w:tmpl w:val="4B74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641B9E"/>
    <w:multiLevelType w:val="multilevel"/>
    <w:tmpl w:val="8638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544AC"/>
    <w:multiLevelType w:val="multilevel"/>
    <w:tmpl w:val="9FD8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83725"/>
    <w:multiLevelType w:val="multilevel"/>
    <w:tmpl w:val="9642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E74A0"/>
    <w:multiLevelType w:val="multilevel"/>
    <w:tmpl w:val="EBFA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C4D65"/>
    <w:multiLevelType w:val="multilevel"/>
    <w:tmpl w:val="D71A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956CF3"/>
    <w:multiLevelType w:val="multilevel"/>
    <w:tmpl w:val="F024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638A0"/>
    <w:multiLevelType w:val="multilevel"/>
    <w:tmpl w:val="0B2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1D386B"/>
    <w:multiLevelType w:val="multilevel"/>
    <w:tmpl w:val="32D0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94E9A"/>
    <w:multiLevelType w:val="multilevel"/>
    <w:tmpl w:val="411C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F53321"/>
    <w:multiLevelType w:val="multilevel"/>
    <w:tmpl w:val="4E44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B7B7A"/>
    <w:multiLevelType w:val="multilevel"/>
    <w:tmpl w:val="8A24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836B9"/>
    <w:multiLevelType w:val="multilevel"/>
    <w:tmpl w:val="2F1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3D4DA6"/>
    <w:multiLevelType w:val="multilevel"/>
    <w:tmpl w:val="3B3A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461F4A"/>
    <w:multiLevelType w:val="multilevel"/>
    <w:tmpl w:val="3E92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B535BD"/>
    <w:multiLevelType w:val="multilevel"/>
    <w:tmpl w:val="8E92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457AFE"/>
    <w:multiLevelType w:val="multilevel"/>
    <w:tmpl w:val="4D10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4D264B"/>
    <w:multiLevelType w:val="multilevel"/>
    <w:tmpl w:val="6486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797CE6"/>
    <w:multiLevelType w:val="multilevel"/>
    <w:tmpl w:val="C212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83055D"/>
    <w:multiLevelType w:val="multilevel"/>
    <w:tmpl w:val="D44E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5219B"/>
    <w:multiLevelType w:val="multilevel"/>
    <w:tmpl w:val="D5CC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FA7CC5"/>
    <w:multiLevelType w:val="multilevel"/>
    <w:tmpl w:val="A652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42316B"/>
    <w:multiLevelType w:val="multilevel"/>
    <w:tmpl w:val="32400D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A6019B"/>
    <w:multiLevelType w:val="multilevel"/>
    <w:tmpl w:val="A6C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A76ED"/>
    <w:multiLevelType w:val="multilevel"/>
    <w:tmpl w:val="5B4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284EED"/>
    <w:multiLevelType w:val="multilevel"/>
    <w:tmpl w:val="204A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5C3093"/>
    <w:multiLevelType w:val="multilevel"/>
    <w:tmpl w:val="5424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274910"/>
    <w:multiLevelType w:val="multilevel"/>
    <w:tmpl w:val="646C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873F69"/>
    <w:multiLevelType w:val="multilevel"/>
    <w:tmpl w:val="AD10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301C76"/>
    <w:multiLevelType w:val="multilevel"/>
    <w:tmpl w:val="2916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C15BF1"/>
    <w:multiLevelType w:val="multilevel"/>
    <w:tmpl w:val="02E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B1750B"/>
    <w:multiLevelType w:val="multilevel"/>
    <w:tmpl w:val="D38A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685C95"/>
    <w:multiLevelType w:val="multilevel"/>
    <w:tmpl w:val="22AC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397BDA"/>
    <w:multiLevelType w:val="multilevel"/>
    <w:tmpl w:val="7C3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B0100"/>
    <w:multiLevelType w:val="multilevel"/>
    <w:tmpl w:val="0FCE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E92482"/>
    <w:multiLevelType w:val="multilevel"/>
    <w:tmpl w:val="A28C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FE5D9F"/>
    <w:multiLevelType w:val="multilevel"/>
    <w:tmpl w:val="BDB6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3848C3"/>
    <w:multiLevelType w:val="multilevel"/>
    <w:tmpl w:val="297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B74CCB"/>
    <w:multiLevelType w:val="multilevel"/>
    <w:tmpl w:val="91A4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3914B4"/>
    <w:multiLevelType w:val="multilevel"/>
    <w:tmpl w:val="BFF0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2B75F8"/>
    <w:multiLevelType w:val="multilevel"/>
    <w:tmpl w:val="0B02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856D66"/>
    <w:multiLevelType w:val="multilevel"/>
    <w:tmpl w:val="4FBA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8"/>
  </w:num>
  <w:num w:numId="3">
    <w:abstractNumId w:val="17"/>
  </w:num>
  <w:num w:numId="4">
    <w:abstractNumId w:val="16"/>
  </w:num>
  <w:num w:numId="5">
    <w:abstractNumId w:val="34"/>
  </w:num>
  <w:num w:numId="6">
    <w:abstractNumId w:val="15"/>
  </w:num>
  <w:num w:numId="7">
    <w:abstractNumId w:val="3"/>
  </w:num>
  <w:num w:numId="8">
    <w:abstractNumId w:val="41"/>
  </w:num>
  <w:num w:numId="9">
    <w:abstractNumId w:val="12"/>
  </w:num>
  <w:num w:numId="10">
    <w:abstractNumId w:val="20"/>
  </w:num>
  <w:num w:numId="11">
    <w:abstractNumId w:val="24"/>
  </w:num>
  <w:num w:numId="12">
    <w:abstractNumId w:val="2"/>
  </w:num>
  <w:num w:numId="13">
    <w:abstractNumId w:val="18"/>
  </w:num>
  <w:num w:numId="14">
    <w:abstractNumId w:val="29"/>
  </w:num>
  <w:num w:numId="15">
    <w:abstractNumId w:val="11"/>
  </w:num>
  <w:num w:numId="16">
    <w:abstractNumId w:val="9"/>
  </w:num>
  <w:num w:numId="17">
    <w:abstractNumId w:val="47"/>
  </w:num>
  <w:num w:numId="18">
    <w:abstractNumId w:val="51"/>
  </w:num>
  <w:num w:numId="19">
    <w:abstractNumId w:val="50"/>
  </w:num>
  <w:num w:numId="20">
    <w:abstractNumId w:val="21"/>
  </w:num>
  <w:num w:numId="21">
    <w:abstractNumId w:val="43"/>
  </w:num>
  <w:num w:numId="22">
    <w:abstractNumId w:val="46"/>
  </w:num>
  <w:num w:numId="23">
    <w:abstractNumId w:val="39"/>
  </w:num>
  <w:num w:numId="24">
    <w:abstractNumId w:val="1"/>
  </w:num>
  <w:num w:numId="25">
    <w:abstractNumId w:val="40"/>
  </w:num>
  <w:num w:numId="26">
    <w:abstractNumId w:val="28"/>
  </w:num>
  <w:num w:numId="27">
    <w:abstractNumId w:val="31"/>
  </w:num>
  <w:num w:numId="28">
    <w:abstractNumId w:val="13"/>
  </w:num>
  <w:num w:numId="29">
    <w:abstractNumId w:val="4"/>
  </w:num>
  <w:num w:numId="30">
    <w:abstractNumId w:val="27"/>
  </w:num>
  <w:num w:numId="31">
    <w:abstractNumId w:val="26"/>
  </w:num>
  <w:num w:numId="32">
    <w:abstractNumId w:val="22"/>
  </w:num>
  <w:num w:numId="33">
    <w:abstractNumId w:val="36"/>
  </w:num>
  <w:num w:numId="34">
    <w:abstractNumId w:val="7"/>
  </w:num>
  <w:num w:numId="35">
    <w:abstractNumId w:val="30"/>
  </w:num>
  <w:num w:numId="36">
    <w:abstractNumId w:val="48"/>
  </w:num>
  <w:num w:numId="37">
    <w:abstractNumId w:val="44"/>
  </w:num>
  <w:num w:numId="38">
    <w:abstractNumId w:val="37"/>
  </w:num>
  <w:num w:numId="39">
    <w:abstractNumId w:val="42"/>
  </w:num>
  <w:num w:numId="40">
    <w:abstractNumId w:val="19"/>
  </w:num>
  <w:num w:numId="41">
    <w:abstractNumId w:val="45"/>
  </w:num>
  <w:num w:numId="42">
    <w:abstractNumId w:val="10"/>
  </w:num>
  <w:num w:numId="43">
    <w:abstractNumId w:val="25"/>
  </w:num>
  <w:num w:numId="44">
    <w:abstractNumId w:val="23"/>
  </w:num>
  <w:num w:numId="45">
    <w:abstractNumId w:val="8"/>
  </w:num>
  <w:num w:numId="46">
    <w:abstractNumId w:val="35"/>
  </w:num>
  <w:num w:numId="47">
    <w:abstractNumId w:val="49"/>
  </w:num>
  <w:num w:numId="48">
    <w:abstractNumId w:val="6"/>
  </w:num>
  <w:num w:numId="49">
    <w:abstractNumId w:val="14"/>
  </w:num>
  <w:num w:numId="50">
    <w:abstractNumId w:val="33"/>
  </w:num>
  <w:num w:numId="51">
    <w:abstractNumId w:val="5"/>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B6"/>
    <w:rsid w:val="00003067"/>
    <w:rsid w:val="000805FD"/>
    <w:rsid w:val="000D05DC"/>
    <w:rsid w:val="00294301"/>
    <w:rsid w:val="002D6DB5"/>
    <w:rsid w:val="002E76F8"/>
    <w:rsid w:val="004F554A"/>
    <w:rsid w:val="005B3BD3"/>
    <w:rsid w:val="00693CA5"/>
    <w:rsid w:val="006B4B8B"/>
    <w:rsid w:val="007173CA"/>
    <w:rsid w:val="007677B2"/>
    <w:rsid w:val="008B3051"/>
    <w:rsid w:val="008F6220"/>
    <w:rsid w:val="00963B91"/>
    <w:rsid w:val="009A2C7B"/>
    <w:rsid w:val="00A1615F"/>
    <w:rsid w:val="00A70DD8"/>
    <w:rsid w:val="00AB7AF9"/>
    <w:rsid w:val="00B5587E"/>
    <w:rsid w:val="00C02C60"/>
    <w:rsid w:val="00CD3FB6"/>
    <w:rsid w:val="00E56BF7"/>
    <w:rsid w:val="00EF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4C49"/>
  <w15:chartTrackingRefBased/>
  <w15:docId w15:val="{E14D576D-0ECC-4555-A207-08DACEDC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
    <w:name w:val="first"/>
    <w:basedOn w:val="Normal"/>
    <w:rsid w:val="000030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3067"/>
    <w:rPr>
      <w:color w:val="0000FF"/>
      <w:u w:val="single"/>
    </w:rPr>
  </w:style>
  <w:style w:type="paragraph" w:customStyle="1" w:styleId="last">
    <w:name w:val="last"/>
    <w:basedOn w:val="Normal"/>
    <w:rsid w:val="000030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5B3B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5B3BD3"/>
  </w:style>
  <w:style w:type="character" w:customStyle="1" w:styleId="heading">
    <w:name w:val="heading"/>
    <w:basedOn w:val="DefaultParagraphFont"/>
    <w:rsid w:val="005B3BD3"/>
  </w:style>
  <w:style w:type="character" w:customStyle="1" w:styleId="chapeau">
    <w:name w:val="chapeau"/>
    <w:basedOn w:val="DefaultParagraphFont"/>
    <w:rsid w:val="005B3BD3"/>
  </w:style>
  <w:style w:type="character" w:styleId="FollowedHyperlink">
    <w:name w:val="FollowedHyperlink"/>
    <w:basedOn w:val="DefaultParagraphFont"/>
    <w:uiPriority w:val="99"/>
    <w:semiHidden/>
    <w:unhideWhenUsed/>
    <w:rsid w:val="005B3BD3"/>
    <w:rPr>
      <w:color w:val="800080"/>
      <w:u w:val="single"/>
    </w:rPr>
  </w:style>
  <w:style w:type="paragraph" w:styleId="NormalWeb">
    <w:name w:val="Normal (Web)"/>
    <w:basedOn w:val="Normal"/>
    <w:uiPriority w:val="99"/>
    <w:semiHidden/>
    <w:unhideWhenUsed/>
    <w:rsid w:val="005B3B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ers">
    <w:name w:val="leaders"/>
    <w:basedOn w:val="Normal"/>
    <w:rsid w:val="005B3B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5B3BD3"/>
  </w:style>
  <w:style w:type="character" w:customStyle="1" w:styleId="inline">
    <w:name w:val="inline"/>
    <w:basedOn w:val="DefaultParagraphFont"/>
    <w:rsid w:val="00EF5FE1"/>
  </w:style>
  <w:style w:type="character" w:customStyle="1" w:styleId="Date2">
    <w:name w:val="Date2"/>
    <w:basedOn w:val="DefaultParagraphFont"/>
    <w:rsid w:val="004F554A"/>
  </w:style>
  <w:style w:type="paragraph" w:styleId="ListParagraph">
    <w:name w:val="List Paragraph"/>
    <w:basedOn w:val="Normal"/>
    <w:uiPriority w:val="34"/>
    <w:qFormat/>
    <w:rsid w:val="00963B91"/>
    <w:pPr>
      <w:ind w:left="720"/>
      <w:contextualSpacing/>
    </w:pPr>
  </w:style>
  <w:style w:type="character" w:customStyle="1" w:styleId="footnote">
    <w:name w:val="footnote"/>
    <w:basedOn w:val="DefaultParagraphFont"/>
    <w:rsid w:val="00AB7AF9"/>
  </w:style>
  <w:style w:type="character" w:customStyle="1" w:styleId="Date3">
    <w:name w:val="Date3"/>
    <w:basedOn w:val="DefaultParagraphFont"/>
    <w:rsid w:val="00B5587E"/>
  </w:style>
  <w:style w:type="character" w:styleId="UnresolvedMention">
    <w:name w:val="Unresolved Mention"/>
    <w:basedOn w:val="DefaultParagraphFont"/>
    <w:uiPriority w:val="99"/>
    <w:semiHidden/>
    <w:unhideWhenUsed/>
    <w:rsid w:val="00C02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9298">
      <w:bodyDiv w:val="1"/>
      <w:marLeft w:val="0"/>
      <w:marRight w:val="0"/>
      <w:marTop w:val="0"/>
      <w:marBottom w:val="0"/>
      <w:divBdr>
        <w:top w:val="none" w:sz="0" w:space="0" w:color="auto"/>
        <w:left w:val="none" w:sz="0" w:space="0" w:color="auto"/>
        <w:bottom w:val="none" w:sz="0" w:space="0" w:color="auto"/>
        <w:right w:val="none" w:sz="0" w:space="0" w:color="auto"/>
      </w:divBdr>
    </w:div>
    <w:div w:id="13500843">
      <w:bodyDiv w:val="1"/>
      <w:marLeft w:val="0"/>
      <w:marRight w:val="0"/>
      <w:marTop w:val="0"/>
      <w:marBottom w:val="0"/>
      <w:divBdr>
        <w:top w:val="none" w:sz="0" w:space="0" w:color="auto"/>
        <w:left w:val="none" w:sz="0" w:space="0" w:color="auto"/>
        <w:bottom w:val="none" w:sz="0" w:space="0" w:color="auto"/>
        <w:right w:val="none" w:sz="0" w:space="0" w:color="auto"/>
      </w:divBdr>
    </w:div>
    <w:div w:id="27688682">
      <w:bodyDiv w:val="1"/>
      <w:marLeft w:val="0"/>
      <w:marRight w:val="0"/>
      <w:marTop w:val="0"/>
      <w:marBottom w:val="0"/>
      <w:divBdr>
        <w:top w:val="none" w:sz="0" w:space="0" w:color="auto"/>
        <w:left w:val="none" w:sz="0" w:space="0" w:color="auto"/>
        <w:bottom w:val="none" w:sz="0" w:space="0" w:color="auto"/>
        <w:right w:val="none" w:sz="0" w:space="0" w:color="auto"/>
      </w:divBdr>
    </w:div>
    <w:div w:id="28185267">
      <w:bodyDiv w:val="1"/>
      <w:marLeft w:val="0"/>
      <w:marRight w:val="0"/>
      <w:marTop w:val="0"/>
      <w:marBottom w:val="0"/>
      <w:divBdr>
        <w:top w:val="none" w:sz="0" w:space="0" w:color="auto"/>
        <w:left w:val="none" w:sz="0" w:space="0" w:color="auto"/>
        <w:bottom w:val="none" w:sz="0" w:space="0" w:color="auto"/>
        <w:right w:val="none" w:sz="0" w:space="0" w:color="auto"/>
      </w:divBdr>
    </w:div>
    <w:div w:id="42952921">
      <w:bodyDiv w:val="1"/>
      <w:marLeft w:val="0"/>
      <w:marRight w:val="0"/>
      <w:marTop w:val="0"/>
      <w:marBottom w:val="0"/>
      <w:divBdr>
        <w:top w:val="none" w:sz="0" w:space="0" w:color="auto"/>
        <w:left w:val="none" w:sz="0" w:space="0" w:color="auto"/>
        <w:bottom w:val="none" w:sz="0" w:space="0" w:color="auto"/>
        <w:right w:val="none" w:sz="0" w:space="0" w:color="auto"/>
      </w:divBdr>
    </w:div>
    <w:div w:id="43406241">
      <w:bodyDiv w:val="1"/>
      <w:marLeft w:val="0"/>
      <w:marRight w:val="0"/>
      <w:marTop w:val="0"/>
      <w:marBottom w:val="0"/>
      <w:divBdr>
        <w:top w:val="none" w:sz="0" w:space="0" w:color="auto"/>
        <w:left w:val="none" w:sz="0" w:space="0" w:color="auto"/>
        <w:bottom w:val="none" w:sz="0" w:space="0" w:color="auto"/>
        <w:right w:val="none" w:sz="0" w:space="0" w:color="auto"/>
      </w:divBdr>
      <w:divsChild>
        <w:div w:id="1871987315">
          <w:marLeft w:val="240"/>
          <w:marRight w:val="0"/>
          <w:marTop w:val="60"/>
          <w:marBottom w:val="60"/>
          <w:divBdr>
            <w:top w:val="none" w:sz="0" w:space="0" w:color="auto"/>
            <w:left w:val="none" w:sz="0" w:space="0" w:color="auto"/>
            <w:bottom w:val="none" w:sz="0" w:space="0" w:color="auto"/>
            <w:right w:val="none" w:sz="0" w:space="0" w:color="auto"/>
          </w:divBdr>
          <w:divsChild>
            <w:div w:id="1033506129">
              <w:marLeft w:val="0"/>
              <w:marRight w:val="0"/>
              <w:marTop w:val="0"/>
              <w:marBottom w:val="0"/>
              <w:divBdr>
                <w:top w:val="none" w:sz="0" w:space="0" w:color="auto"/>
                <w:left w:val="none" w:sz="0" w:space="0" w:color="auto"/>
                <w:bottom w:val="none" w:sz="0" w:space="0" w:color="auto"/>
                <w:right w:val="none" w:sz="0" w:space="0" w:color="auto"/>
              </w:divBdr>
            </w:div>
          </w:divsChild>
        </w:div>
        <w:div w:id="320423972">
          <w:marLeft w:val="240"/>
          <w:marRight w:val="0"/>
          <w:marTop w:val="60"/>
          <w:marBottom w:val="60"/>
          <w:divBdr>
            <w:top w:val="none" w:sz="0" w:space="0" w:color="auto"/>
            <w:left w:val="none" w:sz="0" w:space="0" w:color="auto"/>
            <w:bottom w:val="none" w:sz="0" w:space="0" w:color="auto"/>
            <w:right w:val="none" w:sz="0" w:space="0" w:color="auto"/>
          </w:divBdr>
          <w:divsChild>
            <w:div w:id="2123962324">
              <w:marLeft w:val="240"/>
              <w:marRight w:val="0"/>
              <w:marTop w:val="60"/>
              <w:marBottom w:val="60"/>
              <w:divBdr>
                <w:top w:val="none" w:sz="0" w:space="0" w:color="auto"/>
                <w:left w:val="none" w:sz="0" w:space="0" w:color="auto"/>
                <w:bottom w:val="none" w:sz="0" w:space="0" w:color="auto"/>
                <w:right w:val="none" w:sz="0" w:space="0" w:color="auto"/>
              </w:divBdr>
              <w:divsChild>
                <w:div w:id="1251280863">
                  <w:marLeft w:val="0"/>
                  <w:marRight w:val="0"/>
                  <w:marTop w:val="0"/>
                  <w:marBottom w:val="0"/>
                  <w:divBdr>
                    <w:top w:val="none" w:sz="0" w:space="0" w:color="auto"/>
                    <w:left w:val="none" w:sz="0" w:space="0" w:color="auto"/>
                    <w:bottom w:val="none" w:sz="0" w:space="0" w:color="auto"/>
                    <w:right w:val="none" w:sz="0" w:space="0" w:color="auto"/>
                  </w:divBdr>
                </w:div>
              </w:divsChild>
            </w:div>
            <w:div w:id="268204631">
              <w:marLeft w:val="240"/>
              <w:marRight w:val="0"/>
              <w:marTop w:val="60"/>
              <w:marBottom w:val="60"/>
              <w:divBdr>
                <w:top w:val="none" w:sz="0" w:space="0" w:color="auto"/>
                <w:left w:val="none" w:sz="0" w:space="0" w:color="auto"/>
                <w:bottom w:val="none" w:sz="0" w:space="0" w:color="auto"/>
                <w:right w:val="none" w:sz="0" w:space="0" w:color="auto"/>
              </w:divBdr>
              <w:divsChild>
                <w:div w:id="572397276">
                  <w:marLeft w:val="0"/>
                  <w:marRight w:val="0"/>
                  <w:marTop w:val="0"/>
                  <w:marBottom w:val="0"/>
                  <w:divBdr>
                    <w:top w:val="none" w:sz="0" w:space="0" w:color="auto"/>
                    <w:left w:val="none" w:sz="0" w:space="0" w:color="auto"/>
                    <w:bottom w:val="none" w:sz="0" w:space="0" w:color="auto"/>
                    <w:right w:val="none" w:sz="0" w:space="0" w:color="auto"/>
                  </w:divBdr>
                </w:div>
              </w:divsChild>
            </w:div>
            <w:div w:id="985162302">
              <w:marLeft w:val="240"/>
              <w:marRight w:val="0"/>
              <w:marTop w:val="60"/>
              <w:marBottom w:val="60"/>
              <w:divBdr>
                <w:top w:val="none" w:sz="0" w:space="0" w:color="auto"/>
                <w:left w:val="none" w:sz="0" w:space="0" w:color="auto"/>
                <w:bottom w:val="none" w:sz="0" w:space="0" w:color="auto"/>
                <w:right w:val="none" w:sz="0" w:space="0" w:color="auto"/>
              </w:divBdr>
              <w:divsChild>
                <w:div w:id="2123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958">
          <w:marLeft w:val="240"/>
          <w:marRight w:val="0"/>
          <w:marTop w:val="60"/>
          <w:marBottom w:val="60"/>
          <w:divBdr>
            <w:top w:val="none" w:sz="0" w:space="0" w:color="auto"/>
            <w:left w:val="none" w:sz="0" w:space="0" w:color="auto"/>
            <w:bottom w:val="none" w:sz="0" w:space="0" w:color="auto"/>
            <w:right w:val="none" w:sz="0" w:space="0" w:color="auto"/>
          </w:divBdr>
          <w:divsChild>
            <w:div w:id="1235046232">
              <w:marLeft w:val="240"/>
              <w:marRight w:val="0"/>
              <w:marTop w:val="60"/>
              <w:marBottom w:val="60"/>
              <w:divBdr>
                <w:top w:val="none" w:sz="0" w:space="0" w:color="auto"/>
                <w:left w:val="none" w:sz="0" w:space="0" w:color="auto"/>
                <w:bottom w:val="none" w:sz="0" w:space="0" w:color="auto"/>
                <w:right w:val="none" w:sz="0" w:space="0" w:color="auto"/>
              </w:divBdr>
              <w:divsChild>
                <w:div w:id="688026527">
                  <w:marLeft w:val="0"/>
                  <w:marRight w:val="0"/>
                  <w:marTop w:val="0"/>
                  <w:marBottom w:val="0"/>
                  <w:divBdr>
                    <w:top w:val="none" w:sz="0" w:space="0" w:color="auto"/>
                    <w:left w:val="none" w:sz="0" w:space="0" w:color="auto"/>
                    <w:bottom w:val="none" w:sz="0" w:space="0" w:color="auto"/>
                    <w:right w:val="none" w:sz="0" w:space="0" w:color="auto"/>
                  </w:divBdr>
                </w:div>
              </w:divsChild>
            </w:div>
            <w:div w:id="354425719">
              <w:marLeft w:val="240"/>
              <w:marRight w:val="0"/>
              <w:marTop w:val="60"/>
              <w:marBottom w:val="60"/>
              <w:divBdr>
                <w:top w:val="none" w:sz="0" w:space="0" w:color="auto"/>
                <w:left w:val="none" w:sz="0" w:space="0" w:color="auto"/>
                <w:bottom w:val="none" w:sz="0" w:space="0" w:color="auto"/>
                <w:right w:val="none" w:sz="0" w:space="0" w:color="auto"/>
              </w:divBdr>
              <w:divsChild>
                <w:div w:id="2767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5920">
          <w:marLeft w:val="240"/>
          <w:marRight w:val="0"/>
          <w:marTop w:val="60"/>
          <w:marBottom w:val="60"/>
          <w:divBdr>
            <w:top w:val="none" w:sz="0" w:space="0" w:color="auto"/>
            <w:left w:val="none" w:sz="0" w:space="0" w:color="auto"/>
            <w:bottom w:val="none" w:sz="0" w:space="0" w:color="auto"/>
            <w:right w:val="none" w:sz="0" w:space="0" w:color="auto"/>
          </w:divBdr>
          <w:divsChild>
            <w:div w:id="556283347">
              <w:marLeft w:val="240"/>
              <w:marRight w:val="0"/>
              <w:marTop w:val="60"/>
              <w:marBottom w:val="60"/>
              <w:divBdr>
                <w:top w:val="none" w:sz="0" w:space="0" w:color="auto"/>
                <w:left w:val="none" w:sz="0" w:space="0" w:color="auto"/>
                <w:bottom w:val="none" w:sz="0" w:space="0" w:color="auto"/>
                <w:right w:val="none" w:sz="0" w:space="0" w:color="auto"/>
              </w:divBdr>
              <w:divsChild>
                <w:div w:id="797068466">
                  <w:marLeft w:val="240"/>
                  <w:marRight w:val="0"/>
                  <w:marTop w:val="60"/>
                  <w:marBottom w:val="60"/>
                  <w:divBdr>
                    <w:top w:val="none" w:sz="0" w:space="0" w:color="auto"/>
                    <w:left w:val="none" w:sz="0" w:space="0" w:color="auto"/>
                    <w:bottom w:val="none" w:sz="0" w:space="0" w:color="auto"/>
                    <w:right w:val="none" w:sz="0" w:space="0" w:color="auto"/>
                  </w:divBdr>
                  <w:divsChild>
                    <w:div w:id="1707170850">
                      <w:marLeft w:val="0"/>
                      <w:marRight w:val="0"/>
                      <w:marTop w:val="0"/>
                      <w:marBottom w:val="0"/>
                      <w:divBdr>
                        <w:top w:val="none" w:sz="0" w:space="0" w:color="auto"/>
                        <w:left w:val="none" w:sz="0" w:space="0" w:color="auto"/>
                        <w:bottom w:val="none" w:sz="0" w:space="0" w:color="auto"/>
                        <w:right w:val="none" w:sz="0" w:space="0" w:color="auto"/>
                      </w:divBdr>
                    </w:div>
                  </w:divsChild>
                </w:div>
                <w:div w:id="264192600">
                  <w:marLeft w:val="240"/>
                  <w:marRight w:val="0"/>
                  <w:marTop w:val="60"/>
                  <w:marBottom w:val="60"/>
                  <w:divBdr>
                    <w:top w:val="none" w:sz="0" w:space="0" w:color="auto"/>
                    <w:left w:val="none" w:sz="0" w:space="0" w:color="auto"/>
                    <w:bottom w:val="none" w:sz="0" w:space="0" w:color="auto"/>
                    <w:right w:val="none" w:sz="0" w:space="0" w:color="auto"/>
                  </w:divBdr>
                  <w:divsChild>
                    <w:div w:id="1908221478">
                      <w:marLeft w:val="0"/>
                      <w:marRight w:val="0"/>
                      <w:marTop w:val="0"/>
                      <w:marBottom w:val="0"/>
                      <w:divBdr>
                        <w:top w:val="none" w:sz="0" w:space="0" w:color="auto"/>
                        <w:left w:val="none" w:sz="0" w:space="0" w:color="auto"/>
                        <w:bottom w:val="none" w:sz="0" w:space="0" w:color="auto"/>
                        <w:right w:val="none" w:sz="0" w:space="0" w:color="auto"/>
                      </w:divBdr>
                    </w:div>
                  </w:divsChild>
                </w:div>
                <w:div w:id="532616783">
                  <w:marLeft w:val="240"/>
                  <w:marRight w:val="0"/>
                  <w:marTop w:val="60"/>
                  <w:marBottom w:val="60"/>
                  <w:divBdr>
                    <w:top w:val="none" w:sz="0" w:space="0" w:color="auto"/>
                    <w:left w:val="none" w:sz="0" w:space="0" w:color="auto"/>
                    <w:bottom w:val="none" w:sz="0" w:space="0" w:color="auto"/>
                    <w:right w:val="none" w:sz="0" w:space="0" w:color="auto"/>
                  </w:divBdr>
                  <w:divsChild>
                    <w:div w:id="1417242615">
                      <w:marLeft w:val="0"/>
                      <w:marRight w:val="0"/>
                      <w:marTop w:val="0"/>
                      <w:marBottom w:val="0"/>
                      <w:divBdr>
                        <w:top w:val="none" w:sz="0" w:space="0" w:color="auto"/>
                        <w:left w:val="none" w:sz="0" w:space="0" w:color="auto"/>
                        <w:bottom w:val="none" w:sz="0" w:space="0" w:color="auto"/>
                        <w:right w:val="none" w:sz="0" w:space="0" w:color="auto"/>
                      </w:divBdr>
                    </w:div>
                  </w:divsChild>
                </w:div>
                <w:div w:id="944266100">
                  <w:marLeft w:val="240"/>
                  <w:marRight w:val="0"/>
                  <w:marTop w:val="60"/>
                  <w:marBottom w:val="60"/>
                  <w:divBdr>
                    <w:top w:val="none" w:sz="0" w:space="0" w:color="auto"/>
                    <w:left w:val="none" w:sz="0" w:space="0" w:color="auto"/>
                    <w:bottom w:val="none" w:sz="0" w:space="0" w:color="auto"/>
                    <w:right w:val="none" w:sz="0" w:space="0" w:color="auto"/>
                  </w:divBdr>
                  <w:divsChild>
                    <w:div w:id="1696072615">
                      <w:marLeft w:val="0"/>
                      <w:marRight w:val="0"/>
                      <w:marTop w:val="0"/>
                      <w:marBottom w:val="0"/>
                      <w:divBdr>
                        <w:top w:val="none" w:sz="0" w:space="0" w:color="auto"/>
                        <w:left w:val="none" w:sz="0" w:space="0" w:color="auto"/>
                        <w:bottom w:val="none" w:sz="0" w:space="0" w:color="auto"/>
                        <w:right w:val="none" w:sz="0" w:space="0" w:color="auto"/>
                      </w:divBdr>
                    </w:div>
                  </w:divsChild>
                </w:div>
                <w:div w:id="1853059528">
                  <w:marLeft w:val="240"/>
                  <w:marRight w:val="0"/>
                  <w:marTop w:val="60"/>
                  <w:marBottom w:val="60"/>
                  <w:divBdr>
                    <w:top w:val="none" w:sz="0" w:space="0" w:color="auto"/>
                    <w:left w:val="none" w:sz="0" w:space="0" w:color="auto"/>
                    <w:bottom w:val="none" w:sz="0" w:space="0" w:color="auto"/>
                    <w:right w:val="none" w:sz="0" w:space="0" w:color="auto"/>
                  </w:divBdr>
                  <w:divsChild>
                    <w:div w:id="567154889">
                      <w:marLeft w:val="0"/>
                      <w:marRight w:val="0"/>
                      <w:marTop w:val="0"/>
                      <w:marBottom w:val="0"/>
                      <w:divBdr>
                        <w:top w:val="none" w:sz="0" w:space="0" w:color="auto"/>
                        <w:left w:val="none" w:sz="0" w:space="0" w:color="auto"/>
                        <w:bottom w:val="none" w:sz="0" w:space="0" w:color="auto"/>
                        <w:right w:val="none" w:sz="0" w:space="0" w:color="auto"/>
                      </w:divBdr>
                    </w:div>
                  </w:divsChild>
                </w:div>
                <w:div w:id="944994220">
                  <w:marLeft w:val="240"/>
                  <w:marRight w:val="0"/>
                  <w:marTop w:val="60"/>
                  <w:marBottom w:val="60"/>
                  <w:divBdr>
                    <w:top w:val="none" w:sz="0" w:space="0" w:color="auto"/>
                    <w:left w:val="none" w:sz="0" w:space="0" w:color="auto"/>
                    <w:bottom w:val="none" w:sz="0" w:space="0" w:color="auto"/>
                    <w:right w:val="none" w:sz="0" w:space="0" w:color="auto"/>
                  </w:divBdr>
                  <w:divsChild>
                    <w:div w:id="2033989100">
                      <w:marLeft w:val="240"/>
                      <w:marRight w:val="0"/>
                      <w:marTop w:val="60"/>
                      <w:marBottom w:val="60"/>
                      <w:divBdr>
                        <w:top w:val="none" w:sz="0" w:space="0" w:color="auto"/>
                        <w:left w:val="none" w:sz="0" w:space="0" w:color="auto"/>
                        <w:bottom w:val="none" w:sz="0" w:space="0" w:color="auto"/>
                        <w:right w:val="none" w:sz="0" w:space="0" w:color="auto"/>
                      </w:divBdr>
                      <w:divsChild>
                        <w:div w:id="836965577">
                          <w:marLeft w:val="0"/>
                          <w:marRight w:val="0"/>
                          <w:marTop w:val="0"/>
                          <w:marBottom w:val="0"/>
                          <w:divBdr>
                            <w:top w:val="none" w:sz="0" w:space="0" w:color="auto"/>
                            <w:left w:val="none" w:sz="0" w:space="0" w:color="auto"/>
                            <w:bottom w:val="none" w:sz="0" w:space="0" w:color="auto"/>
                            <w:right w:val="none" w:sz="0" w:space="0" w:color="auto"/>
                          </w:divBdr>
                        </w:div>
                      </w:divsChild>
                    </w:div>
                    <w:div w:id="1843275180">
                      <w:marLeft w:val="240"/>
                      <w:marRight w:val="0"/>
                      <w:marTop w:val="60"/>
                      <w:marBottom w:val="60"/>
                      <w:divBdr>
                        <w:top w:val="none" w:sz="0" w:space="0" w:color="auto"/>
                        <w:left w:val="none" w:sz="0" w:space="0" w:color="auto"/>
                        <w:bottom w:val="none" w:sz="0" w:space="0" w:color="auto"/>
                        <w:right w:val="none" w:sz="0" w:space="0" w:color="auto"/>
                      </w:divBdr>
                      <w:divsChild>
                        <w:div w:id="7873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9617">
              <w:marLeft w:val="240"/>
              <w:marRight w:val="0"/>
              <w:marTop w:val="60"/>
              <w:marBottom w:val="60"/>
              <w:divBdr>
                <w:top w:val="none" w:sz="0" w:space="0" w:color="auto"/>
                <w:left w:val="none" w:sz="0" w:space="0" w:color="auto"/>
                <w:bottom w:val="none" w:sz="0" w:space="0" w:color="auto"/>
                <w:right w:val="none" w:sz="0" w:space="0" w:color="auto"/>
              </w:divBdr>
              <w:divsChild>
                <w:div w:id="2126189544">
                  <w:marLeft w:val="0"/>
                  <w:marRight w:val="0"/>
                  <w:marTop w:val="0"/>
                  <w:marBottom w:val="0"/>
                  <w:divBdr>
                    <w:top w:val="none" w:sz="0" w:space="0" w:color="auto"/>
                    <w:left w:val="none" w:sz="0" w:space="0" w:color="auto"/>
                    <w:bottom w:val="none" w:sz="0" w:space="0" w:color="auto"/>
                    <w:right w:val="none" w:sz="0" w:space="0" w:color="auto"/>
                  </w:divBdr>
                </w:div>
              </w:divsChild>
            </w:div>
            <w:div w:id="1559054550">
              <w:marLeft w:val="240"/>
              <w:marRight w:val="0"/>
              <w:marTop w:val="60"/>
              <w:marBottom w:val="60"/>
              <w:divBdr>
                <w:top w:val="none" w:sz="0" w:space="0" w:color="auto"/>
                <w:left w:val="none" w:sz="0" w:space="0" w:color="auto"/>
                <w:bottom w:val="none" w:sz="0" w:space="0" w:color="auto"/>
                <w:right w:val="none" w:sz="0" w:space="0" w:color="auto"/>
              </w:divBdr>
              <w:divsChild>
                <w:div w:id="970326035">
                  <w:marLeft w:val="0"/>
                  <w:marRight w:val="0"/>
                  <w:marTop w:val="0"/>
                  <w:marBottom w:val="0"/>
                  <w:divBdr>
                    <w:top w:val="none" w:sz="0" w:space="0" w:color="auto"/>
                    <w:left w:val="none" w:sz="0" w:space="0" w:color="auto"/>
                    <w:bottom w:val="none" w:sz="0" w:space="0" w:color="auto"/>
                    <w:right w:val="none" w:sz="0" w:space="0" w:color="auto"/>
                  </w:divBdr>
                </w:div>
              </w:divsChild>
            </w:div>
            <w:div w:id="367684578">
              <w:marLeft w:val="240"/>
              <w:marRight w:val="0"/>
              <w:marTop w:val="60"/>
              <w:marBottom w:val="60"/>
              <w:divBdr>
                <w:top w:val="none" w:sz="0" w:space="0" w:color="auto"/>
                <w:left w:val="none" w:sz="0" w:space="0" w:color="auto"/>
                <w:bottom w:val="none" w:sz="0" w:space="0" w:color="auto"/>
                <w:right w:val="none" w:sz="0" w:space="0" w:color="auto"/>
              </w:divBdr>
              <w:divsChild>
                <w:div w:id="115221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2773">
          <w:marLeft w:val="240"/>
          <w:marRight w:val="0"/>
          <w:marTop w:val="60"/>
          <w:marBottom w:val="60"/>
          <w:divBdr>
            <w:top w:val="none" w:sz="0" w:space="0" w:color="auto"/>
            <w:left w:val="none" w:sz="0" w:space="0" w:color="auto"/>
            <w:bottom w:val="none" w:sz="0" w:space="0" w:color="auto"/>
            <w:right w:val="none" w:sz="0" w:space="0" w:color="auto"/>
          </w:divBdr>
          <w:divsChild>
            <w:div w:id="2100323575">
              <w:marLeft w:val="240"/>
              <w:marRight w:val="0"/>
              <w:marTop w:val="60"/>
              <w:marBottom w:val="60"/>
              <w:divBdr>
                <w:top w:val="none" w:sz="0" w:space="0" w:color="auto"/>
                <w:left w:val="none" w:sz="0" w:space="0" w:color="auto"/>
                <w:bottom w:val="none" w:sz="0" w:space="0" w:color="auto"/>
                <w:right w:val="none" w:sz="0" w:space="0" w:color="auto"/>
              </w:divBdr>
              <w:divsChild>
                <w:div w:id="1513954216">
                  <w:marLeft w:val="0"/>
                  <w:marRight w:val="0"/>
                  <w:marTop w:val="0"/>
                  <w:marBottom w:val="0"/>
                  <w:divBdr>
                    <w:top w:val="none" w:sz="0" w:space="0" w:color="auto"/>
                    <w:left w:val="none" w:sz="0" w:space="0" w:color="auto"/>
                    <w:bottom w:val="none" w:sz="0" w:space="0" w:color="auto"/>
                    <w:right w:val="none" w:sz="0" w:space="0" w:color="auto"/>
                  </w:divBdr>
                </w:div>
              </w:divsChild>
            </w:div>
            <w:div w:id="1998680078">
              <w:marLeft w:val="240"/>
              <w:marRight w:val="0"/>
              <w:marTop w:val="60"/>
              <w:marBottom w:val="60"/>
              <w:divBdr>
                <w:top w:val="none" w:sz="0" w:space="0" w:color="auto"/>
                <w:left w:val="none" w:sz="0" w:space="0" w:color="auto"/>
                <w:bottom w:val="none" w:sz="0" w:space="0" w:color="auto"/>
                <w:right w:val="none" w:sz="0" w:space="0" w:color="auto"/>
              </w:divBdr>
              <w:divsChild>
                <w:div w:id="3359959">
                  <w:marLeft w:val="0"/>
                  <w:marRight w:val="0"/>
                  <w:marTop w:val="0"/>
                  <w:marBottom w:val="0"/>
                  <w:divBdr>
                    <w:top w:val="none" w:sz="0" w:space="0" w:color="auto"/>
                    <w:left w:val="none" w:sz="0" w:space="0" w:color="auto"/>
                    <w:bottom w:val="none" w:sz="0" w:space="0" w:color="auto"/>
                    <w:right w:val="none" w:sz="0" w:space="0" w:color="auto"/>
                  </w:divBdr>
                </w:div>
              </w:divsChild>
            </w:div>
            <w:div w:id="1393503560">
              <w:marLeft w:val="240"/>
              <w:marRight w:val="0"/>
              <w:marTop w:val="60"/>
              <w:marBottom w:val="60"/>
              <w:divBdr>
                <w:top w:val="none" w:sz="0" w:space="0" w:color="auto"/>
                <w:left w:val="none" w:sz="0" w:space="0" w:color="auto"/>
                <w:bottom w:val="none" w:sz="0" w:space="0" w:color="auto"/>
                <w:right w:val="none" w:sz="0" w:space="0" w:color="auto"/>
              </w:divBdr>
              <w:divsChild>
                <w:div w:id="986662408">
                  <w:marLeft w:val="240"/>
                  <w:marRight w:val="0"/>
                  <w:marTop w:val="60"/>
                  <w:marBottom w:val="60"/>
                  <w:divBdr>
                    <w:top w:val="none" w:sz="0" w:space="0" w:color="auto"/>
                    <w:left w:val="none" w:sz="0" w:space="0" w:color="auto"/>
                    <w:bottom w:val="none" w:sz="0" w:space="0" w:color="auto"/>
                    <w:right w:val="none" w:sz="0" w:space="0" w:color="auto"/>
                  </w:divBdr>
                  <w:divsChild>
                    <w:div w:id="1922907051">
                      <w:marLeft w:val="0"/>
                      <w:marRight w:val="0"/>
                      <w:marTop w:val="0"/>
                      <w:marBottom w:val="0"/>
                      <w:divBdr>
                        <w:top w:val="none" w:sz="0" w:space="0" w:color="auto"/>
                        <w:left w:val="none" w:sz="0" w:space="0" w:color="auto"/>
                        <w:bottom w:val="none" w:sz="0" w:space="0" w:color="auto"/>
                        <w:right w:val="none" w:sz="0" w:space="0" w:color="auto"/>
                      </w:divBdr>
                    </w:div>
                  </w:divsChild>
                </w:div>
                <w:div w:id="1520242129">
                  <w:marLeft w:val="240"/>
                  <w:marRight w:val="0"/>
                  <w:marTop w:val="60"/>
                  <w:marBottom w:val="60"/>
                  <w:divBdr>
                    <w:top w:val="none" w:sz="0" w:space="0" w:color="auto"/>
                    <w:left w:val="none" w:sz="0" w:space="0" w:color="auto"/>
                    <w:bottom w:val="none" w:sz="0" w:space="0" w:color="auto"/>
                    <w:right w:val="none" w:sz="0" w:space="0" w:color="auto"/>
                  </w:divBdr>
                  <w:divsChild>
                    <w:div w:id="1140267452">
                      <w:marLeft w:val="0"/>
                      <w:marRight w:val="0"/>
                      <w:marTop w:val="0"/>
                      <w:marBottom w:val="0"/>
                      <w:divBdr>
                        <w:top w:val="none" w:sz="0" w:space="0" w:color="auto"/>
                        <w:left w:val="none" w:sz="0" w:space="0" w:color="auto"/>
                        <w:bottom w:val="none" w:sz="0" w:space="0" w:color="auto"/>
                        <w:right w:val="none" w:sz="0" w:space="0" w:color="auto"/>
                      </w:divBdr>
                    </w:div>
                  </w:divsChild>
                </w:div>
                <w:div w:id="1564951869">
                  <w:marLeft w:val="240"/>
                  <w:marRight w:val="0"/>
                  <w:marTop w:val="60"/>
                  <w:marBottom w:val="60"/>
                  <w:divBdr>
                    <w:top w:val="none" w:sz="0" w:space="0" w:color="auto"/>
                    <w:left w:val="none" w:sz="0" w:space="0" w:color="auto"/>
                    <w:bottom w:val="none" w:sz="0" w:space="0" w:color="auto"/>
                    <w:right w:val="none" w:sz="0" w:space="0" w:color="auto"/>
                  </w:divBdr>
                  <w:divsChild>
                    <w:div w:id="2236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9536">
              <w:marLeft w:val="240"/>
              <w:marRight w:val="0"/>
              <w:marTop w:val="60"/>
              <w:marBottom w:val="60"/>
              <w:divBdr>
                <w:top w:val="none" w:sz="0" w:space="0" w:color="auto"/>
                <w:left w:val="none" w:sz="0" w:space="0" w:color="auto"/>
                <w:bottom w:val="none" w:sz="0" w:space="0" w:color="auto"/>
                <w:right w:val="none" w:sz="0" w:space="0" w:color="auto"/>
              </w:divBdr>
              <w:divsChild>
                <w:div w:id="81357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49544">
          <w:marLeft w:val="240"/>
          <w:marRight w:val="0"/>
          <w:marTop w:val="60"/>
          <w:marBottom w:val="60"/>
          <w:divBdr>
            <w:top w:val="none" w:sz="0" w:space="0" w:color="auto"/>
            <w:left w:val="none" w:sz="0" w:space="0" w:color="auto"/>
            <w:bottom w:val="none" w:sz="0" w:space="0" w:color="auto"/>
            <w:right w:val="none" w:sz="0" w:space="0" w:color="auto"/>
          </w:divBdr>
          <w:divsChild>
            <w:div w:id="1082723033">
              <w:marLeft w:val="240"/>
              <w:marRight w:val="0"/>
              <w:marTop w:val="60"/>
              <w:marBottom w:val="60"/>
              <w:divBdr>
                <w:top w:val="none" w:sz="0" w:space="0" w:color="auto"/>
                <w:left w:val="none" w:sz="0" w:space="0" w:color="auto"/>
                <w:bottom w:val="none" w:sz="0" w:space="0" w:color="auto"/>
                <w:right w:val="none" w:sz="0" w:space="0" w:color="auto"/>
              </w:divBdr>
              <w:divsChild>
                <w:div w:id="2039349693">
                  <w:marLeft w:val="0"/>
                  <w:marRight w:val="0"/>
                  <w:marTop w:val="0"/>
                  <w:marBottom w:val="0"/>
                  <w:divBdr>
                    <w:top w:val="none" w:sz="0" w:space="0" w:color="auto"/>
                    <w:left w:val="none" w:sz="0" w:space="0" w:color="auto"/>
                    <w:bottom w:val="none" w:sz="0" w:space="0" w:color="auto"/>
                    <w:right w:val="none" w:sz="0" w:space="0" w:color="auto"/>
                  </w:divBdr>
                </w:div>
              </w:divsChild>
            </w:div>
            <w:div w:id="2093575527">
              <w:marLeft w:val="240"/>
              <w:marRight w:val="0"/>
              <w:marTop w:val="60"/>
              <w:marBottom w:val="60"/>
              <w:divBdr>
                <w:top w:val="none" w:sz="0" w:space="0" w:color="auto"/>
                <w:left w:val="none" w:sz="0" w:space="0" w:color="auto"/>
                <w:bottom w:val="none" w:sz="0" w:space="0" w:color="auto"/>
                <w:right w:val="none" w:sz="0" w:space="0" w:color="auto"/>
              </w:divBdr>
              <w:divsChild>
                <w:div w:id="641884670">
                  <w:marLeft w:val="0"/>
                  <w:marRight w:val="0"/>
                  <w:marTop w:val="0"/>
                  <w:marBottom w:val="0"/>
                  <w:divBdr>
                    <w:top w:val="none" w:sz="0" w:space="0" w:color="auto"/>
                    <w:left w:val="none" w:sz="0" w:space="0" w:color="auto"/>
                    <w:bottom w:val="none" w:sz="0" w:space="0" w:color="auto"/>
                    <w:right w:val="none" w:sz="0" w:space="0" w:color="auto"/>
                  </w:divBdr>
                </w:div>
              </w:divsChild>
            </w:div>
            <w:div w:id="1479372343">
              <w:marLeft w:val="240"/>
              <w:marRight w:val="0"/>
              <w:marTop w:val="60"/>
              <w:marBottom w:val="60"/>
              <w:divBdr>
                <w:top w:val="none" w:sz="0" w:space="0" w:color="auto"/>
                <w:left w:val="none" w:sz="0" w:space="0" w:color="auto"/>
                <w:bottom w:val="none" w:sz="0" w:space="0" w:color="auto"/>
                <w:right w:val="none" w:sz="0" w:space="0" w:color="auto"/>
              </w:divBdr>
              <w:divsChild>
                <w:div w:id="887691995">
                  <w:marLeft w:val="0"/>
                  <w:marRight w:val="0"/>
                  <w:marTop w:val="0"/>
                  <w:marBottom w:val="0"/>
                  <w:divBdr>
                    <w:top w:val="none" w:sz="0" w:space="0" w:color="auto"/>
                    <w:left w:val="none" w:sz="0" w:space="0" w:color="auto"/>
                    <w:bottom w:val="none" w:sz="0" w:space="0" w:color="auto"/>
                    <w:right w:val="none" w:sz="0" w:space="0" w:color="auto"/>
                  </w:divBdr>
                </w:div>
              </w:divsChild>
            </w:div>
            <w:div w:id="130290351">
              <w:marLeft w:val="240"/>
              <w:marRight w:val="0"/>
              <w:marTop w:val="60"/>
              <w:marBottom w:val="60"/>
              <w:divBdr>
                <w:top w:val="none" w:sz="0" w:space="0" w:color="auto"/>
                <w:left w:val="none" w:sz="0" w:space="0" w:color="auto"/>
                <w:bottom w:val="none" w:sz="0" w:space="0" w:color="auto"/>
                <w:right w:val="none" w:sz="0" w:space="0" w:color="auto"/>
              </w:divBdr>
              <w:divsChild>
                <w:div w:id="1426071451">
                  <w:marLeft w:val="0"/>
                  <w:marRight w:val="0"/>
                  <w:marTop w:val="0"/>
                  <w:marBottom w:val="0"/>
                  <w:divBdr>
                    <w:top w:val="none" w:sz="0" w:space="0" w:color="auto"/>
                    <w:left w:val="none" w:sz="0" w:space="0" w:color="auto"/>
                    <w:bottom w:val="none" w:sz="0" w:space="0" w:color="auto"/>
                    <w:right w:val="none" w:sz="0" w:space="0" w:color="auto"/>
                  </w:divBdr>
                </w:div>
              </w:divsChild>
            </w:div>
            <w:div w:id="1976568793">
              <w:marLeft w:val="240"/>
              <w:marRight w:val="0"/>
              <w:marTop w:val="60"/>
              <w:marBottom w:val="60"/>
              <w:divBdr>
                <w:top w:val="none" w:sz="0" w:space="0" w:color="auto"/>
                <w:left w:val="none" w:sz="0" w:space="0" w:color="auto"/>
                <w:bottom w:val="none" w:sz="0" w:space="0" w:color="auto"/>
                <w:right w:val="none" w:sz="0" w:space="0" w:color="auto"/>
              </w:divBdr>
              <w:divsChild>
                <w:div w:id="1369836991">
                  <w:marLeft w:val="0"/>
                  <w:marRight w:val="0"/>
                  <w:marTop w:val="0"/>
                  <w:marBottom w:val="0"/>
                  <w:divBdr>
                    <w:top w:val="none" w:sz="0" w:space="0" w:color="auto"/>
                    <w:left w:val="none" w:sz="0" w:space="0" w:color="auto"/>
                    <w:bottom w:val="none" w:sz="0" w:space="0" w:color="auto"/>
                    <w:right w:val="none" w:sz="0" w:space="0" w:color="auto"/>
                  </w:divBdr>
                </w:div>
              </w:divsChild>
            </w:div>
            <w:div w:id="1585457488">
              <w:marLeft w:val="240"/>
              <w:marRight w:val="0"/>
              <w:marTop w:val="60"/>
              <w:marBottom w:val="60"/>
              <w:divBdr>
                <w:top w:val="none" w:sz="0" w:space="0" w:color="auto"/>
                <w:left w:val="none" w:sz="0" w:space="0" w:color="auto"/>
                <w:bottom w:val="none" w:sz="0" w:space="0" w:color="auto"/>
                <w:right w:val="none" w:sz="0" w:space="0" w:color="auto"/>
              </w:divBdr>
              <w:divsChild>
                <w:div w:id="43720855">
                  <w:marLeft w:val="0"/>
                  <w:marRight w:val="0"/>
                  <w:marTop w:val="0"/>
                  <w:marBottom w:val="0"/>
                  <w:divBdr>
                    <w:top w:val="none" w:sz="0" w:space="0" w:color="auto"/>
                    <w:left w:val="none" w:sz="0" w:space="0" w:color="auto"/>
                    <w:bottom w:val="none" w:sz="0" w:space="0" w:color="auto"/>
                    <w:right w:val="none" w:sz="0" w:space="0" w:color="auto"/>
                  </w:divBdr>
                </w:div>
              </w:divsChild>
            </w:div>
            <w:div w:id="1241603431">
              <w:marLeft w:val="240"/>
              <w:marRight w:val="0"/>
              <w:marTop w:val="60"/>
              <w:marBottom w:val="60"/>
              <w:divBdr>
                <w:top w:val="none" w:sz="0" w:space="0" w:color="auto"/>
                <w:left w:val="none" w:sz="0" w:space="0" w:color="auto"/>
                <w:bottom w:val="none" w:sz="0" w:space="0" w:color="auto"/>
                <w:right w:val="none" w:sz="0" w:space="0" w:color="auto"/>
              </w:divBdr>
              <w:divsChild>
                <w:div w:id="747188143">
                  <w:marLeft w:val="240"/>
                  <w:marRight w:val="0"/>
                  <w:marTop w:val="60"/>
                  <w:marBottom w:val="60"/>
                  <w:divBdr>
                    <w:top w:val="none" w:sz="0" w:space="0" w:color="auto"/>
                    <w:left w:val="none" w:sz="0" w:space="0" w:color="auto"/>
                    <w:bottom w:val="none" w:sz="0" w:space="0" w:color="auto"/>
                    <w:right w:val="none" w:sz="0" w:space="0" w:color="auto"/>
                  </w:divBdr>
                  <w:divsChild>
                    <w:div w:id="1804998011">
                      <w:marLeft w:val="0"/>
                      <w:marRight w:val="0"/>
                      <w:marTop w:val="0"/>
                      <w:marBottom w:val="0"/>
                      <w:divBdr>
                        <w:top w:val="none" w:sz="0" w:space="0" w:color="auto"/>
                        <w:left w:val="none" w:sz="0" w:space="0" w:color="auto"/>
                        <w:bottom w:val="none" w:sz="0" w:space="0" w:color="auto"/>
                        <w:right w:val="none" w:sz="0" w:space="0" w:color="auto"/>
                      </w:divBdr>
                    </w:div>
                  </w:divsChild>
                </w:div>
                <w:div w:id="1449008092">
                  <w:marLeft w:val="240"/>
                  <w:marRight w:val="0"/>
                  <w:marTop w:val="60"/>
                  <w:marBottom w:val="60"/>
                  <w:divBdr>
                    <w:top w:val="none" w:sz="0" w:space="0" w:color="auto"/>
                    <w:left w:val="none" w:sz="0" w:space="0" w:color="auto"/>
                    <w:bottom w:val="none" w:sz="0" w:space="0" w:color="auto"/>
                    <w:right w:val="none" w:sz="0" w:space="0" w:color="auto"/>
                  </w:divBdr>
                  <w:divsChild>
                    <w:div w:id="18480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2370">
          <w:marLeft w:val="240"/>
          <w:marRight w:val="0"/>
          <w:marTop w:val="60"/>
          <w:marBottom w:val="60"/>
          <w:divBdr>
            <w:top w:val="none" w:sz="0" w:space="0" w:color="auto"/>
            <w:left w:val="none" w:sz="0" w:space="0" w:color="auto"/>
            <w:bottom w:val="none" w:sz="0" w:space="0" w:color="auto"/>
            <w:right w:val="none" w:sz="0" w:space="0" w:color="auto"/>
          </w:divBdr>
          <w:divsChild>
            <w:div w:id="491607925">
              <w:marLeft w:val="240"/>
              <w:marRight w:val="0"/>
              <w:marTop w:val="60"/>
              <w:marBottom w:val="60"/>
              <w:divBdr>
                <w:top w:val="none" w:sz="0" w:space="0" w:color="auto"/>
                <w:left w:val="none" w:sz="0" w:space="0" w:color="auto"/>
                <w:bottom w:val="none" w:sz="0" w:space="0" w:color="auto"/>
                <w:right w:val="none" w:sz="0" w:space="0" w:color="auto"/>
              </w:divBdr>
              <w:divsChild>
                <w:div w:id="935869353">
                  <w:marLeft w:val="240"/>
                  <w:marRight w:val="0"/>
                  <w:marTop w:val="60"/>
                  <w:marBottom w:val="60"/>
                  <w:divBdr>
                    <w:top w:val="none" w:sz="0" w:space="0" w:color="auto"/>
                    <w:left w:val="none" w:sz="0" w:space="0" w:color="auto"/>
                    <w:bottom w:val="none" w:sz="0" w:space="0" w:color="auto"/>
                    <w:right w:val="none" w:sz="0" w:space="0" w:color="auto"/>
                  </w:divBdr>
                  <w:divsChild>
                    <w:div w:id="917517410">
                      <w:marLeft w:val="0"/>
                      <w:marRight w:val="0"/>
                      <w:marTop w:val="0"/>
                      <w:marBottom w:val="0"/>
                      <w:divBdr>
                        <w:top w:val="none" w:sz="0" w:space="0" w:color="auto"/>
                        <w:left w:val="none" w:sz="0" w:space="0" w:color="auto"/>
                        <w:bottom w:val="none" w:sz="0" w:space="0" w:color="auto"/>
                        <w:right w:val="none" w:sz="0" w:space="0" w:color="auto"/>
                      </w:divBdr>
                    </w:div>
                  </w:divsChild>
                </w:div>
                <w:div w:id="359625043">
                  <w:marLeft w:val="240"/>
                  <w:marRight w:val="0"/>
                  <w:marTop w:val="60"/>
                  <w:marBottom w:val="60"/>
                  <w:divBdr>
                    <w:top w:val="none" w:sz="0" w:space="0" w:color="auto"/>
                    <w:left w:val="none" w:sz="0" w:space="0" w:color="auto"/>
                    <w:bottom w:val="none" w:sz="0" w:space="0" w:color="auto"/>
                    <w:right w:val="none" w:sz="0" w:space="0" w:color="auto"/>
                  </w:divBdr>
                  <w:divsChild>
                    <w:div w:id="1850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18290">
              <w:marLeft w:val="240"/>
              <w:marRight w:val="0"/>
              <w:marTop w:val="60"/>
              <w:marBottom w:val="60"/>
              <w:divBdr>
                <w:top w:val="none" w:sz="0" w:space="0" w:color="auto"/>
                <w:left w:val="none" w:sz="0" w:space="0" w:color="auto"/>
                <w:bottom w:val="none" w:sz="0" w:space="0" w:color="auto"/>
                <w:right w:val="none" w:sz="0" w:space="0" w:color="auto"/>
              </w:divBdr>
              <w:divsChild>
                <w:div w:id="1641156068">
                  <w:marLeft w:val="240"/>
                  <w:marRight w:val="0"/>
                  <w:marTop w:val="60"/>
                  <w:marBottom w:val="60"/>
                  <w:divBdr>
                    <w:top w:val="none" w:sz="0" w:space="0" w:color="auto"/>
                    <w:left w:val="none" w:sz="0" w:space="0" w:color="auto"/>
                    <w:bottom w:val="none" w:sz="0" w:space="0" w:color="auto"/>
                    <w:right w:val="none" w:sz="0" w:space="0" w:color="auto"/>
                  </w:divBdr>
                  <w:divsChild>
                    <w:div w:id="1339310394">
                      <w:marLeft w:val="0"/>
                      <w:marRight w:val="0"/>
                      <w:marTop w:val="0"/>
                      <w:marBottom w:val="0"/>
                      <w:divBdr>
                        <w:top w:val="none" w:sz="0" w:space="0" w:color="auto"/>
                        <w:left w:val="none" w:sz="0" w:space="0" w:color="auto"/>
                        <w:bottom w:val="none" w:sz="0" w:space="0" w:color="auto"/>
                        <w:right w:val="none" w:sz="0" w:space="0" w:color="auto"/>
                      </w:divBdr>
                    </w:div>
                  </w:divsChild>
                </w:div>
                <w:div w:id="1265923883">
                  <w:marLeft w:val="240"/>
                  <w:marRight w:val="0"/>
                  <w:marTop w:val="60"/>
                  <w:marBottom w:val="60"/>
                  <w:divBdr>
                    <w:top w:val="none" w:sz="0" w:space="0" w:color="auto"/>
                    <w:left w:val="none" w:sz="0" w:space="0" w:color="auto"/>
                    <w:bottom w:val="none" w:sz="0" w:space="0" w:color="auto"/>
                    <w:right w:val="none" w:sz="0" w:space="0" w:color="auto"/>
                  </w:divBdr>
                  <w:divsChild>
                    <w:div w:id="480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237330">
              <w:marLeft w:val="240"/>
              <w:marRight w:val="0"/>
              <w:marTop w:val="60"/>
              <w:marBottom w:val="60"/>
              <w:divBdr>
                <w:top w:val="none" w:sz="0" w:space="0" w:color="auto"/>
                <w:left w:val="none" w:sz="0" w:space="0" w:color="auto"/>
                <w:bottom w:val="none" w:sz="0" w:space="0" w:color="auto"/>
                <w:right w:val="none" w:sz="0" w:space="0" w:color="auto"/>
              </w:divBdr>
              <w:divsChild>
                <w:div w:id="1507595188">
                  <w:marLeft w:val="240"/>
                  <w:marRight w:val="0"/>
                  <w:marTop w:val="60"/>
                  <w:marBottom w:val="60"/>
                  <w:divBdr>
                    <w:top w:val="none" w:sz="0" w:space="0" w:color="auto"/>
                    <w:left w:val="none" w:sz="0" w:space="0" w:color="auto"/>
                    <w:bottom w:val="none" w:sz="0" w:space="0" w:color="auto"/>
                    <w:right w:val="none" w:sz="0" w:space="0" w:color="auto"/>
                  </w:divBdr>
                  <w:divsChild>
                    <w:div w:id="1587763959">
                      <w:marLeft w:val="0"/>
                      <w:marRight w:val="0"/>
                      <w:marTop w:val="0"/>
                      <w:marBottom w:val="0"/>
                      <w:divBdr>
                        <w:top w:val="none" w:sz="0" w:space="0" w:color="auto"/>
                        <w:left w:val="none" w:sz="0" w:space="0" w:color="auto"/>
                        <w:bottom w:val="none" w:sz="0" w:space="0" w:color="auto"/>
                        <w:right w:val="none" w:sz="0" w:space="0" w:color="auto"/>
                      </w:divBdr>
                    </w:div>
                  </w:divsChild>
                </w:div>
                <w:div w:id="1693262846">
                  <w:marLeft w:val="240"/>
                  <w:marRight w:val="0"/>
                  <w:marTop w:val="60"/>
                  <w:marBottom w:val="60"/>
                  <w:divBdr>
                    <w:top w:val="none" w:sz="0" w:space="0" w:color="auto"/>
                    <w:left w:val="none" w:sz="0" w:space="0" w:color="auto"/>
                    <w:bottom w:val="none" w:sz="0" w:space="0" w:color="auto"/>
                    <w:right w:val="none" w:sz="0" w:space="0" w:color="auto"/>
                  </w:divBdr>
                  <w:divsChild>
                    <w:div w:id="1786073116">
                      <w:marLeft w:val="0"/>
                      <w:marRight w:val="0"/>
                      <w:marTop w:val="0"/>
                      <w:marBottom w:val="0"/>
                      <w:divBdr>
                        <w:top w:val="none" w:sz="0" w:space="0" w:color="auto"/>
                        <w:left w:val="none" w:sz="0" w:space="0" w:color="auto"/>
                        <w:bottom w:val="none" w:sz="0" w:space="0" w:color="auto"/>
                        <w:right w:val="none" w:sz="0" w:space="0" w:color="auto"/>
                      </w:divBdr>
                    </w:div>
                  </w:divsChild>
                </w:div>
                <w:div w:id="1173841022">
                  <w:marLeft w:val="240"/>
                  <w:marRight w:val="0"/>
                  <w:marTop w:val="60"/>
                  <w:marBottom w:val="60"/>
                  <w:divBdr>
                    <w:top w:val="none" w:sz="0" w:space="0" w:color="auto"/>
                    <w:left w:val="none" w:sz="0" w:space="0" w:color="auto"/>
                    <w:bottom w:val="none" w:sz="0" w:space="0" w:color="auto"/>
                    <w:right w:val="none" w:sz="0" w:space="0" w:color="auto"/>
                  </w:divBdr>
                  <w:divsChild>
                    <w:div w:id="1249070981">
                      <w:marLeft w:val="0"/>
                      <w:marRight w:val="0"/>
                      <w:marTop w:val="0"/>
                      <w:marBottom w:val="0"/>
                      <w:divBdr>
                        <w:top w:val="none" w:sz="0" w:space="0" w:color="auto"/>
                        <w:left w:val="none" w:sz="0" w:space="0" w:color="auto"/>
                        <w:bottom w:val="none" w:sz="0" w:space="0" w:color="auto"/>
                        <w:right w:val="none" w:sz="0" w:space="0" w:color="auto"/>
                      </w:divBdr>
                    </w:div>
                  </w:divsChild>
                </w:div>
                <w:div w:id="894661253">
                  <w:marLeft w:val="240"/>
                  <w:marRight w:val="0"/>
                  <w:marTop w:val="60"/>
                  <w:marBottom w:val="60"/>
                  <w:divBdr>
                    <w:top w:val="none" w:sz="0" w:space="0" w:color="auto"/>
                    <w:left w:val="none" w:sz="0" w:space="0" w:color="auto"/>
                    <w:bottom w:val="none" w:sz="0" w:space="0" w:color="auto"/>
                    <w:right w:val="none" w:sz="0" w:space="0" w:color="auto"/>
                  </w:divBdr>
                  <w:divsChild>
                    <w:div w:id="1739399935">
                      <w:marLeft w:val="0"/>
                      <w:marRight w:val="0"/>
                      <w:marTop w:val="0"/>
                      <w:marBottom w:val="0"/>
                      <w:divBdr>
                        <w:top w:val="none" w:sz="0" w:space="0" w:color="auto"/>
                        <w:left w:val="none" w:sz="0" w:space="0" w:color="auto"/>
                        <w:bottom w:val="none" w:sz="0" w:space="0" w:color="auto"/>
                        <w:right w:val="none" w:sz="0" w:space="0" w:color="auto"/>
                      </w:divBdr>
                    </w:div>
                  </w:divsChild>
                </w:div>
                <w:div w:id="223489117">
                  <w:marLeft w:val="240"/>
                  <w:marRight w:val="0"/>
                  <w:marTop w:val="60"/>
                  <w:marBottom w:val="60"/>
                  <w:divBdr>
                    <w:top w:val="none" w:sz="0" w:space="0" w:color="auto"/>
                    <w:left w:val="none" w:sz="0" w:space="0" w:color="auto"/>
                    <w:bottom w:val="none" w:sz="0" w:space="0" w:color="auto"/>
                    <w:right w:val="none" w:sz="0" w:space="0" w:color="auto"/>
                  </w:divBdr>
                  <w:divsChild>
                    <w:div w:id="30812474">
                      <w:marLeft w:val="240"/>
                      <w:marRight w:val="0"/>
                      <w:marTop w:val="60"/>
                      <w:marBottom w:val="60"/>
                      <w:divBdr>
                        <w:top w:val="none" w:sz="0" w:space="0" w:color="auto"/>
                        <w:left w:val="none" w:sz="0" w:space="0" w:color="auto"/>
                        <w:bottom w:val="none" w:sz="0" w:space="0" w:color="auto"/>
                        <w:right w:val="none" w:sz="0" w:space="0" w:color="auto"/>
                      </w:divBdr>
                      <w:divsChild>
                        <w:div w:id="99223112">
                          <w:marLeft w:val="0"/>
                          <w:marRight w:val="0"/>
                          <w:marTop w:val="0"/>
                          <w:marBottom w:val="0"/>
                          <w:divBdr>
                            <w:top w:val="none" w:sz="0" w:space="0" w:color="auto"/>
                            <w:left w:val="none" w:sz="0" w:space="0" w:color="auto"/>
                            <w:bottom w:val="none" w:sz="0" w:space="0" w:color="auto"/>
                            <w:right w:val="none" w:sz="0" w:space="0" w:color="auto"/>
                          </w:divBdr>
                        </w:div>
                      </w:divsChild>
                    </w:div>
                    <w:div w:id="886642827">
                      <w:marLeft w:val="240"/>
                      <w:marRight w:val="0"/>
                      <w:marTop w:val="60"/>
                      <w:marBottom w:val="60"/>
                      <w:divBdr>
                        <w:top w:val="none" w:sz="0" w:space="0" w:color="auto"/>
                        <w:left w:val="none" w:sz="0" w:space="0" w:color="auto"/>
                        <w:bottom w:val="none" w:sz="0" w:space="0" w:color="auto"/>
                        <w:right w:val="none" w:sz="0" w:space="0" w:color="auto"/>
                      </w:divBdr>
                      <w:divsChild>
                        <w:div w:id="7113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239323">
          <w:marLeft w:val="0"/>
          <w:marRight w:val="0"/>
          <w:marTop w:val="0"/>
          <w:marBottom w:val="0"/>
          <w:divBdr>
            <w:top w:val="none" w:sz="0" w:space="0" w:color="auto"/>
            <w:left w:val="none" w:sz="0" w:space="0" w:color="auto"/>
            <w:bottom w:val="none" w:sz="0" w:space="0" w:color="auto"/>
            <w:right w:val="none" w:sz="0" w:space="0" w:color="auto"/>
          </w:divBdr>
        </w:div>
      </w:divsChild>
    </w:div>
    <w:div w:id="58869020">
      <w:bodyDiv w:val="1"/>
      <w:marLeft w:val="0"/>
      <w:marRight w:val="0"/>
      <w:marTop w:val="0"/>
      <w:marBottom w:val="0"/>
      <w:divBdr>
        <w:top w:val="none" w:sz="0" w:space="0" w:color="auto"/>
        <w:left w:val="none" w:sz="0" w:space="0" w:color="auto"/>
        <w:bottom w:val="none" w:sz="0" w:space="0" w:color="auto"/>
        <w:right w:val="none" w:sz="0" w:space="0" w:color="auto"/>
      </w:divBdr>
    </w:div>
    <w:div w:id="72361204">
      <w:bodyDiv w:val="1"/>
      <w:marLeft w:val="0"/>
      <w:marRight w:val="0"/>
      <w:marTop w:val="0"/>
      <w:marBottom w:val="0"/>
      <w:divBdr>
        <w:top w:val="none" w:sz="0" w:space="0" w:color="auto"/>
        <w:left w:val="none" w:sz="0" w:space="0" w:color="auto"/>
        <w:bottom w:val="none" w:sz="0" w:space="0" w:color="auto"/>
        <w:right w:val="none" w:sz="0" w:space="0" w:color="auto"/>
      </w:divBdr>
    </w:div>
    <w:div w:id="87819195">
      <w:bodyDiv w:val="1"/>
      <w:marLeft w:val="0"/>
      <w:marRight w:val="0"/>
      <w:marTop w:val="0"/>
      <w:marBottom w:val="0"/>
      <w:divBdr>
        <w:top w:val="none" w:sz="0" w:space="0" w:color="auto"/>
        <w:left w:val="none" w:sz="0" w:space="0" w:color="auto"/>
        <w:bottom w:val="none" w:sz="0" w:space="0" w:color="auto"/>
        <w:right w:val="none" w:sz="0" w:space="0" w:color="auto"/>
      </w:divBdr>
    </w:div>
    <w:div w:id="103355484">
      <w:bodyDiv w:val="1"/>
      <w:marLeft w:val="0"/>
      <w:marRight w:val="0"/>
      <w:marTop w:val="0"/>
      <w:marBottom w:val="0"/>
      <w:divBdr>
        <w:top w:val="none" w:sz="0" w:space="0" w:color="auto"/>
        <w:left w:val="none" w:sz="0" w:space="0" w:color="auto"/>
        <w:bottom w:val="none" w:sz="0" w:space="0" w:color="auto"/>
        <w:right w:val="none" w:sz="0" w:space="0" w:color="auto"/>
      </w:divBdr>
      <w:divsChild>
        <w:div w:id="231161760">
          <w:marLeft w:val="240"/>
          <w:marRight w:val="0"/>
          <w:marTop w:val="60"/>
          <w:marBottom w:val="60"/>
          <w:divBdr>
            <w:top w:val="none" w:sz="0" w:space="0" w:color="auto"/>
            <w:left w:val="none" w:sz="0" w:space="0" w:color="auto"/>
            <w:bottom w:val="none" w:sz="0" w:space="0" w:color="auto"/>
            <w:right w:val="none" w:sz="0" w:space="0" w:color="auto"/>
          </w:divBdr>
          <w:divsChild>
            <w:div w:id="1445996881">
              <w:marLeft w:val="0"/>
              <w:marRight w:val="0"/>
              <w:marTop w:val="0"/>
              <w:marBottom w:val="0"/>
              <w:divBdr>
                <w:top w:val="none" w:sz="0" w:space="0" w:color="auto"/>
                <w:left w:val="none" w:sz="0" w:space="0" w:color="auto"/>
                <w:bottom w:val="none" w:sz="0" w:space="0" w:color="auto"/>
                <w:right w:val="none" w:sz="0" w:space="0" w:color="auto"/>
              </w:divBdr>
            </w:div>
          </w:divsChild>
        </w:div>
        <w:div w:id="1918048290">
          <w:marLeft w:val="240"/>
          <w:marRight w:val="0"/>
          <w:marTop w:val="60"/>
          <w:marBottom w:val="60"/>
          <w:divBdr>
            <w:top w:val="none" w:sz="0" w:space="0" w:color="auto"/>
            <w:left w:val="none" w:sz="0" w:space="0" w:color="auto"/>
            <w:bottom w:val="none" w:sz="0" w:space="0" w:color="auto"/>
            <w:right w:val="none" w:sz="0" w:space="0" w:color="auto"/>
          </w:divBdr>
          <w:divsChild>
            <w:div w:id="2099473879">
              <w:marLeft w:val="0"/>
              <w:marRight w:val="0"/>
              <w:marTop w:val="0"/>
              <w:marBottom w:val="0"/>
              <w:divBdr>
                <w:top w:val="none" w:sz="0" w:space="0" w:color="auto"/>
                <w:left w:val="none" w:sz="0" w:space="0" w:color="auto"/>
                <w:bottom w:val="none" w:sz="0" w:space="0" w:color="auto"/>
                <w:right w:val="none" w:sz="0" w:space="0" w:color="auto"/>
              </w:divBdr>
            </w:div>
          </w:divsChild>
        </w:div>
        <w:div w:id="1605645753">
          <w:marLeft w:val="0"/>
          <w:marRight w:val="0"/>
          <w:marTop w:val="0"/>
          <w:marBottom w:val="0"/>
          <w:divBdr>
            <w:top w:val="none" w:sz="0" w:space="0" w:color="auto"/>
            <w:left w:val="none" w:sz="0" w:space="0" w:color="auto"/>
            <w:bottom w:val="none" w:sz="0" w:space="0" w:color="auto"/>
            <w:right w:val="none" w:sz="0" w:space="0" w:color="auto"/>
          </w:divBdr>
        </w:div>
      </w:divsChild>
    </w:div>
    <w:div w:id="126508988">
      <w:bodyDiv w:val="1"/>
      <w:marLeft w:val="0"/>
      <w:marRight w:val="0"/>
      <w:marTop w:val="0"/>
      <w:marBottom w:val="0"/>
      <w:divBdr>
        <w:top w:val="none" w:sz="0" w:space="0" w:color="auto"/>
        <w:left w:val="none" w:sz="0" w:space="0" w:color="auto"/>
        <w:bottom w:val="none" w:sz="0" w:space="0" w:color="auto"/>
        <w:right w:val="none" w:sz="0" w:space="0" w:color="auto"/>
      </w:divBdr>
    </w:div>
    <w:div w:id="145905409">
      <w:bodyDiv w:val="1"/>
      <w:marLeft w:val="0"/>
      <w:marRight w:val="0"/>
      <w:marTop w:val="0"/>
      <w:marBottom w:val="0"/>
      <w:divBdr>
        <w:top w:val="none" w:sz="0" w:space="0" w:color="auto"/>
        <w:left w:val="none" w:sz="0" w:space="0" w:color="auto"/>
        <w:bottom w:val="none" w:sz="0" w:space="0" w:color="auto"/>
        <w:right w:val="none" w:sz="0" w:space="0" w:color="auto"/>
      </w:divBdr>
    </w:div>
    <w:div w:id="168107665">
      <w:bodyDiv w:val="1"/>
      <w:marLeft w:val="0"/>
      <w:marRight w:val="0"/>
      <w:marTop w:val="0"/>
      <w:marBottom w:val="0"/>
      <w:divBdr>
        <w:top w:val="none" w:sz="0" w:space="0" w:color="auto"/>
        <w:left w:val="none" w:sz="0" w:space="0" w:color="auto"/>
        <w:bottom w:val="none" w:sz="0" w:space="0" w:color="auto"/>
        <w:right w:val="none" w:sz="0" w:space="0" w:color="auto"/>
      </w:divBdr>
    </w:div>
    <w:div w:id="186918367">
      <w:bodyDiv w:val="1"/>
      <w:marLeft w:val="0"/>
      <w:marRight w:val="0"/>
      <w:marTop w:val="0"/>
      <w:marBottom w:val="0"/>
      <w:divBdr>
        <w:top w:val="none" w:sz="0" w:space="0" w:color="auto"/>
        <w:left w:val="none" w:sz="0" w:space="0" w:color="auto"/>
        <w:bottom w:val="none" w:sz="0" w:space="0" w:color="auto"/>
        <w:right w:val="none" w:sz="0" w:space="0" w:color="auto"/>
      </w:divBdr>
    </w:div>
    <w:div w:id="188030816">
      <w:bodyDiv w:val="1"/>
      <w:marLeft w:val="0"/>
      <w:marRight w:val="0"/>
      <w:marTop w:val="0"/>
      <w:marBottom w:val="0"/>
      <w:divBdr>
        <w:top w:val="none" w:sz="0" w:space="0" w:color="auto"/>
        <w:left w:val="none" w:sz="0" w:space="0" w:color="auto"/>
        <w:bottom w:val="none" w:sz="0" w:space="0" w:color="auto"/>
        <w:right w:val="none" w:sz="0" w:space="0" w:color="auto"/>
      </w:divBdr>
    </w:div>
    <w:div w:id="206112524">
      <w:bodyDiv w:val="1"/>
      <w:marLeft w:val="0"/>
      <w:marRight w:val="0"/>
      <w:marTop w:val="0"/>
      <w:marBottom w:val="0"/>
      <w:divBdr>
        <w:top w:val="none" w:sz="0" w:space="0" w:color="auto"/>
        <w:left w:val="none" w:sz="0" w:space="0" w:color="auto"/>
        <w:bottom w:val="none" w:sz="0" w:space="0" w:color="auto"/>
        <w:right w:val="none" w:sz="0" w:space="0" w:color="auto"/>
      </w:divBdr>
    </w:div>
    <w:div w:id="207840918">
      <w:bodyDiv w:val="1"/>
      <w:marLeft w:val="0"/>
      <w:marRight w:val="0"/>
      <w:marTop w:val="0"/>
      <w:marBottom w:val="0"/>
      <w:divBdr>
        <w:top w:val="none" w:sz="0" w:space="0" w:color="auto"/>
        <w:left w:val="none" w:sz="0" w:space="0" w:color="auto"/>
        <w:bottom w:val="none" w:sz="0" w:space="0" w:color="auto"/>
        <w:right w:val="none" w:sz="0" w:space="0" w:color="auto"/>
      </w:divBdr>
    </w:div>
    <w:div w:id="208492366">
      <w:bodyDiv w:val="1"/>
      <w:marLeft w:val="0"/>
      <w:marRight w:val="0"/>
      <w:marTop w:val="0"/>
      <w:marBottom w:val="0"/>
      <w:divBdr>
        <w:top w:val="none" w:sz="0" w:space="0" w:color="auto"/>
        <w:left w:val="none" w:sz="0" w:space="0" w:color="auto"/>
        <w:bottom w:val="none" w:sz="0" w:space="0" w:color="auto"/>
        <w:right w:val="none" w:sz="0" w:space="0" w:color="auto"/>
      </w:divBdr>
    </w:div>
    <w:div w:id="208811115">
      <w:bodyDiv w:val="1"/>
      <w:marLeft w:val="0"/>
      <w:marRight w:val="0"/>
      <w:marTop w:val="0"/>
      <w:marBottom w:val="0"/>
      <w:divBdr>
        <w:top w:val="none" w:sz="0" w:space="0" w:color="auto"/>
        <w:left w:val="none" w:sz="0" w:space="0" w:color="auto"/>
        <w:bottom w:val="none" w:sz="0" w:space="0" w:color="auto"/>
        <w:right w:val="none" w:sz="0" w:space="0" w:color="auto"/>
      </w:divBdr>
      <w:divsChild>
        <w:div w:id="90005131">
          <w:marLeft w:val="240"/>
          <w:marRight w:val="0"/>
          <w:marTop w:val="60"/>
          <w:marBottom w:val="60"/>
          <w:divBdr>
            <w:top w:val="none" w:sz="0" w:space="0" w:color="auto"/>
            <w:left w:val="none" w:sz="0" w:space="0" w:color="auto"/>
            <w:bottom w:val="none" w:sz="0" w:space="0" w:color="auto"/>
            <w:right w:val="none" w:sz="0" w:space="0" w:color="auto"/>
          </w:divBdr>
          <w:divsChild>
            <w:div w:id="123890303">
              <w:marLeft w:val="240"/>
              <w:marRight w:val="0"/>
              <w:marTop w:val="60"/>
              <w:marBottom w:val="60"/>
              <w:divBdr>
                <w:top w:val="none" w:sz="0" w:space="0" w:color="auto"/>
                <w:left w:val="none" w:sz="0" w:space="0" w:color="auto"/>
                <w:bottom w:val="none" w:sz="0" w:space="0" w:color="auto"/>
                <w:right w:val="none" w:sz="0" w:space="0" w:color="auto"/>
              </w:divBdr>
              <w:divsChild>
                <w:div w:id="1135567886">
                  <w:marLeft w:val="0"/>
                  <w:marRight w:val="0"/>
                  <w:marTop w:val="0"/>
                  <w:marBottom w:val="0"/>
                  <w:divBdr>
                    <w:top w:val="none" w:sz="0" w:space="0" w:color="auto"/>
                    <w:left w:val="none" w:sz="0" w:space="0" w:color="auto"/>
                    <w:bottom w:val="none" w:sz="0" w:space="0" w:color="auto"/>
                    <w:right w:val="none" w:sz="0" w:space="0" w:color="auto"/>
                  </w:divBdr>
                </w:div>
              </w:divsChild>
            </w:div>
            <w:div w:id="1020819808">
              <w:marLeft w:val="240"/>
              <w:marRight w:val="0"/>
              <w:marTop w:val="60"/>
              <w:marBottom w:val="60"/>
              <w:divBdr>
                <w:top w:val="none" w:sz="0" w:space="0" w:color="auto"/>
                <w:left w:val="none" w:sz="0" w:space="0" w:color="auto"/>
                <w:bottom w:val="none" w:sz="0" w:space="0" w:color="auto"/>
                <w:right w:val="none" w:sz="0" w:space="0" w:color="auto"/>
              </w:divBdr>
              <w:divsChild>
                <w:div w:id="9727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08881">
          <w:marLeft w:val="240"/>
          <w:marRight w:val="0"/>
          <w:marTop w:val="60"/>
          <w:marBottom w:val="60"/>
          <w:divBdr>
            <w:top w:val="none" w:sz="0" w:space="0" w:color="auto"/>
            <w:left w:val="none" w:sz="0" w:space="0" w:color="auto"/>
            <w:bottom w:val="none" w:sz="0" w:space="0" w:color="auto"/>
            <w:right w:val="none" w:sz="0" w:space="0" w:color="auto"/>
          </w:divBdr>
          <w:divsChild>
            <w:div w:id="1728601014">
              <w:marLeft w:val="240"/>
              <w:marRight w:val="0"/>
              <w:marTop w:val="60"/>
              <w:marBottom w:val="60"/>
              <w:divBdr>
                <w:top w:val="none" w:sz="0" w:space="0" w:color="auto"/>
                <w:left w:val="none" w:sz="0" w:space="0" w:color="auto"/>
                <w:bottom w:val="none" w:sz="0" w:space="0" w:color="auto"/>
                <w:right w:val="none" w:sz="0" w:space="0" w:color="auto"/>
              </w:divBdr>
              <w:divsChild>
                <w:div w:id="228613062">
                  <w:marLeft w:val="0"/>
                  <w:marRight w:val="0"/>
                  <w:marTop w:val="0"/>
                  <w:marBottom w:val="0"/>
                  <w:divBdr>
                    <w:top w:val="none" w:sz="0" w:space="0" w:color="auto"/>
                    <w:left w:val="none" w:sz="0" w:space="0" w:color="auto"/>
                    <w:bottom w:val="none" w:sz="0" w:space="0" w:color="auto"/>
                    <w:right w:val="none" w:sz="0" w:space="0" w:color="auto"/>
                  </w:divBdr>
                </w:div>
              </w:divsChild>
            </w:div>
            <w:div w:id="1598437580">
              <w:marLeft w:val="240"/>
              <w:marRight w:val="0"/>
              <w:marTop w:val="60"/>
              <w:marBottom w:val="60"/>
              <w:divBdr>
                <w:top w:val="none" w:sz="0" w:space="0" w:color="auto"/>
                <w:left w:val="none" w:sz="0" w:space="0" w:color="auto"/>
                <w:bottom w:val="none" w:sz="0" w:space="0" w:color="auto"/>
                <w:right w:val="none" w:sz="0" w:space="0" w:color="auto"/>
              </w:divBdr>
              <w:divsChild>
                <w:div w:id="18526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67031">
          <w:marLeft w:val="240"/>
          <w:marRight w:val="0"/>
          <w:marTop w:val="60"/>
          <w:marBottom w:val="60"/>
          <w:divBdr>
            <w:top w:val="none" w:sz="0" w:space="0" w:color="auto"/>
            <w:left w:val="none" w:sz="0" w:space="0" w:color="auto"/>
            <w:bottom w:val="none" w:sz="0" w:space="0" w:color="auto"/>
            <w:right w:val="none" w:sz="0" w:space="0" w:color="auto"/>
          </w:divBdr>
          <w:divsChild>
            <w:div w:id="1918202098">
              <w:marLeft w:val="240"/>
              <w:marRight w:val="0"/>
              <w:marTop w:val="60"/>
              <w:marBottom w:val="60"/>
              <w:divBdr>
                <w:top w:val="none" w:sz="0" w:space="0" w:color="auto"/>
                <w:left w:val="none" w:sz="0" w:space="0" w:color="auto"/>
                <w:bottom w:val="none" w:sz="0" w:space="0" w:color="auto"/>
                <w:right w:val="none" w:sz="0" w:space="0" w:color="auto"/>
              </w:divBdr>
              <w:divsChild>
                <w:div w:id="1374962619">
                  <w:marLeft w:val="0"/>
                  <w:marRight w:val="0"/>
                  <w:marTop w:val="0"/>
                  <w:marBottom w:val="0"/>
                  <w:divBdr>
                    <w:top w:val="none" w:sz="0" w:space="0" w:color="auto"/>
                    <w:left w:val="none" w:sz="0" w:space="0" w:color="auto"/>
                    <w:bottom w:val="none" w:sz="0" w:space="0" w:color="auto"/>
                    <w:right w:val="none" w:sz="0" w:space="0" w:color="auto"/>
                  </w:divBdr>
                </w:div>
              </w:divsChild>
            </w:div>
            <w:div w:id="213545695">
              <w:marLeft w:val="240"/>
              <w:marRight w:val="0"/>
              <w:marTop w:val="60"/>
              <w:marBottom w:val="60"/>
              <w:divBdr>
                <w:top w:val="none" w:sz="0" w:space="0" w:color="auto"/>
                <w:left w:val="none" w:sz="0" w:space="0" w:color="auto"/>
                <w:bottom w:val="none" w:sz="0" w:space="0" w:color="auto"/>
                <w:right w:val="none" w:sz="0" w:space="0" w:color="auto"/>
              </w:divBdr>
              <w:divsChild>
                <w:div w:id="5810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39256">
          <w:marLeft w:val="240"/>
          <w:marRight w:val="0"/>
          <w:marTop w:val="60"/>
          <w:marBottom w:val="60"/>
          <w:divBdr>
            <w:top w:val="none" w:sz="0" w:space="0" w:color="auto"/>
            <w:left w:val="none" w:sz="0" w:space="0" w:color="auto"/>
            <w:bottom w:val="none" w:sz="0" w:space="0" w:color="auto"/>
            <w:right w:val="none" w:sz="0" w:space="0" w:color="auto"/>
          </w:divBdr>
          <w:divsChild>
            <w:div w:id="1243642522">
              <w:marLeft w:val="0"/>
              <w:marRight w:val="0"/>
              <w:marTop w:val="0"/>
              <w:marBottom w:val="0"/>
              <w:divBdr>
                <w:top w:val="none" w:sz="0" w:space="0" w:color="auto"/>
                <w:left w:val="none" w:sz="0" w:space="0" w:color="auto"/>
                <w:bottom w:val="none" w:sz="0" w:space="0" w:color="auto"/>
                <w:right w:val="none" w:sz="0" w:space="0" w:color="auto"/>
              </w:divBdr>
            </w:div>
          </w:divsChild>
        </w:div>
        <w:div w:id="480928414">
          <w:marLeft w:val="240"/>
          <w:marRight w:val="0"/>
          <w:marTop w:val="60"/>
          <w:marBottom w:val="60"/>
          <w:divBdr>
            <w:top w:val="none" w:sz="0" w:space="0" w:color="auto"/>
            <w:left w:val="none" w:sz="0" w:space="0" w:color="auto"/>
            <w:bottom w:val="none" w:sz="0" w:space="0" w:color="auto"/>
            <w:right w:val="none" w:sz="0" w:space="0" w:color="auto"/>
          </w:divBdr>
          <w:divsChild>
            <w:div w:id="535197355">
              <w:marLeft w:val="0"/>
              <w:marRight w:val="0"/>
              <w:marTop w:val="0"/>
              <w:marBottom w:val="0"/>
              <w:divBdr>
                <w:top w:val="none" w:sz="0" w:space="0" w:color="auto"/>
                <w:left w:val="none" w:sz="0" w:space="0" w:color="auto"/>
                <w:bottom w:val="none" w:sz="0" w:space="0" w:color="auto"/>
                <w:right w:val="none" w:sz="0" w:space="0" w:color="auto"/>
              </w:divBdr>
            </w:div>
          </w:divsChild>
        </w:div>
        <w:div w:id="286205519">
          <w:marLeft w:val="240"/>
          <w:marRight w:val="0"/>
          <w:marTop w:val="60"/>
          <w:marBottom w:val="60"/>
          <w:divBdr>
            <w:top w:val="none" w:sz="0" w:space="0" w:color="auto"/>
            <w:left w:val="none" w:sz="0" w:space="0" w:color="auto"/>
            <w:bottom w:val="none" w:sz="0" w:space="0" w:color="auto"/>
            <w:right w:val="none" w:sz="0" w:space="0" w:color="auto"/>
          </w:divBdr>
          <w:divsChild>
            <w:div w:id="1604650989">
              <w:marLeft w:val="0"/>
              <w:marRight w:val="0"/>
              <w:marTop w:val="0"/>
              <w:marBottom w:val="0"/>
              <w:divBdr>
                <w:top w:val="none" w:sz="0" w:space="0" w:color="auto"/>
                <w:left w:val="none" w:sz="0" w:space="0" w:color="auto"/>
                <w:bottom w:val="none" w:sz="0" w:space="0" w:color="auto"/>
                <w:right w:val="none" w:sz="0" w:space="0" w:color="auto"/>
              </w:divBdr>
            </w:div>
          </w:divsChild>
        </w:div>
        <w:div w:id="856964708">
          <w:marLeft w:val="0"/>
          <w:marRight w:val="0"/>
          <w:marTop w:val="0"/>
          <w:marBottom w:val="0"/>
          <w:divBdr>
            <w:top w:val="none" w:sz="0" w:space="0" w:color="auto"/>
            <w:left w:val="none" w:sz="0" w:space="0" w:color="auto"/>
            <w:bottom w:val="none" w:sz="0" w:space="0" w:color="auto"/>
            <w:right w:val="none" w:sz="0" w:space="0" w:color="auto"/>
          </w:divBdr>
        </w:div>
      </w:divsChild>
    </w:div>
    <w:div w:id="225379814">
      <w:bodyDiv w:val="1"/>
      <w:marLeft w:val="0"/>
      <w:marRight w:val="0"/>
      <w:marTop w:val="0"/>
      <w:marBottom w:val="0"/>
      <w:divBdr>
        <w:top w:val="none" w:sz="0" w:space="0" w:color="auto"/>
        <w:left w:val="none" w:sz="0" w:space="0" w:color="auto"/>
        <w:bottom w:val="none" w:sz="0" w:space="0" w:color="auto"/>
        <w:right w:val="none" w:sz="0" w:space="0" w:color="auto"/>
      </w:divBdr>
    </w:div>
    <w:div w:id="261230719">
      <w:bodyDiv w:val="1"/>
      <w:marLeft w:val="0"/>
      <w:marRight w:val="0"/>
      <w:marTop w:val="0"/>
      <w:marBottom w:val="0"/>
      <w:divBdr>
        <w:top w:val="none" w:sz="0" w:space="0" w:color="auto"/>
        <w:left w:val="none" w:sz="0" w:space="0" w:color="auto"/>
        <w:bottom w:val="none" w:sz="0" w:space="0" w:color="auto"/>
        <w:right w:val="none" w:sz="0" w:space="0" w:color="auto"/>
      </w:divBdr>
    </w:div>
    <w:div w:id="279268471">
      <w:bodyDiv w:val="1"/>
      <w:marLeft w:val="0"/>
      <w:marRight w:val="0"/>
      <w:marTop w:val="0"/>
      <w:marBottom w:val="0"/>
      <w:divBdr>
        <w:top w:val="none" w:sz="0" w:space="0" w:color="auto"/>
        <w:left w:val="none" w:sz="0" w:space="0" w:color="auto"/>
        <w:bottom w:val="none" w:sz="0" w:space="0" w:color="auto"/>
        <w:right w:val="none" w:sz="0" w:space="0" w:color="auto"/>
      </w:divBdr>
    </w:div>
    <w:div w:id="283117305">
      <w:bodyDiv w:val="1"/>
      <w:marLeft w:val="0"/>
      <w:marRight w:val="0"/>
      <w:marTop w:val="0"/>
      <w:marBottom w:val="0"/>
      <w:divBdr>
        <w:top w:val="none" w:sz="0" w:space="0" w:color="auto"/>
        <w:left w:val="none" w:sz="0" w:space="0" w:color="auto"/>
        <w:bottom w:val="none" w:sz="0" w:space="0" w:color="auto"/>
        <w:right w:val="none" w:sz="0" w:space="0" w:color="auto"/>
      </w:divBdr>
    </w:div>
    <w:div w:id="293293942">
      <w:bodyDiv w:val="1"/>
      <w:marLeft w:val="0"/>
      <w:marRight w:val="0"/>
      <w:marTop w:val="0"/>
      <w:marBottom w:val="0"/>
      <w:divBdr>
        <w:top w:val="none" w:sz="0" w:space="0" w:color="auto"/>
        <w:left w:val="none" w:sz="0" w:space="0" w:color="auto"/>
        <w:bottom w:val="none" w:sz="0" w:space="0" w:color="auto"/>
        <w:right w:val="none" w:sz="0" w:space="0" w:color="auto"/>
      </w:divBdr>
    </w:div>
    <w:div w:id="302931557">
      <w:bodyDiv w:val="1"/>
      <w:marLeft w:val="0"/>
      <w:marRight w:val="0"/>
      <w:marTop w:val="0"/>
      <w:marBottom w:val="0"/>
      <w:divBdr>
        <w:top w:val="none" w:sz="0" w:space="0" w:color="auto"/>
        <w:left w:val="none" w:sz="0" w:space="0" w:color="auto"/>
        <w:bottom w:val="none" w:sz="0" w:space="0" w:color="auto"/>
        <w:right w:val="none" w:sz="0" w:space="0" w:color="auto"/>
      </w:divBdr>
      <w:divsChild>
        <w:div w:id="1973710199">
          <w:marLeft w:val="240"/>
          <w:marRight w:val="0"/>
          <w:marTop w:val="60"/>
          <w:marBottom w:val="60"/>
          <w:divBdr>
            <w:top w:val="none" w:sz="0" w:space="0" w:color="auto"/>
            <w:left w:val="none" w:sz="0" w:space="0" w:color="auto"/>
            <w:bottom w:val="none" w:sz="0" w:space="0" w:color="auto"/>
            <w:right w:val="none" w:sz="0" w:space="0" w:color="auto"/>
          </w:divBdr>
          <w:divsChild>
            <w:div w:id="649291307">
              <w:marLeft w:val="240"/>
              <w:marRight w:val="0"/>
              <w:marTop w:val="60"/>
              <w:marBottom w:val="60"/>
              <w:divBdr>
                <w:top w:val="none" w:sz="0" w:space="0" w:color="auto"/>
                <w:left w:val="none" w:sz="0" w:space="0" w:color="auto"/>
                <w:bottom w:val="none" w:sz="0" w:space="0" w:color="auto"/>
                <w:right w:val="none" w:sz="0" w:space="0" w:color="auto"/>
              </w:divBdr>
              <w:divsChild>
                <w:div w:id="1465925674">
                  <w:marLeft w:val="0"/>
                  <w:marRight w:val="0"/>
                  <w:marTop w:val="0"/>
                  <w:marBottom w:val="0"/>
                  <w:divBdr>
                    <w:top w:val="none" w:sz="0" w:space="0" w:color="auto"/>
                    <w:left w:val="none" w:sz="0" w:space="0" w:color="auto"/>
                    <w:bottom w:val="none" w:sz="0" w:space="0" w:color="auto"/>
                    <w:right w:val="none" w:sz="0" w:space="0" w:color="auto"/>
                  </w:divBdr>
                </w:div>
              </w:divsChild>
            </w:div>
            <w:div w:id="1514149715">
              <w:marLeft w:val="240"/>
              <w:marRight w:val="0"/>
              <w:marTop w:val="60"/>
              <w:marBottom w:val="60"/>
              <w:divBdr>
                <w:top w:val="none" w:sz="0" w:space="0" w:color="auto"/>
                <w:left w:val="none" w:sz="0" w:space="0" w:color="auto"/>
                <w:bottom w:val="none" w:sz="0" w:space="0" w:color="auto"/>
                <w:right w:val="none" w:sz="0" w:space="0" w:color="auto"/>
              </w:divBdr>
              <w:divsChild>
                <w:div w:id="685332442">
                  <w:marLeft w:val="0"/>
                  <w:marRight w:val="0"/>
                  <w:marTop w:val="0"/>
                  <w:marBottom w:val="0"/>
                  <w:divBdr>
                    <w:top w:val="none" w:sz="0" w:space="0" w:color="auto"/>
                    <w:left w:val="none" w:sz="0" w:space="0" w:color="auto"/>
                    <w:bottom w:val="none" w:sz="0" w:space="0" w:color="auto"/>
                    <w:right w:val="none" w:sz="0" w:space="0" w:color="auto"/>
                  </w:divBdr>
                </w:div>
              </w:divsChild>
            </w:div>
            <w:div w:id="2036691909">
              <w:marLeft w:val="240"/>
              <w:marRight w:val="0"/>
              <w:marTop w:val="60"/>
              <w:marBottom w:val="60"/>
              <w:divBdr>
                <w:top w:val="none" w:sz="0" w:space="0" w:color="auto"/>
                <w:left w:val="none" w:sz="0" w:space="0" w:color="auto"/>
                <w:bottom w:val="none" w:sz="0" w:space="0" w:color="auto"/>
                <w:right w:val="none" w:sz="0" w:space="0" w:color="auto"/>
              </w:divBdr>
              <w:divsChild>
                <w:div w:id="1280185729">
                  <w:marLeft w:val="0"/>
                  <w:marRight w:val="0"/>
                  <w:marTop w:val="0"/>
                  <w:marBottom w:val="0"/>
                  <w:divBdr>
                    <w:top w:val="none" w:sz="0" w:space="0" w:color="auto"/>
                    <w:left w:val="none" w:sz="0" w:space="0" w:color="auto"/>
                    <w:bottom w:val="none" w:sz="0" w:space="0" w:color="auto"/>
                    <w:right w:val="none" w:sz="0" w:space="0" w:color="auto"/>
                  </w:divBdr>
                </w:div>
              </w:divsChild>
            </w:div>
            <w:div w:id="1438065933">
              <w:marLeft w:val="240"/>
              <w:marRight w:val="0"/>
              <w:marTop w:val="60"/>
              <w:marBottom w:val="60"/>
              <w:divBdr>
                <w:top w:val="none" w:sz="0" w:space="0" w:color="auto"/>
                <w:left w:val="none" w:sz="0" w:space="0" w:color="auto"/>
                <w:bottom w:val="none" w:sz="0" w:space="0" w:color="auto"/>
                <w:right w:val="none" w:sz="0" w:space="0" w:color="auto"/>
              </w:divBdr>
              <w:divsChild>
                <w:div w:id="1838112376">
                  <w:marLeft w:val="0"/>
                  <w:marRight w:val="0"/>
                  <w:marTop w:val="0"/>
                  <w:marBottom w:val="0"/>
                  <w:divBdr>
                    <w:top w:val="none" w:sz="0" w:space="0" w:color="auto"/>
                    <w:left w:val="none" w:sz="0" w:space="0" w:color="auto"/>
                    <w:bottom w:val="none" w:sz="0" w:space="0" w:color="auto"/>
                    <w:right w:val="none" w:sz="0" w:space="0" w:color="auto"/>
                  </w:divBdr>
                </w:div>
              </w:divsChild>
            </w:div>
            <w:div w:id="1909219858">
              <w:marLeft w:val="240"/>
              <w:marRight w:val="0"/>
              <w:marTop w:val="60"/>
              <w:marBottom w:val="60"/>
              <w:divBdr>
                <w:top w:val="none" w:sz="0" w:space="0" w:color="auto"/>
                <w:left w:val="none" w:sz="0" w:space="0" w:color="auto"/>
                <w:bottom w:val="none" w:sz="0" w:space="0" w:color="auto"/>
                <w:right w:val="none" w:sz="0" w:space="0" w:color="auto"/>
              </w:divBdr>
              <w:divsChild>
                <w:div w:id="177428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799">
          <w:marLeft w:val="240"/>
          <w:marRight w:val="0"/>
          <w:marTop w:val="60"/>
          <w:marBottom w:val="60"/>
          <w:divBdr>
            <w:top w:val="none" w:sz="0" w:space="0" w:color="auto"/>
            <w:left w:val="none" w:sz="0" w:space="0" w:color="auto"/>
            <w:bottom w:val="none" w:sz="0" w:space="0" w:color="auto"/>
            <w:right w:val="none" w:sz="0" w:space="0" w:color="auto"/>
          </w:divBdr>
          <w:divsChild>
            <w:div w:id="914171923">
              <w:marLeft w:val="240"/>
              <w:marRight w:val="0"/>
              <w:marTop w:val="60"/>
              <w:marBottom w:val="60"/>
              <w:divBdr>
                <w:top w:val="none" w:sz="0" w:space="0" w:color="auto"/>
                <w:left w:val="none" w:sz="0" w:space="0" w:color="auto"/>
                <w:bottom w:val="none" w:sz="0" w:space="0" w:color="auto"/>
                <w:right w:val="none" w:sz="0" w:space="0" w:color="auto"/>
              </w:divBdr>
              <w:divsChild>
                <w:div w:id="429592742">
                  <w:marLeft w:val="0"/>
                  <w:marRight w:val="0"/>
                  <w:marTop w:val="0"/>
                  <w:marBottom w:val="0"/>
                  <w:divBdr>
                    <w:top w:val="none" w:sz="0" w:space="0" w:color="auto"/>
                    <w:left w:val="none" w:sz="0" w:space="0" w:color="auto"/>
                    <w:bottom w:val="none" w:sz="0" w:space="0" w:color="auto"/>
                    <w:right w:val="none" w:sz="0" w:space="0" w:color="auto"/>
                  </w:divBdr>
                </w:div>
              </w:divsChild>
            </w:div>
            <w:div w:id="434322536">
              <w:marLeft w:val="240"/>
              <w:marRight w:val="0"/>
              <w:marTop w:val="60"/>
              <w:marBottom w:val="60"/>
              <w:divBdr>
                <w:top w:val="none" w:sz="0" w:space="0" w:color="auto"/>
                <w:left w:val="none" w:sz="0" w:space="0" w:color="auto"/>
                <w:bottom w:val="none" w:sz="0" w:space="0" w:color="auto"/>
                <w:right w:val="none" w:sz="0" w:space="0" w:color="auto"/>
              </w:divBdr>
              <w:divsChild>
                <w:div w:id="496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21101">
          <w:marLeft w:val="240"/>
          <w:marRight w:val="0"/>
          <w:marTop w:val="60"/>
          <w:marBottom w:val="60"/>
          <w:divBdr>
            <w:top w:val="none" w:sz="0" w:space="0" w:color="auto"/>
            <w:left w:val="none" w:sz="0" w:space="0" w:color="auto"/>
            <w:bottom w:val="none" w:sz="0" w:space="0" w:color="auto"/>
            <w:right w:val="none" w:sz="0" w:space="0" w:color="auto"/>
          </w:divBdr>
          <w:divsChild>
            <w:div w:id="1697732543">
              <w:marLeft w:val="0"/>
              <w:marRight w:val="0"/>
              <w:marTop w:val="0"/>
              <w:marBottom w:val="0"/>
              <w:divBdr>
                <w:top w:val="none" w:sz="0" w:space="0" w:color="auto"/>
                <w:left w:val="none" w:sz="0" w:space="0" w:color="auto"/>
                <w:bottom w:val="none" w:sz="0" w:space="0" w:color="auto"/>
                <w:right w:val="none" w:sz="0" w:space="0" w:color="auto"/>
              </w:divBdr>
            </w:div>
          </w:divsChild>
        </w:div>
        <w:div w:id="2001693204">
          <w:marLeft w:val="240"/>
          <w:marRight w:val="0"/>
          <w:marTop w:val="60"/>
          <w:marBottom w:val="60"/>
          <w:divBdr>
            <w:top w:val="none" w:sz="0" w:space="0" w:color="auto"/>
            <w:left w:val="none" w:sz="0" w:space="0" w:color="auto"/>
            <w:bottom w:val="none" w:sz="0" w:space="0" w:color="auto"/>
            <w:right w:val="none" w:sz="0" w:space="0" w:color="auto"/>
          </w:divBdr>
          <w:divsChild>
            <w:div w:id="902135431">
              <w:marLeft w:val="240"/>
              <w:marRight w:val="0"/>
              <w:marTop w:val="60"/>
              <w:marBottom w:val="60"/>
              <w:divBdr>
                <w:top w:val="none" w:sz="0" w:space="0" w:color="auto"/>
                <w:left w:val="none" w:sz="0" w:space="0" w:color="auto"/>
                <w:bottom w:val="none" w:sz="0" w:space="0" w:color="auto"/>
                <w:right w:val="none" w:sz="0" w:space="0" w:color="auto"/>
              </w:divBdr>
              <w:divsChild>
                <w:div w:id="416249325">
                  <w:marLeft w:val="0"/>
                  <w:marRight w:val="0"/>
                  <w:marTop w:val="0"/>
                  <w:marBottom w:val="0"/>
                  <w:divBdr>
                    <w:top w:val="none" w:sz="0" w:space="0" w:color="auto"/>
                    <w:left w:val="none" w:sz="0" w:space="0" w:color="auto"/>
                    <w:bottom w:val="none" w:sz="0" w:space="0" w:color="auto"/>
                    <w:right w:val="none" w:sz="0" w:space="0" w:color="auto"/>
                  </w:divBdr>
                </w:div>
              </w:divsChild>
            </w:div>
            <w:div w:id="44450950">
              <w:marLeft w:val="240"/>
              <w:marRight w:val="0"/>
              <w:marTop w:val="60"/>
              <w:marBottom w:val="60"/>
              <w:divBdr>
                <w:top w:val="none" w:sz="0" w:space="0" w:color="auto"/>
                <w:left w:val="none" w:sz="0" w:space="0" w:color="auto"/>
                <w:bottom w:val="none" w:sz="0" w:space="0" w:color="auto"/>
                <w:right w:val="none" w:sz="0" w:space="0" w:color="auto"/>
              </w:divBdr>
              <w:divsChild>
                <w:div w:id="505899436">
                  <w:marLeft w:val="0"/>
                  <w:marRight w:val="0"/>
                  <w:marTop w:val="0"/>
                  <w:marBottom w:val="0"/>
                  <w:divBdr>
                    <w:top w:val="none" w:sz="0" w:space="0" w:color="auto"/>
                    <w:left w:val="none" w:sz="0" w:space="0" w:color="auto"/>
                    <w:bottom w:val="none" w:sz="0" w:space="0" w:color="auto"/>
                    <w:right w:val="none" w:sz="0" w:space="0" w:color="auto"/>
                  </w:divBdr>
                </w:div>
              </w:divsChild>
            </w:div>
            <w:div w:id="340205814">
              <w:marLeft w:val="240"/>
              <w:marRight w:val="0"/>
              <w:marTop w:val="60"/>
              <w:marBottom w:val="60"/>
              <w:divBdr>
                <w:top w:val="none" w:sz="0" w:space="0" w:color="auto"/>
                <w:left w:val="none" w:sz="0" w:space="0" w:color="auto"/>
                <w:bottom w:val="none" w:sz="0" w:space="0" w:color="auto"/>
                <w:right w:val="none" w:sz="0" w:space="0" w:color="auto"/>
              </w:divBdr>
              <w:divsChild>
                <w:div w:id="1943949511">
                  <w:marLeft w:val="0"/>
                  <w:marRight w:val="0"/>
                  <w:marTop w:val="0"/>
                  <w:marBottom w:val="0"/>
                  <w:divBdr>
                    <w:top w:val="none" w:sz="0" w:space="0" w:color="auto"/>
                    <w:left w:val="none" w:sz="0" w:space="0" w:color="auto"/>
                    <w:bottom w:val="none" w:sz="0" w:space="0" w:color="auto"/>
                    <w:right w:val="none" w:sz="0" w:space="0" w:color="auto"/>
                  </w:divBdr>
                </w:div>
              </w:divsChild>
            </w:div>
            <w:div w:id="467940920">
              <w:marLeft w:val="240"/>
              <w:marRight w:val="0"/>
              <w:marTop w:val="60"/>
              <w:marBottom w:val="60"/>
              <w:divBdr>
                <w:top w:val="none" w:sz="0" w:space="0" w:color="auto"/>
                <w:left w:val="none" w:sz="0" w:space="0" w:color="auto"/>
                <w:bottom w:val="none" w:sz="0" w:space="0" w:color="auto"/>
                <w:right w:val="none" w:sz="0" w:space="0" w:color="auto"/>
              </w:divBdr>
              <w:divsChild>
                <w:div w:id="48918747">
                  <w:marLeft w:val="0"/>
                  <w:marRight w:val="0"/>
                  <w:marTop w:val="0"/>
                  <w:marBottom w:val="0"/>
                  <w:divBdr>
                    <w:top w:val="none" w:sz="0" w:space="0" w:color="auto"/>
                    <w:left w:val="none" w:sz="0" w:space="0" w:color="auto"/>
                    <w:bottom w:val="none" w:sz="0" w:space="0" w:color="auto"/>
                    <w:right w:val="none" w:sz="0" w:space="0" w:color="auto"/>
                  </w:divBdr>
                </w:div>
              </w:divsChild>
            </w:div>
            <w:div w:id="714890913">
              <w:marLeft w:val="240"/>
              <w:marRight w:val="0"/>
              <w:marTop w:val="60"/>
              <w:marBottom w:val="60"/>
              <w:divBdr>
                <w:top w:val="none" w:sz="0" w:space="0" w:color="auto"/>
                <w:left w:val="none" w:sz="0" w:space="0" w:color="auto"/>
                <w:bottom w:val="none" w:sz="0" w:space="0" w:color="auto"/>
                <w:right w:val="none" w:sz="0" w:space="0" w:color="auto"/>
              </w:divBdr>
              <w:divsChild>
                <w:div w:id="228271059">
                  <w:marLeft w:val="240"/>
                  <w:marRight w:val="0"/>
                  <w:marTop w:val="60"/>
                  <w:marBottom w:val="60"/>
                  <w:divBdr>
                    <w:top w:val="none" w:sz="0" w:space="0" w:color="auto"/>
                    <w:left w:val="none" w:sz="0" w:space="0" w:color="auto"/>
                    <w:bottom w:val="none" w:sz="0" w:space="0" w:color="auto"/>
                    <w:right w:val="none" w:sz="0" w:space="0" w:color="auto"/>
                  </w:divBdr>
                  <w:divsChild>
                    <w:div w:id="355353048">
                      <w:marLeft w:val="0"/>
                      <w:marRight w:val="0"/>
                      <w:marTop w:val="0"/>
                      <w:marBottom w:val="0"/>
                      <w:divBdr>
                        <w:top w:val="none" w:sz="0" w:space="0" w:color="auto"/>
                        <w:left w:val="none" w:sz="0" w:space="0" w:color="auto"/>
                        <w:bottom w:val="none" w:sz="0" w:space="0" w:color="auto"/>
                        <w:right w:val="none" w:sz="0" w:space="0" w:color="auto"/>
                      </w:divBdr>
                    </w:div>
                  </w:divsChild>
                </w:div>
                <w:div w:id="1936356431">
                  <w:marLeft w:val="240"/>
                  <w:marRight w:val="0"/>
                  <w:marTop w:val="60"/>
                  <w:marBottom w:val="60"/>
                  <w:divBdr>
                    <w:top w:val="none" w:sz="0" w:space="0" w:color="auto"/>
                    <w:left w:val="none" w:sz="0" w:space="0" w:color="auto"/>
                    <w:bottom w:val="none" w:sz="0" w:space="0" w:color="auto"/>
                    <w:right w:val="none" w:sz="0" w:space="0" w:color="auto"/>
                  </w:divBdr>
                  <w:divsChild>
                    <w:div w:id="1134787162">
                      <w:marLeft w:val="240"/>
                      <w:marRight w:val="0"/>
                      <w:marTop w:val="60"/>
                      <w:marBottom w:val="60"/>
                      <w:divBdr>
                        <w:top w:val="none" w:sz="0" w:space="0" w:color="auto"/>
                        <w:left w:val="none" w:sz="0" w:space="0" w:color="auto"/>
                        <w:bottom w:val="none" w:sz="0" w:space="0" w:color="auto"/>
                        <w:right w:val="none" w:sz="0" w:space="0" w:color="auto"/>
                      </w:divBdr>
                      <w:divsChild>
                        <w:div w:id="1886596695">
                          <w:marLeft w:val="0"/>
                          <w:marRight w:val="0"/>
                          <w:marTop w:val="0"/>
                          <w:marBottom w:val="0"/>
                          <w:divBdr>
                            <w:top w:val="none" w:sz="0" w:space="0" w:color="auto"/>
                            <w:left w:val="none" w:sz="0" w:space="0" w:color="auto"/>
                            <w:bottom w:val="none" w:sz="0" w:space="0" w:color="auto"/>
                            <w:right w:val="none" w:sz="0" w:space="0" w:color="auto"/>
                          </w:divBdr>
                        </w:div>
                      </w:divsChild>
                    </w:div>
                    <w:div w:id="438722897">
                      <w:marLeft w:val="240"/>
                      <w:marRight w:val="0"/>
                      <w:marTop w:val="60"/>
                      <w:marBottom w:val="60"/>
                      <w:divBdr>
                        <w:top w:val="none" w:sz="0" w:space="0" w:color="auto"/>
                        <w:left w:val="none" w:sz="0" w:space="0" w:color="auto"/>
                        <w:bottom w:val="none" w:sz="0" w:space="0" w:color="auto"/>
                        <w:right w:val="none" w:sz="0" w:space="0" w:color="auto"/>
                      </w:divBdr>
                      <w:divsChild>
                        <w:div w:id="671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2592">
          <w:marLeft w:val="240"/>
          <w:marRight w:val="0"/>
          <w:marTop w:val="60"/>
          <w:marBottom w:val="60"/>
          <w:divBdr>
            <w:top w:val="none" w:sz="0" w:space="0" w:color="auto"/>
            <w:left w:val="none" w:sz="0" w:space="0" w:color="auto"/>
            <w:bottom w:val="none" w:sz="0" w:space="0" w:color="auto"/>
            <w:right w:val="none" w:sz="0" w:space="0" w:color="auto"/>
          </w:divBdr>
          <w:divsChild>
            <w:div w:id="1440177898">
              <w:marLeft w:val="240"/>
              <w:marRight w:val="0"/>
              <w:marTop w:val="60"/>
              <w:marBottom w:val="60"/>
              <w:divBdr>
                <w:top w:val="none" w:sz="0" w:space="0" w:color="auto"/>
                <w:left w:val="none" w:sz="0" w:space="0" w:color="auto"/>
                <w:bottom w:val="none" w:sz="0" w:space="0" w:color="auto"/>
                <w:right w:val="none" w:sz="0" w:space="0" w:color="auto"/>
              </w:divBdr>
              <w:divsChild>
                <w:div w:id="640305449">
                  <w:marLeft w:val="0"/>
                  <w:marRight w:val="0"/>
                  <w:marTop w:val="0"/>
                  <w:marBottom w:val="0"/>
                  <w:divBdr>
                    <w:top w:val="none" w:sz="0" w:space="0" w:color="auto"/>
                    <w:left w:val="none" w:sz="0" w:space="0" w:color="auto"/>
                    <w:bottom w:val="none" w:sz="0" w:space="0" w:color="auto"/>
                    <w:right w:val="none" w:sz="0" w:space="0" w:color="auto"/>
                  </w:divBdr>
                </w:div>
              </w:divsChild>
            </w:div>
            <w:div w:id="1439136943">
              <w:marLeft w:val="240"/>
              <w:marRight w:val="0"/>
              <w:marTop w:val="60"/>
              <w:marBottom w:val="60"/>
              <w:divBdr>
                <w:top w:val="none" w:sz="0" w:space="0" w:color="auto"/>
                <w:left w:val="none" w:sz="0" w:space="0" w:color="auto"/>
                <w:bottom w:val="none" w:sz="0" w:space="0" w:color="auto"/>
                <w:right w:val="none" w:sz="0" w:space="0" w:color="auto"/>
              </w:divBdr>
              <w:divsChild>
                <w:div w:id="1704478617">
                  <w:marLeft w:val="0"/>
                  <w:marRight w:val="0"/>
                  <w:marTop w:val="0"/>
                  <w:marBottom w:val="0"/>
                  <w:divBdr>
                    <w:top w:val="none" w:sz="0" w:space="0" w:color="auto"/>
                    <w:left w:val="none" w:sz="0" w:space="0" w:color="auto"/>
                    <w:bottom w:val="none" w:sz="0" w:space="0" w:color="auto"/>
                    <w:right w:val="none" w:sz="0" w:space="0" w:color="auto"/>
                  </w:divBdr>
                </w:div>
              </w:divsChild>
            </w:div>
            <w:div w:id="1586838837">
              <w:marLeft w:val="240"/>
              <w:marRight w:val="0"/>
              <w:marTop w:val="60"/>
              <w:marBottom w:val="60"/>
              <w:divBdr>
                <w:top w:val="none" w:sz="0" w:space="0" w:color="auto"/>
                <w:left w:val="none" w:sz="0" w:space="0" w:color="auto"/>
                <w:bottom w:val="none" w:sz="0" w:space="0" w:color="auto"/>
                <w:right w:val="none" w:sz="0" w:space="0" w:color="auto"/>
              </w:divBdr>
              <w:divsChild>
                <w:div w:id="1753970382">
                  <w:marLeft w:val="0"/>
                  <w:marRight w:val="0"/>
                  <w:marTop w:val="0"/>
                  <w:marBottom w:val="0"/>
                  <w:divBdr>
                    <w:top w:val="none" w:sz="0" w:space="0" w:color="auto"/>
                    <w:left w:val="none" w:sz="0" w:space="0" w:color="auto"/>
                    <w:bottom w:val="none" w:sz="0" w:space="0" w:color="auto"/>
                    <w:right w:val="none" w:sz="0" w:space="0" w:color="auto"/>
                  </w:divBdr>
                </w:div>
              </w:divsChild>
            </w:div>
            <w:div w:id="552694394">
              <w:marLeft w:val="240"/>
              <w:marRight w:val="0"/>
              <w:marTop w:val="60"/>
              <w:marBottom w:val="60"/>
              <w:divBdr>
                <w:top w:val="none" w:sz="0" w:space="0" w:color="auto"/>
                <w:left w:val="none" w:sz="0" w:space="0" w:color="auto"/>
                <w:bottom w:val="none" w:sz="0" w:space="0" w:color="auto"/>
                <w:right w:val="none" w:sz="0" w:space="0" w:color="auto"/>
              </w:divBdr>
              <w:divsChild>
                <w:div w:id="1652247491">
                  <w:marLeft w:val="240"/>
                  <w:marRight w:val="0"/>
                  <w:marTop w:val="60"/>
                  <w:marBottom w:val="60"/>
                  <w:divBdr>
                    <w:top w:val="none" w:sz="0" w:space="0" w:color="auto"/>
                    <w:left w:val="none" w:sz="0" w:space="0" w:color="auto"/>
                    <w:bottom w:val="none" w:sz="0" w:space="0" w:color="auto"/>
                    <w:right w:val="none" w:sz="0" w:space="0" w:color="auto"/>
                  </w:divBdr>
                  <w:divsChild>
                    <w:div w:id="625046108">
                      <w:marLeft w:val="0"/>
                      <w:marRight w:val="0"/>
                      <w:marTop w:val="0"/>
                      <w:marBottom w:val="0"/>
                      <w:divBdr>
                        <w:top w:val="none" w:sz="0" w:space="0" w:color="auto"/>
                        <w:left w:val="none" w:sz="0" w:space="0" w:color="auto"/>
                        <w:bottom w:val="none" w:sz="0" w:space="0" w:color="auto"/>
                        <w:right w:val="none" w:sz="0" w:space="0" w:color="auto"/>
                      </w:divBdr>
                    </w:div>
                  </w:divsChild>
                </w:div>
                <w:div w:id="384111792">
                  <w:marLeft w:val="240"/>
                  <w:marRight w:val="0"/>
                  <w:marTop w:val="60"/>
                  <w:marBottom w:val="60"/>
                  <w:divBdr>
                    <w:top w:val="none" w:sz="0" w:space="0" w:color="auto"/>
                    <w:left w:val="none" w:sz="0" w:space="0" w:color="auto"/>
                    <w:bottom w:val="none" w:sz="0" w:space="0" w:color="auto"/>
                    <w:right w:val="none" w:sz="0" w:space="0" w:color="auto"/>
                  </w:divBdr>
                  <w:divsChild>
                    <w:div w:id="565142229">
                      <w:marLeft w:val="240"/>
                      <w:marRight w:val="0"/>
                      <w:marTop w:val="60"/>
                      <w:marBottom w:val="60"/>
                      <w:divBdr>
                        <w:top w:val="none" w:sz="0" w:space="0" w:color="auto"/>
                        <w:left w:val="none" w:sz="0" w:space="0" w:color="auto"/>
                        <w:bottom w:val="none" w:sz="0" w:space="0" w:color="auto"/>
                        <w:right w:val="none" w:sz="0" w:space="0" w:color="auto"/>
                      </w:divBdr>
                      <w:divsChild>
                        <w:div w:id="84616132">
                          <w:marLeft w:val="0"/>
                          <w:marRight w:val="0"/>
                          <w:marTop w:val="0"/>
                          <w:marBottom w:val="0"/>
                          <w:divBdr>
                            <w:top w:val="none" w:sz="0" w:space="0" w:color="auto"/>
                            <w:left w:val="none" w:sz="0" w:space="0" w:color="auto"/>
                            <w:bottom w:val="none" w:sz="0" w:space="0" w:color="auto"/>
                            <w:right w:val="none" w:sz="0" w:space="0" w:color="auto"/>
                          </w:divBdr>
                        </w:div>
                      </w:divsChild>
                    </w:div>
                    <w:div w:id="1701974538">
                      <w:marLeft w:val="240"/>
                      <w:marRight w:val="0"/>
                      <w:marTop w:val="60"/>
                      <w:marBottom w:val="60"/>
                      <w:divBdr>
                        <w:top w:val="none" w:sz="0" w:space="0" w:color="auto"/>
                        <w:left w:val="none" w:sz="0" w:space="0" w:color="auto"/>
                        <w:bottom w:val="none" w:sz="0" w:space="0" w:color="auto"/>
                        <w:right w:val="none" w:sz="0" w:space="0" w:color="auto"/>
                      </w:divBdr>
                      <w:divsChild>
                        <w:div w:id="492110148">
                          <w:marLeft w:val="240"/>
                          <w:marRight w:val="0"/>
                          <w:marTop w:val="60"/>
                          <w:marBottom w:val="60"/>
                          <w:divBdr>
                            <w:top w:val="none" w:sz="0" w:space="0" w:color="auto"/>
                            <w:left w:val="none" w:sz="0" w:space="0" w:color="auto"/>
                            <w:bottom w:val="none" w:sz="0" w:space="0" w:color="auto"/>
                            <w:right w:val="none" w:sz="0" w:space="0" w:color="auto"/>
                          </w:divBdr>
                          <w:divsChild>
                            <w:div w:id="885795717">
                              <w:marLeft w:val="0"/>
                              <w:marRight w:val="0"/>
                              <w:marTop w:val="0"/>
                              <w:marBottom w:val="0"/>
                              <w:divBdr>
                                <w:top w:val="none" w:sz="0" w:space="0" w:color="auto"/>
                                <w:left w:val="none" w:sz="0" w:space="0" w:color="auto"/>
                                <w:bottom w:val="none" w:sz="0" w:space="0" w:color="auto"/>
                                <w:right w:val="none" w:sz="0" w:space="0" w:color="auto"/>
                              </w:divBdr>
                            </w:div>
                          </w:divsChild>
                        </w:div>
                        <w:div w:id="2071877581">
                          <w:marLeft w:val="240"/>
                          <w:marRight w:val="0"/>
                          <w:marTop w:val="60"/>
                          <w:marBottom w:val="60"/>
                          <w:divBdr>
                            <w:top w:val="none" w:sz="0" w:space="0" w:color="auto"/>
                            <w:left w:val="none" w:sz="0" w:space="0" w:color="auto"/>
                            <w:bottom w:val="none" w:sz="0" w:space="0" w:color="auto"/>
                            <w:right w:val="none" w:sz="0" w:space="0" w:color="auto"/>
                          </w:divBdr>
                          <w:divsChild>
                            <w:div w:id="34258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01471">
              <w:marLeft w:val="240"/>
              <w:marRight w:val="0"/>
              <w:marTop w:val="60"/>
              <w:marBottom w:val="60"/>
              <w:divBdr>
                <w:top w:val="none" w:sz="0" w:space="0" w:color="auto"/>
                <w:left w:val="none" w:sz="0" w:space="0" w:color="auto"/>
                <w:bottom w:val="none" w:sz="0" w:space="0" w:color="auto"/>
                <w:right w:val="none" w:sz="0" w:space="0" w:color="auto"/>
              </w:divBdr>
              <w:divsChild>
                <w:div w:id="1494104039">
                  <w:marLeft w:val="0"/>
                  <w:marRight w:val="0"/>
                  <w:marTop w:val="0"/>
                  <w:marBottom w:val="0"/>
                  <w:divBdr>
                    <w:top w:val="none" w:sz="0" w:space="0" w:color="auto"/>
                    <w:left w:val="none" w:sz="0" w:space="0" w:color="auto"/>
                    <w:bottom w:val="none" w:sz="0" w:space="0" w:color="auto"/>
                    <w:right w:val="none" w:sz="0" w:space="0" w:color="auto"/>
                  </w:divBdr>
                </w:div>
              </w:divsChild>
            </w:div>
            <w:div w:id="601694451">
              <w:marLeft w:val="240"/>
              <w:marRight w:val="0"/>
              <w:marTop w:val="60"/>
              <w:marBottom w:val="60"/>
              <w:divBdr>
                <w:top w:val="none" w:sz="0" w:space="0" w:color="auto"/>
                <w:left w:val="none" w:sz="0" w:space="0" w:color="auto"/>
                <w:bottom w:val="none" w:sz="0" w:space="0" w:color="auto"/>
                <w:right w:val="none" w:sz="0" w:space="0" w:color="auto"/>
              </w:divBdr>
              <w:divsChild>
                <w:div w:id="254897731">
                  <w:marLeft w:val="240"/>
                  <w:marRight w:val="0"/>
                  <w:marTop w:val="60"/>
                  <w:marBottom w:val="60"/>
                  <w:divBdr>
                    <w:top w:val="none" w:sz="0" w:space="0" w:color="auto"/>
                    <w:left w:val="none" w:sz="0" w:space="0" w:color="auto"/>
                    <w:bottom w:val="none" w:sz="0" w:space="0" w:color="auto"/>
                    <w:right w:val="none" w:sz="0" w:space="0" w:color="auto"/>
                  </w:divBdr>
                  <w:divsChild>
                    <w:div w:id="1556165953">
                      <w:marLeft w:val="0"/>
                      <w:marRight w:val="0"/>
                      <w:marTop w:val="0"/>
                      <w:marBottom w:val="0"/>
                      <w:divBdr>
                        <w:top w:val="none" w:sz="0" w:space="0" w:color="auto"/>
                        <w:left w:val="none" w:sz="0" w:space="0" w:color="auto"/>
                        <w:bottom w:val="none" w:sz="0" w:space="0" w:color="auto"/>
                        <w:right w:val="none" w:sz="0" w:space="0" w:color="auto"/>
                      </w:divBdr>
                    </w:div>
                  </w:divsChild>
                </w:div>
                <w:div w:id="1658873007">
                  <w:marLeft w:val="240"/>
                  <w:marRight w:val="0"/>
                  <w:marTop w:val="60"/>
                  <w:marBottom w:val="60"/>
                  <w:divBdr>
                    <w:top w:val="none" w:sz="0" w:space="0" w:color="auto"/>
                    <w:left w:val="none" w:sz="0" w:space="0" w:color="auto"/>
                    <w:bottom w:val="none" w:sz="0" w:space="0" w:color="auto"/>
                    <w:right w:val="none" w:sz="0" w:space="0" w:color="auto"/>
                  </w:divBdr>
                  <w:divsChild>
                    <w:div w:id="78318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38346">
              <w:marLeft w:val="240"/>
              <w:marRight w:val="0"/>
              <w:marTop w:val="60"/>
              <w:marBottom w:val="60"/>
              <w:divBdr>
                <w:top w:val="none" w:sz="0" w:space="0" w:color="auto"/>
                <w:left w:val="none" w:sz="0" w:space="0" w:color="auto"/>
                <w:bottom w:val="none" w:sz="0" w:space="0" w:color="auto"/>
                <w:right w:val="none" w:sz="0" w:space="0" w:color="auto"/>
              </w:divBdr>
              <w:divsChild>
                <w:div w:id="651301528">
                  <w:marLeft w:val="0"/>
                  <w:marRight w:val="0"/>
                  <w:marTop w:val="0"/>
                  <w:marBottom w:val="0"/>
                  <w:divBdr>
                    <w:top w:val="none" w:sz="0" w:space="0" w:color="auto"/>
                    <w:left w:val="none" w:sz="0" w:space="0" w:color="auto"/>
                    <w:bottom w:val="none" w:sz="0" w:space="0" w:color="auto"/>
                    <w:right w:val="none" w:sz="0" w:space="0" w:color="auto"/>
                  </w:divBdr>
                </w:div>
              </w:divsChild>
            </w:div>
            <w:div w:id="319314887">
              <w:marLeft w:val="240"/>
              <w:marRight w:val="0"/>
              <w:marTop w:val="60"/>
              <w:marBottom w:val="60"/>
              <w:divBdr>
                <w:top w:val="none" w:sz="0" w:space="0" w:color="auto"/>
                <w:left w:val="none" w:sz="0" w:space="0" w:color="auto"/>
                <w:bottom w:val="none" w:sz="0" w:space="0" w:color="auto"/>
                <w:right w:val="none" w:sz="0" w:space="0" w:color="auto"/>
              </w:divBdr>
              <w:divsChild>
                <w:div w:id="359556142">
                  <w:marLeft w:val="240"/>
                  <w:marRight w:val="0"/>
                  <w:marTop w:val="60"/>
                  <w:marBottom w:val="60"/>
                  <w:divBdr>
                    <w:top w:val="none" w:sz="0" w:space="0" w:color="auto"/>
                    <w:left w:val="none" w:sz="0" w:space="0" w:color="auto"/>
                    <w:bottom w:val="none" w:sz="0" w:space="0" w:color="auto"/>
                    <w:right w:val="none" w:sz="0" w:space="0" w:color="auto"/>
                  </w:divBdr>
                  <w:divsChild>
                    <w:div w:id="1225799781">
                      <w:marLeft w:val="0"/>
                      <w:marRight w:val="0"/>
                      <w:marTop w:val="0"/>
                      <w:marBottom w:val="0"/>
                      <w:divBdr>
                        <w:top w:val="none" w:sz="0" w:space="0" w:color="auto"/>
                        <w:left w:val="none" w:sz="0" w:space="0" w:color="auto"/>
                        <w:bottom w:val="none" w:sz="0" w:space="0" w:color="auto"/>
                        <w:right w:val="none" w:sz="0" w:space="0" w:color="auto"/>
                      </w:divBdr>
                    </w:div>
                  </w:divsChild>
                </w:div>
                <w:div w:id="714545371">
                  <w:marLeft w:val="240"/>
                  <w:marRight w:val="0"/>
                  <w:marTop w:val="60"/>
                  <w:marBottom w:val="60"/>
                  <w:divBdr>
                    <w:top w:val="none" w:sz="0" w:space="0" w:color="auto"/>
                    <w:left w:val="none" w:sz="0" w:space="0" w:color="auto"/>
                    <w:bottom w:val="none" w:sz="0" w:space="0" w:color="auto"/>
                    <w:right w:val="none" w:sz="0" w:space="0" w:color="auto"/>
                  </w:divBdr>
                  <w:divsChild>
                    <w:div w:id="161782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5840">
          <w:marLeft w:val="240"/>
          <w:marRight w:val="0"/>
          <w:marTop w:val="60"/>
          <w:marBottom w:val="60"/>
          <w:divBdr>
            <w:top w:val="none" w:sz="0" w:space="0" w:color="auto"/>
            <w:left w:val="none" w:sz="0" w:space="0" w:color="auto"/>
            <w:bottom w:val="none" w:sz="0" w:space="0" w:color="auto"/>
            <w:right w:val="none" w:sz="0" w:space="0" w:color="auto"/>
          </w:divBdr>
          <w:divsChild>
            <w:div w:id="1725064033">
              <w:marLeft w:val="0"/>
              <w:marRight w:val="0"/>
              <w:marTop w:val="0"/>
              <w:marBottom w:val="0"/>
              <w:divBdr>
                <w:top w:val="none" w:sz="0" w:space="0" w:color="auto"/>
                <w:left w:val="none" w:sz="0" w:space="0" w:color="auto"/>
                <w:bottom w:val="none" w:sz="0" w:space="0" w:color="auto"/>
                <w:right w:val="none" w:sz="0" w:space="0" w:color="auto"/>
              </w:divBdr>
            </w:div>
          </w:divsChild>
        </w:div>
        <w:div w:id="522327924">
          <w:marLeft w:val="240"/>
          <w:marRight w:val="0"/>
          <w:marTop w:val="60"/>
          <w:marBottom w:val="60"/>
          <w:divBdr>
            <w:top w:val="none" w:sz="0" w:space="0" w:color="auto"/>
            <w:left w:val="none" w:sz="0" w:space="0" w:color="auto"/>
            <w:bottom w:val="none" w:sz="0" w:space="0" w:color="auto"/>
            <w:right w:val="none" w:sz="0" w:space="0" w:color="auto"/>
          </w:divBdr>
          <w:divsChild>
            <w:div w:id="1695576127">
              <w:marLeft w:val="240"/>
              <w:marRight w:val="0"/>
              <w:marTop w:val="60"/>
              <w:marBottom w:val="60"/>
              <w:divBdr>
                <w:top w:val="none" w:sz="0" w:space="0" w:color="auto"/>
                <w:left w:val="none" w:sz="0" w:space="0" w:color="auto"/>
                <w:bottom w:val="none" w:sz="0" w:space="0" w:color="auto"/>
                <w:right w:val="none" w:sz="0" w:space="0" w:color="auto"/>
              </w:divBdr>
              <w:divsChild>
                <w:div w:id="1020623506">
                  <w:marLeft w:val="0"/>
                  <w:marRight w:val="0"/>
                  <w:marTop w:val="0"/>
                  <w:marBottom w:val="0"/>
                  <w:divBdr>
                    <w:top w:val="none" w:sz="0" w:space="0" w:color="auto"/>
                    <w:left w:val="none" w:sz="0" w:space="0" w:color="auto"/>
                    <w:bottom w:val="none" w:sz="0" w:space="0" w:color="auto"/>
                    <w:right w:val="none" w:sz="0" w:space="0" w:color="auto"/>
                  </w:divBdr>
                </w:div>
              </w:divsChild>
            </w:div>
            <w:div w:id="1809738281">
              <w:marLeft w:val="240"/>
              <w:marRight w:val="0"/>
              <w:marTop w:val="60"/>
              <w:marBottom w:val="60"/>
              <w:divBdr>
                <w:top w:val="none" w:sz="0" w:space="0" w:color="auto"/>
                <w:left w:val="none" w:sz="0" w:space="0" w:color="auto"/>
                <w:bottom w:val="none" w:sz="0" w:space="0" w:color="auto"/>
                <w:right w:val="none" w:sz="0" w:space="0" w:color="auto"/>
              </w:divBdr>
              <w:divsChild>
                <w:div w:id="1474059377">
                  <w:marLeft w:val="0"/>
                  <w:marRight w:val="0"/>
                  <w:marTop w:val="0"/>
                  <w:marBottom w:val="0"/>
                  <w:divBdr>
                    <w:top w:val="none" w:sz="0" w:space="0" w:color="auto"/>
                    <w:left w:val="none" w:sz="0" w:space="0" w:color="auto"/>
                    <w:bottom w:val="none" w:sz="0" w:space="0" w:color="auto"/>
                    <w:right w:val="none" w:sz="0" w:space="0" w:color="auto"/>
                  </w:divBdr>
                </w:div>
              </w:divsChild>
            </w:div>
            <w:div w:id="1417241127">
              <w:marLeft w:val="240"/>
              <w:marRight w:val="0"/>
              <w:marTop w:val="60"/>
              <w:marBottom w:val="60"/>
              <w:divBdr>
                <w:top w:val="none" w:sz="0" w:space="0" w:color="auto"/>
                <w:left w:val="none" w:sz="0" w:space="0" w:color="auto"/>
                <w:bottom w:val="none" w:sz="0" w:space="0" w:color="auto"/>
                <w:right w:val="none" w:sz="0" w:space="0" w:color="auto"/>
              </w:divBdr>
              <w:divsChild>
                <w:div w:id="10357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32757">
          <w:marLeft w:val="240"/>
          <w:marRight w:val="0"/>
          <w:marTop w:val="60"/>
          <w:marBottom w:val="60"/>
          <w:divBdr>
            <w:top w:val="none" w:sz="0" w:space="0" w:color="auto"/>
            <w:left w:val="none" w:sz="0" w:space="0" w:color="auto"/>
            <w:bottom w:val="none" w:sz="0" w:space="0" w:color="auto"/>
            <w:right w:val="none" w:sz="0" w:space="0" w:color="auto"/>
          </w:divBdr>
          <w:divsChild>
            <w:div w:id="1454709669">
              <w:marLeft w:val="0"/>
              <w:marRight w:val="0"/>
              <w:marTop w:val="0"/>
              <w:marBottom w:val="0"/>
              <w:divBdr>
                <w:top w:val="none" w:sz="0" w:space="0" w:color="auto"/>
                <w:left w:val="none" w:sz="0" w:space="0" w:color="auto"/>
                <w:bottom w:val="none" w:sz="0" w:space="0" w:color="auto"/>
                <w:right w:val="none" w:sz="0" w:space="0" w:color="auto"/>
              </w:divBdr>
            </w:div>
          </w:divsChild>
        </w:div>
        <w:div w:id="646058109">
          <w:marLeft w:val="0"/>
          <w:marRight w:val="0"/>
          <w:marTop w:val="0"/>
          <w:marBottom w:val="0"/>
          <w:divBdr>
            <w:top w:val="none" w:sz="0" w:space="0" w:color="auto"/>
            <w:left w:val="none" w:sz="0" w:space="0" w:color="auto"/>
            <w:bottom w:val="none" w:sz="0" w:space="0" w:color="auto"/>
            <w:right w:val="none" w:sz="0" w:space="0" w:color="auto"/>
          </w:divBdr>
        </w:div>
      </w:divsChild>
    </w:div>
    <w:div w:id="304091248">
      <w:bodyDiv w:val="1"/>
      <w:marLeft w:val="0"/>
      <w:marRight w:val="0"/>
      <w:marTop w:val="0"/>
      <w:marBottom w:val="0"/>
      <w:divBdr>
        <w:top w:val="none" w:sz="0" w:space="0" w:color="auto"/>
        <w:left w:val="none" w:sz="0" w:space="0" w:color="auto"/>
        <w:bottom w:val="none" w:sz="0" w:space="0" w:color="auto"/>
        <w:right w:val="none" w:sz="0" w:space="0" w:color="auto"/>
      </w:divBdr>
    </w:div>
    <w:div w:id="304433212">
      <w:bodyDiv w:val="1"/>
      <w:marLeft w:val="0"/>
      <w:marRight w:val="0"/>
      <w:marTop w:val="0"/>
      <w:marBottom w:val="0"/>
      <w:divBdr>
        <w:top w:val="none" w:sz="0" w:space="0" w:color="auto"/>
        <w:left w:val="none" w:sz="0" w:space="0" w:color="auto"/>
        <w:bottom w:val="none" w:sz="0" w:space="0" w:color="auto"/>
        <w:right w:val="none" w:sz="0" w:space="0" w:color="auto"/>
      </w:divBdr>
    </w:div>
    <w:div w:id="316767141">
      <w:bodyDiv w:val="1"/>
      <w:marLeft w:val="0"/>
      <w:marRight w:val="0"/>
      <w:marTop w:val="0"/>
      <w:marBottom w:val="0"/>
      <w:divBdr>
        <w:top w:val="none" w:sz="0" w:space="0" w:color="auto"/>
        <w:left w:val="none" w:sz="0" w:space="0" w:color="auto"/>
        <w:bottom w:val="none" w:sz="0" w:space="0" w:color="auto"/>
        <w:right w:val="none" w:sz="0" w:space="0" w:color="auto"/>
      </w:divBdr>
    </w:div>
    <w:div w:id="326591396">
      <w:bodyDiv w:val="1"/>
      <w:marLeft w:val="0"/>
      <w:marRight w:val="0"/>
      <w:marTop w:val="0"/>
      <w:marBottom w:val="0"/>
      <w:divBdr>
        <w:top w:val="none" w:sz="0" w:space="0" w:color="auto"/>
        <w:left w:val="none" w:sz="0" w:space="0" w:color="auto"/>
        <w:bottom w:val="none" w:sz="0" w:space="0" w:color="auto"/>
        <w:right w:val="none" w:sz="0" w:space="0" w:color="auto"/>
      </w:divBdr>
    </w:div>
    <w:div w:id="328102992">
      <w:bodyDiv w:val="1"/>
      <w:marLeft w:val="0"/>
      <w:marRight w:val="0"/>
      <w:marTop w:val="0"/>
      <w:marBottom w:val="0"/>
      <w:divBdr>
        <w:top w:val="none" w:sz="0" w:space="0" w:color="auto"/>
        <w:left w:val="none" w:sz="0" w:space="0" w:color="auto"/>
        <w:bottom w:val="none" w:sz="0" w:space="0" w:color="auto"/>
        <w:right w:val="none" w:sz="0" w:space="0" w:color="auto"/>
      </w:divBdr>
    </w:div>
    <w:div w:id="333194771">
      <w:bodyDiv w:val="1"/>
      <w:marLeft w:val="0"/>
      <w:marRight w:val="0"/>
      <w:marTop w:val="0"/>
      <w:marBottom w:val="0"/>
      <w:divBdr>
        <w:top w:val="none" w:sz="0" w:space="0" w:color="auto"/>
        <w:left w:val="none" w:sz="0" w:space="0" w:color="auto"/>
        <w:bottom w:val="none" w:sz="0" w:space="0" w:color="auto"/>
        <w:right w:val="none" w:sz="0" w:space="0" w:color="auto"/>
      </w:divBdr>
    </w:div>
    <w:div w:id="335228902">
      <w:bodyDiv w:val="1"/>
      <w:marLeft w:val="0"/>
      <w:marRight w:val="0"/>
      <w:marTop w:val="0"/>
      <w:marBottom w:val="0"/>
      <w:divBdr>
        <w:top w:val="none" w:sz="0" w:space="0" w:color="auto"/>
        <w:left w:val="none" w:sz="0" w:space="0" w:color="auto"/>
        <w:bottom w:val="none" w:sz="0" w:space="0" w:color="auto"/>
        <w:right w:val="none" w:sz="0" w:space="0" w:color="auto"/>
      </w:divBdr>
      <w:divsChild>
        <w:div w:id="1730491804">
          <w:marLeft w:val="240"/>
          <w:marRight w:val="0"/>
          <w:marTop w:val="60"/>
          <w:marBottom w:val="60"/>
          <w:divBdr>
            <w:top w:val="none" w:sz="0" w:space="0" w:color="auto"/>
            <w:left w:val="none" w:sz="0" w:space="0" w:color="auto"/>
            <w:bottom w:val="none" w:sz="0" w:space="0" w:color="auto"/>
            <w:right w:val="none" w:sz="0" w:space="0" w:color="auto"/>
          </w:divBdr>
          <w:divsChild>
            <w:div w:id="881942563">
              <w:marLeft w:val="240"/>
              <w:marRight w:val="0"/>
              <w:marTop w:val="60"/>
              <w:marBottom w:val="60"/>
              <w:divBdr>
                <w:top w:val="none" w:sz="0" w:space="0" w:color="auto"/>
                <w:left w:val="none" w:sz="0" w:space="0" w:color="auto"/>
                <w:bottom w:val="none" w:sz="0" w:space="0" w:color="auto"/>
                <w:right w:val="none" w:sz="0" w:space="0" w:color="auto"/>
              </w:divBdr>
              <w:divsChild>
                <w:div w:id="2001612458">
                  <w:marLeft w:val="0"/>
                  <w:marRight w:val="0"/>
                  <w:marTop w:val="0"/>
                  <w:marBottom w:val="0"/>
                  <w:divBdr>
                    <w:top w:val="none" w:sz="0" w:space="0" w:color="auto"/>
                    <w:left w:val="none" w:sz="0" w:space="0" w:color="auto"/>
                    <w:bottom w:val="none" w:sz="0" w:space="0" w:color="auto"/>
                    <w:right w:val="none" w:sz="0" w:space="0" w:color="auto"/>
                  </w:divBdr>
                </w:div>
              </w:divsChild>
            </w:div>
            <w:div w:id="1915505011">
              <w:marLeft w:val="240"/>
              <w:marRight w:val="0"/>
              <w:marTop w:val="60"/>
              <w:marBottom w:val="60"/>
              <w:divBdr>
                <w:top w:val="none" w:sz="0" w:space="0" w:color="auto"/>
                <w:left w:val="none" w:sz="0" w:space="0" w:color="auto"/>
                <w:bottom w:val="none" w:sz="0" w:space="0" w:color="auto"/>
                <w:right w:val="none" w:sz="0" w:space="0" w:color="auto"/>
              </w:divBdr>
              <w:divsChild>
                <w:div w:id="1520658220">
                  <w:marLeft w:val="240"/>
                  <w:marRight w:val="0"/>
                  <w:marTop w:val="60"/>
                  <w:marBottom w:val="60"/>
                  <w:divBdr>
                    <w:top w:val="none" w:sz="0" w:space="0" w:color="auto"/>
                    <w:left w:val="none" w:sz="0" w:space="0" w:color="auto"/>
                    <w:bottom w:val="none" w:sz="0" w:space="0" w:color="auto"/>
                    <w:right w:val="none" w:sz="0" w:space="0" w:color="auto"/>
                  </w:divBdr>
                  <w:divsChild>
                    <w:div w:id="1420908486">
                      <w:marLeft w:val="0"/>
                      <w:marRight w:val="0"/>
                      <w:marTop w:val="0"/>
                      <w:marBottom w:val="0"/>
                      <w:divBdr>
                        <w:top w:val="none" w:sz="0" w:space="0" w:color="auto"/>
                        <w:left w:val="none" w:sz="0" w:space="0" w:color="auto"/>
                        <w:bottom w:val="none" w:sz="0" w:space="0" w:color="auto"/>
                        <w:right w:val="none" w:sz="0" w:space="0" w:color="auto"/>
                      </w:divBdr>
                    </w:div>
                  </w:divsChild>
                </w:div>
                <w:div w:id="84962815">
                  <w:marLeft w:val="240"/>
                  <w:marRight w:val="0"/>
                  <w:marTop w:val="60"/>
                  <w:marBottom w:val="60"/>
                  <w:divBdr>
                    <w:top w:val="none" w:sz="0" w:space="0" w:color="auto"/>
                    <w:left w:val="none" w:sz="0" w:space="0" w:color="auto"/>
                    <w:bottom w:val="none" w:sz="0" w:space="0" w:color="auto"/>
                    <w:right w:val="none" w:sz="0" w:space="0" w:color="auto"/>
                  </w:divBdr>
                  <w:divsChild>
                    <w:div w:id="4805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0260">
              <w:marLeft w:val="240"/>
              <w:marRight w:val="0"/>
              <w:marTop w:val="60"/>
              <w:marBottom w:val="60"/>
              <w:divBdr>
                <w:top w:val="none" w:sz="0" w:space="0" w:color="auto"/>
                <w:left w:val="none" w:sz="0" w:space="0" w:color="auto"/>
                <w:bottom w:val="none" w:sz="0" w:space="0" w:color="auto"/>
                <w:right w:val="none" w:sz="0" w:space="0" w:color="auto"/>
              </w:divBdr>
              <w:divsChild>
                <w:div w:id="13688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4164">
          <w:marLeft w:val="240"/>
          <w:marRight w:val="0"/>
          <w:marTop w:val="60"/>
          <w:marBottom w:val="60"/>
          <w:divBdr>
            <w:top w:val="none" w:sz="0" w:space="0" w:color="auto"/>
            <w:left w:val="none" w:sz="0" w:space="0" w:color="auto"/>
            <w:bottom w:val="none" w:sz="0" w:space="0" w:color="auto"/>
            <w:right w:val="none" w:sz="0" w:space="0" w:color="auto"/>
          </w:divBdr>
          <w:divsChild>
            <w:div w:id="895897314">
              <w:marLeft w:val="240"/>
              <w:marRight w:val="0"/>
              <w:marTop w:val="60"/>
              <w:marBottom w:val="60"/>
              <w:divBdr>
                <w:top w:val="none" w:sz="0" w:space="0" w:color="auto"/>
                <w:left w:val="none" w:sz="0" w:space="0" w:color="auto"/>
                <w:bottom w:val="none" w:sz="0" w:space="0" w:color="auto"/>
                <w:right w:val="none" w:sz="0" w:space="0" w:color="auto"/>
              </w:divBdr>
              <w:divsChild>
                <w:div w:id="1095328086">
                  <w:marLeft w:val="0"/>
                  <w:marRight w:val="0"/>
                  <w:marTop w:val="0"/>
                  <w:marBottom w:val="0"/>
                  <w:divBdr>
                    <w:top w:val="none" w:sz="0" w:space="0" w:color="auto"/>
                    <w:left w:val="none" w:sz="0" w:space="0" w:color="auto"/>
                    <w:bottom w:val="none" w:sz="0" w:space="0" w:color="auto"/>
                    <w:right w:val="none" w:sz="0" w:space="0" w:color="auto"/>
                  </w:divBdr>
                </w:div>
              </w:divsChild>
            </w:div>
            <w:div w:id="380713772">
              <w:marLeft w:val="240"/>
              <w:marRight w:val="0"/>
              <w:marTop w:val="60"/>
              <w:marBottom w:val="60"/>
              <w:divBdr>
                <w:top w:val="none" w:sz="0" w:space="0" w:color="auto"/>
                <w:left w:val="none" w:sz="0" w:space="0" w:color="auto"/>
                <w:bottom w:val="none" w:sz="0" w:space="0" w:color="auto"/>
                <w:right w:val="none" w:sz="0" w:space="0" w:color="auto"/>
              </w:divBdr>
              <w:divsChild>
                <w:div w:id="2014068413">
                  <w:marLeft w:val="240"/>
                  <w:marRight w:val="0"/>
                  <w:marTop w:val="60"/>
                  <w:marBottom w:val="60"/>
                  <w:divBdr>
                    <w:top w:val="none" w:sz="0" w:space="0" w:color="auto"/>
                    <w:left w:val="none" w:sz="0" w:space="0" w:color="auto"/>
                    <w:bottom w:val="none" w:sz="0" w:space="0" w:color="auto"/>
                    <w:right w:val="none" w:sz="0" w:space="0" w:color="auto"/>
                  </w:divBdr>
                  <w:divsChild>
                    <w:div w:id="905989815">
                      <w:marLeft w:val="240"/>
                      <w:marRight w:val="0"/>
                      <w:marTop w:val="60"/>
                      <w:marBottom w:val="60"/>
                      <w:divBdr>
                        <w:top w:val="none" w:sz="0" w:space="0" w:color="auto"/>
                        <w:left w:val="none" w:sz="0" w:space="0" w:color="auto"/>
                        <w:bottom w:val="none" w:sz="0" w:space="0" w:color="auto"/>
                        <w:right w:val="none" w:sz="0" w:space="0" w:color="auto"/>
                      </w:divBdr>
                      <w:divsChild>
                        <w:div w:id="1173640429">
                          <w:marLeft w:val="0"/>
                          <w:marRight w:val="0"/>
                          <w:marTop w:val="0"/>
                          <w:marBottom w:val="0"/>
                          <w:divBdr>
                            <w:top w:val="none" w:sz="0" w:space="0" w:color="auto"/>
                            <w:left w:val="none" w:sz="0" w:space="0" w:color="auto"/>
                            <w:bottom w:val="none" w:sz="0" w:space="0" w:color="auto"/>
                            <w:right w:val="none" w:sz="0" w:space="0" w:color="auto"/>
                          </w:divBdr>
                        </w:div>
                      </w:divsChild>
                    </w:div>
                    <w:div w:id="1509446655">
                      <w:marLeft w:val="240"/>
                      <w:marRight w:val="0"/>
                      <w:marTop w:val="60"/>
                      <w:marBottom w:val="60"/>
                      <w:divBdr>
                        <w:top w:val="none" w:sz="0" w:space="0" w:color="auto"/>
                        <w:left w:val="none" w:sz="0" w:space="0" w:color="auto"/>
                        <w:bottom w:val="none" w:sz="0" w:space="0" w:color="auto"/>
                        <w:right w:val="none" w:sz="0" w:space="0" w:color="auto"/>
                      </w:divBdr>
                      <w:divsChild>
                        <w:div w:id="15593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2784">
                  <w:marLeft w:val="240"/>
                  <w:marRight w:val="0"/>
                  <w:marTop w:val="60"/>
                  <w:marBottom w:val="60"/>
                  <w:divBdr>
                    <w:top w:val="none" w:sz="0" w:space="0" w:color="auto"/>
                    <w:left w:val="none" w:sz="0" w:space="0" w:color="auto"/>
                    <w:bottom w:val="none" w:sz="0" w:space="0" w:color="auto"/>
                    <w:right w:val="none" w:sz="0" w:space="0" w:color="auto"/>
                  </w:divBdr>
                  <w:divsChild>
                    <w:div w:id="8461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6291">
              <w:marLeft w:val="240"/>
              <w:marRight w:val="0"/>
              <w:marTop w:val="60"/>
              <w:marBottom w:val="60"/>
              <w:divBdr>
                <w:top w:val="none" w:sz="0" w:space="0" w:color="auto"/>
                <w:left w:val="none" w:sz="0" w:space="0" w:color="auto"/>
                <w:bottom w:val="none" w:sz="0" w:space="0" w:color="auto"/>
                <w:right w:val="none" w:sz="0" w:space="0" w:color="auto"/>
              </w:divBdr>
              <w:divsChild>
                <w:div w:id="1816413654">
                  <w:marLeft w:val="240"/>
                  <w:marRight w:val="0"/>
                  <w:marTop w:val="60"/>
                  <w:marBottom w:val="60"/>
                  <w:divBdr>
                    <w:top w:val="none" w:sz="0" w:space="0" w:color="auto"/>
                    <w:left w:val="none" w:sz="0" w:space="0" w:color="auto"/>
                    <w:bottom w:val="none" w:sz="0" w:space="0" w:color="auto"/>
                    <w:right w:val="none" w:sz="0" w:space="0" w:color="auto"/>
                  </w:divBdr>
                  <w:divsChild>
                    <w:div w:id="824932133">
                      <w:marLeft w:val="0"/>
                      <w:marRight w:val="0"/>
                      <w:marTop w:val="0"/>
                      <w:marBottom w:val="0"/>
                      <w:divBdr>
                        <w:top w:val="none" w:sz="0" w:space="0" w:color="auto"/>
                        <w:left w:val="none" w:sz="0" w:space="0" w:color="auto"/>
                        <w:bottom w:val="none" w:sz="0" w:space="0" w:color="auto"/>
                        <w:right w:val="none" w:sz="0" w:space="0" w:color="auto"/>
                      </w:divBdr>
                    </w:div>
                  </w:divsChild>
                </w:div>
                <w:div w:id="1807356430">
                  <w:marLeft w:val="240"/>
                  <w:marRight w:val="0"/>
                  <w:marTop w:val="60"/>
                  <w:marBottom w:val="60"/>
                  <w:divBdr>
                    <w:top w:val="none" w:sz="0" w:space="0" w:color="auto"/>
                    <w:left w:val="none" w:sz="0" w:space="0" w:color="auto"/>
                    <w:bottom w:val="none" w:sz="0" w:space="0" w:color="auto"/>
                    <w:right w:val="none" w:sz="0" w:space="0" w:color="auto"/>
                  </w:divBdr>
                  <w:divsChild>
                    <w:div w:id="8918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75607">
          <w:marLeft w:val="240"/>
          <w:marRight w:val="0"/>
          <w:marTop w:val="60"/>
          <w:marBottom w:val="60"/>
          <w:divBdr>
            <w:top w:val="none" w:sz="0" w:space="0" w:color="auto"/>
            <w:left w:val="none" w:sz="0" w:space="0" w:color="auto"/>
            <w:bottom w:val="none" w:sz="0" w:space="0" w:color="auto"/>
            <w:right w:val="none" w:sz="0" w:space="0" w:color="auto"/>
          </w:divBdr>
          <w:divsChild>
            <w:div w:id="260341725">
              <w:marLeft w:val="240"/>
              <w:marRight w:val="0"/>
              <w:marTop w:val="60"/>
              <w:marBottom w:val="60"/>
              <w:divBdr>
                <w:top w:val="none" w:sz="0" w:space="0" w:color="auto"/>
                <w:left w:val="none" w:sz="0" w:space="0" w:color="auto"/>
                <w:bottom w:val="none" w:sz="0" w:space="0" w:color="auto"/>
                <w:right w:val="none" w:sz="0" w:space="0" w:color="auto"/>
              </w:divBdr>
              <w:divsChild>
                <w:div w:id="1592883983">
                  <w:marLeft w:val="0"/>
                  <w:marRight w:val="0"/>
                  <w:marTop w:val="0"/>
                  <w:marBottom w:val="0"/>
                  <w:divBdr>
                    <w:top w:val="none" w:sz="0" w:space="0" w:color="auto"/>
                    <w:left w:val="none" w:sz="0" w:space="0" w:color="auto"/>
                    <w:bottom w:val="none" w:sz="0" w:space="0" w:color="auto"/>
                    <w:right w:val="none" w:sz="0" w:space="0" w:color="auto"/>
                  </w:divBdr>
                </w:div>
              </w:divsChild>
            </w:div>
            <w:div w:id="1864316767">
              <w:marLeft w:val="240"/>
              <w:marRight w:val="0"/>
              <w:marTop w:val="60"/>
              <w:marBottom w:val="60"/>
              <w:divBdr>
                <w:top w:val="none" w:sz="0" w:space="0" w:color="auto"/>
                <w:left w:val="none" w:sz="0" w:space="0" w:color="auto"/>
                <w:bottom w:val="none" w:sz="0" w:space="0" w:color="auto"/>
                <w:right w:val="none" w:sz="0" w:space="0" w:color="auto"/>
              </w:divBdr>
              <w:divsChild>
                <w:div w:id="18367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1031">
          <w:marLeft w:val="240"/>
          <w:marRight w:val="0"/>
          <w:marTop w:val="60"/>
          <w:marBottom w:val="60"/>
          <w:divBdr>
            <w:top w:val="none" w:sz="0" w:space="0" w:color="auto"/>
            <w:left w:val="none" w:sz="0" w:space="0" w:color="auto"/>
            <w:bottom w:val="none" w:sz="0" w:space="0" w:color="auto"/>
            <w:right w:val="none" w:sz="0" w:space="0" w:color="auto"/>
          </w:divBdr>
          <w:divsChild>
            <w:div w:id="916477210">
              <w:marLeft w:val="240"/>
              <w:marRight w:val="0"/>
              <w:marTop w:val="60"/>
              <w:marBottom w:val="60"/>
              <w:divBdr>
                <w:top w:val="none" w:sz="0" w:space="0" w:color="auto"/>
                <w:left w:val="none" w:sz="0" w:space="0" w:color="auto"/>
                <w:bottom w:val="none" w:sz="0" w:space="0" w:color="auto"/>
                <w:right w:val="none" w:sz="0" w:space="0" w:color="auto"/>
              </w:divBdr>
              <w:divsChild>
                <w:div w:id="517079912">
                  <w:marLeft w:val="240"/>
                  <w:marRight w:val="0"/>
                  <w:marTop w:val="60"/>
                  <w:marBottom w:val="60"/>
                  <w:divBdr>
                    <w:top w:val="none" w:sz="0" w:space="0" w:color="auto"/>
                    <w:left w:val="none" w:sz="0" w:space="0" w:color="auto"/>
                    <w:bottom w:val="none" w:sz="0" w:space="0" w:color="auto"/>
                    <w:right w:val="none" w:sz="0" w:space="0" w:color="auto"/>
                  </w:divBdr>
                  <w:divsChild>
                    <w:div w:id="2013684567">
                      <w:marLeft w:val="0"/>
                      <w:marRight w:val="0"/>
                      <w:marTop w:val="0"/>
                      <w:marBottom w:val="0"/>
                      <w:divBdr>
                        <w:top w:val="none" w:sz="0" w:space="0" w:color="auto"/>
                        <w:left w:val="none" w:sz="0" w:space="0" w:color="auto"/>
                        <w:bottom w:val="none" w:sz="0" w:space="0" w:color="auto"/>
                        <w:right w:val="none" w:sz="0" w:space="0" w:color="auto"/>
                      </w:divBdr>
                    </w:div>
                  </w:divsChild>
                </w:div>
                <w:div w:id="1930656789">
                  <w:marLeft w:val="240"/>
                  <w:marRight w:val="0"/>
                  <w:marTop w:val="60"/>
                  <w:marBottom w:val="60"/>
                  <w:divBdr>
                    <w:top w:val="none" w:sz="0" w:space="0" w:color="auto"/>
                    <w:left w:val="none" w:sz="0" w:space="0" w:color="auto"/>
                    <w:bottom w:val="none" w:sz="0" w:space="0" w:color="auto"/>
                    <w:right w:val="none" w:sz="0" w:space="0" w:color="auto"/>
                  </w:divBdr>
                  <w:divsChild>
                    <w:div w:id="950160973">
                      <w:marLeft w:val="0"/>
                      <w:marRight w:val="0"/>
                      <w:marTop w:val="0"/>
                      <w:marBottom w:val="0"/>
                      <w:divBdr>
                        <w:top w:val="none" w:sz="0" w:space="0" w:color="auto"/>
                        <w:left w:val="none" w:sz="0" w:space="0" w:color="auto"/>
                        <w:bottom w:val="none" w:sz="0" w:space="0" w:color="auto"/>
                        <w:right w:val="none" w:sz="0" w:space="0" w:color="auto"/>
                      </w:divBdr>
                    </w:div>
                  </w:divsChild>
                </w:div>
                <w:div w:id="1353989910">
                  <w:marLeft w:val="240"/>
                  <w:marRight w:val="0"/>
                  <w:marTop w:val="60"/>
                  <w:marBottom w:val="60"/>
                  <w:divBdr>
                    <w:top w:val="none" w:sz="0" w:space="0" w:color="auto"/>
                    <w:left w:val="none" w:sz="0" w:space="0" w:color="auto"/>
                    <w:bottom w:val="none" w:sz="0" w:space="0" w:color="auto"/>
                    <w:right w:val="none" w:sz="0" w:space="0" w:color="auto"/>
                  </w:divBdr>
                  <w:divsChild>
                    <w:div w:id="1339893955">
                      <w:marLeft w:val="0"/>
                      <w:marRight w:val="0"/>
                      <w:marTop w:val="0"/>
                      <w:marBottom w:val="0"/>
                      <w:divBdr>
                        <w:top w:val="none" w:sz="0" w:space="0" w:color="auto"/>
                        <w:left w:val="none" w:sz="0" w:space="0" w:color="auto"/>
                        <w:bottom w:val="none" w:sz="0" w:space="0" w:color="auto"/>
                        <w:right w:val="none" w:sz="0" w:space="0" w:color="auto"/>
                      </w:divBdr>
                    </w:div>
                  </w:divsChild>
                </w:div>
                <w:div w:id="1444375544">
                  <w:marLeft w:val="240"/>
                  <w:marRight w:val="0"/>
                  <w:marTop w:val="60"/>
                  <w:marBottom w:val="60"/>
                  <w:divBdr>
                    <w:top w:val="none" w:sz="0" w:space="0" w:color="auto"/>
                    <w:left w:val="none" w:sz="0" w:space="0" w:color="auto"/>
                    <w:bottom w:val="none" w:sz="0" w:space="0" w:color="auto"/>
                    <w:right w:val="none" w:sz="0" w:space="0" w:color="auto"/>
                  </w:divBdr>
                  <w:divsChild>
                    <w:div w:id="14286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431123">
              <w:marLeft w:val="240"/>
              <w:marRight w:val="0"/>
              <w:marTop w:val="60"/>
              <w:marBottom w:val="60"/>
              <w:divBdr>
                <w:top w:val="none" w:sz="0" w:space="0" w:color="auto"/>
                <w:left w:val="none" w:sz="0" w:space="0" w:color="auto"/>
                <w:bottom w:val="none" w:sz="0" w:space="0" w:color="auto"/>
                <w:right w:val="none" w:sz="0" w:space="0" w:color="auto"/>
              </w:divBdr>
              <w:divsChild>
                <w:div w:id="848373382">
                  <w:marLeft w:val="240"/>
                  <w:marRight w:val="0"/>
                  <w:marTop w:val="60"/>
                  <w:marBottom w:val="60"/>
                  <w:divBdr>
                    <w:top w:val="none" w:sz="0" w:space="0" w:color="auto"/>
                    <w:left w:val="none" w:sz="0" w:space="0" w:color="auto"/>
                    <w:bottom w:val="none" w:sz="0" w:space="0" w:color="auto"/>
                    <w:right w:val="none" w:sz="0" w:space="0" w:color="auto"/>
                  </w:divBdr>
                  <w:divsChild>
                    <w:div w:id="1653866831">
                      <w:marLeft w:val="0"/>
                      <w:marRight w:val="0"/>
                      <w:marTop w:val="0"/>
                      <w:marBottom w:val="0"/>
                      <w:divBdr>
                        <w:top w:val="none" w:sz="0" w:space="0" w:color="auto"/>
                        <w:left w:val="none" w:sz="0" w:space="0" w:color="auto"/>
                        <w:bottom w:val="none" w:sz="0" w:space="0" w:color="auto"/>
                        <w:right w:val="none" w:sz="0" w:space="0" w:color="auto"/>
                      </w:divBdr>
                    </w:div>
                  </w:divsChild>
                </w:div>
                <w:div w:id="1019352061">
                  <w:marLeft w:val="240"/>
                  <w:marRight w:val="0"/>
                  <w:marTop w:val="60"/>
                  <w:marBottom w:val="60"/>
                  <w:divBdr>
                    <w:top w:val="none" w:sz="0" w:space="0" w:color="auto"/>
                    <w:left w:val="none" w:sz="0" w:space="0" w:color="auto"/>
                    <w:bottom w:val="none" w:sz="0" w:space="0" w:color="auto"/>
                    <w:right w:val="none" w:sz="0" w:space="0" w:color="auto"/>
                  </w:divBdr>
                  <w:divsChild>
                    <w:div w:id="197972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8316">
              <w:marLeft w:val="240"/>
              <w:marRight w:val="0"/>
              <w:marTop w:val="60"/>
              <w:marBottom w:val="60"/>
              <w:divBdr>
                <w:top w:val="none" w:sz="0" w:space="0" w:color="auto"/>
                <w:left w:val="none" w:sz="0" w:space="0" w:color="auto"/>
                <w:bottom w:val="none" w:sz="0" w:space="0" w:color="auto"/>
                <w:right w:val="none" w:sz="0" w:space="0" w:color="auto"/>
              </w:divBdr>
              <w:divsChild>
                <w:div w:id="1166552526">
                  <w:marLeft w:val="240"/>
                  <w:marRight w:val="0"/>
                  <w:marTop w:val="60"/>
                  <w:marBottom w:val="60"/>
                  <w:divBdr>
                    <w:top w:val="none" w:sz="0" w:space="0" w:color="auto"/>
                    <w:left w:val="none" w:sz="0" w:space="0" w:color="auto"/>
                    <w:bottom w:val="none" w:sz="0" w:space="0" w:color="auto"/>
                    <w:right w:val="none" w:sz="0" w:space="0" w:color="auto"/>
                  </w:divBdr>
                  <w:divsChild>
                    <w:div w:id="1264922816">
                      <w:marLeft w:val="0"/>
                      <w:marRight w:val="0"/>
                      <w:marTop w:val="0"/>
                      <w:marBottom w:val="0"/>
                      <w:divBdr>
                        <w:top w:val="none" w:sz="0" w:space="0" w:color="auto"/>
                        <w:left w:val="none" w:sz="0" w:space="0" w:color="auto"/>
                        <w:bottom w:val="none" w:sz="0" w:space="0" w:color="auto"/>
                        <w:right w:val="none" w:sz="0" w:space="0" w:color="auto"/>
                      </w:divBdr>
                    </w:div>
                  </w:divsChild>
                </w:div>
                <w:div w:id="2039550429">
                  <w:marLeft w:val="240"/>
                  <w:marRight w:val="0"/>
                  <w:marTop w:val="60"/>
                  <w:marBottom w:val="60"/>
                  <w:divBdr>
                    <w:top w:val="none" w:sz="0" w:space="0" w:color="auto"/>
                    <w:left w:val="none" w:sz="0" w:space="0" w:color="auto"/>
                    <w:bottom w:val="none" w:sz="0" w:space="0" w:color="auto"/>
                    <w:right w:val="none" w:sz="0" w:space="0" w:color="auto"/>
                  </w:divBdr>
                  <w:divsChild>
                    <w:div w:id="1007056250">
                      <w:marLeft w:val="0"/>
                      <w:marRight w:val="0"/>
                      <w:marTop w:val="0"/>
                      <w:marBottom w:val="0"/>
                      <w:divBdr>
                        <w:top w:val="none" w:sz="0" w:space="0" w:color="auto"/>
                        <w:left w:val="none" w:sz="0" w:space="0" w:color="auto"/>
                        <w:bottom w:val="none" w:sz="0" w:space="0" w:color="auto"/>
                        <w:right w:val="none" w:sz="0" w:space="0" w:color="auto"/>
                      </w:divBdr>
                    </w:div>
                  </w:divsChild>
                </w:div>
                <w:div w:id="403187065">
                  <w:marLeft w:val="240"/>
                  <w:marRight w:val="0"/>
                  <w:marTop w:val="60"/>
                  <w:marBottom w:val="60"/>
                  <w:divBdr>
                    <w:top w:val="none" w:sz="0" w:space="0" w:color="auto"/>
                    <w:left w:val="none" w:sz="0" w:space="0" w:color="auto"/>
                    <w:bottom w:val="none" w:sz="0" w:space="0" w:color="auto"/>
                    <w:right w:val="none" w:sz="0" w:space="0" w:color="auto"/>
                  </w:divBdr>
                  <w:divsChild>
                    <w:div w:id="13385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4841">
          <w:marLeft w:val="240"/>
          <w:marRight w:val="0"/>
          <w:marTop w:val="60"/>
          <w:marBottom w:val="60"/>
          <w:divBdr>
            <w:top w:val="none" w:sz="0" w:space="0" w:color="auto"/>
            <w:left w:val="none" w:sz="0" w:space="0" w:color="auto"/>
            <w:bottom w:val="none" w:sz="0" w:space="0" w:color="auto"/>
            <w:right w:val="none" w:sz="0" w:space="0" w:color="auto"/>
          </w:divBdr>
          <w:divsChild>
            <w:div w:id="1950508375">
              <w:marLeft w:val="240"/>
              <w:marRight w:val="0"/>
              <w:marTop w:val="60"/>
              <w:marBottom w:val="60"/>
              <w:divBdr>
                <w:top w:val="none" w:sz="0" w:space="0" w:color="auto"/>
                <w:left w:val="none" w:sz="0" w:space="0" w:color="auto"/>
                <w:bottom w:val="none" w:sz="0" w:space="0" w:color="auto"/>
                <w:right w:val="none" w:sz="0" w:space="0" w:color="auto"/>
              </w:divBdr>
              <w:divsChild>
                <w:div w:id="965357678">
                  <w:marLeft w:val="0"/>
                  <w:marRight w:val="0"/>
                  <w:marTop w:val="0"/>
                  <w:marBottom w:val="0"/>
                  <w:divBdr>
                    <w:top w:val="none" w:sz="0" w:space="0" w:color="auto"/>
                    <w:left w:val="none" w:sz="0" w:space="0" w:color="auto"/>
                    <w:bottom w:val="none" w:sz="0" w:space="0" w:color="auto"/>
                    <w:right w:val="none" w:sz="0" w:space="0" w:color="auto"/>
                  </w:divBdr>
                </w:div>
              </w:divsChild>
            </w:div>
            <w:div w:id="119956599">
              <w:marLeft w:val="240"/>
              <w:marRight w:val="0"/>
              <w:marTop w:val="60"/>
              <w:marBottom w:val="60"/>
              <w:divBdr>
                <w:top w:val="none" w:sz="0" w:space="0" w:color="auto"/>
                <w:left w:val="none" w:sz="0" w:space="0" w:color="auto"/>
                <w:bottom w:val="none" w:sz="0" w:space="0" w:color="auto"/>
                <w:right w:val="none" w:sz="0" w:space="0" w:color="auto"/>
              </w:divBdr>
              <w:divsChild>
                <w:div w:id="17638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3723">
          <w:marLeft w:val="240"/>
          <w:marRight w:val="0"/>
          <w:marTop w:val="60"/>
          <w:marBottom w:val="60"/>
          <w:divBdr>
            <w:top w:val="none" w:sz="0" w:space="0" w:color="auto"/>
            <w:left w:val="none" w:sz="0" w:space="0" w:color="auto"/>
            <w:bottom w:val="none" w:sz="0" w:space="0" w:color="auto"/>
            <w:right w:val="none" w:sz="0" w:space="0" w:color="auto"/>
          </w:divBdr>
          <w:divsChild>
            <w:div w:id="170267228">
              <w:marLeft w:val="240"/>
              <w:marRight w:val="0"/>
              <w:marTop w:val="60"/>
              <w:marBottom w:val="60"/>
              <w:divBdr>
                <w:top w:val="none" w:sz="0" w:space="0" w:color="auto"/>
                <w:left w:val="none" w:sz="0" w:space="0" w:color="auto"/>
                <w:bottom w:val="none" w:sz="0" w:space="0" w:color="auto"/>
                <w:right w:val="none" w:sz="0" w:space="0" w:color="auto"/>
              </w:divBdr>
              <w:divsChild>
                <w:div w:id="311720465">
                  <w:marLeft w:val="0"/>
                  <w:marRight w:val="0"/>
                  <w:marTop w:val="0"/>
                  <w:marBottom w:val="0"/>
                  <w:divBdr>
                    <w:top w:val="none" w:sz="0" w:space="0" w:color="auto"/>
                    <w:left w:val="none" w:sz="0" w:space="0" w:color="auto"/>
                    <w:bottom w:val="none" w:sz="0" w:space="0" w:color="auto"/>
                    <w:right w:val="none" w:sz="0" w:space="0" w:color="auto"/>
                  </w:divBdr>
                </w:div>
              </w:divsChild>
            </w:div>
            <w:div w:id="672494170">
              <w:marLeft w:val="240"/>
              <w:marRight w:val="0"/>
              <w:marTop w:val="60"/>
              <w:marBottom w:val="60"/>
              <w:divBdr>
                <w:top w:val="none" w:sz="0" w:space="0" w:color="auto"/>
                <w:left w:val="none" w:sz="0" w:space="0" w:color="auto"/>
                <w:bottom w:val="none" w:sz="0" w:space="0" w:color="auto"/>
                <w:right w:val="none" w:sz="0" w:space="0" w:color="auto"/>
              </w:divBdr>
              <w:divsChild>
                <w:div w:id="1395041">
                  <w:marLeft w:val="240"/>
                  <w:marRight w:val="0"/>
                  <w:marTop w:val="60"/>
                  <w:marBottom w:val="60"/>
                  <w:divBdr>
                    <w:top w:val="none" w:sz="0" w:space="0" w:color="auto"/>
                    <w:left w:val="none" w:sz="0" w:space="0" w:color="auto"/>
                    <w:bottom w:val="none" w:sz="0" w:space="0" w:color="auto"/>
                    <w:right w:val="none" w:sz="0" w:space="0" w:color="auto"/>
                  </w:divBdr>
                  <w:divsChild>
                    <w:div w:id="1855997450">
                      <w:marLeft w:val="0"/>
                      <w:marRight w:val="0"/>
                      <w:marTop w:val="0"/>
                      <w:marBottom w:val="0"/>
                      <w:divBdr>
                        <w:top w:val="none" w:sz="0" w:space="0" w:color="auto"/>
                        <w:left w:val="none" w:sz="0" w:space="0" w:color="auto"/>
                        <w:bottom w:val="none" w:sz="0" w:space="0" w:color="auto"/>
                        <w:right w:val="none" w:sz="0" w:space="0" w:color="auto"/>
                      </w:divBdr>
                    </w:div>
                  </w:divsChild>
                </w:div>
                <w:div w:id="1607883333">
                  <w:marLeft w:val="240"/>
                  <w:marRight w:val="0"/>
                  <w:marTop w:val="60"/>
                  <w:marBottom w:val="60"/>
                  <w:divBdr>
                    <w:top w:val="none" w:sz="0" w:space="0" w:color="auto"/>
                    <w:left w:val="none" w:sz="0" w:space="0" w:color="auto"/>
                    <w:bottom w:val="none" w:sz="0" w:space="0" w:color="auto"/>
                    <w:right w:val="none" w:sz="0" w:space="0" w:color="auto"/>
                  </w:divBdr>
                  <w:divsChild>
                    <w:div w:id="4437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7772">
          <w:marLeft w:val="240"/>
          <w:marRight w:val="0"/>
          <w:marTop w:val="60"/>
          <w:marBottom w:val="60"/>
          <w:divBdr>
            <w:top w:val="none" w:sz="0" w:space="0" w:color="auto"/>
            <w:left w:val="none" w:sz="0" w:space="0" w:color="auto"/>
            <w:bottom w:val="none" w:sz="0" w:space="0" w:color="auto"/>
            <w:right w:val="none" w:sz="0" w:space="0" w:color="auto"/>
          </w:divBdr>
          <w:divsChild>
            <w:div w:id="1604534770">
              <w:marLeft w:val="0"/>
              <w:marRight w:val="0"/>
              <w:marTop w:val="0"/>
              <w:marBottom w:val="0"/>
              <w:divBdr>
                <w:top w:val="none" w:sz="0" w:space="0" w:color="auto"/>
                <w:left w:val="none" w:sz="0" w:space="0" w:color="auto"/>
                <w:bottom w:val="none" w:sz="0" w:space="0" w:color="auto"/>
                <w:right w:val="none" w:sz="0" w:space="0" w:color="auto"/>
              </w:divBdr>
            </w:div>
          </w:divsChild>
        </w:div>
        <w:div w:id="5834412">
          <w:marLeft w:val="240"/>
          <w:marRight w:val="0"/>
          <w:marTop w:val="60"/>
          <w:marBottom w:val="60"/>
          <w:divBdr>
            <w:top w:val="none" w:sz="0" w:space="0" w:color="auto"/>
            <w:left w:val="none" w:sz="0" w:space="0" w:color="auto"/>
            <w:bottom w:val="none" w:sz="0" w:space="0" w:color="auto"/>
            <w:right w:val="none" w:sz="0" w:space="0" w:color="auto"/>
          </w:divBdr>
          <w:divsChild>
            <w:div w:id="1335494216">
              <w:marLeft w:val="240"/>
              <w:marRight w:val="0"/>
              <w:marTop w:val="60"/>
              <w:marBottom w:val="60"/>
              <w:divBdr>
                <w:top w:val="none" w:sz="0" w:space="0" w:color="auto"/>
                <w:left w:val="none" w:sz="0" w:space="0" w:color="auto"/>
                <w:bottom w:val="none" w:sz="0" w:space="0" w:color="auto"/>
                <w:right w:val="none" w:sz="0" w:space="0" w:color="auto"/>
              </w:divBdr>
              <w:divsChild>
                <w:div w:id="528681990">
                  <w:marLeft w:val="0"/>
                  <w:marRight w:val="0"/>
                  <w:marTop w:val="0"/>
                  <w:marBottom w:val="0"/>
                  <w:divBdr>
                    <w:top w:val="none" w:sz="0" w:space="0" w:color="auto"/>
                    <w:left w:val="none" w:sz="0" w:space="0" w:color="auto"/>
                    <w:bottom w:val="none" w:sz="0" w:space="0" w:color="auto"/>
                    <w:right w:val="none" w:sz="0" w:space="0" w:color="auto"/>
                  </w:divBdr>
                </w:div>
              </w:divsChild>
            </w:div>
            <w:div w:id="291863236">
              <w:marLeft w:val="240"/>
              <w:marRight w:val="0"/>
              <w:marTop w:val="60"/>
              <w:marBottom w:val="60"/>
              <w:divBdr>
                <w:top w:val="none" w:sz="0" w:space="0" w:color="auto"/>
                <w:left w:val="none" w:sz="0" w:space="0" w:color="auto"/>
                <w:bottom w:val="none" w:sz="0" w:space="0" w:color="auto"/>
                <w:right w:val="none" w:sz="0" w:space="0" w:color="auto"/>
              </w:divBdr>
              <w:divsChild>
                <w:div w:id="1972898697">
                  <w:marLeft w:val="0"/>
                  <w:marRight w:val="0"/>
                  <w:marTop w:val="0"/>
                  <w:marBottom w:val="0"/>
                  <w:divBdr>
                    <w:top w:val="none" w:sz="0" w:space="0" w:color="auto"/>
                    <w:left w:val="none" w:sz="0" w:space="0" w:color="auto"/>
                    <w:bottom w:val="none" w:sz="0" w:space="0" w:color="auto"/>
                    <w:right w:val="none" w:sz="0" w:space="0" w:color="auto"/>
                  </w:divBdr>
                </w:div>
              </w:divsChild>
            </w:div>
            <w:div w:id="1409425357">
              <w:marLeft w:val="538"/>
              <w:marRight w:val="0"/>
              <w:marTop w:val="0"/>
              <w:marBottom w:val="0"/>
              <w:divBdr>
                <w:top w:val="none" w:sz="0" w:space="0" w:color="auto"/>
                <w:left w:val="none" w:sz="0" w:space="0" w:color="auto"/>
                <w:bottom w:val="none" w:sz="0" w:space="0" w:color="auto"/>
                <w:right w:val="none" w:sz="0" w:space="0" w:color="auto"/>
              </w:divBdr>
            </w:div>
          </w:divsChild>
        </w:div>
        <w:div w:id="707685349">
          <w:marLeft w:val="240"/>
          <w:marRight w:val="0"/>
          <w:marTop w:val="60"/>
          <w:marBottom w:val="60"/>
          <w:divBdr>
            <w:top w:val="none" w:sz="0" w:space="0" w:color="auto"/>
            <w:left w:val="none" w:sz="0" w:space="0" w:color="auto"/>
            <w:bottom w:val="none" w:sz="0" w:space="0" w:color="auto"/>
            <w:right w:val="none" w:sz="0" w:space="0" w:color="auto"/>
          </w:divBdr>
          <w:divsChild>
            <w:div w:id="2089839851">
              <w:marLeft w:val="0"/>
              <w:marRight w:val="0"/>
              <w:marTop w:val="0"/>
              <w:marBottom w:val="0"/>
              <w:divBdr>
                <w:top w:val="none" w:sz="0" w:space="0" w:color="auto"/>
                <w:left w:val="none" w:sz="0" w:space="0" w:color="auto"/>
                <w:bottom w:val="none" w:sz="0" w:space="0" w:color="auto"/>
                <w:right w:val="none" w:sz="0" w:space="0" w:color="auto"/>
              </w:divBdr>
            </w:div>
          </w:divsChild>
        </w:div>
        <w:div w:id="1773816821">
          <w:marLeft w:val="0"/>
          <w:marRight w:val="0"/>
          <w:marTop w:val="0"/>
          <w:marBottom w:val="0"/>
          <w:divBdr>
            <w:top w:val="none" w:sz="0" w:space="0" w:color="auto"/>
            <w:left w:val="none" w:sz="0" w:space="0" w:color="auto"/>
            <w:bottom w:val="none" w:sz="0" w:space="0" w:color="auto"/>
            <w:right w:val="none" w:sz="0" w:space="0" w:color="auto"/>
          </w:divBdr>
        </w:div>
      </w:divsChild>
    </w:div>
    <w:div w:id="340082146">
      <w:bodyDiv w:val="1"/>
      <w:marLeft w:val="0"/>
      <w:marRight w:val="0"/>
      <w:marTop w:val="0"/>
      <w:marBottom w:val="0"/>
      <w:divBdr>
        <w:top w:val="none" w:sz="0" w:space="0" w:color="auto"/>
        <w:left w:val="none" w:sz="0" w:space="0" w:color="auto"/>
        <w:bottom w:val="none" w:sz="0" w:space="0" w:color="auto"/>
        <w:right w:val="none" w:sz="0" w:space="0" w:color="auto"/>
      </w:divBdr>
    </w:div>
    <w:div w:id="342056511">
      <w:bodyDiv w:val="1"/>
      <w:marLeft w:val="0"/>
      <w:marRight w:val="0"/>
      <w:marTop w:val="0"/>
      <w:marBottom w:val="0"/>
      <w:divBdr>
        <w:top w:val="none" w:sz="0" w:space="0" w:color="auto"/>
        <w:left w:val="none" w:sz="0" w:space="0" w:color="auto"/>
        <w:bottom w:val="none" w:sz="0" w:space="0" w:color="auto"/>
        <w:right w:val="none" w:sz="0" w:space="0" w:color="auto"/>
      </w:divBdr>
      <w:divsChild>
        <w:div w:id="1590692206">
          <w:marLeft w:val="240"/>
          <w:marRight w:val="0"/>
          <w:marTop w:val="60"/>
          <w:marBottom w:val="60"/>
          <w:divBdr>
            <w:top w:val="none" w:sz="0" w:space="0" w:color="auto"/>
            <w:left w:val="none" w:sz="0" w:space="0" w:color="auto"/>
            <w:bottom w:val="none" w:sz="0" w:space="0" w:color="auto"/>
            <w:right w:val="none" w:sz="0" w:space="0" w:color="auto"/>
          </w:divBdr>
          <w:divsChild>
            <w:div w:id="1468085769">
              <w:marLeft w:val="240"/>
              <w:marRight w:val="0"/>
              <w:marTop w:val="60"/>
              <w:marBottom w:val="60"/>
              <w:divBdr>
                <w:top w:val="none" w:sz="0" w:space="0" w:color="auto"/>
                <w:left w:val="none" w:sz="0" w:space="0" w:color="auto"/>
                <w:bottom w:val="none" w:sz="0" w:space="0" w:color="auto"/>
                <w:right w:val="none" w:sz="0" w:space="0" w:color="auto"/>
              </w:divBdr>
              <w:divsChild>
                <w:div w:id="878980665">
                  <w:marLeft w:val="0"/>
                  <w:marRight w:val="0"/>
                  <w:marTop w:val="0"/>
                  <w:marBottom w:val="0"/>
                  <w:divBdr>
                    <w:top w:val="none" w:sz="0" w:space="0" w:color="auto"/>
                    <w:left w:val="none" w:sz="0" w:space="0" w:color="auto"/>
                    <w:bottom w:val="none" w:sz="0" w:space="0" w:color="auto"/>
                    <w:right w:val="none" w:sz="0" w:space="0" w:color="auto"/>
                  </w:divBdr>
                </w:div>
              </w:divsChild>
            </w:div>
            <w:div w:id="549465204">
              <w:marLeft w:val="240"/>
              <w:marRight w:val="0"/>
              <w:marTop w:val="60"/>
              <w:marBottom w:val="60"/>
              <w:divBdr>
                <w:top w:val="none" w:sz="0" w:space="0" w:color="auto"/>
                <w:left w:val="none" w:sz="0" w:space="0" w:color="auto"/>
                <w:bottom w:val="none" w:sz="0" w:space="0" w:color="auto"/>
                <w:right w:val="none" w:sz="0" w:space="0" w:color="auto"/>
              </w:divBdr>
              <w:divsChild>
                <w:div w:id="488637044">
                  <w:marLeft w:val="0"/>
                  <w:marRight w:val="0"/>
                  <w:marTop w:val="0"/>
                  <w:marBottom w:val="0"/>
                  <w:divBdr>
                    <w:top w:val="none" w:sz="0" w:space="0" w:color="auto"/>
                    <w:left w:val="none" w:sz="0" w:space="0" w:color="auto"/>
                    <w:bottom w:val="none" w:sz="0" w:space="0" w:color="auto"/>
                    <w:right w:val="none" w:sz="0" w:space="0" w:color="auto"/>
                  </w:divBdr>
                </w:div>
              </w:divsChild>
            </w:div>
            <w:div w:id="192962699">
              <w:marLeft w:val="240"/>
              <w:marRight w:val="0"/>
              <w:marTop w:val="60"/>
              <w:marBottom w:val="60"/>
              <w:divBdr>
                <w:top w:val="none" w:sz="0" w:space="0" w:color="auto"/>
                <w:left w:val="none" w:sz="0" w:space="0" w:color="auto"/>
                <w:bottom w:val="none" w:sz="0" w:space="0" w:color="auto"/>
                <w:right w:val="none" w:sz="0" w:space="0" w:color="auto"/>
              </w:divBdr>
              <w:divsChild>
                <w:div w:id="2028024198">
                  <w:marLeft w:val="0"/>
                  <w:marRight w:val="0"/>
                  <w:marTop w:val="0"/>
                  <w:marBottom w:val="0"/>
                  <w:divBdr>
                    <w:top w:val="none" w:sz="0" w:space="0" w:color="auto"/>
                    <w:left w:val="none" w:sz="0" w:space="0" w:color="auto"/>
                    <w:bottom w:val="none" w:sz="0" w:space="0" w:color="auto"/>
                    <w:right w:val="none" w:sz="0" w:space="0" w:color="auto"/>
                  </w:divBdr>
                </w:div>
              </w:divsChild>
            </w:div>
            <w:div w:id="1236010109">
              <w:marLeft w:val="240"/>
              <w:marRight w:val="0"/>
              <w:marTop w:val="60"/>
              <w:marBottom w:val="60"/>
              <w:divBdr>
                <w:top w:val="none" w:sz="0" w:space="0" w:color="auto"/>
                <w:left w:val="none" w:sz="0" w:space="0" w:color="auto"/>
                <w:bottom w:val="none" w:sz="0" w:space="0" w:color="auto"/>
                <w:right w:val="none" w:sz="0" w:space="0" w:color="auto"/>
              </w:divBdr>
              <w:divsChild>
                <w:div w:id="1363559100">
                  <w:marLeft w:val="0"/>
                  <w:marRight w:val="0"/>
                  <w:marTop w:val="0"/>
                  <w:marBottom w:val="0"/>
                  <w:divBdr>
                    <w:top w:val="none" w:sz="0" w:space="0" w:color="auto"/>
                    <w:left w:val="none" w:sz="0" w:space="0" w:color="auto"/>
                    <w:bottom w:val="none" w:sz="0" w:space="0" w:color="auto"/>
                    <w:right w:val="none" w:sz="0" w:space="0" w:color="auto"/>
                  </w:divBdr>
                </w:div>
              </w:divsChild>
            </w:div>
            <w:div w:id="1055590303">
              <w:marLeft w:val="240"/>
              <w:marRight w:val="0"/>
              <w:marTop w:val="60"/>
              <w:marBottom w:val="60"/>
              <w:divBdr>
                <w:top w:val="none" w:sz="0" w:space="0" w:color="auto"/>
                <w:left w:val="none" w:sz="0" w:space="0" w:color="auto"/>
                <w:bottom w:val="none" w:sz="0" w:space="0" w:color="auto"/>
                <w:right w:val="none" w:sz="0" w:space="0" w:color="auto"/>
              </w:divBdr>
              <w:divsChild>
                <w:div w:id="7146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0184">
          <w:marLeft w:val="240"/>
          <w:marRight w:val="0"/>
          <w:marTop w:val="60"/>
          <w:marBottom w:val="60"/>
          <w:divBdr>
            <w:top w:val="none" w:sz="0" w:space="0" w:color="auto"/>
            <w:left w:val="none" w:sz="0" w:space="0" w:color="auto"/>
            <w:bottom w:val="none" w:sz="0" w:space="0" w:color="auto"/>
            <w:right w:val="none" w:sz="0" w:space="0" w:color="auto"/>
          </w:divBdr>
          <w:divsChild>
            <w:div w:id="1081828238">
              <w:marLeft w:val="240"/>
              <w:marRight w:val="0"/>
              <w:marTop w:val="60"/>
              <w:marBottom w:val="60"/>
              <w:divBdr>
                <w:top w:val="none" w:sz="0" w:space="0" w:color="auto"/>
                <w:left w:val="none" w:sz="0" w:space="0" w:color="auto"/>
                <w:bottom w:val="none" w:sz="0" w:space="0" w:color="auto"/>
                <w:right w:val="none" w:sz="0" w:space="0" w:color="auto"/>
              </w:divBdr>
              <w:divsChild>
                <w:div w:id="433674173">
                  <w:marLeft w:val="240"/>
                  <w:marRight w:val="0"/>
                  <w:marTop w:val="60"/>
                  <w:marBottom w:val="60"/>
                  <w:divBdr>
                    <w:top w:val="none" w:sz="0" w:space="0" w:color="auto"/>
                    <w:left w:val="none" w:sz="0" w:space="0" w:color="auto"/>
                    <w:bottom w:val="none" w:sz="0" w:space="0" w:color="auto"/>
                    <w:right w:val="none" w:sz="0" w:space="0" w:color="auto"/>
                  </w:divBdr>
                  <w:divsChild>
                    <w:div w:id="1315841004">
                      <w:marLeft w:val="0"/>
                      <w:marRight w:val="0"/>
                      <w:marTop w:val="0"/>
                      <w:marBottom w:val="0"/>
                      <w:divBdr>
                        <w:top w:val="none" w:sz="0" w:space="0" w:color="auto"/>
                        <w:left w:val="none" w:sz="0" w:space="0" w:color="auto"/>
                        <w:bottom w:val="none" w:sz="0" w:space="0" w:color="auto"/>
                        <w:right w:val="none" w:sz="0" w:space="0" w:color="auto"/>
                      </w:divBdr>
                    </w:div>
                  </w:divsChild>
                </w:div>
                <w:div w:id="817455528">
                  <w:marLeft w:val="240"/>
                  <w:marRight w:val="0"/>
                  <w:marTop w:val="60"/>
                  <w:marBottom w:val="60"/>
                  <w:divBdr>
                    <w:top w:val="none" w:sz="0" w:space="0" w:color="auto"/>
                    <w:left w:val="none" w:sz="0" w:space="0" w:color="auto"/>
                    <w:bottom w:val="none" w:sz="0" w:space="0" w:color="auto"/>
                    <w:right w:val="none" w:sz="0" w:space="0" w:color="auto"/>
                  </w:divBdr>
                  <w:divsChild>
                    <w:div w:id="136075775">
                      <w:marLeft w:val="0"/>
                      <w:marRight w:val="0"/>
                      <w:marTop w:val="0"/>
                      <w:marBottom w:val="0"/>
                      <w:divBdr>
                        <w:top w:val="none" w:sz="0" w:space="0" w:color="auto"/>
                        <w:left w:val="none" w:sz="0" w:space="0" w:color="auto"/>
                        <w:bottom w:val="none" w:sz="0" w:space="0" w:color="auto"/>
                        <w:right w:val="none" w:sz="0" w:space="0" w:color="auto"/>
                      </w:divBdr>
                    </w:div>
                  </w:divsChild>
                </w:div>
                <w:div w:id="1968663428">
                  <w:marLeft w:val="240"/>
                  <w:marRight w:val="0"/>
                  <w:marTop w:val="60"/>
                  <w:marBottom w:val="60"/>
                  <w:divBdr>
                    <w:top w:val="none" w:sz="0" w:space="0" w:color="auto"/>
                    <w:left w:val="none" w:sz="0" w:space="0" w:color="auto"/>
                    <w:bottom w:val="none" w:sz="0" w:space="0" w:color="auto"/>
                    <w:right w:val="none" w:sz="0" w:space="0" w:color="auto"/>
                  </w:divBdr>
                  <w:divsChild>
                    <w:div w:id="380135151">
                      <w:marLeft w:val="0"/>
                      <w:marRight w:val="0"/>
                      <w:marTop w:val="0"/>
                      <w:marBottom w:val="0"/>
                      <w:divBdr>
                        <w:top w:val="none" w:sz="0" w:space="0" w:color="auto"/>
                        <w:left w:val="none" w:sz="0" w:space="0" w:color="auto"/>
                        <w:bottom w:val="none" w:sz="0" w:space="0" w:color="auto"/>
                        <w:right w:val="none" w:sz="0" w:space="0" w:color="auto"/>
                      </w:divBdr>
                    </w:div>
                  </w:divsChild>
                </w:div>
                <w:div w:id="837579479">
                  <w:marLeft w:val="240"/>
                  <w:marRight w:val="0"/>
                  <w:marTop w:val="60"/>
                  <w:marBottom w:val="60"/>
                  <w:divBdr>
                    <w:top w:val="none" w:sz="0" w:space="0" w:color="auto"/>
                    <w:left w:val="none" w:sz="0" w:space="0" w:color="auto"/>
                    <w:bottom w:val="none" w:sz="0" w:space="0" w:color="auto"/>
                    <w:right w:val="none" w:sz="0" w:space="0" w:color="auto"/>
                  </w:divBdr>
                  <w:divsChild>
                    <w:div w:id="117191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2177">
              <w:marLeft w:val="240"/>
              <w:marRight w:val="0"/>
              <w:marTop w:val="60"/>
              <w:marBottom w:val="60"/>
              <w:divBdr>
                <w:top w:val="none" w:sz="0" w:space="0" w:color="auto"/>
                <w:left w:val="none" w:sz="0" w:space="0" w:color="auto"/>
                <w:bottom w:val="none" w:sz="0" w:space="0" w:color="auto"/>
                <w:right w:val="none" w:sz="0" w:space="0" w:color="auto"/>
              </w:divBdr>
              <w:divsChild>
                <w:div w:id="879323292">
                  <w:marLeft w:val="240"/>
                  <w:marRight w:val="0"/>
                  <w:marTop w:val="60"/>
                  <w:marBottom w:val="60"/>
                  <w:divBdr>
                    <w:top w:val="none" w:sz="0" w:space="0" w:color="auto"/>
                    <w:left w:val="none" w:sz="0" w:space="0" w:color="auto"/>
                    <w:bottom w:val="none" w:sz="0" w:space="0" w:color="auto"/>
                    <w:right w:val="none" w:sz="0" w:space="0" w:color="auto"/>
                  </w:divBdr>
                  <w:divsChild>
                    <w:div w:id="341125938">
                      <w:marLeft w:val="240"/>
                      <w:marRight w:val="0"/>
                      <w:marTop w:val="60"/>
                      <w:marBottom w:val="60"/>
                      <w:divBdr>
                        <w:top w:val="none" w:sz="0" w:space="0" w:color="auto"/>
                        <w:left w:val="none" w:sz="0" w:space="0" w:color="auto"/>
                        <w:bottom w:val="none" w:sz="0" w:space="0" w:color="auto"/>
                        <w:right w:val="none" w:sz="0" w:space="0" w:color="auto"/>
                      </w:divBdr>
                      <w:divsChild>
                        <w:div w:id="1908877385">
                          <w:marLeft w:val="0"/>
                          <w:marRight w:val="0"/>
                          <w:marTop w:val="0"/>
                          <w:marBottom w:val="0"/>
                          <w:divBdr>
                            <w:top w:val="none" w:sz="0" w:space="0" w:color="auto"/>
                            <w:left w:val="none" w:sz="0" w:space="0" w:color="auto"/>
                            <w:bottom w:val="none" w:sz="0" w:space="0" w:color="auto"/>
                            <w:right w:val="none" w:sz="0" w:space="0" w:color="auto"/>
                          </w:divBdr>
                        </w:div>
                      </w:divsChild>
                    </w:div>
                    <w:div w:id="88084239">
                      <w:marLeft w:val="240"/>
                      <w:marRight w:val="0"/>
                      <w:marTop w:val="60"/>
                      <w:marBottom w:val="60"/>
                      <w:divBdr>
                        <w:top w:val="none" w:sz="0" w:space="0" w:color="auto"/>
                        <w:left w:val="none" w:sz="0" w:space="0" w:color="auto"/>
                        <w:bottom w:val="none" w:sz="0" w:space="0" w:color="auto"/>
                        <w:right w:val="none" w:sz="0" w:space="0" w:color="auto"/>
                      </w:divBdr>
                      <w:divsChild>
                        <w:div w:id="1011950084">
                          <w:marLeft w:val="0"/>
                          <w:marRight w:val="0"/>
                          <w:marTop w:val="0"/>
                          <w:marBottom w:val="0"/>
                          <w:divBdr>
                            <w:top w:val="none" w:sz="0" w:space="0" w:color="auto"/>
                            <w:left w:val="none" w:sz="0" w:space="0" w:color="auto"/>
                            <w:bottom w:val="none" w:sz="0" w:space="0" w:color="auto"/>
                            <w:right w:val="none" w:sz="0" w:space="0" w:color="auto"/>
                          </w:divBdr>
                        </w:div>
                      </w:divsChild>
                    </w:div>
                    <w:div w:id="211045502">
                      <w:marLeft w:val="240"/>
                      <w:marRight w:val="0"/>
                      <w:marTop w:val="60"/>
                      <w:marBottom w:val="60"/>
                      <w:divBdr>
                        <w:top w:val="none" w:sz="0" w:space="0" w:color="auto"/>
                        <w:left w:val="none" w:sz="0" w:space="0" w:color="auto"/>
                        <w:bottom w:val="none" w:sz="0" w:space="0" w:color="auto"/>
                        <w:right w:val="none" w:sz="0" w:space="0" w:color="auto"/>
                      </w:divBdr>
                      <w:divsChild>
                        <w:div w:id="796216659">
                          <w:marLeft w:val="0"/>
                          <w:marRight w:val="0"/>
                          <w:marTop w:val="0"/>
                          <w:marBottom w:val="0"/>
                          <w:divBdr>
                            <w:top w:val="none" w:sz="0" w:space="0" w:color="auto"/>
                            <w:left w:val="none" w:sz="0" w:space="0" w:color="auto"/>
                            <w:bottom w:val="none" w:sz="0" w:space="0" w:color="auto"/>
                            <w:right w:val="none" w:sz="0" w:space="0" w:color="auto"/>
                          </w:divBdr>
                        </w:div>
                      </w:divsChild>
                    </w:div>
                    <w:div w:id="1589999779">
                      <w:marLeft w:val="240"/>
                      <w:marRight w:val="0"/>
                      <w:marTop w:val="60"/>
                      <w:marBottom w:val="60"/>
                      <w:divBdr>
                        <w:top w:val="none" w:sz="0" w:space="0" w:color="auto"/>
                        <w:left w:val="none" w:sz="0" w:space="0" w:color="auto"/>
                        <w:bottom w:val="none" w:sz="0" w:space="0" w:color="auto"/>
                        <w:right w:val="none" w:sz="0" w:space="0" w:color="auto"/>
                      </w:divBdr>
                      <w:divsChild>
                        <w:div w:id="444663661">
                          <w:marLeft w:val="0"/>
                          <w:marRight w:val="0"/>
                          <w:marTop w:val="0"/>
                          <w:marBottom w:val="0"/>
                          <w:divBdr>
                            <w:top w:val="none" w:sz="0" w:space="0" w:color="auto"/>
                            <w:left w:val="none" w:sz="0" w:space="0" w:color="auto"/>
                            <w:bottom w:val="none" w:sz="0" w:space="0" w:color="auto"/>
                            <w:right w:val="none" w:sz="0" w:space="0" w:color="auto"/>
                          </w:divBdr>
                        </w:div>
                      </w:divsChild>
                    </w:div>
                    <w:div w:id="36438975">
                      <w:marLeft w:val="240"/>
                      <w:marRight w:val="0"/>
                      <w:marTop w:val="60"/>
                      <w:marBottom w:val="60"/>
                      <w:divBdr>
                        <w:top w:val="none" w:sz="0" w:space="0" w:color="auto"/>
                        <w:left w:val="none" w:sz="0" w:space="0" w:color="auto"/>
                        <w:bottom w:val="none" w:sz="0" w:space="0" w:color="auto"/>
                        <w:right w:val="none" w:sz="0" w:space="0" w:color="auto"/>
                      </w:divBdr>
                      <w:divsChild>
                        <w:div w:id="1117791518">
                          <w:marLeft w:val="0"/>
                          <w:marRight w:val="0"/>
                          <w:marTop w:val="0"/>
                          <w:marBottom w:val="0"/>
                          <w:divBdr>
                            <w:top w:val="none" w:sz="0" w:space="0" w:color="auto"/>
                            <w:left w:val="none" w:sz="0" w:space="0" w:color="auto"/>
                            <w:bottom w:val="none" w:sz="0" w:space="0" w:color="auto"/>
                            <w:right w:val="none" w:sz="0" w:space="0" w:color="auto"/>
                          </w:divBdr>
                        </w:div>
                      </w:divsChild>
                    </w:div>
                    <w:div w:id="532308175">
                      <w:marLeft w:val="240"/>
                      <w:marRight w:val="0"/>
                      <w:marTop w:val="60"/>
                      <w:marBottom w:val="60"/>
                      <w:divBdr>
                        <w:top w:val="none" w:sz="0" w:space="0" w:color="auto"/>
                        <w:left w:val="none" w:sz="0" w:space="0" w:color="auto"/>
                        <w:bottom w:val="none" w:sz="0" w:space="0" w:color="auto"/>
                        <w:right w:val="none" w:sz="0" w:space="0" w:color="auto"/>
                      </w:divBdr>
                      <w:divsChild>
                        <w:div w:id="1384016007">
                          <w:marLeft w:val="0"/>
                          <w:marRight w:val="0"/>
                          <w:marTop w:val="0"/>
                          <w:marBottom w:val="0"/>
                          <w:divBdr>
                            <w:top w:val="none" w:sz="0" w:space="0" w:color="auto"/>
                            <w:left w:val="none" w:sz="0" w:space="0" w:color="auto"/>
                            <w:bottom w:val="none" w:sz="0" w:space="0" w:color="auto"/>
                            <w:right w:val="none" w:sz="0" w:space="0" w:color="auto"/>
                          </w:divBdr>
                        </w:div>
                      </w:divsChild>
                    </w:div>
                    <w:div w:id="1841968623">
                      <w:marLeft w:val="240"/>
                      <w:marRight w:val="0"/>
                      <w:marTop w:val="60"/>
                      <w:marBottom w:val="60"/>
                      <w:divBdr>
                        <w:top w:val="none" w:sz="0" w:space="0" w:color="auto"/>
                        <w:left w:val="none" w:sz="0" w:space="0" w:color="auto"/>
                        <w:bottom w:val="none" w:sz="0" w:space="0" w:color="auto"/>
                        <w:right w:val="none" w:sz="0" w:space="0" w:color="auto"/>
                      </w:divBdr>
                      <w:divsChild>
                        <w:div w:id="20317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6467">
                  <w:marLeft w:val="240"/>
                  <w:marRight w:val="0"/>
                  <w:marTop w:val="60"/>
                  <w:marBottom w:val="60"/>
                  <w:divBdr>
                    <w:top w:val="none" w:sz="0" w:space="0" w:color="auto"/>
                    <w:left w:val="none" w:sz="0" w:space="0" w:color="auto"/>
                    <w:bottom w:val="none" w:sz="0" w:space="0" w:color="auto"/>
                    <w:right w:val="none" w:sz="0" w:space="0" w:color="auto"/>
                  </w:divBdr>
                  <w:divsChild>
                    <w:div w:id="2083748529">
                      <w:marLeft w:val="240"/>
                      <w:marRight w:val="0"/>
                      <w:marTop w:val="60"/>
                      <w:marBottom w:val="60"/>
                      <w:divBdr>
                        <w:top w:val="none" w:sz="0" w:space="0" w:color="auto"/>
                        <w:left w:val="none" w:sz="0" w:space="0" w:color="auto"/>
                        <w:bottom w:val="none" w:sz="0" w:space="0" w:color="auto"/>
                        <w:right w:val="none" w:sz="0" w:space="0" w:color="auto"/>
                      </w:divBdr>
                      <w:divsChild>
                        <w:div w:id="108204937">
                          <w:marLeft w:val="0"/>
                          <w:marRight w:val="0"/>
                          <w:marTop w:val="0"/>
                          <w:marBottom w:val="0"/>
                          <w:divBdr>
                            <w:top w:val="none" w:sz="0" w:space="0" w:color="auto"/>
                            <w:left w:val="none" w:sz="0" w:space="0" w:color="auto"/>
                            <w:bottom w:val="none" w:sz="0" w:space="0" w:color="auto"/>
                            <w:right w:val="none" w:sz="0" w:space="0" w:color="auto"/>
                          </w:divBdr>
                        </w:div>
                      </w:divsChild>
                    </w:div>
                    <w:div w:id="3630223">
                      <w:marLeft w:val="240"/>
                      <w:marRight w:val="0"/>
                      <w:marTop w:val="60"/>
                      <w:marBottom w:val="60"/>
                      <w:divBdr>
                        <w:top w:val="none" w:sz="0" w:space="0" w:color="auto"/>
                        <w:left w:val="none" w:sz="0" w:space="0" w:color="auto"/>
                        <w:bottom w:val="none" w:sz="0" w:space="0" w:color="auto"/>
                        <w:right w:val="none" w:sz="0" w:space="0" w:color="auto"/>
                      </w:divBdr>
                      <w:divsChild>
                        <w:div w:id="21095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59">
                  <w:marLeft w:val="240"/>
                  <w:marRight w:val="0"/>
                  <w:marTop w:val="60"/>
                  <w:marBottom w:val="60"/>
                  <w:divBdr>
                    <w:top w:val="none" w:sz="0" w:space="0" w:color="auto"/>
                    <w:left w:val="none" w:sz="0" w:space="0" w:color="auto"/>
                    <w:bottom w:val="none" w:sz="0" w:space="0" w:color="auto"/>
                    <w:right w:val="none" w:sz="0" w:space="0" w:color="auto"/>
                  </w:divBdr>
                  <w:divsChild>
                    <w:div w:id="20053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29599">
              <w:marLeft w:val="240"/>
              <w:marRight w:val="0"/>
              <w:marTop w:val="60"/>
              <w:marBottom w:val="60"/>
              <w:divBdr>
                <w:top w:val="none" w:sz="0" w:space="0" w:color="auto"/>
                <w:left w:val="none" w:sz="0" w:space="0" w:color="auto"/>
                <w:bottom w:val="none" w:sz="0" w:space="0" w:color="auto"/>
                <w:right w:val="none" w:sz="0" w:space="0" w:color="auto"/>
              </w:divBdr>
              <w:divsChild>
                <w:div w:id="1774277087">
                  <w:marLeft w:val="240"/>
                  <w:marRight w:val="0"/>
                  <w:marTop w:val="60"/>
                  <w:marBottom w:val="60"/>
                  <w:divBdr>
                    <w:top w:val="none" w:sz="0" w:space="0" w:color="auto"/>
                    <w:left w:val="none" w:sz="0" w:space="0" w:color="auto"/>
                    <w:bottom w:val="none" w:sz="0" w:space="0" w:color="auto"/>
                    <w:right w:val="none" w:sz="0" w:space="0" w:color="auto"/>
                  </w:divBdr>
                  <w:divsChild>
                    <w:div w:id="169566344">
                      <w:marLeft w:val="0"/>
                      <w:marRight w:val="0"/>
                      <w:marTop w:val="0"/>
                      <w:marBottom w:val="0"/>
                      <w:divBdr>
                        <w:top w:val="none" w:sz="0" w:space="0" w:color="auto"/>
                        <w:left w:val="none" w:sz="0" w:space="0" w:color="auto"/>
                        <w:bottom w:val="none" w:sz="0" w:space="0" w:color="auto"/>
                        <w:right w:val="none" w:sz="0" w:space="0" w:color="auto"/>
                      </w:divBdr>
                    </w:div>
                  </w:divsChild>
                </w:div>
                <w:div w:id="1384209873">
                  <w:marLeft w:val="240"/>
                  <w:marRight w:val="0"/>
                  <w:marTop w:val="60"/>
                  <w:marBottom w:val="60"/>
                  <w:divBdr>
                    <w:top w:val="none" w:sz="0" w:space="0" w:color="auto"/>
                    <w:left w:val="none" w:sz="0" w:space="0" w:color="auto"/>
                    <w:bottom w:val="none" w:sz="0" w:space="0" w:color="auto"/>
                    <w:right w:val="none" w:sz="0" w:space="0" w:color="auto"/>
                  </w:divBdr>
                  <w:divsChild>
                    <w:div w:id="1771658702">
                      <w:marLeft w:val="0"/>
                      <w:marRight w:val="0"/>
                      <w:marTop w:val="0"/>
                      <w:marBottom w:val="0"/>
                      <w:divBdr>
                        <w:top w:val="none" w:sz="0" w:space="0" w:color="auto"/>
                        <w:left w:val="none" w:sz="0" w:space="0" w:color="auto"/>
                        <w:bottom w:val="none" w:sz="0" w:space="0" w:color="auto"/>
                        <w:right w:val="none" w:sz="0" w:space="0" w:color="auto"/>
                      </w:divBdr>
                    </w:div>
                  </w:divsChild>
                </w:div>
                <w:div w:id="1369642652">
                  <w:marLeft w:val="240"/>
                  <w:marRight w:val="0"/>
                  <w:marTop w:val="60"/>
                  <w:marBottom w:val="60"/>
                  <w:divBdr>
                    <w:top w:val="none" w:sz="0" w:space="0" w:color="auto"/>
                    <w:left w:val="none" w:sz="0" w:space="0" w:color="auto"/>
                    <w:bottom w:val="none" w:sz="0" w:space="0" w:color="auto"/>
                    <w:right w:val="none" w:sz="0" w:space="0" w:color="auto"/>
                  </w:divBdr>
                  <w:divsChild>
                    <w:div w:id="965619160">
                      <w:marLeft w:val="0"/>
                      <w:marRight w:val="0"/>
                      <w:marTop w:val="0"/>
                      <w:marBottom w:val="0"/>
                      <w:divBdr>
                        <w:top w:val="none" w:sz="0" w:space="0" w:color="auto"/>
                        <w:left w:val="none" w:sz="0" w:space="0" w:color="auto"/>
                        <w:bottom w:val="none" w:sz="0" w:space="0" w:color="auto"/>
                        <w:right w:val="none" w:sz="0" w:space="0" w:color="auto"/>
                      </w:divBdr>
                    </w:div>
                  </w:divsChild>
                </w:div>
                <w:div w:id="2015184016">
                  <w:marLeft w:val="240"/>
                  <w:marRight w:val="0"/>
                  <w:marTop w:val="60"/>
                  <w:marBottom w:val="60"/>
                  <w:divBdr>
                    <w:top w:val="none" w:sz="0" w:space="0" w:color="auto"/>
                    <w:left w:val="none" w:sz="0" w:space="0" w:color="auto"/>
                    <w:bottom w:val="none" w:sz="0" w:space="0" w:color="auto"/>
                    <w:right w:val="none" w:sz="0" w:space="0" w:color="auto"/>
                  </w:divBdr>
                  <w:divsChild>
                    <w:div w:id="1599825323">
                      <w:marLeft w:val="0"/>
                      <w:marRight w:val="0"/>
                      <w:marTop w:val="0"/>
                      <w:marBottom w:val="0"/>
                      <w:divBdr>
                        <w:top w:val="none" w:sz="0" w:space="0" w:color="auto"/>
                        <w:left w:val="none" w:sz="0" w:space="0" w:color="auto"/>
                        <w:bottom w:val="none" w:sz="0" w:space="0" w:color="auto"/>
                        <w:right w:val="none" w:sz="0" w:space="0" w:color="auto"/>
                      </w:divBdr>
                    </w:div>
                  </w:divsChild>
                </w:div>
                <w:div w:id="1832939799">
                  <w:marLeft w:val="240"/>
                  <w:marRight w:val="0"/>
                  <w:marTop w:val="60"/>
                  <w:marBottom w:val="60"/>
                  <w:divBdr>
                    <w:top w:val="none" w:sz="0" w:space="0" w:color="auto"/>
                    <w:left w:val="none" w:sz="0" w:space="0" w:color="auto"/>
                    <w:bottom w:val="none" w:sz="0" w:space="0" w:color="auto"/>
                    <w:right w:val="none" w:sz="0" w:space="0" w:color="auto"/>
                  </w:divBdr>
                  <w:divsChild>
                    <w:div w:id="18643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19431">
          <w:marLeft w:val="240"/>
          <w:marRight w:val="0"/>
          <w:marTop w:val="60"/>
          <w:marBottom w:val="60"/>
          <w:divBdr>
            <w:top w:val="none" w:sz="0" w:space="0" w:color="auto"/>
            <w:left w:val="none" w:sz="0" w:space="0" w:color="auto"/>
            <w:bottom w:val="none" w:sz="0" w:space="0" w:color="auto"/>
            <w:right w:val="none" w:sz="0" w:space="0" w:color="auto"/>
          </w:divBdr>
          <w:divsChild>
            <w:div w:id="668100321">
              <w:marLeft w:val="240"/>
              <w:marRight w:val="0"/>
              <w:marTop w:val="60"/>
              <w:marBottom w:val="60"/>
              <w:divBdr>
                <w:top w:val="none" w:sz="0" w:space="0" w:color="auto"/>
                <w:left w:val="none" w:sz="0" w:space="0" w:color="auto"/>
                <w:bottom w:val="none" w:sz="0" w:space="0" w:color="auto"/>
                <w:right w:val="none" w:sz="0" w:space="0" w:color="auto"/>
              </w:divBdr>
              <w:divsChild>
                <w:div w:id="694118078">
                  <w:marLeft w:val="0"/>
                  <w:marRight w:val="0"/>
                  <w:marTop w:val="0"/>
                  <w:marBottom w:val="0"/>
                  <w:divBdr>
                    <w:top w:val="none" w:sz="0" w:space="0" w:color="auto"/>
                    <w:left w:val="none" w:sz="0" w:space="0" w:color="auto"/>
                    <w:bottom w:val="none" w:sz="0" w:space="0" w:color="auto"/>
                    <w:right w:val="none" w:sz="0" w:space="0" w:color="auto"/>
                  </w:divBdr>
                </w:div>
              </w:divsChild>
            </w:div>
            <w:div w:id="672759452">
              <w:marLeft w:val="240"/>
              <w:marRight w:val="0"/>
              <w:marTop w:val="60"/>
              <w:marBottom w:val="60"/>
              <w:divBdr>
                <w:top w:val="none" w:sz="0" w:space="0" w:color="auto"/>
                <w:left w:val="none" w:sz="0" w:space="0" w:color="auto"/>
                <w:bottom w:val="none" w:sz="0" w:space="0" w:color="auto"/>
                <w:right w:val="none" w:sz="0" w:space="0" w:color="auto"/>
              </w:divBdr>
              <w:divsChild>
                <w:div w:id="1102608845">
                  <w:marLeft w:val="240"/>
                  <w:marRight w:val="0"/>
                  <w:marTop w:val="60"/>
                  <w:marBottom w:val="60"/>
                  <w:divBdr>
                    <w:top w:val="none" w:sz="0" w:space="0" w:color="auto"/>
                    <w:left w:val="none" w:sz="0" w:space="0" w:color="auto"/>
                    <w:bottom w:val="none" w:sz="0" w:space="0" w:color="auto"/>
                    <w:right w:val="none" w:sz="0" w:space="0" w:color="auto"/>
                  </w:divBdr>
                  <w:divsChild>
                    <w:div w:id="1653365709">
                      <w:marLeft w:val="240"/>
                      <w:marRight w:val="0"/>
                      <w:marTop w:val="60"/>
                      <w:marBottom w:val="60"/>
                      <w:divBdr>
                        <w:top w:val="none" w:sz="0" w:space="0" w:color="auto"/>
                        <w:left w:val="none" w:sz="0" w:space="0" w:color="auto"/>
                        <w:bottom w:val="none" w:sz="0" w:space="0" w:color="auto"/>
                        <w:right w:val="none" w:sz="0" w:space="0" w:color="auto"/>
                      </w:divBdr>
                      <w:divsChild>
                        <w:div w:id="433356117">
                          <w:marLeft w:val="0"/>
                          <w:marRight w:val="0"/>
                          <w:marTop w:val="0"/>
                          <w:marBottom w:val="0"/>
                          <w:divBdr>
                            <w:top w:val="none" w:sz="0" w:space="0" w:color="auto"/>
                            <w:left w:val="none" w:sz="0" w:space="0" w:color="auto"/>
                            <w:bottom w:val="none" w:sz="0" w:space="0" w:color="auto"/>
                            <w:right w:val="none" w:sz="0" w:space="0" w:color="auto"/>
                          </w:divBdr>
                        </w:div>
                      </w:divsChild>
                    </w:div>
                    <w:div w:id="1136483893">
                      <w:marLeft w:val="240"/>
                      <w:marRight w:val="0"/>
                      <w:marTop w:val="60"/>
                      <w:marBottom w:val="60"/>
                      <w:divBdr>
                        <w:top w:val="none" w:sz="0" w:space="0" w:color="auto"/>
                        <w:left w:val="none" w:sz="0" w:space="0" w:color="auto"/>
                        <w:bottom w:val="none" w:sz="0" w:space="0" w:color="auto"/>
                        <w:right w:val="none" w:sz="0" w:space="0" w:color="auto"/>
                      </w:divBdr>
                      <w:divsChild>
                        <w:div w:id="20373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74663">
                  <w:marLeft w:val="240"/>
                  <w:marRight w:val="0"/>
                  <w:marTop w:val="60"/>
                  <w:marBottom w:val="60"/>
                  <w:divBdr>
                    <w:top w:val="none" w:sz="0" w:space="0" w:color="auto"/>
                    <w:left w:val="none" w:sz="0" w:space="0" w:color="auto"/>
                    <w:bottom w:val="none" w:sz="0" w:space="0" w:color="auto"/>
                    <w:right w:val="none" w:sz="0" w:space="0" w:color="auto"/>
                  </w:divBdr>
                  <w:divsChild>
                    <w:div w:id="9622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09844">
              <w:marLeft w:val="240"/>
              <w:marRight w:val="0"/>
              <w:marTop w:val="60"/>
              <w:marBottom w:val="60"/>
              <w:divBdr>
                <w:top w:val="none" w:sz="0" w:space="0" w:color="auto"/>
                <w:left w:val="none" w:sz="0" w:space="0" w:color="auto"/>
                <w:bottom w:val="none" w:sz="0" w:space="0" w:color="auto"/>
                <w:right w:val="none" w:sz="0" w:space="0" w:color="auto"/>
              </w:divBdr>
              <w:divsChild>
                <w:div w:id="698707080">
                  <w:marLeft w:val="240"/>
                  <w:marRight w:val="0"/>
                  <w:marTop w:val="60"/>
                  <w:marBottom w:val="60"/>
                  <w:divBdr>
                    <w:top w:val="none" w:sz="0" w:space="0" w:color="auto"/>
                    <w:left w:val="none" w:sz="0" w:space="0" w:color="auto"/>
                    <w:bottom w:val="none" w:sz="0" w:space="0" w:color="auto"/>
                    <w:right w:val="none" w:sz="0" w:space="0" w:color="auto"/>
                  </w:divBdr>
                  <w:divsChild>
                    <w:div w:id="260725700">
                      <w:marLeft w:val="240"/>
                      <w:marRight w:val="0"/>
                      <w:marTop w:val="60"/>
                      <w:marBottom w:val="60"/>
                      <w:divBdr>
                        <w:top w:val="none" w:sz="0" w:space="0" w:color="auto"/>
                        <w:left w:val="none" w:sz="0" w:space="0" w:color="auto"/>
                        <w:bottom w:val="none" w:sz="0" w:space="0" w:color="auto"/>
                        <w:right w:val="none" w:sz="0" w:space="0" w:color="auto"/>
                      </w:divBdr>
                      <w:divsChild>
                        <w:div w:id="1433622584">
                          <w:marLeft w:val="0"/>
                          <w:marRight w:val="0"/>
                          <w:marTop w:val="0"/>
                          <w:marBottom w:val="0"/>
                          <w:divBdr>
                            <w:top w:val="none" w:sz="0" w:space="0" w:color="auto"/>
                            <w:left w:val="none" w:sz="0" w:space="0" w:color="auto"/>
                            <w:bottom w:val="none" w:sz="0" w:space="0" w:color="auto"/>
                            <w:right w:val="none" w:sz="0" w:space="0" w:color="auto"/>
                          </w:divBdr>
                        </w:div>
                      </w:divsChild>
                    </w:div>
                    <w:div w:id="45304156">
                      <w:marLeft w:val="240"/>
                      <w:marRight w:val="0"/>
                      <w:marTop w:val="60"/>
                      <w:marBottom w:val="60"/>
                      <w:divBdr>
                        <w:top w:val="none" w:sz="0" w:space="0" w:color="auto"/>
                        <w:left w:val="none" w:sz="0" w:space="0" w:color="auto"/>
                        <w:bottom w:val="none" w:sz="0" w:space="0" w:color="auto"/>
                        <w:right w:val="none" w:sz="0" w:space="0" w:color="auto"/>
                      </w:divBdr>
                      <w:divsChild>
                        <w:div w:id="599219023">
                          <w:marLeft w:val="0"/>
                          <w:marRight w:val="0"/>
                          <w:marTop w:val="0"/>
                          <w:marBottom w:val="0"/>
                          <w:divBdr>
                            <w:top w:val="none" w:sz="0" w:space="0" w:color="auto"/>
                            <w:left w:val="none" w:sz="0" w:space="0" w:color="auto"/>
                            <w:bottom w:val="none" w:sz="0" w:space="0" w:color="auto"/>
                            <w:right w:val="none" w:sz="0" w:space="0" w:color="auto"/>
                          </w:divBdr>
                        </w:div>
                      </w:divsChild>
                    </w:div>
                    <w:div w:id="380400152">
                      <w:marLeft w:val="240"/>
                      <w:marRight w:val="0"/>
                      <w:marTop w:val="60"/>
                      <w:marBottom w:val="60"/>
                      <w:divBdr>
                        <w:top w:val="none" w:sz="0" w:space="0" w:color="auto"/>
                        <w:left w:val="none" w:sz="0" w:space="0" w:color="auto"/>
                        <w:bottom w:val="none" w:sz="0" w:space="0" w:color="auto"/>
                        <w:right w:val="none" w:sz="0" w:space="0" w:color="auto"/>
                      </w:divBdr>
                      <w:divsChild>
                        <w:div w:id="1910339196">
                          <w:marLeft w:val="0"/>
                          <w:marRight w:val="0"/>
                          <w:marTop w:val="0"/>
                          <w:marBottom w:val="0"/>
                          <w:divBdr>
                            <w:top w:val="none" w:sz="0" w:space="0" w:color="auto"/>
                            <w:left w:val="none" w:sz="0" w:space="0" w:color="auto"/>
                            <w:bottom w:val="none" w:sz="0" w:space="0" w:color="auto"/>
                            <w:right w:val="none" w:sz="0" w:space="0" w:color="auto"/>
                          </w:divBdr>
                        </w:div>
                      </w:divsChild>
                    </w:div>
                    <w:div w:id="1817994715">
                      <w:marLeft w:val="240"/>
                      <w:marRight w:val="0"/>
                      <w:marTop w:val="60"/>
                      <w:marBottom w:val="60"/>
                      <w:divBdr>
                        <w:top w:val="none" w:sz="0" w:space="0" w:color="auto"/>
                        <w:left w:val="none" w:sz="0" w:space="0" w:color="auto"/>
                        <w:bottom w:val="none" w:sz="0" w:space="0" w:color="auto"/>
                        <w:right w:val="none" w:sz="0" w:space="0" w:color="auto"/>
                      </w:divBdr>
                      <w:divsChild>
                        <w:div w:id="1950160351">
                          <w:marLeft w:val="240"/>
                          <w:marRight w:val="0"/>
                          <w:marTop w:val="60"/>
                          <w:marBottom w:val="60"/>
                          <w:divBdr>
                            <w:top w:val="none" w:sz="0" w:space="0" w:color="auto"/>
                            <w:left w:val="none" w:sz="0" w:space="0" w:color="auto"/>
                            <w:bottom w:val="none" w:sz="0" w:space="0" w:color="auto"/>
                            <w:right w:val="none" w:sz="0" w:space="0" w:color="auto"/>
                          </w:divBdr>
                          <w:divsChild>
                            <w:div w:id="640036677">
                              <w:marLeft w:val="0"/>
                              <w:marRight w:val="0"/>
                              <w:marTop w:val="0"/>
                              <w:marBottom w:val="0"/>
                              <w:divBdr>
                                <w:top w:val="none" w:sz="0" w:space="0" w:color="auto"/>
                                <w:left w:val="none" w:sz="0" w:space="0" w:color="auto"/>
                                <w:bottom w:val="none" w:sz="0" w:space="0" w:color="auto"/>
                                <w:right w:val="none" w:sz="0" w:space="0" w:color="auto"/>
                              </w:divBdr>
                            </w:div>
                          </w:divsChild>
                        </w:div>
                        <w:div w:id="1639724449">
                          <w:marLeft w:val="240"/>
                          <w:marRight w:val="0"/>
                          <w:marTop w:val="60"/>
                          <w:marBottom w:val="60"/>
                          <w:divBdr>
                            <w:top w:val="none" w:sz="0" w:space="0" w:color="auto"/>
                            <w:left w:val="none" w:sz="0" w:space="0" w:color="auto"/>
                            <w:bottom w:val="none" w:sz="0" w:space="0" w:color="auto"/>
                            <w:right w:val="none" w:sz="0" w:space="0" w:color="auto"/>
                          </w:divBdr>
                          <w:divsChild>
                            <w:div w:id="6452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42248">
                  <w:marLeft w:val="240"/>
                  <w:marRight w:val="0"/>
                  <w:marTop w:val="60"/>
                  <w:marBottom w:val="60"/>
                  <w:divBdr>
                    <w:top w:val="none" w:sz="0" w:space="0" w:color="auto"/>
                    <w:left w:val="none" w:sz="0" w:space="0" w:color="auto"/>
                    <w:bottom w:val="none" w:sz="0" w:space="0" w:color="auto"/>
                    <w:right w:val="none" w:sz="0" w:space="0" w:color="auto"/>
                  </w:divBdr>
                  <w:divsChild>
                    <w:div w:id="977759434">
                      <w:marLeft w:val="0"/>
                      <w:marRight w:val="0"/>
                      <w:marTop w:val="0"/>
                      <w:marBottom w:val="0"/>
                      <w:divBdr>
                        <w:top w:val="none" w:sz="0" w:space="0" w:color="auto"/>
                        <w:left w:val="none" w:sz="0" w:space="0" w:color="auto"/>
                        <w:bottom w:val="none" w:sz="0" w:space="0" w:color="auto"/>
                        <w:right w:val="none" w:sz="0" w:space="0" w:color="auto"/>
                      </w:divBdr>
                    </w:div>
                  </w:divsChild>
                </w:div>
                <w:div w:id="70079520">
                  <w:marLeft w:val="240"/>
                  <w:marRight w:val="0"/>
                  <w:marTop w:val="60"/>
                  <w:marBottom w:val="60"/>
                  <w:divBdr>
                    <w:top w:val="none" w:sz="0" w:space="0" w:color="auto"/>
                    <w:left w:val="none" w:sz="0" w:space="0" w:color="auto"/>
                    <w:bottom w:val="none" w:sz="0" w:space="0" w:color="auto"/>
                    <w:right w:val="none" w:sz="0" w:space="0" w:color="auto"/>
                  </w:divBdr>
                  <w:divsChild>
                    <w:div w:id="1507136760">
                      <w:marLeft w:val="0"/>
                      <w:marRight w:val="0"/>
                      <w:marTop w:val="0"/>
                      <w:marBottom w:val="0"/>
                      <w:divBdr>
                        <w:top w:val="none" w:sz="0" w:space="0" w:color="auto"/>
                        <w:left w:val="none" w:sz="0" w:space="0" w:color="auto"/>
                        <w:bottom w:val="none" w:sz="0" w:space="0" w:color="auto"/>
                        <w:right w:val="none" w:sz="0" w:space="0" w:color="auto"/>
                      </w:divBdr>
                    </w:div>
                  </w:divsChild>
                </w:div>
                <w:div w:id="416874978">
                  <w:marLeft w:val="240"/>
                  <w:marRight w:val="0"/>
                  <w:marTop w:val="60"/>
                  <w:marBottom w:val="60"/>
                  <w:divBdr>
                    <w:top w:val="none" w:sz="0" w:space="0" w:color="auto"/>
                    <w:left w:val="none" w:sz="0" w:space="0" w:color="auto"/>
                    <w:bottom w:val="none" w:sz="0" w:space="0" w:color="auto"/>
                    <w:right w:val="none" w:sz="0" w:space="0" w:color="auto"/>
                  </w:divBdr>
                  <w:divsChild>
                    <w:div w:id="613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23443">
              <w:marLeft w:val="240"/>
              <w:marRight w:val="0"/>
              <w:marTop w:val="60"/>
              <w:marBottom w:val="60"/>
              <w:divBdr>
                <w:top w:val="none" w:sz="0" w:space="0" w:color="auto"/>
                <w:left w:val="none" w:sz="0" w:space="0" w:color="auto"/>
                <w:bottom w:val="none" w:sz="0" w:space="0" w:color="auto"/>
                <w:right w:val="none" w:sz="0" w:space="0" w:color="auto"/>
              </w:divBdr>
              <w:divsChild>
                <w:div w:id="30611507">
                  <w:marLeft w:val="240"/>
                  <w:marRight w:val="0"/>
                  <w:marTop w:val="60"/>
                  <w:marBottom w:val="60"/>
                  <w:divBdr>
                    <w:top w:val="none" w:sz="0" w:space="0" w:color="auto"/>
                    <w:left w:val="none" w:sz="0" w:space="0" w:color="auto"/>
                    <w:bottom w:val="none" w:sz="0" w:space="0" w:color="auto"/>
                    <w:right w:val="none" w:sz="0" w:space="0" w:color="auto"/>
                  </w:divBdr>
                  <w:divsChild>
                    <w:div w:id="418721478">
                      <w:marLeft w:val="0"/>
                      <w:marRight w:val="0"/>
                      <w:marTop w:val="0"/>
                      <w:marBottom w:val="0"/>
                      <w:divBdr>
                        <w:top w:val="none" w:sz="0" w:space="0" w:color="auto"/>
                        <w:left w:val="none" w:sz="0" w:space="0" w:color="auto"/>
                        <w:bottom w:val="none" w:sz="0" w:space="0" w:color="auto"/>
                        <w:right w:val="none" w:sz="0" w:space="0" w:color="auto"/>
                      </w:divBdr>
                    </w:div>
                  </w:divsChild>
                </w:div>
                <w:div w:id="438598433">
                  <w:marLeft w:val="240"/>
                  <w:marRight w:val="0"/>
                  <w:marTop w:val="60"/>
                  <w:marBottom w:val="60"/>
                  <w:divBdr>
                    <w:top w:val="none" w:sz="0" w:space="0" w:color="auto"/>
                    <w:left w:val="none" w:sz="0" w:space="0" w:color="auto"/>
                    <w:bottom w:val="none" w:sz="0" w:space="0" w:color="auto"/>
                    <w:right w:val="none" w:sz="0" w:space="0" w:color="auto"/>
                  </w:divBdr>
                  <w:divsChild>
                    <w:div w:id="19651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80813">
          <w:marLeft w:val="240"/>
          <w:marRight w:val="0"/>
          <w:marTop w:val="60"/>
          <w:marBottom w:val="60"/>
          <w:divBdr>
            <w:top w:val="none" w:sz="0" w:space="0" w:color="auto"/>
            <w:left w:val="none" w:sz="0" w:space="0" w:color="auto"/>
            <w:bottom w:val="none" w:sz="0" w:space="0" w:color="auto"/>
            <w:right w:val="none" w:sz="0" w:space="0" w:color="auto"/>
          </w:divBdr>
          <w:divsChild>
            <w:div w:id="2115467854">
              <w:marLeft w:val="240"/>
              <w:marRight w:val="0"/>
              <w:marTop w:val="60"/>
              <w:marBottom w:val="60"/>
              <w:divBdr>
                <w:top w:val="none" w:sz="0" w:space="0" w:color="auto"/>
                <w:left w:val="none" w:sz="0" w:space="0" w:color="auto"/>
                <w:bottom w:val="none" w:sz="0" w:space="0" w:color="auto"/>
                <w:right w:val="none" w:sz="0" w:space="0" w:color="auto"/>
              </w:divBdr>
              <w:divsChild>
                <w:div w:id="821582858">
                  <w:marLeft w:val="0"/>
                  <w:marRight w:val="0"/>
                  <w:marTop w:val="0"/>
                  <w:marBottom w:val="0"/>
                  <w:divBdr>
                    <w:top w:val="none" w:sz="0" w:space="0" w:color="auto"/>
                    <w:left w:val="none" w:sz="0" w:space="0" w:color="auto"/>
                    <w:bottom w:val="none" w:sz="0" w:space="0" w:color="auto"/>
                    <w:right w:val="none" w:sz="0" w:space="0" w:color="auto"/>
                  </w:divBdr>
                </w:div>
              </w:divsChild>
            </w:div>
            <w:div w:id="1745570897">
              <w:marLeft w:val="240"/>
              <w:marRight w:val="0"/>
              <w:marTop w:val="60"/>
              <w:marBottom w:val="60"/>
              <w:divBdr>
                <w:top w:val="none" w:sz="0" w:space="0" w:color="auto"/>
                <w:left w:val="none" w:sz="0" w:space="0" w:color="auto"/>
                <w:bottom w:val="none" w:sz="0" w:space="0" w:color="auto"/>
                <w:right w:val="none" w:sz="0" w:space="0" w:color="auto"/>
              </w:divBdr>
              <w:divsChild>
                <w:div w:id="1325431293">
                  <w:marLeft w:val="240"/>
                  <w:marRight w:val="0"/>
                  <w:marTop w:val="60"/>
                  <w:marBottom w:val="60"/>
                  <w:divBdr>
                    <w:top w:val="none" w:sz="0" w:space="0" w:color="auto"/>
                    <w:left w:val="none" w:sz="0" w:space="0" w:color="auto"/>
                    <w:bottom w:val="none" w:sz="0" w:space="0" w:color="auto"/>
                    <w:right w:val="none" w:sz="0" w:space="0" w:color="auto"/>
                  </w:divBdr>
                  <w:divsChild>
                    <w:div w:id="994066387">
                      <w:marLeft w:val="240"/>
                      <w:marRight w:val="0"/>
                      <w:marTop w:val="60"/>
                      <w:marBottom w:val="60"/>
                      <w:divBdr>
                        <w:top w:val="none" w:sz="0" w:space="0" w:color="auto"/>
                        <w:left w:val="none" w:sz="0" w:space="0" w:color="auto"/>
                        <w:bottom w:val="none" w:sz="0" w:space="0" w:color="auto"/>
                        <w:right w:val="none" w:sz="0" w:space="0" w:color="auto"/>
                      </w:divBdr>
                      <w:divsChild>
                        <w:div w:id="768085958">
                          <w:marLeft w:val="0"/>
                          <w:marRight w:val="0"/>
                          <w:marTop w:val="0"/>
                          <w:marBottom w:val="0"/>
                          <w:divBdr>
                            <w:top w:val="none" w:sz="0" w:space="0" w:color="auto"/>
                            <w:left w:val="none" w:sz="0" w:space="0" w:color="auto"/>
                            <w:bottom w:val="none" w:sz="0" w:space="0" w:color="auto"/>
                            <w:right w:val="none" w:sz="0" w:space="0" w:color="auto"/>
                          </w:divBdr>
                        </w:div>
                      </w:divsChild>
                    </w:div>
                    <w:div w:id="1445924807">
                      <w:marLeft w:val="240"/>
                      <w:marRight w:val="0"/>
                      <w:marTop w:val="60"/>
                      <w:marBottom w:val="60"/>
                      <w:divBdr>
                        <w:top w:val="none" w:sz="0" w:space="0" w:color="auto"/>
                        <w:left w:val="none" w:sz="0" w:space="0" w:color="auto"/>
                        <w:bottom w:val="none" w:sz="0" w:space="0" w:color="auto"/>
                        <w:right w:val="none" w:sz="0" w:space="0" w:color="auto"/>
                      </w:divBdr>
                      <w:divsChild>
                        <w:div w:id="7492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00671">
                  <w:marLeft w:val="240"/>
                  <w:marRight w:val="0"/>
                  <w:marTop w:val="60"/>
                  <w:marBottom w:val="60"/>
                  <w:divBdr>
                    <w:top w:val="none" w:sz="0" w:space="0" w:color="auto"/>
                    <w:left w:val="none" w:sz="0" w:space="0" w:color="auto"/>
                    <w:bottom w:val="none" w:sz="0" w:space="0" w:color="auto"/>
                    <w:right w:val="none" w:sz="0" w:space="0" w:color="auto"/>
                  </w:divBdr>
                  <w:divsChild>
                    <w:div w:id="1375736447">
                      <w:marLeft w:val="240"/>
                      <w:marRight w:val="0"/>
                      <w:marTop w:val="60"/>
                      <w:marBottom w:val="60"/>
                      <w:divBdr>
                        <w:top w:val="none" w:sz="0" w:space="0" w:color="auto"/>
                        <w:left w:val="none" w:sz="0" w:space="0" w:color="auto"/>
                        <w:bottom w:val="none" w:sz="0" w:space="0" w:color="auto"/>
                        <w:right w:val="none" w:sz="0" w:space="0" w:color="auto"/>
                      </w:divBdr>
                      <w:divsChild>
                        <w:div w:id="175579307">
                          <w:marLeft w:val="0"/>
                          <w:marRight w:val="0"/>
                          <w:marTop w:val="0"/>
                          <w:marBottom w:val="0"/>
                          <w:divBdr>
                            <w:top w:val="none" w:sz="0" w:space="0" w:color="auto"/>
                            <w:left w:val="none" w:sz="0" w:space="0" w:color="auto"/>
                            <w:bottom w:val="none" w:sz="0" w:space="0" w:color="auto"/>
                            <w:right w:val="none" w:sz="0" w:space="0" w:color="auto"/>
                          </w:divBdr>
                        </w:div>
                      </w:divsChild>
                    </w:div>
                    <w:div w:id="1021205501">
                      <w:marLeft w:val="240"/>
                      <w:marRight w:val="0"/>
                      <w:marTop w:val="60"/>
                      <w:marBottom w:val="60"/>
                      <w:divBdr>
                        <w:top w:val="none" w:sz="0" w:space="0" w:color="auto"/>
                        <w:left w:val="none" w:sz="0" w:space="0" w:color="auto"/>
                        <w:bottom w:val="none" w:sz="0" w:space="0" w:color="auto"/>
                        <w:right w:val="none" w:sz="0" w:space="0" w:color="auto"/>
                      </w:divBdr>
                      <w:divsChild>
                        <w:div w:id="1391732203">
                          <w:marLeft w:val="240"/>
                          <w:marRight w:val="0"/>
                          <w:marTop w:val="60"/>
                          <w:marBottom w:val="60"/>
                          <w:divBdr>
                            <w:top w:val="none" w:sz="0" w:space="0" w:color="auto"/>
                            <w:left w:val="none" w:sz="0" w:space="0" w:color="auto"/>
                            <w:bottom w:val="none" w:sz="0" w:space="0" w:color="auto"/>
                            <w:right w:val="none" w:sz="0" w:space="0" w:color="auto"/>
                          </w:divBdr>
                          <w:divsChild>
                            <w:div w:id="648898112">
                              <w:marLeft w:val="0"/>
                              <w:marRight w:val="0"/>
                              <w:marTop w:val="0"/>
                              <w:marBottom w:val="0"/>
                              <w:divBdr>
                                <w:top w:val="none" w:sz="0" w:space="0" w:color="auto"/>
                                <w:left w:val="none" w:sz="0" w:space="0" w:color="auto"/>
                                <w:bottom w:val="none" w:sz="0" w:space="0" w:color="auto"/>
                                <w:right w:val="none" w:sz="0" w:space="0" w:color="auto"/>
                              </w:divBdr>
                            </w:div>
                          </w:divsChild>
                        </w:div>
                        <w:div w:id="190265802">
                          <w:marLeft w:val="240"/>
                          <w:marRight w:val="0"/>
                          <w:marTop w:val="60"/>
                          <w:marBottom w:val="60"/>
                          <w:divBdr>
                            <w:top w:val="none" w:sz="0" w:space="0" w:color="auto"/>
                            <w:left w:val="none" w:sz="0" w:space="0" w:color="auto"/>
                            <w:bottom w:val="none" w:sz="0" w:space="0" w:color="auto"/>
                            <w:right w:val="none" w:sz="0" w:space="0" w:color="auto"/>
                          </w:divBdr>
                          <w:divsChild>
                            <w:div w:id="1092818562">
                              <w:marLeft w:val="0"/>
                              <w:marRight w:val="0"/>
                              <w:marTop w:val="0"/>
                              <w:marBottom w:val="0"/>
                              <w:divBdr>
                                <w:top w:val="none" w:sz="0" w:space="0" w:color="auto"/>
                                <w:left w:val="none" w:sz="0" w:space="0" w:color="auto"/>
                                <w:bottom w:val="none" w:sz="0" w:space="0" w:color="auto"/>
                                <w:right w:val="none" w:sz="0" w:space="0" w:color="auto"/>
                              </w:divBdr>
                            </w:div>
                          </w:divsChild>
                        </w:div>
                        <w:div w:id="1121532420">
                          <w:marLeft w:val="240"/>
                          <w:marRight w:val="0"/>
                          <w:marTop w:val="60"/>
                          <w:marBottom w:val="60"/>
                          <w:divBdr>
                            <w:top w:val="none" w:sz="0" w:space="0" w:color="auto"/>
                            <w:left w:val="none" w:sz="0" w:space="0" w:color="auto"/>
                            <w:bottom w:val="none" w:sz="0" w:space="0" w:color="auto"/>
                            <w:right w:val="none" w:sz="0" w:space="0" w:color="auto"/>
                          </w:divBdr>
                          <w:divsChild>
                            <w:div w:id="5651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93425">
                      <w:marLeft w:val="240"/>
                      <w:marRight w:val="0"/>
                      <w:marTop w:val="60"/>
                      <w:marBottom w:val="60"/>
                      <w:divBdr>
                        <w:top w:val="none" w:sz="0" w:space="0" w:color="auto"/>
                        <w:left w:val="none" w:sz="0" w:space="0" w:color="auto"/>
                        <w:bottom w:val="none" w:sz="0" w:space="0" w:color="auto"/>
                        <w:right w:val="none" w:sz="0" w:space="0" w:color="auto"/>
                      </w:divBdr>
                      <w:divsChild>
                        <w:div w:id="1137793758">
                          <w:marLeft w:val="240"/>
                          <w:marRight w:val="0"/>
                          <w:marTop w:val="60"/>
                          <w:marBottom w:val="60"/>
                          <w:divBdr>
                            <w:top w:val="none" w:sz="0" w:space="0" w:color="auto"/>
                            <w:left w:val="none" w:sz="0" w:space="0" w:color="auto"/>
                            <w:bottom w:val="none" w:sz="0" w:space="0" w:color="auto"/>
                            <w:right w:val="none" w:sz="0" w:space="0" w:color="auto"/>
                          </w:divBdr>
                          <w:divsChild>
                            <w:div w:id="557395152">
                              <w:marLeft w:val="0"/>
                              <w:marRight w:val="0"/>
                              <w:marTop w:val="0"/>
                              <w:marBottom w:val="0"/>
                              <w:divBdr>
                                <w:top w:val="none" w:sz="0" w:space="0" w:color="auto"/>
                                <w:left w:val="none" w:sz="0" w:space="0" w:color="auto"/>
                                <w:bottom w:val="none" w:sz="0" w:space="0" w:color="auto"/>
                                <w:right w:val="none" w:sz="0" w:space="0" w:color="auto"/>
                              </w:divBdr>
                            </w:div>
                          </w:divsChild>
                        </w:div>
                        <w:div w:id="487982279">
                          <w:marLeft w:val="240"/>
                          <w:marRight w:val="0"/>
                          <w:marTop w:val="60"/>
                          <w:marBottom w:val="60"/>
                          <w:divBdr>
                            <w:top w:val="none" w:sz="0" w:space="0" w:color="auto"/>
                            <w:left w:val="none" w:sz="0" w:space="0" w:color="auto"/>
                            <w:bottom w:val="none" w:sz="0" w:space="0" w:color="auto"/>
                            <w:right w:val="none" w:sz="0" w:space="0" w:color="auto"/>
                          </w:divBdr>
                          <w:divsChild>
                            <w:div w:id="523061614">
                              <w:marLeft w:val="0"/>
                              <w:marRight w:val="0"/>
                              <w:marTop w:val="0"/>
                              <w:marBottom w:val="0"/>
                              <w:divBdr>
                                <w:top w:val="none" w:sz="0" w:space="0" w:color="auto"/>
                                <w:left w:val="none" w:sz="0" w:space="0" w:color="auto"/>
                                <w:bottom w:val="none" w:sz="0" w:space="0" w:color="auto"/>
                                <w:right w:val="none" w:sz="0" w:space="0" w:color="auto"/>
                              </w:divBdr>
                            </w:div>
                          </w:divsChild>
                        </w:div>
                        <w:div w:id="1823741280">
                          <w:marLeft w:val="240"/>
                          <w:marRight w:val="0"/>
                          <w:marTop w:val="60"/>
                          <w:marBottom w:val="60"/>
                          <w:divBdr>
                            <w:top w:val="none" w:sz="0" w:space="0" w:color="auto"/>
                            <w:left w:val="none" w:sz="0" w:space="0" w:color="auto"/>
                            <w:bottom w:val="none" w:sz="0" w:space="0" w:color="auto"/>
                            <w:right w:val="none" w:sz="0" w:space="0" w:color="auto"/>
                          </w:divBdr>
                          <w:divsChild>
                            <w:div w:id="15728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84584">
                      <w:marLeft w:val="240"/>
                      <w:marRight w:val="0"/>
                      <w:marTop w:val="60"/>
                      <w:marBottom w:val="60"/>
                      <w:divBdr>
                        <w:top w:val="none" w:sz="0" w:space="0" w:color="auto"/>
                        <w:left w:val="none" w:sz="0" w:space="0" w:color="auto"/>
                        <w:bottom w:val="none" w:sz="0" w:space="0" w:color="auto"/>
                        <w:right w:val="none" w:sz="0" w:space="0" w:color="auto"/>
                      </w:divBdr>
                      <w:divsChild>
                        <w:div w:id="1816986230">
                          <w:marLeft w:val="0"/>
                          <w:marRight w:val="0"/>
                          <w:marTop w:val="0"/>
                          <w:marBottom w:val="0"/>
                          <w:divBdr>
                            <w:top w:val="none" w:sz="0" w:space="0" w:color="auto"/>
                            <w:left w:val="none" w:sz="0" w:space="0" w:color="auto"/>
                            <w:bottom w:val="none" w:sz="0" w:space="0" w:color="auto"/>
                            <w:right w:val="none" w:sz="0" w:space="0" w:color="auto"/>
                          </w:divBdr>
                        </w:div>
                      </w:divsChild>
                    </w:div>
                    <w:div w:id="490027777">
                      <w:marLeft w:val="240"/>
                      <w:marRight w:val="0"/>
                      <w:marTop w:val="60"/>
                      <w:marBottom w:val="60"/>
                      <w:divBdr>
                        <w:top w:val="none" w:sz="0" w:space="0" w:color="auto"/>
                        <w:left w:val="none" w:sz="0" w:space="0" w:color="auto"/>
                        <w:bottom w:val="none" w:sz="0" w:space="0" w:color="auto"/>
                        <w:right w:val="none" w:sz="0" w:space="0" w:color="auto"/>
                      </w:divBdr>
                      <w:divsChild>
                        <w:div w:id="7344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6573">
              <w:marLeft w:val="240"/>
              <w:marRight w:val="0"/>
              <w:marTop w:val="60"/>
              <w:marBottom w:val="60"/>
              <w:divBdr>
                <w:top w:val="none" w:sz="0" w:space="0" w:color="auto"/>
                <w:left w:val="none" w:sz="0" w:space="0" w:color="auto"/>
                <w:bottom w:val="none" w:sz="0" w:space="0" w:color="auto"/>
                <w:right w:val="none" w:sz="0" w:space="0" w:color="auto"/>
              </w:divBdr>
              <w:divsChild>
                <w:div w:id="218253248">
                  <w:marLeft w:val="240"/>
                  <w:marRight w:val="0"/>
                  <w:marTop w:val="60"/>
                  <w:marBottom w:val="60"/>
                  <w:divBdr>
                    <w:top w:val="none" w:sz="0" w:space="0" w:color="auto"/>
                    <w:left w:val="none" w:sz="0" w:space="0" w:color="auto"/>
                    <w:bottom w:val="none" w:sz="0" w:space="0" w:color="auto"/>
                    <w:right w:val="none" w:sz="0" w:space="0" w:color="auto"/>
                  </w:divBdr>
                  <w:divsChild>
                    <w:div w:id="1580749197">
                      <w:marLeft w:val="240"/>
                      <w:marRight w:val="0"/>
                      <w:marTop w:val="60"/>
                      <w:marBottom w:val="60"/>
                      <w:divBdr>
                        <w:top w:val="none" w:sz="0" w:space="0" w:color="auto"/>
                        <w:left w:val="none" w:sz="0" w:space="0" w:color="auto"/>
                        <w:bottom w:val="none" w:sz="0" w:space="0" w:color="auto"/>
                        <w:right w:val="none" w:sz="0" w:space="0" w:color="auto"/>
                      </w:divBdr>
                      <w:divsChild>
                        <w:div w:id="1233589458">
                          <w:marLeft w:val="240"/>
                          <w:marRight w:val="0"/>
                          <w:marTop w:val="60"/>
                          <w:marBottom w:val="60"/>
                          <w:divBdr>
                            <w:top w:val="none" w:sz="0" w:space="0" w:color="auto"/>
                            <w:left w:val="none" w:sz="0" w:space="0" w:color="auto"/>
                            <w:bottom w:val="none" w:sz="0" w:space="0" w:color="auto"/>
                            <w:right w:val="none" w:sz="0" w:space="0" w:color="auto"/>
                          </w:divBdr>
                          <w:divsChild>
                            <w:div w:id="1686705489">
                              <w:marLeft w:val="0"/>
                              <w:marRight w:val="0"/>
                              <w:marTop w:val="0"/>
                              <w:marBottom w:val="0"/>
                              <w:divBdr>
                                <w:top w:val="none" w:sz="0" w:space="0" w:color="auto"/>
                                <w:left w:val="none" w:sz="0" w:space="0" w:color="auto"/>
                                <w:bottom w:val="none" w:sz="0" w:space="0" w:color="auto"/>
                                <w:right w:val="none" w:sz="0" w:space="0" w:color="auto"/>
                              </w:divBdr>
                            </w:div>
                          </w:divsChild>
                        </w:div>
                        <w:div w:id="823937989">
                          <w:marLeft w:val="240"/>
                          <w:marRight w:val="0"/>
                          <w:marTop w:val="60"/>
                          <w:marBottom w:val="60"/>
                          <w:divBdr>
                            <w:top w:val="none" w:sz="0" w:space="0" w:color="auto"/>
                            <w:left w:val="none" w:sz="0" w:space="0" w:color="auto"/>
                            <w:bottom w:val="none" w:sz="0" w:space="0" w:color="auto"/>
                            <w:right w:val="none" w:sz="0" w:space="0" w:color="auto"/>
                          </w:divBdr>
                          <w:divsChild>
                            <w:div w:id="13098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9100">
                      <w:marLeft w:val="240"/>
                      <w:marRight w:val="0"/>
                      <w:marTop w:val="60"/>
                      <w:marBottom w:val="60"/>
                      <w:divBdr>
                        <w:top w:val="none" w:sz="0" w:space="0" w:color="auto"/>
                        <w:left w:val="none" w:sz="0" w:space="0" w:color="auto"/>
                        <w:bottom w:val="none" w:sz="0" w:space="0" w:color="auto"/>
                        <w:right w:val="none" w:sz="0" w:space="0" w:color="auto"/>
                      </w:divBdr>
                      <w:divsChild>
                        <w:div w:id="907880765">
                          <w:marLeft w:val="240"/>
                          <w:marRight w:val="0"/>
                          <w:marTop w:val="60"/>
                          <w:marBottom w:val="60"/>
                          <w:divBdr>
                            <w:top w:val="none" w:sz="0" w:space="0" w:color="auto"/>
                            <w:left w:val="none" w:sz="0" w:space="0" w:color="auto"/>
                            <w:bottom w:val="none" w:sz="0" w:space="0" w:color="auto"/>
                            <w:right w:val="none" w:sz="0" w:space="0" w:color="auto"/>
                          </w:divBdr>
                          <w:divsChild>
                            <w:div w:id="793862746">
                              <w:marLeft w:val="0"/>
                              <w:marRight w:val="0"/>
                              <w:marTop w:val="0"/>
                              <w:marBottom w:val="0"/>
                              <w:divBdr>
                                <w:top w:val="none" w:sz="0" w:space="0" w:color="auto"/>
                                <w:left w:val="none" w:sz="0" w:space="0" w:color="auto"/>
                                <w:bottom w:val="none" w:sz="0" w:space="0" w:color="auto"/>
                                <w:right w:val="none" w:sz="0" w:space="0" w:color="auto"/>
                              </w:divBdr>
                            </w:div>
                          </w:divsChild>
                        </w:div>
                        <w:div w:id="1222906368">
                          <w:marLeft w:val="240"/>
                          <w:marRight w:val="0"/>
                          <w:marTop w:val="60"/>
                          <w:marBottom w:val="60"/>
                          <w:divBdr>
                            <w:top w:val="none" w:sz="0" w:space="0" w:color="auto"/>
                            <w:left w:val="none" w:sz="0" w:space="0" w:color="auto"/>
                            <w:bottom w:val="none" w:sz="0" w:space="0" w:color="auto"/>
                            <w:right w:val="none" w:sz="0" w:space="0" w:color="auto"/>
                          </w:divBdr>
                          <w:divsChild>
                            <w:div w:id="6145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22821">
                      <w:marLeft w:val="240"/>
                      <w:marRight w:val="0"/>
                      <w:marTop w:val="60"/>
                      <w:marBottom w:val="60"/>
                      <w:divBdr>
                        <w:top w:val="none" w:sz="0" w:space="0" w:color="auto"/>
                        <w:left w:val="none" w:sz="0" w:space="0" w:color="auto"/>
                        <w:bottom w:val="none" w:sz="0" w:space="0" w:color="auto"/>
                        <w:right w:val="none" w:sz="0" w:space="0" w:color="auto"/>
                      </w:divBdr>
                      <w:divsChild>
                        <w:div w:id="1328442509">
                          <w:marLeft w:val="240"/>
                          <w:marRight w:val="0"/>
                          <w:marTop w:val="60"/>
                          <w:marBottom w:val="60"/>
                          <w:divBdr>
                            <w:top w:val="none" w:sz="0" w:space="0" w:color="auto"/>
                            <w:left w:val="none" w:sz="0" w:space="0" w:color="auto"/>
                            <w:bottom w:val="none" w:sz="0" w:space="0" w:color="auto"/>
                            <w:right w:val="none" w:sz="0" w:space="0" w:color="auto"/>
                          </w:divBdr>
                          <w:divsChild>
                            <w:div w:id="1864630464">
                              <w:marLeft w:val="0"/>
                              <w:marRight w:val="0"/>
                              <w:marTop w:val="0"/>
                              <w:marBottom w:val="0"/>
                              <w:divBdr>
                                <w:top w:val="none" w:sz="0" w:space="0" w:color="auto"/>
                                <w:left w:val="none" w:sz="0" w:space="0" w:color="auto"/>
                                <w:bottom w:val="none" w:sz="0" w:space="0" w:color="auto"/>
                                <w:right w:val="none" w:sz="0" w:space="0" w:color="auto"/>
                              </w:divBdr>
                            </w:div>
                          </w:divsChild>
                        </w:div>
                        <w:div w:id="1423574050">
                          <w:marLeft w:val="240"/>
                          <w:marRight w:val="0"/>
                          <w:marTop w:val="60"/>
                          <w:marBottom w:val="60"/>
                          <w:divBdr>
                            <w:top w:val="none" w:sz="0" w:space="0" w:color="auto"/>
                            <w:left w:val="none" w:sz="0" w:space="0" w:color="auto"/>
                            <w:bottom w:val="none" w:sz="0" w:space="0" w:color="auto"/>
                            <w:right w:val="none" w:sz="0" w:space="0" w:color="auto"/>
                          </w:divBdr>
                          <w:divsChild>
                            <w:div w:id="177815812">
                              <w:marLeft w:val="0"/>
                              <w:marRight w:val="0"/>
                              <w:marTop w:val="0"/>
                              <w:marBottom w:val="0"/>
                              <w:divBdr>
                                <w:top w:val="none" w:sz="0" w:space="0" w:color="auto"/>
                                <w:left w:val="none" w:sz="0" w:space="0" w:color="auto"/>
                                <w:bottom w:val="none" w:sz="0" w:space="0" w:color="auto"/>
                                <w:right w:val="none" w:sz="0" w:space="0" w:color="auto"/>
                              </w:divBdr>
                            </w:div>
                          </w:divsChild>
                        </w:div>
                        <w:div w:id="810639437">
                          <w:marLeft w:val="240"/>
                          <w:marRight w:val="0"/>
                          <w:marTop w:val="60"/>
                          <w:marBottom w:val="60"/>
                          <w:divBdr>
                            <w:top w:val="none" w:sz="0" w:space="0" w:color="auto"/>
                            <w:left w:val="none" w:sz="0" w:space="0" w:color="auto"/>
                            <w:bottom w:val="none" w:sz="0" w:space="0" w:color="auto"/>
                            <w:right w:val="none" w:sz="0" w:space="0" w:color="auto"/>
                          </w:divBdr>
                          <w:divsChild>
                            <w:div w:id="3106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2422">
                      <w:marLeft w:val="240"/>
                      <w:marRight w:val="0"/>
                      <w:marTop w:val="60"/>
                      <w:marBottom w:val="60"/>
                      <w:divBdr>
                        <w:top w:val="none" w:sz="0" w:space="0" w:color="auto"/>
                        <w:left w:val="none" w:sz="0" w:space="0" w:color="auto"/>
                        <w:bottom w:val="none" w:sz="0" w:space="0" w:color="auto"/>
                        <w:right w:val="none" w:sz="0" w:space="0" w:color="auto"/>
                      </w:divBdr>
                      <w:divsChild>
                        <w:div w:id="983587607">
                          <w:marLeft w:val="0"/>
                          <w:marRight w:val="0"/>
                          <w:marTop w:val="0"/>
                          <w:marBottom w:val="0"/>
                          <w:divBdr>
                            <w:top w:val="none" w:sz="0" w:space="0" w:color="auto"/>
                            <w:left w:val="none" w:sz="0" w:space="0" w:color="auto"/>
                            <w:bottom w:val="none" w:sz="0" w:space="0" w:color="auto"/>
                            <w:right w:val="none" w:sz="0" w:space="0" w:color="auto"/>
                          </w:divBdr>
                        </w:div>
                      </w:divsChild>
                    </w:div>
                    <w:div w:id="2083287954">
                      <w:marLeft w:val="240"/>
                      <w:marRight w:val="0"/>
                      <w:marTop w:val="60"/>
                      <w:marBottom w:val="60"/>
                      <w:divBdr>
                        <w:top w:val="none" w:sz="0" w:space="0" w:color="auto"/>
                        <w:left w:val="none" w:sz="0" w:space="0" w:color="auto"/>
                        <w:bottom w:val="none" w:sz="0" w:space="0" w:color="auto"/>
                        <w:right w:val="none" w:sz="0" w:space="0" w:color="auto"/>
                      </w:divBdr>
                      <w:divsChild>
                        <w:div w:id="1784811854">
                          <w:marLeft w:val="0"/>
                          <w:marRight w:val="0"/>
                          <w:marTop w:val="0"/>
                          <w:marBottom w:val="0"/>
                          <w:divBdr>
                            <w:top w:val="none" w:sz="0" w:space="0" w:color="auto"/>
                            <w:left w:val="none" w:sz="0" w:space="0" w:color="auto"/>
                            <w:bottom w:val="none" w:sz="0" w:space="0" w:color="auto"/>
                            <w:right w:val="none" w:sz="0" w:space="0" w:color="auto"/>
                          </w:divBdr>
                        </w:div>
                      </w:divsChild>
                    </w:div>
                    <w:div w:id="1059788805">
                      <w:marLeft w:val="240"/>
                      <w:marRight w:val="0"/>
                      <w:marTop w:val="60"/>
                      <w:marBottom w:val="60"/>
                      <w:divBdr>
                        <w:top w:val="none" w:sz="0" w:space="0" w:color="auto"/>
                        <w:left w:val="none" w:sz="0" w:space="0" w:color="auto"/>
                        <w:bottom w:val="none" w:sz="0" w:space="0" w:color="auto"/>
                        <w:right w:val="none" w:sz="0" w:space="0" w:color="auto"/>
                      </w:divBdr>
                      <w:divsChild>
                        <w:div w:id="1453595278">
                          <w:marLeft w:val="0"/>
                          <w:marRight w:val="0"/>
                          <w:marTop w:val="0"/>
                          <w:marBottom w:val="0"/>
                          <w:divBdr>
                            <w:top w:val="none" w:sz="0" w:space="0" w:color="auto"/>
                            <w:left w:val="none" w:sz="0" w:space="0" w:color="auto"/>
                            <w:bottom w:val="none" w:sz="0" w:space="0" w:color="auto"/>
                            <w:right w:val="none" w:sz="0" w:space="0" w:color="auto"/>
                          </w:divBdr>
                        </w:div>
                      </w:divsChild>
                    </w:div>
                    <w:div w:id="239559060">
                      <w:marLeft w:val="240"/>
                      <w:marRight w:val="0"/>
                      <w:marTop w:val="60"/>
                      <w:marBottom w:val="60"/>
                      <w:divBdr>
                        <w:top w:val="none" w:sz="0" w:space="0" w:color="auto"/>
                        <w:left w:val="none" w:sz="0" w:space="0" w:color="auto"/>
                        <w:bottom w:val="none" w:sz="0" w:space="0" w:color="auto"/>
                        <w:right w:val="none" w:sz="0" w:space="0" w:color="auto"/>
                      </w:divBdr>
                      <w:divsChild>
                        <w:div w:id="2137600294">
                          <w:marLeft w:val="0"/>
                          <w:marRight w:val="0"/>
                          <w:marTop w:val="0"/>
                          <w:marBottom w:val="0"/>
                          <w:divBdr>
                            <w:top w:val="none" w:sz="0" w:space="0" w:color="auto"/>
                            <w:left w:val="none" w:sz="0" w:space="0" w:color="auto"/>
                            <w:bottom w:val="none" w:sz="0" w:space="0" w:color="auto"/>
                            <w:right w:val="none" w:sz="0" w:space="0" w:color="auto"/>
                          </w:divBdr>
                        </w:div>
                      </w:divsChild>
                    </w:div>
                    <w:div w:id="26836948">
                      <w:marLeft w:val="506"/>
                      <w:marRight w:val="0"/>
                      <w:marTop w:val="0"/>
                      <w:marBottom w:val="0"/>
                      <w:divBdr>
                        <w:top w:val="none" w:sz="0" w:space="0" w:color="auto"/>
                        <w:left w:val="none" w:sz="0" w:space="0" w:color="auto"/>
                        <w:bottom w:val="none" w:sz="0" w:space="0" w:color="auto"/>
                        <w:right w:val="none" w:sz="0" w:space="0" w:color="auto"/>
                      </w:divBdr>
                    </w:div>
                  </w:divsChild>
                </w:div>
                <w:div w:id="1674723904">
                  <w:marLeft w:val="240"/>
                  <w:marRight w:val="0"/>
                  <w:marTop w:val="60"/>
                  <w:marBottom w:val="60"/>
                  <w:divBdr>
                    <w:top w:val="none" w:sz="0" w:space="0" w:color="auto"/>
                    <w:left w:val="none" w:sz="0" w:space="0" w:color="auto"/>
                    <w:bottom w:val="none" w:sz="0" w:space="0" w:color="auto"/>
                    <w:right w:val="none" w:sz="0" w:space="0" w:color="auto"/>
                  </w:divBdr>
                  <w:divsChild>
                    <w:div w:id="571889135">
                      <w:marLeft w:val="0"/>
                      <w:marRight w:val="0"/>
                      <w:marTop w:val="0"/>
                      <w:marBottom w:val="0"/>
                      <w:divBdr>
                        <w:top w:val="none" w:sz="0" w:space="0" w:color="auto"/>
                        <w:left w:val="none" w:sz="0" w:space="0" w:color="auto"/>
                        <w:bottom w:val="none" w:sz="0" w:space="0" w:color="auto"/>
                        <w:right w:val="none" w:sz="0" w:space="0" w:color="auto"/>
                      </w:divBdr>
                    </w:div>
                  </w:divsChild>
                </w:div>
                <w:div w:id="507259528">
                  <w:marLeft w:val="240"/>
                  <w:marRight w:val="0"/>
                  <w:marTop w:val="60"/>
                  <w:marBottom w:val="60"/>
                  <w:divBdr>
                    <w:top w:val="none" w:sz="0" w:space="0" w:color="auto"/>
                    <w:left w:val="none" w:sz="0" w:space="0" w:color="auto"/>
                    <w:bottom w:val="none" w:sz="0" w:space="0" w:color="auto"/>
                    <w:right w:val="none" w:sz="0" w:space="0" w:color="auto"/>
                  </w:divBdr>
                  <w:divsChild>
                    <w:div w:id="520626977">
                      <w:marLeft w:val="240"/>
                      <w:marRight w:val="0"/>
                      <w:marTop w:val="60"/>
                      <w:marBottom w:val="60"/>
                      <w:divBdr>
                        <w:top w:val="none" w:sz="0" w:space="0" w:color="auto"/>
                        <w:left w:val="none" w:sz="0" w:space="0" w:color="auto"/>
                        <w:bottom w:val="none" w:sz="0" w:space="0" w:color="auto"/>
                        <w:right w:val="none" w:sz="0" w:space="0" w:color="auto"/>
                      </w:divBdr>
                      <w:divsChild>
                        <w:div w:id="566846402">
                          <w:marLeft w:val="0"/>
                          <w:marRight w:val="0"/>
                          <w:marTop w:val="0"/>
                          <w:marBottom w:val="0"/>
                          <w:divBdr>
                            <w:top w:val="none" w:sz="0" w:space="0" w:color="auto"/>
                            <w:left w:val="none" w:sz="0" w:space="0" w:color="auto"/>
                            <w:bottom w:val="none" w:sz="0" w:space="0" w:color="auto"/>
                            <w:right w:val="none" w:sz="0" w:space="0" w:color="auto"/>
                          </w:divBdr>
                        </w:div>
                      </w:divsChild>
                    </w:div>
                    <w:div w:id="1857111055">
                      <w:marLeft w:val="240"/>
                      <w:marRight w:val="0"/>
                      <w:marTop w:val="60"/>
                      <w:marBottom w:val="60"/>
                      <w:divBdr>
                        <w:top w:val="none" w:sz="0" w:space="0" w:color="auto"/>
                        <w:left w:val="none" w:sz="0" w:space="0" w:color="auto"/>
                        <w:bottom w:val="none" w:sz="0" w:space="0" w:color="auto"/>
                        <w:right w:val="none" w:sz="0" w:space="0" w:color="auto"/>
                      </w:divBdr>
                      <w:divsChild>
                        <w:div w:id="107435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2359">
                  <w:marLeft w:val="240"/>
                  <w:marRight w:val="0"/>
                  <w:marTop w:val="60"/>
                  <w:marBottom w:val="60"/>
                  <w:divBdr>
                    <w:top w:val="none" w:sz="0" w:space="0" w:color="auto"/>
                    <w:left w:val="none" w:sz="0" w:space="0" w:color="auto"/>
                    <w:bottom w:val="none" w:sz="0" w:space="0" w:color="auto"/>
                    <w:right w:val="none" w:sz="0" w:space="0" w:color="auto"/>
                  </w:divBdr>
                  <w:divsChild>
                    <w:div w:id="11046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145674">
          <w:marLeft w:val="240"/>
          <w:marRight w:val="0"/>
          <w:marTop w:val="60"/>
          <w:marBottom w:val="60"/>
          <w:divBdr>
            <w:top w:val="none" w:sz="0" w:space="0" w:color="auto"/>
            <w:left w:val="none" w:sz="0" w:space="0" w:color="auto"/>
            <w:bottom w:val="none" w:sz="0" w:space="0" w:color="auto"/>
            <w:right w:val="none" w:sz="0" w:space="0" w:color="auto"/>
          </w:divBdr>
          <w:divsChild>
            <w:div w:id="1309363942">
              <w:marLeft w:val="240"/>
              <w:marRight w:val="0"/>
              <w:marTop w:val="60"/>
              <w:marBottom w:val="60"/>
              <w:divBdr>
                <w:top w:val="none" w:sz="0" w:space="0" w:color="auto"/>
                <w:left w:val="none" w:sz="0" w:space="0" w:color="auto"/>
                <w:bottom w:val="none" w:sz="0" w:space="0" w:color="auto"/>
                <w:right w:val="none" w:sz="0" w:space="0" w:color="auto"/>
              </w:divBdr>
              <w:divsChild>
                <w:div w:id="1220824361">
                  <w:marLeft w:val="0"/>
                  <w:marRight w:val="0"/>
                  <w:marTop w:val="0"/>
                  <w:marBottom w:val="0"/>
                  <w:divBdr>
                    <w:top w:val="none" w:sz="0" w:space="0" w:color="auto"/>
                    <w:left w:val="none" w:sz="0" w:space="0" w:color="auto"/>
                    <w:bottom w:val="none" w:sz="0" w:space="0" w:color="auto"/>
                    <w:right w:val="none" w:sz="0" w:space="0" w:color="auto"/>
                  </w:divBdr>
                </w:div>
              </w:divsChild>
            </w:div>
            <w:div w:id="275452389">
              <w:marLeft w:val="240"/>
              <w:marRight w:val="0"/>
              <w:marTop w:val="60"/>
              <w:marBottom w:val="60"/>
              <w:divBdr>
                <w:top w:val="none" w:sz="0" w:space="0" w:color="auto"/>
                <w:left w:val="none" w:sz="0" w:space="0" w:color="auto"/>
                <w:bottom w:val="none" w:sz="0" w:space="0" w:color="auto"/>
                <w:right w:val="none" w:sz="0" w:space="0" w:color="auto"/>
              </w:divBdr>
              <w:divsChild>
                <w:div w:id="256717889">
                  <w:marLeft w:val="240"/>
                  <w:marRight w:val="0"/>
                  <w:marTop w:val="60"/>
                  <w:marBottom w:val="60"/>
                  <w:divBdr>
                    <w:top w:val="none" w:sz="0" w:space="0" w:color="auto"/>
                    <w:left w:val="none" w:sz="0" w:space="0" w:color="auto"/>
                    <w:bottom w:val="none" w:sz="0" w:space="0" w:color="auto"/>
                    <w:right w:val="none" w:sz="0" w:space="0" w:color="auto"/>
                  </w:divBdr>
                  <w:divsChild>
                    <w:div w:id="1915360374">
                      <w:marLeft w:val="0"/>
                      <w:marRight w:val="0"/>
                      <w:marTop w:val="0"/>
                      <w:marBottom w:val="0"/>
                      <w:divBdr>
                        <w:top w:val="none" w:sz="0" w:space="0" w:color="auto"/>
                        <w:left w:val="none" w:sz="0" w:space="0" w:color="auto"/>
                        <w:bottom w:val="none" w:sz="0" w:space="0" w:color="auto"/>
                        <w:right w:val="none" w:sz="0" w:space="0" w:color="auto"/>
                      </w:divBdr>
                    </w:div>
                  </w:divsChild>
                </w:div>
                <w:div w:id="1445422123">
                  <w:marLeft w:val="240"/>
                  <w:marRight w:val="0"/>
                  <w:marTop w:val="60"/>
                  <w:marBottom w:val="60"/>
                  <w:divBdr>
                    <w:top w:val="none" w:sz="0" w:space="0" w:color="auto"/>
                    <w:left w:val="none" w:sz="0" w:space="0" w:color="auto"/>
                    <w:bottom w:val="none" w:sz="0" w:space="0" w:color="auto"/>
                    <w:right w:val="none" w:sz="0" w:space="0" w:color="auto"/>
                  </w:divBdr>
                  <w:divsChild>
                    <w:div w:id="103773750">
                      <w:marLeft w:val="240"/>
                      <w:marRight w:val="0"/>
                      <w:marTop w:val="60"/>
                      <w:marBottom w:val="60"/>
                      <w:divBdr>
                        <w:top w:val="none" w:sz="0" w:space="0" w:color="auto"/>
                        <w:left w:val="none" w:sz="0" w:space="0" w:color="auto"/>
                        <w:bottom w:val="none" w:sz="0" w:space="0" w:color="auto"/>
                        <w:right w:val="none" w:sz="0" w:space="0" w:color="auto"/>
                      </w:divBdr>
                      <w:divsChild>
                        <w:div w:id="915019507">
                          <w:marLeft w:val="0"/>
                          <w:marRight w:val="0"/>
                          <w:marTop w:val="0"/>
                          <w:marBottom w:val="0"/>
                          <w:divBdr>
                            <w:top w:val="none" w:sz="0" w:space="0" w:color="auto"/>
                            <w:left w:val="none" w:sz="0" w:space="0" w:color="auto"/>
                            <w:bottom w:val="none" w:sz="0" w:space="0" w:color="auto"/>
                            <w:right w:val="none" w:sz="0" w:space="0" w:color="auto"/>
                          </w:divBdr>
                        </w:div>
                      </w:divsChild>
                    </w:div>
                    <w:div w:id="889848017">
                      <w:marLeft w:val="240"/>
                      <w:marRight w:val="0"/>
                      <w:marTop w:val="60"/>
                      <w:marBottom w:val="60"/>
                      <w:divBdr>
                        <w:top w:val="none" w:sz="0" w:space="0" w:color="auto"/>
                        <w:left w:val="none" w:sz="0" w:space="0" w:color="auto"/>
                        <w:bottom w:val="none" w:sz="0" w:space="0" w:color="auto"/>
                        <w:right w:val="none" w:sz="0" w:space="0" w:color="auto"/>
                      </w:divBdr>
                      <w:divsChild>
                        <w:div w:id="5220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6613">
                  <w:marLeft w:val="522"/>
                  <w:marRight w:val="0"/>
                  <w:marTop w:val="0"/>
                  <w:marBottom w:val="0"/>
                  <w:divBdr>
                    <w:top w:val="none" w:sz="0" w:space="0" w:color="auto"/>
                    <w:left w:val="none" w:sz="0" w:space="0" w:color="auto"/>
                    <w:bottom w:val="none" w:sz="0" w:space="0" w:color="auto"/>
                    <w:right w:val="none" w:sz="0" w:space="0" w:color="auto"/>
                  </w:divBdr>
                </w:div>
              </w:divsChild>
            </w:div>
            <w:div w:id="1490903331">
              <w:marLeft w:val="240"/>
              <w:marRight w:val="0"/>
              <w:marTop w:val="60"/>
              <w:marBottom w:val="60"/>
              <w:divBdr>
                <w:top w:val="none" w:sz="0" w:space="0" w:color="auto"/>
                <w:left w:val="none" w:sz="0" w:space="0" w:color="auto"/>
                <w:bottom w:val="none" w:sz="0" w:space="0" w:color="auto"/>
                <w:right w:val="none" w:sz="0" w:space="0" w:color="auto"/>
              </w:divBdr>
              <w:divsChild>
                <w:div w:id="1554197197">
                  <w:marLeft w:val="240"/>
                  <w:marRight w:val="0"/>
                  <w:marTop w:val="60"/>
                  <w:marBottom w:val="60"/>
                  <w:divBdr>
                    <w:top w:val="none" w:sz="0" w:space="0" w:color="auto"/>
                    <w:left w:val="none" w:sz="0" w:space="0" w:color="auto"/>
                    <w:bottom w:val="none" w:sz="0" w:space="0" w:color="auto"/>
                    <w:right w:val="none" w:sz="0" w:space="0" w:color="auto"/>
                  </w:divBdr>
                  <w:divsChild>
                    <w:div w:id="209532734">
                      <w:marLeft w:val="0"/>
                      <w:marRight w:val="0"/>
                      <w:marTop w:val="0"/>
                      <w:marBottom w:val="0"/>
                      <w:divBdr>
                        <w:top w:val="none" w:sz="0" w:space="0" w:color="auto"/>
                        <w:left w:val="none" w:sz="0" w:space="0" w:color="auto"/>
                        <w:bottom w:val="none" w:sz="0" w:space="0" w:color="auto"/>
                        <w:right w:val="none" w:sz="0" w:space="0" w:color="auto"/>
                      </w:divBdr>
                    </w:div>
                  </w:divsChild>
                </w:div>
                <w:div w:id="1573736425">
                  <w:marLeft w:val="240"/>
                  <w:marRight w:val="0"/>
                  <w:marTop w:val="60"/>
                  <w:marBottom w:val="60"/>
                  <w:divBdr>
                    <w:top w:val="none" w:sz="0" w:space="0" w:color="auto"/>
                    <w:left w:val="none" w:sz="0" w:space="0" w:color="auto"/>
                    <w:bottom w:val="none" w:sz="0" w:space="0" w:color="auto"/>
                    <w:right w:val="none" w:sz="0" w:space="0" w:color="auto"/>
                  </w:divBdr>
                  <w:divsChild>
                    <w:div w:id="256595393">
                      <w:marLeft w:val="0"/>
                      <w:marRight w:val="0"/>
                      <w:marTop w:val="0"/>
                      <w:marBottom w:val="0"/>
                      <w:divBdr>
                        <w:top w:val="none" w:sz="0" w:space="0" w:color="auto"/>
                        <w:left w:val="none" w:sz="0" w:space="0" w:color="auto"/>
                        <w:bottom w:val="none" w:sz="0" w:space="0" w:color="auto"/>
                        <w:right w:val="none" w:sz="0" w:space="0" w:color="auto"/>
                      </w:divBdr>
                    </w:div>
                  </w:divsChild>
                </w:div>
                <w:div w:id="2127500173">
                  <w:marLeft w:val="240"/>
                  <w:marRight w:val="0"/>
                  <w:marTop w:val="60"/>
                  <w:marBottom w:val="60"/>
                  <w:divBdr>
                    <w:top w:val="none" w:sz="0" w:space="0" w:color="auto"/>
                    <w:left w:val="none" w:sz="0" w:space="0" w:color="auto"/>
                    <w:bottom w:val="none" w:sz="0" w:space="0" w:color="auto"/>
                    <w:right w:val="none" w:sz="0" w:space="0" w:color="auto"/>
                  </w:divBdr>
                  <w:divsChild>
                    <w:div w:id="784813358">
                      <w:marLeft w:val="0"/>
                      <w:marRight w:val="0"/>
                      <w:marTop w:val="0"/>
                      <w:marBottom w:val="0"/>
                      <w:divBdr>
                        <w:top w:val="none" w:sz="0" w:space="0" w:color="auto"/>
                        <w:left w:val="none" w:sz="0" w:space="0" w:color="auto"/>
                        <w:bottom w:val="none" w:sz="0" w:space="0" w:color="auto"/>
                        <w:right w:val="none" w:sz="0" w:space="0" w:color="auto"/>
                      </w:divBdr>
                    </w:div>
                  </w:divsChild>
                </w:div>
                <w:div w:id="1140851121">
                  <w:marLeft w:val="240"/>
                  <w:marRight w:val="0"/>
                  <w:marTop w:val="60"/>
                  <w:marBottom w:val="60"/>
                  <w:divBdr>
                    <w:top w:val="none" w:sz="0" w:space="0" w:color="auto"/>
                    <w:left w:val="none" w:sz="0" w:space="0" w:color="auto"/>
                    <w:bottom w:val="none" w:sz="0" w:space="0" w:color="auto"/>
                    <w:right w:val="none" w:sz="0" w:space="0" w:color="auto"/>
                  </w:divBdr>
                  <w:divsChild>
                    <w:div w:id="3401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13944">
              <w:marLeft w:val="240"/>
              <w:marRight w:val="0"/>
              <w:marTop w:val="60"/>
              <w:marBottom w:val="60"/>
              <w:divBdr>
                <w:top w:val="none" w:sz="0" w:space="0" w:color="auto"/>
                <w:left w:val="none" w:sz="0" w:space="0" w:color="auto"/>
                <w:bottom w:val="none" w:sz="0" w:space="0" w:color="auto"/>
                <w:right w:val="none" w:sz="0" w:space="0" w:color="auto"/>
              </w:divBdr>
              <w:divsChild>
                <w:div w:id="112091996">
                  <w:marLeft w:val="240"/>
                  <w:marRight w:val="0"/>
                  <w:marTop w:val="60"/>
                  <w:marBottom w:val="60"/>
                  <w:divBdr>
                    <w:top w:val="none" w:sz="0" w:space="0" w:color="auto"/>
                    <w:left w:val="none" w:sz="0" w:space="0" w:color="auto"/>
                    <w:bottom w:val="none" w:sz="0" w:space="0" w:color="auto"/>
                    <w:right w:val="none" w:sz="0" w:space="0" w:color="auto"/>
                  </w:divBdr>
                  <w:divsChild>
                    <w:div w:id="369960704">
                      <w:marLeft w:val="240"/>
                      <w:marRight w:val="0"/>
                      <w:marTop w:val="60"/>
                      <w:marBottom w:val="60"/>
                      <w:divBdr>
                        <w:top w:val="none" w:sz="0" w:space="0" w:color="auto"/>
                        <w:left w:val="none" w:sz="0" w:space="0" w:color="auto"/>
                        <w:bottom w:val="none" w:sz="0" w:space="0" w:color="auto"/>
                        <w:right w:val="none" w:sz="0" w:space="0" w:color="auto"/>
                      </w:divBdr>
                      <w:divsChild>
                        <w:div w:id="519857246">
                          <w:marLeft w:val="0"/>
                          <w:marRight w:val="0"/>
                          <w:marTop w:val="0"/>
                          <w:marBottom w:val="0"/>
                          <w:divBdr>
                            <w:top w:val="none" w:sz="0" w:space="0" w:color="auto"/>
                            <w:left w:val="none" w:sz="0" w:space="0" w:color="auto"/>
                            <w:bottom w:val="none" w:sz="0" w:space="0" w:color="auto"/>
                            <w:right w:val="none" w:sz="0" w:space="0" w:color="auto"/>
                          </w:divBdr>
                        </w:div>
                      </w:divsChild>
                    </w:div>
                    <w:div w:id="202061712">
                      <w:marLeft w:val="240"/>
                      <w:marRight w:val="0"/>
                      <w:marTop w:val="60"/>
                      <w:marBottom w:val="60"/>
                      <w:divBdr>
                        <w:top w:val="none" w:sz="0" w:space="0" w:color="auto"/>
                        <w:left w:val="none" w:sz="0" w:space="0" w:color="auto"/>
                        <w:bottom w:val="none" w:sz="0" w:space="0" w:color="auto"/>
                        <w:right w:val="none" w:sz="0" w:space="0" w:color="auto"/>
                      </w:divBdr>
                      <w:divsChild>
                        <w:div w:id="1139298086">
                          <w:marLeft w:val="0"/>
                          <w:marRight w:val="0"/>
                          <w:marTop w:val="0"/>
                          <w:marBottom w:val="0"/>
                          <w:divBdr>
                            <w:top w:val="none" w:sz="0" w:space="0" w:color="auto"/>
                            <w:left w:val="none" w:sz="0" w:space="0" w:color="auto"/>
                            <w:bottom w:val="none" w:sz="0" w:space="0" w:color="auto"/>
                            <w:right w:val="none" w:sz="0" w:space="0" w:color="auto"/>
                          </w:divBdr>
                        </w:div>
                      </w:divsChild>
                    </w:div>
                    <w:div w:id="1399403750">
                      <w:marLeft w:val="240"/>
                      <w:marRight w:val="0"/>
                      <w:marTop w:val="60"/>
                      <w:marBottom w:val="60"/>
                      <w:divBdr>
                        <w:top w:val="none" w:sz="0" w:space="0" w:color="auto"/>
                        <w:left w:val="none" w:sz="0" w:space="0" w:color="auto"/>
                        <w:bottom w:val="none" w:sz="0" w:space="0" w:color="auto"/>
                        <w:right w:val="none" w:sz="0" w:space="0" w:color="auto"/>
                      </w:divBdr>
                      <w:divsChild>
                        <w:div w:id="913123113">
                          <w:marLeft w:val="0"/>
                          <w:marRight w:val="0"/>
                          <w:marTop w:val="0"/>
                          <w:marBottom w:val="0"/>
                          <w:divBdr>
                            <w:top w:val="none" w:sz="0" w:space="0" w:color="auto"/>
                            <w:left w:val="none" w:sz="0" w:space="0" w:color="auto"/>
                            <w:bottom w:val="none" w:sz="0" w:space="0" w:color="auto"/>
                            <w:right w:val="none" w:sz="0" w:space="0" w:color="auto"/>
                          </w:divBdr>
                        </w:div>
                      </w:divsChild>
                    </w:div>
                    <w:div w:id="1712151979">
                      <w:marLeft w:val="240"/>
                      <w:marRight w:val="0"/>
                      <w:marTop w:val="60"/>
                      <w:marBottom w:val="60"/>
                      <w:divBdr>
                        <w:top w:val="none" w:sz="0" w:space="0" w:color="auto"/>
                        <w:left w:val="none" w:sz="0" w:space="0" w:color="auto"/>
                        <w:bottom w:val="none" w:sz="0" w:space="0" w:color="auto"/>
                        <w:right w:val="none" w:sz="0" w:space="0" w:color="auto"/>
                      </w:divBdr>
                      <w:divsChild>
                        <w:div w:id="18440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76600">
                  <w:marLeft w:val="240"/>
                  <w:marRight w:val="0"/>
                  <w:marTop w:val="60"/>
                  <w:marBottom w:val="60"/>
                  <w:divBdr>
                    <w:top w:val="none" w:sz="0" w:space="0" w:color="auto"/>
                    <w:left w:val="none" w:sz="0" w:space="0" w:color="auto"/>
                    <w:bottom w:val="none" w:sz="0" w:space="0" w:color="auto"/>
                    <w:right w:val="none" w:sz="0" w:space="0" w:color="auto"/>
                  </w:divBdr>
                  <w:divsChild>
                    <w:div w:id="17466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20070">
              <w:marLeft w:val="240"/>
              <w:marRight w:val="0"/>
              <w:marTop w:val="60"/>
              <w:marBottom w:val="60"/>
              <w:divBdr>
                <w:top w:val="none" w:sz="0" w:space="0" w:color="auto"/>
                <w:left w:val="none" w:sz="0" w:space="0" w:color="auto"/>
                <w:bottom w:val="none" w:sz="0" w:space="0" w:color="auto"/>
                <w:right w:val="none" w:sz="0" w:space="0" w:color="auto"/>
              </w:divBdr>
              <w:divsChild>
                <w:div w:id="2129812612">
                  <w:marLeft w:val="240"/>
                  <w:marRight w:val="0"/>
                  <w:marTop w:val="60"/>
                  <w:marBottom w:val="60"/>
                  <w:divBdr>
                    <w:top w:val="none" w:sz="0" w:space="0" w:color="auto"/>
                    <w:left w:val="none" w:sz="0" w:space="0" w:color="auto"/>
                    <w:bottom w:val="none" w:sz="0" w:space="0" w:color="auto"/>
                    <w:right w:val="none" w:sz="0" w:space="0" w:color="auto"/>
                  </w:divBdr>
                  <w:divsChild>
                    <w:div w:id="801845321">
                      <w:marLeft w:val="240"/>
                      <w:marRight w:val="0"/>
                      <w:marTop w:val="60"/>
                      <w:marBottom w:val="60"/>
                      <w:divBdr>
                        <w:top w:val="none" w:sz="0" w:space="0" w:color="auto"/>
                        <w:left w:val="none" w:sz="0" w:space="0" w:color="auto"/>
                        <w:bottom w:val="none" w:sz="0" w:space="0" w:color="auto"/>
                        <w:right w:val="none" w:sz="0" w:space="0" w:color="auto"/>
                      </w:divBdr>
                      <w:divsChild>
                        <w:div w:id="1135609357">
                          <w:marLeft w:val="0"/>
                          <w:marRight w:val="0"/>
                          <w:marTop w:val="0"/>
                          <w:marBottom w:val="0"/>
                          <w:divBdr>
                            <w:top w:val="none" w:sz="0" w:space="0" w:color="auto"/>
                            <w:left w:val="none" w:sz="0" w:space="0" w:color="auto"/>
                            <w:bottom w:val="none" w:sz="0" w:space="0" w:color="auto"/>
                            <w:right w:val="none" w:sz="0" w:space="0" w:color="auto"/>
                          </w:divBdr>
                        </w:div>
                      </w:divsChild>
                    </w:div>
                    <w:div w:id="983513095">
                      <w:marLeft w:val="240"/>
                      <w:marRight w:val="0"/>
                      <w:marTop w:val="60"/>
                      <w:marBottom w:val="60"/>
                      <w:divBdr>
                        <w:top w:val="none" w:sz="0" w:space="0" w:color="auto"/>
                        <w:left w:val="none" w:sz="0" w:space="0" w:color="auto"/>
                        <w:bottom w:val="none" w:sz="0" w:space="0" w:color="auto"/>
                        <w:right w:val="none" w:sz="0" w:space="0" w:color="auto"/>
                      </w:divBdr>
                      <w:divsChild>
                        <w:div w:id="1533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499">
                  <w:marLeft w:val="240"/>
                  <w:marRight w:val="0"/>
                  <w:marTop w:val="60"/>
                  <w:marBottom w:val="60"/>
                  <w:divBdr>
                    <w:top w:val="none" w:sz="0" w:space="0" w:color="auto"/>
                    <w:left w:val="none" w:sz="0" w:space="0" w:color="auto"/>
                    <w:bottom w:val="none" w:sz="0" w:space="0" w:color="auto"/>
                    <w:right w:val="none" w:sz="0" w:space="0" w:color="auto"/>
                  </w:divBdr>
                  <w:divsChild>
                    <w:div w:id="1121147893">
                      <w:marLeft w:val="240"/>
                      <w:marRight w:val="0"/>
                      <w:marTop w:val="60"/>
                      <w:marBottom w:val="60"/>
                      <w:divBdr>
                        <w:top w:val="none" w:sz="0" w:space="0" w:color="auto"/>
                        <w:left w:val="none" w:sz="0" w:space="0" w:color="auto"/>
                        <w:bottom w:val="none" w:sz="0" w:space="0" w:color="auto"/>
                        <w:right w:val="none" w:sz="0" w:space="0" w:color="auto"/>
                      </w:divBdr>
                      <w:divsChild>
                        <w:div w:id="1327897537">
                          <w:marLeft w:val="0"/>
                          <w:marRight w:val="0"/>
                          <w:marTop w:val="0"/>
                          <w:marBottom w:val="0"/>
                          <w:divBdr>
                            <w:top w:val="none" w:sz="0" w:space="0" w:color="auto"/>
                            <w:left w:val="none" w:sz="0" w:space="0" w:color="auto"/>
                            <w:bottom w:val="none" w:sz="0" w:space="0" w:color="auto"/>
                            <w:right w:val="none" w:sz="0" w:space="0" w:color="auto"/>
                          </w:divBdr>
                        </w:div>
                      </w:divsChild>
                    </w:div>
                    <w:div w:id="1436098542">
                      <w:marLeft w:val="240"/>
                      <w:marRight w:val="0"/>
                      <w:marTop w:val="60"/>
                      <w:marBottom w:val="60"/>
                      <w:divBdr>
                        <w:top w:val="none" w:sz="0" w:space="0" w:color="auto"/>
                        <w:left w:val="none" w:sz="0" w:space="0" w:color="auto"/>
                        <w:bottom w:val="none" w:sz="0" w:space="0" w:color="auto"/>
                        <w:right w:val="none" w:sz="0" w:space="0" w:color="auto"/>
                      </w:divBdr>
                      <w:divsChild>
                        <w:div w:id="235366064">
                          <w:marLeft w:val="240"/>
                          <w:marRight w:val="0"/>
                          <w:marTop w:val="60"/>
                          <w:marBottom w:val="60"/>
                          <w:divBdr>
                            <w:top w:val="none" w:sz="0" w:space="0" w:color="auto"/>
                            <w:left w:val="none" w:sz="0" w:space="0" w:color="auto"/>
                            <w:bottom w:val="none" w:sz="0" w:space="0" w:color="auto"/>
                            <w:right w:val="none" w:sz="0" w:space="0" w:color="auto"/>
                          </w:divBdr>
                          <w:divsChild>
                            <w:div w:id="1599026527">
                              <w:marLeft w:val="0"/>
                              <w:marRight w:val="0"/>
                              <w:marTop w:val="0"/>
                              <w:marBottom w:val="0"/>
                              <w:divBdr>
                                <w:top w:val="none" w:sz="0" w:space="0" w:color="auto"/>
                                <w:left w:val="none" w:sz="0" w:space="0" w:color="auto"/>
                                <w:bottom w:val="none" w:sz="0" w:space="0" w:color="auto"/>
                                <w:right w:val="none" w:sz="0" w:space="0" w:color="auto"/>
                              </w:divBdr>
                            </w:div>
                          </w:divsChild>
                        </w:div>
                        <w:div w:id="2141917464">
                          <w:marLeft w:val="240"/>
                          <w:marRight w:val="0"/>
                          <w:marTop w:val="60"/>
                          <w:marBottom w:val="60"/>
                          <w:divBdr>
                            <w:top w:val="none" w:sz="0" w:space="0" w:color="auto"/>
                            <w:left w:val="none" w:sz="0" w:space="0" w:color="auto"/>
                            <w:bottom w:val="none" w:sz="0" w:space="0" w:color="auto"/>
                            <w:right w:val="none" w:sz="0" w:space="0" w:color="auto"/>
                          </w:divBdr>
                          <w:divsChild>
                            <w:div w:id="1658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6307">
                      <w:marLeft w:val="240"/>
                      <w:marRight w:val="0"/>
                      <w:marTop w:val="60"/>
                      <w:marBottom w:val="60"/>
                      <w:divBdr>
                        <w:top w:val="none" w:sz="0" w:space="0" w:color="auto"/>
                        <w:left w:val="none" w:sz="0" w:space="0" w:color="auto"/>
                        <w:bottom w:val="none" w:sz="0" w:space="0" w:color="auto"/>
                        <w:right w:val="none" w:sz="0" w:space="0" w:color="auto"/>
                      </w:divBdr>
                      <w:divsChild>
                        <w:div w:id="153493559">
                          <w:marLeft w:val="0"/>
                          <w:marRight w:val="0"/>
                          <w:marTop w:val="0"/>
                          <w:marBottom w:val="0"/>
                          <w:divBdr>
                            <w:top w:val="none" w:sz="0" w:space="0" w:color="auto"/>
                            <w:left w:val="none" w:sz="0" w:space="0" w:color="auto"/>
                            <w:bottom w:val="none" w:sz="0" w:space="0" w:color="auto"/>
                            <w:right w:val="none" w:sz="0" w:space="0" w:color="auto"/>
                          </w:divBdr>
                        </w:div>
                      </w:divsChild>
                    </w:div>
                    <w:div w:id="384717603">
                      <w:marLeft w:val="240"/>
                      <w:marRight w:val="0"/>
                      <w:marTop w:val="60"/>
                      <w:marBottom w:val="60"/>
                      <w:divBdr>
                        <w:top w:val="none" w:sz="0" w:space="0" w:color="auto"/>
                        <w:left w:val="none" w:sz="0" w:space="0" w:color="auto"/>
                        <w:bottom w:val="none" w:sz="0" w:space="0" w:color="auto"/>
                        <w:right w:val="none" w:sz="0" w:space="0" w:color="auto"/>
                      </w:divBdr>
                      <w:divsChild>
                        <w:div w:id="384988325">
                          <w:marLeft w:val="0"/>
                          <w:marRight w:val="0"/>
                          <w:marTop w:val="0"/>
                          <w:marBottom w:val="0"/>
                          <w:divBdr>
                            <w:top w:val="none" w:sz="0" w:space="0" w:color="auto"/>
                            <w:left w:val="none" w:sz="0" w:space="0" w:color="auto"/>
                            <w:bottom w:val="none" w:sz="0" w:space="0" w:color="auto"/>
                            <w:right w:val="none" w:sz="0" w:space="0" w:color="auto"/>
                          </w:divBdr>
                        </w:div>
                      </w:divsChild>
                    </w:div>
                    <w:div w:id="1481311763">
                      <w:marLeft w:val="240"/>
                      <w:marRight w:val="0"/>
                      <w:marTop w:val="60"/>
                      <w:marBottom w:val="60"/>
                      <w:divBdr>
                        <w:top w:val="none" w:sz="0" w:space="0" w:color="auto"/>
                        <w:left w:val="none" w:sz="0" w:space="0" w:color="auto"/>
                        <w:bottom w:val="none" w:sz="0" w:space="0" w:color="auto"/>
                        <w:right w:val="none" w:sz="0" w:space="0" w:color="auto"/>
                      </w:divBdr>
                      <w:divsChild>
                        <w:div w:id="978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0389">
                  <w:marLeft w:val="240"/>
                  <w:marRight w:val="0"/>
                  <w:marTop w:val="60"/>
                  <w:marBottom w:val="60"/>
                  <w:divBdr>
                    <w:top w:val="none" w:sz="0" w:space="0" w:color="auto"/>
                    <w:left w:val="none" w:sz="0" w:space="0" w:color="auto"/>
                    <w:bottom w:val="none" w:sz="0" w:space="0" w:color="auto"/>
                    <w:right w:val="none" w:sz="0" w:space="0" w:color="auto"/>
                  </w:divBdr>
                  <w:divsChild>
                    <w:div w:id="705449943">
                      <w:marLeft w:val="0"/>
                      <w:marRight w:val="0"/>
                      <w:marTop w:val="0"/>
                      <w:marBottom w:val="0"/>
                      <w:divBdr>
                        <w:top w:val="none" w:sz="0" w:space="0" w:color="auto"/>
                        <w:left w:val="none" w:sz="0" w:space="0" w:color="auto"/>
                        <w:bottom w:val="none" w:sz="0" w:space="0" w:color="auto"/>
                        <w:right w:val="none" w:sz="0" w:space="0" w:color="auto"/>
                      </w:divBdr>
                    </w:div>
                  </w:divsChild>
                </w:div>
                <w:div w:id="610942085">
                  <w:marLeft w:val="240"/>
                  <w:marRight w:val="0"/>
                  <w:marTop w:val="60"/>
                  <w:marBottom w:val="60"/>
                  <w:divBdr>
                    <w:top w:val="none" w:sz="0" w:space="0" w:color="auto"/>
                    <w:left w:val="none" w:sz="0" w:space="0" w:color="auto"/>
                    <w:bottom w:val="none" w:sz="0" w:space="0" w:color="auto"/>
                    <w:right w:val="none" w:sz="0" w:space="0" w:color="auto"/>
                  </w:divBdr>
                  <w:divsChild>
                    <w:div w:id="19266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38634">
          <w:marLeft w:val="240"/>
          <w:marRight w:val="0"/>
          <w:marTop w:val="60"/>
          <w:marBottom w:val="60"/>
          <w:divBdr>
            <w:top w:val="none" w:sz="0" w:space="0" w:color="auto"/>
            <w:left w:val="none" w:sz="0" w:space="0" w:color="auto"/>
            <w:bottom w:val="none" w:sz="0" w:space="0" w:color="auto"/>
            <w:right w:val="none" w:sz="0" w:space="0" w:color="auto"/>
          </w:divBdr>
          <w:divsChild>
            <w:div w:id="1325818830">
              <w:marLeft w:val="240"/>
              <w:marRight w:val="0"/>
              <w:marTop w:val="60"/>
              <w:marBottom w:val="60"/>
              <w:divBdr>
                <w:top w:val="none" w:sz="0" w:space="0" w:color="auto"/>
                <w:left w:val="none" w:sz="0" w:space="0" w:color="auto"/>
                <w:bottom w:val="none" w:sz="0" w:space="0" w:color="auto"/>
                <w:right w:val="none" w:sz="0" w:space="0" w:color="auto"/>
              </w:divBdr>
              <w:divsChild>
                <w:div w:id="38669855">
                  <w:marLeft w:val="0"/>
                  <w:marRight w:val="0"/>
                  <w:marTop w:val="0"/>
                  <w:marBottom w:val="0"/>
                  <w:divBdr>
                    <w:top w:val="none" w:sz="0" w:space="0" w:color="auto"/>
                    <w:left w:val="none" w:sz="0" w:space="0" w:color="auto"/>
                    <w:bottom w:val="none" w:sz="0" w:space="0" w:color="auto"/>
                    <w:right w:val="none" w:sz="0" w:space="0" w:color="auto"/>
                  </w:divBdr>
                </w:div>
              </w:divsChild>
            </w:div>
            <w:div w:id="1135686029">
              <w:marLeft w:val="240"/>
              <w:marRight w:val="0"/>
              <w:marTop w:val="60"/>
              <w:marBottom w:val="60"/>
              <w:divBdr>
                <w:top w:val="none" w:sz="0" w:space="0" w:color="auto"/>
                <w:left w:val="none" w:sz="0" w:space="0" w:color="auto"/>
                <w:bottom w:val="none" w:sz="0" w:space="0" w:color="auto"/>
                <w:right w:val="none" w:sz="0" w:space="0" w:color="auto"/>
              </w:divBdr>
              <w:divsChild>
                <w:div w:id="1906454383">
                  <w:marLeft w:val="0"/>
                  <w:marRight w:val="0"/>
                  <w:marTop w:val="0"/>
                  <w:marBottom w:val="0"/>
                  <w:divBdr>
                    <w:top w:val="none" w:sz="0" w:space="0" w:color="auto"/>
                    <w:left w:val="none" w:sz="0" w:space="0" w:color="auto"/>
                    <w:bottom w:val="none" w:sz="0" w:space="0" w:color="auto"/>
                    <w:right w:val="none" w:sz="0" w:space="0" w:color="auto"/>
                  </w:divBdr>
                </w:div>
              </w:divsChild>
            </w:div>
            <w:div w:id="662968958">
              <w:marLeft w:val="240"/>
              <w:marRight w:val="0"/>
              <w:marTop w:val="60"/>
              <w:marBottom w:val="60"/>
              <w:divBdr>
                <w:top w:val="none" w:sz="0" w:space="0" w:color="auto"/>
                <w:left w:val="none" w:sz="0" w:space="0" w:color="auto"/>
                <w:bottom w:val="none" w:sz="0" w:space="0" w:color="auto"/>
                <w:right w:val="none" w:sz="0" w:space="0" w:color="auto"/>
              </w:divBdr>
              <w:divsChild>
                <w:div w:id="1843203896">
                  <w:marLeft w:val="240"/>
                  <w:marRight w:val="0"/>
                  <w:marTop w:val="60"/>
                  <w:marBottom w:val="60"/>
                  <w:divBdr>
                    <w:top w:val="none" w:sz="0" w:space="0" w:color="auto"/>
                    <w:left w:val="none" w:sz="0" w:space="0" w:color="auto"/>
                    <w:bottom w:val="none" w:sz="0" w:space="0" w:color="auto"/>
                    <w:right w:val="none" w:sz="0" w:space="0" w:color="auto"/>
                  </w:divBdr>
                  <w:divsChild>
                    <w:div w:id="2043166660">
                      <w:marLeft w:val="0"/>
                      <w:marRight w:val="0"/>
                      <w:marTop w:val="0"/>
                      <w:marBottom w:val="0"/>
                      <w:divBdr>
                        <w:top w:val="none" w:sz="0" w:space="0" w:color="auto"/>
                        <w:left w:val="none" w:sz="0" w:space="0" w:color="auto"/>
                        <w:bottom w:val="none" w:sz="0" w:space="0" w:color="auto"/>
                        <w:right w:val="none" w:sz="0" w:space="0" w:color="auto"/>
                      </w:divBdr>
                    </w:div>
                  </w:divsChild>
                </w:div>
                <w:div w:id="1740517228">
                  <w:marLeft w:val="240"/>
                  <w:marRight w:val="0"/>
                  <w:marTop w:val="60"/>
                  <w:marBottom w:val="60"/>
                  <w:divBdr>
                    <w:top w:val="none" w:sz="0" w:space="0" w:color="auto"/>
                    <w:left w:val="none" w:sz="0" w:space="0" w:color="auto"/>
                    <w:bottom w:val="none" w:sz="0" w:space="0" w:color="auto"/>
                    <w:right w:val="none" w:sz="0" w:space="0" w:color="auto"/>
                  </w:divBdr>
                  <w:divsChild>
                    <w:div w:id="1559825121">
                      <w:marLeft w:val="0"/>
                      <w:marRight w:val="0"/>
                      <w:marTop w:val="0"/>
                      <w:marBottom w:val="0"/>
                      <w:divBdr>
                        <w:top w:val="none" w:sz="0" w:space="0" w:color="auto"/>
                        <w:left w:val="none" w:sz="0" w:space="0" w:color="auto"/>
                        <w:bottom w:val="none" w:sz="0" w:space="0" w:color="auto"/>
                        <w:right w:val="none" w:sz="0" w:space="0" w:color="auto"/>
                      </w:divBdr>
                    </w:div>
                  </w:divsChild>
                </w:div>
                <w:div w:id="1964995850">
                  <w:marLeft w:val="240"/>
                  <w:marRight w:val="0"/>
                  <w:marTop w:val="60"/>
                  <w:marBottom w:val="60"/>
                  <w:divBdr>
                    <w:top w:val="none" w:sz="0" w:space="0" w:color="auto"/>
                    <w:left w:val="none" w:sz="0" w:space="0" w:color="auto"/>
                    <w:bottom w:val="none" w:sz="0" w:space="0" w:color="auto"/>
                    <w:right w:val="none" w:sz="0" w:space="0" w:color="auto"/>
                  </w:divBdr>
                  <w:divsChild>
                    <w:div w:id="15727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39697">
              <w:marLeft w:val="240"/>
              <w:marRight w:val="0"/>
              <w:marTop w:val="60"/>
              <w:marBottom w:val="60"/>
              <w:divBdr>
                <w:top w:val="none" w:sz="0" w:space="0" w:color="auto"/>
                <w:left w:val="none" w:sz="0" w:space="0" w:color="auto"/>
                <w:bottom w:val="none" w:sz="0" w:space="0" w:color="auto"/>
                <w:right w:val="none" w:sz="0" w:space="0" w:color="auto"/>
              </w:divBdr>
              <w:divsChild>
                <w:div w:id="2096240606">
                  <w:marLeft w:val="240"/>
                  <w:marRight w:val="0"/>
                  <w:marTop w:val="60"/>
                  <w:marBottom w:val="60"/>
                  <w:divBdr>
                    <w:top w:val="none" w:sz="0" w:space="0" w:color="auto"/>
                    <w:left w:val="none" w:sz="0" w:space="0" w:color="auto"/>
                    <w:bottom w:val="none" w:sz="0" w:space="0" w:color="auto"/>
                    <w:right w:val="none" w:sz="0" w:space="0" w:color="auto"/>
                  </w:divBdr>
                  <w:divsChild>
                    <w:div w:id="1866670606">
                      <w:marLeft w:val="0"/>
                      <w:marRight w:val="0"/>
                      <w:marTop w:val="0"/>
                      <w:marBottom w:val="0"/>
                      <w:divBdr>
                        <w:top w:val="none" w:sz="0" w:space="0" w:color="auto"/>
                        <w:left w:val="none" w:sz="0" w:space="0" w:color="auto"/>
                        <w:bottom w:val="none" w:sz="0" w:space="0" w:color="auto"/>
                        <w:right w:val="none" w:sz="0" w:space="0" w:color="auto"/>
                      </w:divBdr>
                    </w:div>
                  </w:divsChild>
                </w:div>
                <w:div w:id="453059550">
                  <w:marLeft w:val="240"/>
                  <w:marRight w:val="0"/>
                  <w:marTop w:val="60"/>
                  <w:marBottom w:val="60"/>
                  <w:divBdr>
                    <w:top w:val="none" w:sz="0" w:space="0" w:color="auto"/>
                    <w:left w:val="none" w:sz="0" w:space="0" w:color="auto"/>
                    <w:bottom w:val="none" w:sz="0" w:space="0" w:color="auto"/>
                    <w:right w:val="none" w:sz="0" w:space="0" w:color="auto"/>
                  </w:divBdr>
                  <w:divsChild>
                    <w:div w:id="6296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9334">
              <w:marLeft w:val="240"/>
              <w:marRight w:val="0"/>
              <w:marTop w:val="60"/>
              <w:marBottom w:val="60"/>
              <w:divBdr>
                <w:top w:val="none" w:sz="0" w:space="0" w:color="auto"/>
                <w:left w:val="none" w:sz="0" w:space="0" w:color="auto"/>
                <w:bottom w:val="none" w:sz="0" w:space="0" w:color="auto"/>
                <w:right w:val="none" w:sz="0" w:space="0" w:color="auto"/>
              </w:divBdr>
              <w:divsChild>
                <w:div w:id="13236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4091">
          <w:marLeft w:val="240"/>
          <w:marRight w:val="0"/>
          <w:marTop w:val="60"/>
          <w:marBottom w:val="60"/>
          <w:divBdr>
            <w:top w:val="none" w:sz="0" w:space="0" w:color="auto"/>
            <w:left w:val="none" w:sz="0" w:space="0" w:color="auto"/>
            <w:bottom w:val="none" w:sz="0" w:space="0" w:color="auto"/>
            <w:right w:val="none" w:sz="0" w:space="0" w:color="auto"/>
          </w:divBdr>
          <w:divsChild>
            <w:div w:id="1816489912">
              <w:marLeft w:val="240"/>
              <w:marRight w:val="0"/>
              <w:marTop w:val="60"/>
              <w:marBottom w:val="60"/>
              <w:divBdr>
                <w:top w:val="none" w:sz="0" w:space="0" w:color="auto"/>
                <w:left w:val="none" w:sz="0" w:space="0" w:color="auto"/>
                <w:bottom w:val="none" w:sz="0" w:space="0" w:color="auto"/>
                <w:right w:val="none" w:sz="0" w:space="0" w:color="auto"/>
              </w:divBdr>
              <w:divsChild>
                <w:div w:id="147747577">
                  <w:marLeft w:val="0"/>
                  <w:marRight w:val="0"/>
                  <w:marTop w:val="0"/>
                  <w:marBottom w:val="0"/>
                  <w:divBdr>
                    <w:top w:val="none" w:sz="0" w:space="0" w:color="auto"/>
                    <w:left w:val="none" w:sz="0" w:space="0" w:color="auto"/>
                    <w:bottom w:val="none" w:sz="0" w:space="0" w:color="auto"/>
                    <w:right w:val="none" w:sz="0" w:space="0" w:color="auto"/>
                  </w:divBdr>
                </w:div>
              </w:divsChild>
            </w:div>
            <w:div w:id="1893691650">
              <w:marLeft w:val="240"/>
              <w:marRight w:val="0"/>
              <w:marTop w:val="60"/>
              <w:marBottom w:val="60"/>
              <w:divBdr>
                <w:top w:val="none" w:sz="0" w:space="0" w:color="auto"/>
                <w:left w:val="none" w:sz="0" w:space="0" w:color="auto"/>
                <w:bottom w:val="none" w:sz="0" w:space="0" w:color="auto"/>
                <w:right w:val="none" w:sz="0" w:space="0" w:color="auto"/>
              </w:divBdr>
              <w:divsChild>
                <w:div w:id="388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94939">
          <w:marLeft w:val="240"/>
          <w:marRight w:val="0"/>
          <w:marTop w:val="60"/>
          <w:marBottom w:val="60"/>
          <w:divBdr>
            <w:top w:val="none" w:sz="0" w:space="0" w:color="auto"/>
            <w:left w:val="none" w:sz="0" w:space="0" w:color="auto"/>
            <w:bottom w:val="none" w:sz="0" w:space="0" w:color="auto"/>
            <w:right w:val="none" w:sz="0" w:space="0" w:color="auto"/>
          </w:divBdr>
          <w:divsChild>
            <w:div w:id="1088692512">
              <w:marLeft w:val="240"/>
              <w:marRight w:val="0"/>
              <w:marTop w:val="60"/>
              <w:marBottom w:val="60"/>
              <w:divBdr>
                <w:top w:val="none" w:sz="0" w:space="0" w:color="auto"/>
                <w:left w:val="none" w:sz="0" w:space="0" w:color="auto"/>
                <w:bottom w:val="none" w:sz="0" w:space="0" w:color="auto"/>
                <w:right w:val="none" w:sz="0" w:space="0" w:color="auto"/>
              </w:divBdr>
              <w:divsChild>
                <w:div w:id="232617780">
                  <w:marLeft w:val="0"/>
                  <w:marRight w:val="0"/>
                  <w:marTop w:val="0"/>
                  <w:marBottom w:val="0"/>
                  <w:divBdr>
                    <w:top w:val="none" w:sz="0" w:space="0" w:color="auto"/>
                    <w:left w:val="none" w:sz="0" w:space="0" w:color="auto"/>
                    <w:bottom w:val="none" w:sz="0" w:space="0" w:color="auto"/>
                    <w:right w:val="none" w:sz="0" w:space="0" w:color="auto"/>
                  </w:divBdr>
                </w:div>
              </w:divsChild>
            </w:div>
            <w:div w:id="1366255135">
              <w:marLeft w:val="240"/>
              <w:marRight w:val="0"/>
              <w:marTop w:val="60"/>
              <w:marBottom w:val="60"/>
              <w:divBdr>
                <w:top w:val="none" w:sz="0" w:space="0" w:color="auto"/>
                <w:left w:val="none" w:sz="0" w:space="0" w:color="auto"/>
                <w:bottom w:val="none" w:sz="0" w:space="0" w:color="auto"/>
                <w:right w:val="none" w:sz="0" w:space="0" w:color="auto"/>
              </w:divBdr>
              <w:divsChild>
                <w:div w:id="1493135627">
                  <w:marLeft w:val="0"/>
                  <w:marRight w:val="0"/>
                  <w:marTop w:val="0"/>
                  <w:marBottom w:val="0"/>
                  <w:divBdr>
                    <w:top w:val="none" w:sz="0" w:space="0" w:color="auto"/>
                    <w:left w:val="none" w:sz="0" w:space="0" w:color="auto"/>
                    <w:bottom w:val="none" w:sz="0" w:space="0" w:color="auto"/>
                    <w:right w:val="none" w:sz="0" w:space="0" w:color="auto"/>
                  </w:divBdr>
                </w:div>
              </w:divsChild>
            </w:div>
            <w:div w:id="1001930867">
              <w:marLeft w:val="240"/>
              <w:marRight w:val="0"/>
              <w:marTop w:val="60"/>
              <w:marBottom w:val="60"/>
              <w:divBdr>
                <w:top w:val="none" w:sz="0" w:space="0" w:color="auto"/>
                <w:left w:val="none" w:sz="0" w:space="0" w:color="auto"/>
                <w:bottom w:val="none" w:sz="0" w:space="0" w:color="auto"/>
                <w:right w:val="none" w:sz="0" w:space="0" w:color="auto"/>
              </w:divBdr>
              <w:divsChild>
                <w:div w:id="1707949168">
                  <w:marLeft w:val="0"/>
                  <w:marRight w:val="0"/>
                  <w:marTop w:val="0"/>
                  <w:marBottom w:val="0"/>
                  <w:divBdr>
                    <w:top w:val="none" w:sz="0" w:space="0" w:color="auto"/>
                    <w:left w:val="none" w:sz="0" w:space="0" w:color="auto"/>
                    <w:bottom w:val="none" w:sz="0" w:space="0" w:color="auto"/>
                    <w:right w:val="none" w:sz="0" w:space="0" w:color="auto"/>
                  </w:divBdr>
                </w:div>
              </w:divsChild>
            </w:div>
            <w:div w:id="916282562">
              <w:marLeft w:val="240"/>
              <w:marRight w:val="0"/>
              <w:marTop w:val="60"/>
              <w:marBottom w:val="60"/>
              <w:divBdr>
                <w:top w:val="none" w:sz="0" w:space="0" w:color="auto"/>
                <w:left w:val="none" w:sz="0" w:space="0" w:color="auto"/>
                <w:bottom w:val="none" w:sz="0" w:space="0" w:color="auto"/>
                <w:right w:val="none" w:sz="0" w:space="0" w:color="auto"/>
              </w:divBdr>
              <w:divsChild>
                <w:div w:id="228925904">
                  <w:marLeft w:val="0"/>
                  <w:marRight w:val="0"/>
                  <w:marTop w:val="0"/>
                  <w:marBottom w:val="0"/>
                  <w:divBdr>
                    <w:top w:val="none" w:sz="0" w:space="0" w:color="auto"/>
                    <w:left w:val="none" w:sz="0" w:space="0" w:color="auto"/>
                    <w:bottom w:val="none" w:sz="0" w:space="0" w:color="auto"/>
                    <w:right w:val="none" w:sz="0" w:space="0" w:color="auto"/>
                  </w:divBdr>
                </w:div>
              </w:divsChild>
            </w:div>
            <w:div w:id="1614480115">
              <w:marLeft w:val="240"/>
              <w:marRight w:val="0"/>
              <w:marTop w:val="60"/>
              <w:marBottom w:val="60"/>
              <w:divBdr>
                <w:top w:val="none" w:sz="0" w:space="0" w:color="auto"/>
                <w:left w:val="none" w:sz="0" w:space="0" w:color="auto"/>
                <w:bottom w:val="none" w:sz="0" w:space="0" w:color="auto"/>
                <w:right w:val="none" w:sz="0" w:space="0" w:color="auto"/>
              </w:divBdr>
              <w:divsChild>
                <w:div w:id="1622956012">
                  <w:marLeft w:val="240"/>
                  <w:marRight w:val="0"/>
                  <w:marTop w:val="60"/>
                  <w:marBottom w:val="60"/>
                  <w:divBdr>
                    <w:top w:val="none" w:sz="0" w:space="0" w:color="auto"/>
                    <w:left w:val="none" w:sz="0" w:space="0" w:color="auto"/>
                    <w:bottom w:val="none" w:sz="0" w:space="0" w:color="auto"/>
                    <w:right w:val="none" w:sz="0" w:space="0" w:color="auto"/>
                  </w:divBdr>
                  <w:divsChild>
                    <w:div w:id="627905136">
                      <w:marLeft w:val="0"/>
                      <w:marRight w:val="0"/>
                      <w:marTop w:val="0"/>
                      <w:marBottom w:val="0"/>
                      <w:divBdr>
                        <w:top w:val="none" w:sz="0" w:space="0" w:color="auto"/>
                        <w:left w:val="none" w:sz="0" w:space="0" w:color="auto"/>
                        <w:bottom w:val="none" w:sz="0" w:space="0" w:color="auto"/>
                        <w:right w:val="none" w:sz="0" w:space="0" w:color="auto"/>
                      </w:divBdr>
                    </w:div>
                  </w:divsChild>
                </w:div>
                <w:div w:id="334915287">
                  <w:marLeft w:val="240"/>
                  <w:marRight w:val="0"/>
                  <w:marTop w:val="60"/>
                  <w:marBottom w:val="60"/>
                  <w:divBdr>
                    <w:top w:val="none" w:sz="0" w:space="0" w:color="auto"/>
                    <w:left w:val="none" w:sz="0" w:space="0" w:color="auto"/>
                    <w:bottom w:val="none" w:sz="0" w:space="0" w:color="auto"/>
                    <w:right w:val="none" w:sz="0" w:space="0" w:color="auto"/>
                  </w:divBdr>
                  <w:divsChild>
                    <w:div w:id="7443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68100">
              <w:marLeft w:val="240"/>
              <w:marRight w:val="0"/>
              <w:marTop w:val="60"/>
              <w:marBottom w:val="60"/>
              <w:divBdr>
                <w:top w:val="none" w:sz="0" w:space="0" w:color="auto"/>
                <w:left w:val="none" w:sz="0" w:space="0" w:color="auto"/>
                <w:bottom w:val="none" w:sz="0" w:space="0" w:color="auto"/>
                <w:right w:val="none" w:sz="0" w:space="0" w:color="auto"/>
              </w:divBdr>
              <w:divsChild>
                <w:div w:id="495071474">
                  <w:marLeft w:val="0"/>
                  <w:marRight w:val="0"/>
                  <w:marTop w:val="0"/>
                  <w:marBottom w:val="0"/>
                  <w:divBdr>
                    <w:top w:val="none" w:sz="0" w:space="0" w:color="auto"/>
                    <w:left w:val="none" w:sz="0" w:space="0" w:color="auto"/>
                    <w:bottom w:val="none" w:sz="0" w:space="0" w:color="auto"/>
                    <w:right w:val="none" w:sz="0" w:space="0" w:color="auto"/>
                  </w:divBdr>
                </w:div>
              </w:divsChild>
            </w:div>
            <w:div w:id="822084145">
              <w:marLeft w:val="240"/>
              <w:marRight w:val="0"/>
              <w:marTop w:val="60"/>
              <w:marBottom w:val="60"/>
              <w:divBdr>
                <w:top w:val="none" w:sz="0" w:space="0" w:color="auto"/>
                <w:left w:val="none" w:sz="0" w:space="0" w:color="auto"/>
                <w:bottom w:val="none" w:sz="0" w:space="0" w:color="auto"/>
                <w:right w:val="none" w:sz="0" w:space="0" w:color="auto"/>
              </w:divBdr>
              <w:divsChild>
                <w:div w:id="1313683451">
                  <w:marLeft w:val="0"/>
                  <w:marRight w:val="0"/>
                  <w:marTop w:val="0"/>
                  <w:marBottom w:val="0"/>
                  <w:divBdr>
                    <w:top w:val="none" w:sz="0" w:space="0" w:color="auto"/>
                    <w:left w:val="none" w:sz="0" w:space="0" w:color="auto"/>
                    <w:bottom w:val="none" w:sz="0" w:space="0" w:color="auto"/>
                    <w:right w:val="none" w:sz="0" w:space="0" w:color="auto"/>
                  </w:divBdr>
                </w:div>
              </w:divsChild>
            </w:div>
            <w:div w:id="821122051">
              <w:marLeft w:val="240"/>
              <w:marRight w:val="0"/>
              <w:marTop w:val="60"/>
              <w:marBottom w:val="60"/>
              <w:divBdr>
                <w:top w:val="none" w:sz="0" w:space="0" w:color="auto"/>
                <w:left w:val="none" w:sz="0" w:space="0" w:color="auto"/>
                <w:bottom w:val="none" w:sz="0" w:space="0" w:color="auto"/>
                <w:right w:val="none" w:sz="0" w:space="0" w:color="auto"/>
              </w:divBdr>
              <w:divsChild>
                <w:div w:id="724185973">
                  <w:marLeft w:val="0"/>
                  <w:marRight w:val="0"/>
                  <w:marTop w:val="0"/>
                  <w:marBottom w:val="0"/>
                  <w:divBdr>
                    <w:top w:val="none" w:sz="0" w:space="0" w:color="auto"/>
                    <w:left w:val="none" w:sz="0" w:space="0" w:color="auto"/>
                    <w:bottom w:val="none" w:sz="0" w:space="0" w:color="auto"/>
                    <w:right w:val="none" w:sz="0" w:space="0" w:color="auto"/>
                  </w:divBdr>
                </w:div>
              </w:divsChild>
            </w:div>
            <w:div w:id="2050644180">
              <w:marLeft w:val="240"/>
              <w:marRight w:val="0"/>
              <w:marTop w:val="60"/>
              <w:marBottom w:val="60"/>
              <w:divBdr>
                <w:top w:val="none" w:sz="0" w:space="0" w:color="auto"/>
                <w:left w:val="none" w:sz="0" w:space="0" w:color="auto"/>
                <w:bottom w:val="none" w:sz="0" w:space="0" w:color="auto"/>
                <w:right w:val="none" w:sz="0" w:space="0" w:color="auto"/>
              </w:divBdr>
              <w:divsChild>
                <w:div w:id="325212860">
                  <w:marLeft w:val="0"/>
                  <w:marRight w:val="0"/>
                  <w:marTop w:val="0"/>
                  <w:marBottom w:val="0"/>
                  <w:divBdr>
                    <w:top w:val="none" w:sz="0" w:space="0" w:color="auto"/>
                    <w:left w:val="none" w:sz="0" w:space="0" w:color="auto"/>
                    <w:bottom w:val="none" w:sz="0" w:space="0" w:color="auto"/>
                    <w:right w:val="none" w:sz="0" w:space="0" w:color="auto"/>
                  </w:divBdr>
                </w:div>
              </w:divsChild>
            </w:div>
            <w:div w:id="1154418621">
              <w:marLeft w:val="240"/>
              <w:marRight w:val="0"/>
              <w:marTop w:val="60"/>
              <w:marBottom w:val="60"/>
              <w:divBdr>
                <w:top w:val="none" w:sz="0" w:space="0" w:color="auto"/>
                <w:left w:val="none" w:sz="0" w:space="0" w:color="auto"/>
                <w:bottom w:val="none" w:sz="0" w:space="0" w:color="auto"/>
                <w:right w:val="none" w:sz="0" w:space="0" w:color="auto"/>
              </w:divBdr>
              <w:divsChild>
                <w:div w:id="585769165">
                  <w:marLeft w:val="240"/>
                  <w:marRight w:val="0"/>
                  <w:marTop w:val="60"/>
                  <w:marBottom w:val="60"/>
                  <w:divBdr>
                    <w:top w:val="none" w:sz="0" w:space="0" w:color="auto"/>
                    <w:left w:val="none" w:sz="0" w:space="0" w:color="auto"/>
                    <w:bottom w:val="none" w:sz="0" w:space="0" w:color="auto"/>
                    <w:right w:val="none" w:sz="0" w:space="0" w:color="auto"/>
                  </w:divBdr>
                  <w:divsChild>
                    <w:div w:id="1797681097">
                      <w:marLeft w:val="0"/>
                      <w:marRight w:val="0"/>
                      <w:marTop w:val="0"/>
                      <w:marBottom w:val="0"/>
                      <w:divBdr>
                        <w:top w:val="none" w:sz="0" w:space="0" w:color="auto"/>
                        <w:left w:val="none" w:sz="0" w:space="0" w:color="auto"/>
                        <w:bottom w:val="none" w:sz="0" w:space="0" w:color="auto"/>
                        <w:right w:val="none" w:sz="0" w:space="0" w:color="auto"/>
                      </w:divBdr>
                    </w:div>
                  </w:divsChild>
                </w:div>
                <w:div w:id="821699498">
                  <w:marLeft w:val="240"/>
                  <w:marRight w:val="0"/>
                  <w:marTop w:val="60"/>
                  <w:marBottom w:val="60"/>
                  <w:divBdr>
                    <w:top w:val="none" w:sz="0" w:space="0" w:color="auto"/>
                    <w:left w:val="none" w:sz="0" w:space="0" w:color="auto"/>
                    <w:bottom w:val="none" w:sz="0" w:space="0" w:color="auto"/>
                    <w:right w:val="none" w:sz="0" w:space="0" w:color="auto"/>
                  </w:divBdr>
                  <w:divsChild>
                    <w:div w:id="17091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34693">
          <w:marLeft w:val="240"/>
          <w:marRight w:val="0"/>
          <w:marTop w:val="60"/>
          <w:marBottom w:val="60"/>
          <w:divBdr>
            <w:top w:val="none" w:sz="0" w:space="0" w:color="auto"/>
            <w:left w:val="none" w:sz="0" w:space="0" w:color="auto"/>
            <w:bottom w:val="none" w:sz="0" w:space="0" w:color="auto"/>
            <w:right w:val="none" w:sz="0" w:space="0" w:color="auto"/>
          </w:divBdr>
          <w:divsChild>
            <w:div w:id="492141548">
              <w:marLeft w:val="240"/>
              <w:marRight w:val="0"/>
              <w:marTop w:val="60"/>
              <w:marBottom w:val="60"/>
              <w:divBdr>
                <w:top w:val="none" w:sz="0" w:space="0" w:color="auto"/>
                <w:left w:val="none" w:sz="0" w:space="0" w:color="auto"/>
                <w:bottom w:val="none" w:sz="0" w:space="0" w:color="auto"/>
                <w:right w:val="none" w:sz="0" w:space="0" w:color="auto"/>
              </w:divBdr>
              <w:divsChild>
                <w:div w:id="109010668">
                  <w:marLeft w:val="0"/>
                  <w:marRight w:val="0"/>
                  <w:marTop w:val="0"/>
                  <w:marBottom w:val="0"/>
                  <w:divBdr>
                    <w:top w:val="none" w:sz="0" w:space="0" w:color="auto"/>
                    <w:left w:val="none" w:sz="0" w:space="0" w:color="auto"/>
                    <w:bottom w:val="none" w:sz="0" w:space="0" w:color="auto"/>
                    <w:right w:val="none" w:sz="0" w:space="0" w:color="auto"/>
                  </w:divBdr>
                </w:div>
              </w:divsChild>
            </w:div>
            <w:div w:id="174348456">
              <w:marLeft w:val="240"/>
              <w:marRight w:val="0"/>
              <w:marTop w:val="60"/>
              <w:marBottom w:val="60"/>
              <w:divBdr>
                <w:top w:val="none" w:sz="0" w:space="0" w:color="auto"/>
                <w:left w:val="none" w:sz="0" w:space="0" w:color="auto"/>
                <w:bottom w:val="none" w:sz="0" w:space="0" w:color="auto"/>
                <w:right w:val="none" w:sz="0" w:space="0" w:color="auto"/>
              </w:divBdr>
              <w:divsChild>
                <w:div w:id="808208573">
                  <w:marLeft w:val="0"/>
                  <w:marRight w:val="0"/>
                  <w:marTop w:val="0"/>
                  <w:marBottom w:val="0"/>
                  <w:divBdr>
                    <w:top w:val="none" w:sz="0" w:space="0" w:color="auto"/>
                    <w:left w:val="none" w:sz="0" w:space="0" w:color="auto"/>
                    <w:bottom w:val="none" w:sz="0" w:space="0" w:color="auto"/>
                    <w:right w:val="none" w:sz="0" w:space="0" w:color="auto"/>
                  </w:divBdr>
                </w:div>
              </w:divsChild>
            </w:div>
            <w:div w:id="52776262">
              <w:marLeft w:val="240"/>
              <w:marRight w:val="0"/>
              <w:marTop w:val="60"/>
              <w:marBottom w:val="60"/>
              <w:divBdr>
                <w:top w:val="none" w:sz="0" w:space="0" w:color="auto"/>
                <w:left w:val="none" w:sz="0" w:space="0" w:color="auto"/>
                <w:bottom w:val="none" w:sz="0" w:space="0" w:color="auto"/>
                <w:right w:val="none" w:sz="0" w:space="0" w:color="auto"/>
              </w:divBdr>
              <w:divsChild>
                <w:div w:id="923952218">
                  <w:marLeft w:val="0"/>
                  <w:marRight w:val="0"/>
                  <w:marTop w:val="0"/>
                  <w:marBottom w:val="0"/>
                  <w:divBdr>
                    <w:top w:val="none" w:sz="0" w:space="0" w:color="auto"/>
                    <w:left w:val="none" w:sz="0" w:space="0" w:color="auto"/>
                    <w:bottom w:val="none" w:sz="0" w:space="0" w:color="auto"/>
                    <w:right w:val="none" w:sz="0" w:space="0" w:color="auto"/>
                  </w:divBdr>
                </w:div>
              </w:divsChild>
            </w:div>
            <w:div w:id="406458908">
              <w:marLeft w:val="240"/>
              <w:marRight w:val="0"/>
              <w:marTop w:val="60"/>
              <w:marBottom w:val="60"/>
              <w:divBdr>
                <w:top w:val="none" w:sz="0" w:space="0" w:color="auto"/>
                <w:left w:val="none" w:sz="0" w:space="0" w:color="auto"/>
                <w:bottom w:val="none" w:sz="0" w:space="0" w:color="auto"/>
                <w:right w:val="none" w:sz="0" w:space="0" w:color="auto"/>
              </w:divBdr>
              <w:divsChild>
                <w:div w:id="49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00593">
          <w:marLeft w:val="240"/>
          <w:marRight w:val="0"/>
          <w:marTop w:val="60"/>
          <w:marBottom w:val="60"/>
          <w:divBdr>
            <w:top w:val="none" w:sz="0" w:space="0" w:color="auto"/>
            <w:left w:val="none" w:sz="0" w:space="0" w:color="auto"/>
            <w:bottom w:val="none" w:sz="0" w:space="0" w:color="auto"/>
            <w:right w:val="none" w:sz="0" w:space="0" w:color="auto"/>
          </w:divBdr>
          <w:divsChild>
            <w:div w:id="24644472">
              <w:marLeft w:val="240"/>
              <w:marRight w:val="0"/>
              <w:marTop w:val="60"/>
              <w:marBottom w:val="60"/>
              <w:divBdr>
                <w:top w:val="none" w:sz="0" w:space="0" w:color="auto"/>
                <w:left w:val="none" w:sz="0" w:space="0" w:color="auto"/>
                <w:bottom w:val="none" w:sz="0" w:space="0" w:color="auto"/>
                <w:right w:val="none" w:sz="0" w:space="0" w:color="auto"/>
              </w:divBdr>
              <w:divsChild>
                <w:div w:id="234628429">
                  <w:marLeft w:val="0"/>
                  <w:marRight w:val="0"/>
                  <w:marTop w:val="0"/>
                  <w:marBottom w:val="0"/>
                  <w:divBdr>
                    <w:top w:val="none" w:sz="0" w:space="0" w:color="auto"/>
                    <w:left w:val="none" w:sz="0" w:space="0" w:color="auto"/>
                    <w:bottom w:val="none" w:sz="0" w:space="0" w:color="auto"/>
                    <w:right w:val="none" w:sz="0" w:space="0" w:color="auto"/>
                  </w:divBdr>
                </w:div>
              </w:divsChild>
            </w:div>
            <w:div w:id="963582578">
              <w:marLeft w:val="240"/>
              <w:marRight w:val="0"/>
              <w:marTop w:val="60"/>
              <w:marBottom w:val="60"/>
              <w:divBdr>
                <w:top w:val="none" w:sz="0" w:space="0" w:color="auto"/>
                <w:left w:val="none" w:sz="0" w:space="0" w:color="auto"/>
                <w:bottom w:val="none" w:sz="0" w:space="0" w:color="auto"/>
                <w:right w:val="none" w:sz="0" w:space="0" w:color="auto"/>
              </w:divBdr>
              <w:divsChild>
                <w:div w:id="1883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1411">
          <w:marLeft w:val="240"/>
          <w:marRight w:val="0"/>
          <w:marTop w:val="60"/>
          <w:marBottom w:val="60"/>
          <w:divBdr>
            <w:top w:val="none" w:sz="0" w:space="0" w:color="auto"/>
            <w:left w:val="none" w:sz="0" w:space="0" w:color="auto"/>
            <w:bottom w:val="none" w:sz="0" w:space="0" w:color="auto"/>
            <w:right w:val="none" w:sz="0" w:space="0" w:color="auto"/>
          </w:divBdr>
          <w:divsChild>
            <w:div w:id="1609309937">
              <w:marLeft w:val="240"/>
              <w:marRight w:val="0"/>
              <w:marTop w:val="60"/>
              <w:marBottom w:val="60"/>
              <w:divBdr>
                <w:top w:val="none" w:sz="0" w:space="0" w:color="auto"/>
                <w:left w:val="none" w:sz="0" w:space="0" w:color="auto"/>
                <w:bottom w:val="none" w:sz="0" w:space="0" w:color="auto"/>
                <w:right w:val="none" w:sz="0" w:space="0" w:color="auto"/>
              </w:divBdr>
              <w:divsChild>
                <w:div w:id="1085688056">
                  <w:marLeft w:val="0"/>
                  <w:marRight w:val="0"/>
                  <w:marTop w:val="0"/>
                  <w:marBottom w:val="0"/>
                  <w:divBdr>
                    <w:top w:val="none" w:sz="0" w:space="0" w:color="auto"/>
                    <w:left w:val="none" w:sz="0" w:space="0" w:color="auto"/>
                    <w:bottom w:val="none" w:sz="0" w:space="0" w:color="auto"/>
                    <w:right w:val="none" w:sz="0" w:space="0" w:color="auto"/>
                  </w:divBdr>
                </w:div>
              </w:divsChild>
            </w:div>
            <w:div w:id="554510436">
              <w:marLeft w:val="240"/>
              <w:marRight w:val="0"/>
              <w:marTop w:val="60"/>
              <w:marBottom w:val="60"/>
              <w:divBdr>
                <w:top w:val="none" w:sz="0" w:space="0" w:color="auto"/>
                <w:left w:val="none" w:sz="0" w:space="0" w:color="auto"/>
                <w:bottom w:val="none" w:sz="0" w:space="0" w:color="auto"/>
                <w:right w:val="none" w:sz="0" w:space="0" w:color="auto"/>
              </w:divBdr>
              <w:divsChild>
                <w:div w:id="207953292">
                  <w:marLeft w:val="0"/>
                  <w:marRight w:val="0"/>
                  <w:marTop w:val="0"/>
                  <w:marBottom w:val="0"/>
                  <w:divBdr>
                    <w:top w:val="none" w:sz="0" w:space="0" w:color="auto"/>
                    <w:left w:val="none" w:sz="0" w:space="0" w:color="auto"/>
                    <w:bottom w:val="none" w:sz="0" w:space="0" w:color="auto"/>
                    <w:right w:val="none" w:sz="0" w:space="0" w:color="auto"/>
                  </w:divBdr>
                </w:div>
              </w:divsChild>
            </w:div>
            <w:div w:id="1579822059">
              <w:marLeft w:val="240"/>
              <w:marRight w:val="0"/>
              <w:marTop w:val="60"/>
              <w:marBottom w:val="60"/>
              <w:divBdr>
                <w:top w:val="none" w:sz="0" w:space="0" w:color="auto"/>
                <w:left w:val="none" w:sz="0" w:space="0" w:color="auto"/>
                <w:bottom w:val="none" w:sz="0" w:space="0" w:color="auto"/>
                <w:right w:val="none" w:sz="0" w:space="0" w:color="auto"/>
              </w:divBdr>
              <w:divsChild>
                <w:div w:id="484586168">
                  <w:marLeft w:val="0"/>
                  <w:marRight w:val="0"/>
                  <w:marTop w:val="0"/>
                  <w:marBottom w:val="0"/>
                  <w:divBdr>
                    <w:top w:val="none" w:sz="0" w:space="0" w:color="auto"/>
                    <w:left w:val="none" w:sz="0" w:space="0" w:color="auto"/>
                    <w:bottom w:val="none" w:sz="0" w:space="0" w:color="auto"/>
                    <w:right w:val="none" w:sz="0" w:space="0" w:color="auto"/>
                  </w:divBdr>
                </w:div>
              </w:divsChild>
            </w:div>
            <w:div w:id="1859615450">
              <w:marLeft w:val="240"/>
              <w:marRight w:val="0"/>
              <w:marTop w:val="60"/>
              <w:marBottom w:val="60"/>
              <w:divBdr>
                <w:top w:val="none" w:sz="0" w:space="0" w:color="auto"/>
                <w:left w:val="none" w:sz="0" w:space="0" w:color="auto"/>
                <w:bottom w:val="none" w:sz="0" w:space="0" w:color="auto"/>
                <w:right w:val="none" w:sz="0" w:space="0" w:color="auto"/>
              </w:divBdr>
              <w:divsChild>
                <w:div w:id="18824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553">
          <w:marLeft w:val="0"/>
          <w:marRight w:val="0"/>
          <w:marTop w:val="0"/>
          <w:marBottom w:val="0"/>
          <w:divBdr>
            <w:top w:val="none" w:sz="0" w:space="0" w:color="auto"/>
            <w:left w:val="none" w:sz="0" w:space="0" w:color="auto"/>
            <w:bottom w:val="none" w:sz="0" w:space="0" w:color="auto"/>
            <w:right w:val="none" w:sz="0" w:space="0" w:color="auto"/>
          </w:divBdr>
        </w:div>
      </w:divsChild>
    </w:div>
    <w:div w:id="342510600">
      <w:bodyDiv w:val="1"/>
      <w:marLeft w:val="0"/>
      <w:marRight w:val="0"/>
      <w:marTop w:val="0"/>
      <w:marBottom w:val="0"/>
      <w:divBdr>
        <w:top w:val="none" w:sz="0" w:space="0" w:color="auto"/>
        <w:left w:val="none" w:sz="0" w:space="0" w:color="auto"/>
        <w:bottom w:val="none" w:sz="0" w:space="0" w:color="auto"/>
        <w:right w:val="none" w:sz="0" w:space="0" w:color="auto"/>
      </w:divBdr>
    </w:div>
    <w:div w:id="350231335">
      <w:bodyDiv w:val="1"/>
      <w:marLeft w:val="0"/>
      <w:marRight w:val="0"/>
      <w:marTop w:val="0"/>
      <w:marBottom w:val="0"/>
      <w:divBdr>
        <w:top w:val="none" w:sz="0" w:space="0" w:color="auto"/>
        <w:left w:val="none" w:sz="0" w:space="0" w:color="auto"/>
        <w:bottom w:val="none" w:sz="0" w:space="0" w:color="auto"/>
        <w:right w:val="none" w:sz="0" w:space="0" w:color="auto"/>
      </w:divBdr>
    </w:div>
    <w:div w:id="359596049">
      <w:bodyDiv w:val="1"/>
      <w:marLeft w:val="0"/>
      <w:marRight w:val="0"/>
      <w:marTop w:val="0"/>
      <w:marBottom w:val="0"/>
      <w:divBdr>
        <w:top w:val="none" w:sz="0" w:space="0" w:color="auto"/>
        <w:left w:val="none" w:sz="0" w:space="0" w:color="auto"/>
        <w:bottom w:val="none" w:sz="0" w:space="0" w:color="auto"/>
        <w:right w:val="none" w:sz="0" w:space="0" w:color="auto"/>
      </w:divBdr>
    </w:div>
    <w:div w:id="362368050">
      <w:bodyDiv w:val="1"/>
      <w:marLeft w:val="0"/>
      <w:marRight w:val="0"/>
      <w:marTop w:val="0"/>
      <w:marBottom w:val="0"/>
      <w:divBdr>
        <w:top w:val="none" w:sz="0" w:space="0" w:color="auto"/>
        <w:left w:val="none" w:sz="0" w:space="0" w:color="auto"/>
        <w:bottom w:val="none" w:sz="0" w:space="0" w:color="auto"/>
        <w:right w:val="none" w:sz="0" w:space="0" w:color="auto"/>
      </w:divBdr>
    </w:div>
    <w:div w:id="364907686">
      <w:bodyDiv w:val="1"/>
      <w:marLeft w:val="0"/>
      <w:marRight w:val="0"/>
      <w:marTop w:val="0"/>
      <w:marBottom w:val="0"/>
      <w:divBdr>
        <w:top w:val="none" w:sz="0" w:space="0" w:color="auto"/>
        <w:left w:val="none" w:sz="0" w:space="0" w:color="auto"/>
        <w:bottom w:val="none" w:sz="0" w:space="0" w:color="auto"/>
        <w:right w:val="none" w:sz="0" w:space="0" w:color="auto"/>
      </w:divBdr>
    </w:div>
    <w:div w:id="366031510">
      <w:bodyDiv w:val="1"/>
      <w:marLeft w:val="0"/>
      <w:marRight w:val="0"/>
      <w:marTop w:val="0"/>
      <w:marBottom w:val="0"/>
      <w:divBdr>
        <w:top w:val="none" w:sz="0" w:space="0" w:color="auto"/>
        <w:left w:val="none" w:sz="0" w:space="0" w:color="auto"/>
        <w:bottom w:val="none" w:sz="0" w:space="0" w:color="auto"/>
        <w:right w:val="none" w:sz="0" w:space="0" w:color="auto"/>
      </w:divBdr>
    </w:div>
    <w:div w:id="368845995">
      <w:bodyDiv w:val="1"/>
      <w:marLeft w:val="0"/>
      <w:marRight w:val="0"/>
      <w:marTop w:val="0"/>
      <w:marBottom w:val="0"/>
      <w:divBdr>
        <w:top w:val="none" w:sz="0" w:space="0" w:color="auto"/>
        <w:left w:val="none" w:sz="0" w:space="0" w:color="auto"/>
        <w:bottom w:val="none" w:sz="0" w:space="0" w:color="auto"/>
        <w:right w:val="none" w:sz="0" w:space="0" w:color="auto"/>
      </w:divBdr>
    </w:div>
    <w:div w:id="391076464">
      <w:bodyDiv w:val="1"/>
      <w:marLeft w:val="0"/>
      <w:marRight w:val="0"/>
      <w:marTop w:val="0"/>
      <w:marBottom w:val="0"/>
      <w:divBdr>
        <w:top w:val="none" w:sz="0" w:space="0" w:color="auto"/>
        <w:left w:val="none" w:sz="0" w:space="0" w:color="auto"/>
        <w:bottom w:val="none" w:sz="0" w:space="0" w:color="auto"/>
        <w:right w:val="none" w:sz="0" w:space="0" w:color="auto"/>
      </w:divBdr>
    </w:div>
    <w:div w:id="397048161">
      <w:bodyDiv w:val="1"/>
      <w:marLeft w:val="0"/>
      <w:marRight w:val="0"/>
      <w:marTop w:val="0"/>
      <w:marBottom w:val="0"/>
      <w:divBdr>
        <w:top w:val="none" w:sz="0" w:space="0" w:color="auto"/>
        <w:left w:val="none" w:sz="0" w:space="0" w:color="auto"/>
        <w:bottom w:val="none" w:sz="0" w:space="0" w:color="auto"/>
        <w:right w:val="none" w:sz="0" w:space="0" w:color="auto"/>
      </w:divBdr>
    </w:div>
    <w:div w:id="413356710">
      <w:bodyDiv w:val="1"/>
      <w:marLeft w:val="0"/>
      <w:marRight w:val="0"/>
      <w:marTop w:val="0"/>
      <w:marBottom w:val="0"/>
      <w:divBdr>
        <w:top w:val="none" w:sz="0" w:space="0" w:color="auto"/>
        <w:left w:val="none" w:sz="0" w:space="0" w:color="auto"/>
        <w:bottom w:val="none" w:sz="0" w:space="0" w:color="auto"/>
        <w:right w:val="none" w:sz="0" w:space="0" w:color="auto"/>
      </w:divBdr>
    </w:div>
    <w:div w:id="425267227">
      <w:bodyDiv w:val="1"/>
      <w:marLeft w:val="0"/>
      <w:marRight w:val="0"/>
      <w:marTop w:val="0"/>
      <w:marBottom w:val="0"/>
      <w:divBdr>
        <w:top w:val="none" w:sz="0" w:space="0" w:color="auto"/>
        <w:left w:val="none" w:sz="0" w:space="0" w:color="auto"/>
        <w:bottom w:val="none" w:sz="0" w:space="0" w:color="auto"/>
        <w:right w:val="none" w:sz="0" w:space="0" w:color="auto"/>
      </w:divBdr>
    </w:div>
    <w:div w:id="425930424">
      <w:bodyDiv w:val="1"/>
      <w:marLeft w:val="0"/>
      <w:marRight w:val="0"/>
      <w:marTop w:val="0"/>
      <w:marBottom w:val="0"/>
      <w:divBdr>
        <w:top w:val="none" w:sz="0" w:space="0" w:color="auto"/>
        <w:left w:val="none" w:sz="0" w:space="0" w:color="auto"/>
        <w:bottom w:val="none" w:sz="0" w:space="0" w:color="auto"/>
        <w:right w:val="none" w:sz="0" w:space="0" w:color="auto"/>
      </w:divBdr>
    </w:div>
    <w:div w:id="436484351">
      <w:bodyDiv w:val="1"/>
      <w:marLeft w:val="0"/>
      <w:marRight w:val="0"/>
      <w:marTop w:val="0"/>
      <w:marBottom w:val="0"/>
      <w:divBdr>
        <w:top w:val="none" w:sz="0" w:space="0" w:color="auto"/>
        <w:left w:val="none" w:sz="0" w:space="0" w:color="auto"/>
        <w:bottom w:val="none" w:sz="0" w:space="0" w:color="auto"/>
        <w:right w:val="none" w:sz="0" w:space="0" w:color="auto"/>
      </w:divBdr>
    </w:div>
    <w:div w:id="437069077">
      <w:bodyDiv w:val="1"/>
      <w:marLeft w:val="0"/>
      <w:marRight w:val="0"/>
      <w:marTop w:val="0"/>
      <w:marBottom w:val="0"/>
      <w:divBdr>
        <w:top w:val="none" w:sz="0" w:space="0" w:color="auto"/>
        <w:left w:val="none" w:sz="0" w:space="0" w:color="auto"/>
        <w:bottom w:val="none" w:sz="0" w:space="0" w:color="auto"/>
        <w:right w:val="none" w:sz="0" w:space="0" w:color="auto"/>
      </w:divBdr>
    </w:div>
    <w:div w:id="438572764">
      <w:bodyDiv w:val="1"/>
      <w:marLeft w:val="0"/>
      <w:marRight w:val="0"/>
      <w:marTop w:val="0"/>
      <w:marBottom w:val="0"/>
      <w:divBdr>
        <w:top w:val="none" w:sz="0" w:space="0" w:color="auto"/>
        <w:left w:val="none" w:sz="0" w:space="0" w:color="auto"/>
        <w:bottom w:val="none" w:sz="0" w:space="0" w:color="auto"/>
        <w:right w:val="none" w:sz="0" w:space="0" w:color="auto"/>
      </w:divBdr>
    </w:div>
    <w:div w:id="459883667">
      <w:bodyDiv w:val="1"/>
      <w:marLeft w:val="0"/>
      <w:marRight w:val="0"/>
      <w:marTop w:val="0"/>
      <w:marBottom w:val="0"/>
      <w:divBdr>
        <w:top w:val="none" w:sz="0" w:space="0" w:color="auto"/>
        <w:left w:val="none" w:sz="0" w:space="0" w:color="auto"/>
        <w:bottom w:val="none" w:sz="0" w:space="0" w:color="auto"/>
        <w:right w:val="none" w:sz="0" w:space="0" w:color="auto"/>
      </w:divBdr>
    </w:div>
    <w:div w:id="474027020">
      <w:bodyDiv w:val="1"/>
      <w:marLeft w:val="0"/>
      <w:marRight w:val="0"/>
      <w:marTop w:val="0"/>
      <w:marBottom w:val="0"/>
      <w:divBdr>
        <w:top w:val="none" w:sz="0" w:space="0" w:color="auto"/>
        <w:left w:val="none" w:sz="0" w:space="0" w:color="auto"/>
        <w:bottom w:val="none" w:sz="0" w:space="0" w:color="auto"/>
        <w:right w:val="none" w:sz="0" w:space="0" w:color="auto"/>
      </w:divBdr>
    </w:div>
    <w:div w:id="484322157">
      <w:bodyDiv w:val="1"/>
      <w:marLeft w:val="0"/>
      <w:marRight w:val="0"/>
      <w:marTop w:val="0"/>
      <w:marBottom w:val="0"/>
      <w:divBdr>
        <w:top w:val="none" w:sz="0" w:space="0" w:color="auto"/>
        <w:left w:val="none" w:sz="0" w:space="0" w:color="auto"/>
        <w:bottom w:val="none" w:sz="0" w:space="0" w:color="auto"/>
        <w:right w:val="none" w:sz="0" w:space="0" w:color="auto"/>
      </w:divBdr>
      <w:divsChild>
        <w:div w:id="40329059">
          <w:marLeft w:val="240"/>
          <w:marRight w:val="0"/>
          <w:marTop w:val="60"/>
          <w:marBottom w:val="60"/>
          <w:divBdr>
            <w:top w:val="none" w:sz="0" w:space="0" w:color="auto"/>
            <w:left w:val="none" w:sz="0" w:space="0" w:color="auto"/>
            <w:bottom w:val="none" w:sz="0" w:space="0" w:color="auto"/>
            <w:right w:val="none" w:sz="0" w:space="0" w:color="auto"/>
          </w:divBdr>
          <w:divsChild>
            <w:div w:id="555624980">
              <w:marLeft w:val="240"/>
              <w:marRight w:val="0"/>
              <w:marTop w:val="60"/>
              <w:marBottom w:val="60"/>
              <w:divBdr>
                <w:top w:val="none" w:sz="0" w:space="0" w:color="auto"/>
                <w:left w:val="none" w:sz="0" w:space="0" w:color="auto"/>
                <w:bottom w:val="none" w:sz="0" w:space="0" w:color="auto"/>
                <w:right w:val="none" w:sz="0" w:space="0" w:color="auto"/>
              </w:divBdr>
              <w:divsChild>
                <w:div w:id="254829606">
                  <w:marLeft w:val="240"/>
                  <w:marRight w:val="0"/>
                  <w:marTop w:val="60"/>
                  <w:marBottom w:val="60"/>
                  <w:divBdr>
                    <w:top w:val="none" w:sz="0" w:space="0" w:color="auto"/>
                    <w:left w:val="none" w:sz="0" w:space="0" w:color="auto"/>
                    <w:bottom w:val="none" w:sz="0" w:space="0" w:color="auto"/>
                    <w:right w:val="none" w:sz="0" w:space="0" w:color="auto"/>
                  </w:divBdr>
                  <w:divsChild>
                    <w:div w:id="1813133253">
                      <w:marLeft w:val="0"/>
                      <w:marRight w:val="0"/>
                      <w:marTop w:val="0"/>
                      <w:marBottom w:val="0"/>
                      <w:divBdr>
                        <w:top w:val="none" w:sz="0" w:space="0" w:color="auto"/>
                        <w:left w:val="none" w:sz="0" w:space="0" w:color="auto"/>
                        <w:bottom w:val="none" w:sz="0" w:space="0" w:color="auto"/>
                        <w:right w:val="none" w:sz="0" w:space="0" w:color="auto"/>
                      </w:divBdr>
                    </w:div>
                  </w:divsChild>
                </w:div>
                <w:div w:id="1971862607">
                  <w:marLeft w:val="240"/>
                  <w:marRight w:val="0"/>
                  <w:marTop w:val="60"/>
                  <w:marBottom w:val="60"/>
                  <w:divBdr>
                    <w:top w:val="none" w:sz="0" w:space="0" w:color="auto"/>
                    <w:left w:val="none" w:sz="0" w:space="0" w:color="auto"/>
                    <w:bottom w:val="none" w:sz="0" w:space="0" w:color="auto"/>
                    <w:right w:val="none" w:sz="0" w:space="0" w:color="auto"/>
                  </w:divBdr>
                  <w:divsChild>
                    <w:div w:id="603074109">
                      <w:marLeft w:val="0"/>
                      <w:marRight w:val="0"/>
                      <w:marTop w:val="0"/>
                      <w:marBottom w:val="0"/>
                      <w:divBdr>
                        <w:top w:val="none" w:sz="0" w:space="0" w:color="auto"/>
                        <w:left w:val="none" w:sz="0" w:space="0" w:color="auto"/>
                        <w:bottom w:val="none" w:sz="0" w:space="0" w:color="auto"/>
                        <w:right w:val="none" w:sz="0" w:space="0" w:color="auto"/>
                      </w:divBdr>
                    </w:div>
                  </w:divsChild>
                </w:div>
                <w:div w:id="877354698">
                  <w:marLeft w:val="522"/>
                  <w:marRight w:val="0"/>
                  <w:marTop w:val="0"/>
                  <w:marBottom w:val="0"/>
                  <w:divBdr>
                    <w:top w:val="none" w:sz="0" w:space="0" w:color="auto"/>
                    <w:left w:val="none" w:sz="0" w:space="0" w:color="auto"/>
                    <w:bottom w:val="none" w:sz="0" w:space="0" w:color="auto"/>
                    <w:right w:val="none" w:sz="0" w:space="0" w:color="auto"/>
                  </w:divBdr>
                </w:div>
              </w:divsChild>
            </w:div>
            <w:div w:id="955671517">
              <w:marLeft w:val="240"/>
              <w:marRight w:val="0"/>
              <w:marTop w:val="60"/>
              <w:marBottom w:val="60"/>
              <w:divBdr>
                <w:top w:val="none" w:sz="0" w:space="0" w:color="auto"/>
                <w:left w:val="none" w:sz="0" w:space="0" w:color="auto"/>
                <w:bottom w:val="none" w:sz="0" w:space="0" w:color="auto"/>
                <w:right w:val="none" w:sz="0" w:space="0" w:color="auto"/>
              </w:divBdr>
              <w:divsChild>
                <w:div w:id="1695616446">
                  <w:marLeft w:val="0"/>
                  <w:marRight w:val="0"/>
                  <w:marTop w:val="0"/>
                  <w:marBottom w:val="0"/>
                  <w:divBdr>
                    <w:top w:val="none" w:sz="0" w:space="0" w:color="auto"/>
                    <w:left w:val="none" w:sz="0" w:space="0" w:color="auto"/>
                    <w:bottom w:val="none" w:sz="0" w:space="0" w:color="auto"/>
                    <w:right w:val="none" w:sz="0" w:space="0" w:color="auto"/>
                  </w:divBdr>
                </w:div>
              </w:divsChild>
            </w:div>
            <w:div w:id="2039119814">
              <w:marLeft w:val="240"/>
              <w:marRight w:val="0"/>
              <w:marTop w:val="60"/>
              <w:marBottom w:val="60"/>
              <w:divBdr>
                <w:top w:val="none" w:sz="0" w:space="0" w:color="auto"/>
                <w:left w:val="none" w:sz="0" w:space="0" w:color="auto"/>
                <w:bottom w:val="none" w:sz="0" w:space="0" w:color="auto"/>
                <w:right w:val="none" w:sz="0" w:space="0" w:color="auto"/>
              </w:divBdr>
              <w:divsChild>
                <w:div w:id="89963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4240">
          <w:marLeft w:val="240"/>
          <w:marRight w:val="0"/>
          <w:marTop w:val="60"/>
          <w:marBottom w:val="60"/>
          <w:divBdr>
            <w:top w:val="none" w:sz="0" w:space="0" w:color="auto"/>
            <w:left w:val="none" w:sz="0" w:space="0" w:color="auto"/>
            <w:bottom w:val="none" w:sz="0" w:space="0" w:color="auto"/>
            <w:right w:val="none" w:sz="0" w:space="0" w:color="auto"/>
          </w:divBdr>
          <w:divsChild>
            <w:div w:id="1972830553">
              <w:marLeft w:val="240"/>
              <w:marRight w:val="0"/>
              <w:marTop w:val="60"/>
              <w:marBottom w:val="60"/>
              <w:divBdr>
                <w:top w:val="none" w:sz="0" w:space="0" w:color="auto"/>
                <w:left w:val="none" w:sz="0" w:space="0" w:color="auto"/>
                <w:bottom w:val="none" w:sz="0" w:space="0" w:color="auto"/>
                <w:right w:val="none" w:sz="0" w:space="0" w:color="auto"/>
              </w:divBdr>
              <w:divsChild>
                <w:div w:id="1933052932">
                  <w:marLeft w:val="0"/>
                  <w:marRight w:val="0"/>
                  <w:marTop w:val="0"/>
                  <w:marBottom w:val="0"/>
                  <w:divBdr>
                    <w:top w:val="none" w:sz="0" w:space="0" w:color="auto"/>
                    <w:left w:val="none" w:sz="0" w:space="0" w:color="auto"/>
                    <w:bottom w:val="none" w:sz="0" w:space="0" w:color="auto"/>
                    <w:right w:val="none" w:sz="0" w:space="0" w:color="auto"/>
                  </w:divBdr>
                </w:div>
              </w:divsChild>
            </w:div>
            <w:div w:id="977492199">
              <w:marLeft w:val="240"/>
              <w:marRight w:val="0"/>
              <w:marTop w:val="60"/>
              <w:marBottom w:val="60"/>
              <w:divBdr>
                <w:top w:val="none" w:sz="0" w:space="0" w:color="auto"/>
                <w:left w:val="none" w:sz="0" w:space="0" w:color="auto"/>
                <w:bottom w:val="none" w:sz="0" w:space="0" w:color="auto"/>
                <w:right w:val="none" w:sz="0" w:space="0" w:color="auto"/>
              </w:divBdr>
              <w:divsChild>
                <w:div w:id="7624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8411">
          <w:marLeft w:val="240"/>
          <w:marRight w:val="0"/>
          <w:marTop w:val="60"/>
          <w:marBottom w:val="60"/>
          <w:divBdr>
            <w:top w:val="none" w:sz="0" w:space="0" w:color="auto"/>
            <w:left w:val="none" w:sz="0" w:space="0" w:color="auto"/>
            <w:bottom w:val="none" w:sz="0" w:space="0" w:color="auto"/>
            <w:right w:val="none" w:sz="0" w:space="0" w:color="auto"/>
          </w:divBdr>
          <w:divsChild>
            <w:div w:id="588852137">
              <w:marLeft w:val="0"/>
              <w:marRight w:val="0"/>
              <w:marTop w:val="0"/>
              <w:marBottom w:val="0"/>
              <w:divBdr>
                <w:top w:val="none" w:sz="0" w:space="0" w:color="auto"/>
                <w:left w:val="none" w:sz="0" w:space="0" w:color="auto"/>
                <w:bottom w:val="none" w:sz="0" w:space="0" w:color="auto"/>
                <w:right w:val="none" w:sz="0" w:space="0" w:color="auto"/>
              </w:divBdr>
            </w:div>
          </w:divsChild>
        </w:div>
        <w:div w:id="1566262935">
          <w:marLeft w:val="240"/>
          <w:marRight w:val="0"/>
          <w:marTop w:val="60"/>
          <w:marBottom w:val="60"/>
          <w:divBdr>
            <w:top w:val="none" w:sz="0" w:space="0" w:color="auto"/>
            <w:left w:val="none" w:sz="0" w:space="0" w:color="auto"/>
            <w:bottom w:val="none" w:sz="0" w:space="0" w:color="auto"/>
            <w:right w:val="none" w:sz="0" w:space="0" w:color="auto"/>
          </w:divBdr>
          <w:divsChild>
            <w:div w:id="1869832074">
              <w:marLeft w:val="0"/>
              <w:marRight w:val="0"/>
              <w:marTop w:val="0"/>
              <w:marBottom w:val="0"/>
              <w:divBdr>
                <w:top w:val="none" w:sz="0" w:space="0" w:color="auto"/>
                <w:left w:val="none" w:sz="0" w:space="0" w:color="auto"/>
                <w:bottom w:val="none" w:sz="0" w:space="0" w:color="auto"/>
                <w:right w:val="none" w:sz="0" w:space="0" w:color="auto"/>
              </w:divBdr>
            </w:div>
          </w:divsChild>
        </w:div>
        <w:div w:id="1506943329">
          <w:marLeft w:val="240"/>
          <w:marRight w:val="0"/>
          <w:marTop w:val="60"/>
          <w:marBottom w:val="60"/>
          <w:divBdr>
            <w:top w:val="none" w:sz="0" w:space="0" w:color="auto"/>
            <w:left w:val="none" w:sz="0" w:space="0" w:color="auto"/>
            <w:bottom w:val="none" w:sz="0" w:space="0" w:color="auto"/>
            <w:right w:val="none" w:sz="0" w:space="0" w:color="auto"/>
          </w:divBdr>
          <w:divsChild>
            <w:div w:id="723257931">
              <w:marLeft w:val="0"/>
              <w:marRight w:val="0"/>
              <w:marTop w:val="0"/>
              <w:marBottom w:val="0"/>
              <w:divBdr>
                <w:top w:val="none" w:sz="0" w:space="0" w:color="auto"/>
                <w:left w:val="none" w:sz="0" w:space="0" w:color="auto"/>
                <w:bottom w:val="none" w:sz="0" w:space="0" w:color="auto"/>
                <w:right w:val="none" w:sz="0" w:space="0" w:color="auto"/>
              </w:divBdr>
            </w:div>
          </w:divsChild>
        </w:div>
        <w:div w:id="701132919">
          <w:marLeft w:val="0"/>
          <w:marRight w:val="0"/>
          <w:marTop w:val="0"/>
          <w:marBottom w:val="0"/>
          <w:divBdr>
            <w:top w:val="none" w:sz="0" w:space="0" w:color="auto"/>
            <w:left w:val="none" w:sz="0" w:space="0" w:color="auto"/>
            <w:bottom w:val="none" w:sz="0" w:space="0" w:color="auto"/>
            <w:right w:val="none" w:sz="0" w:space="0" w:color="auto"/>
          </w:divBdr>
        </w:div>
      </w:divsChild>
    </w:div>
    <w:div w:id="498544703">
      <w:bodyDiv w:val="1"/>
      <w:marLeft w:val="0"/>
      <w:marRight w:val="0"/>
      <w:marTop w:val="0"/>
      <w:marBottom w:val="0"/>
      <w:divBdr>
        <w:top w:val="none" w:sz="0" w:space="0" w:color="auto"/>
        <w:left w:val="none" w:sz="0" w:space="0" w:color="auto"/>
        <w:bottom w:val="none" w:sz="0" w:space="0" w:color="auto"/>
        <w:right w:val="none" w:sz="0" w:space="0" w:color="auto"/>
      </w:divBdr>
    </w:div>
    <w:div w:id="505756264">
      <w:bodyDiv w:val="1"/>
      <w:marLeft w:val="0"/>
      <w:marRight w:val="0"/>
      <w:marTop w:val="0"/>
      <w:marBottom w:val="0"/>
      <w:divBdr>
        <w:top w:val="none" w:sz="0" w:space="0" w:color="auto"/>
        <w:left w:val="none" w:sz="0" w:space="0" w:color="auto"/>
        <w:bottom w:val="none" w:sz="0" w:space="0" w:color="auto"/>
        <w:right w:val="none" w:sz="0" w:space="0" w:color="auto"/>
      </w:divBdr>
    </w:div>
    <w:div w:id="512383291">
      <w:bodyDiv w:val="1"/>
      <w:marLeft w:val="0"/>
      <w:marRight w:val="0"/>
      <w:marTop w:val="0"/>
      <w:marBottom w:val="0"/>
      <w:divBdr>
        <w:top w:val="none" w:sz="0" w:space="0" w:color="auto"/>
        <w:left w:val="none" w:sz="0" w:space="0" w:color="auto"/>
        <w:bottom w:val="none" w:sz="0" w:space="0" w:color="auto"/>
        <w:right w:val="none" w:sz="0" w:space="0" w:color="auto"/>
      </w:divBdr>
    </w:div>
    <w:div w:id="515507550">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1">
          <w:marLeft w:val="240"/>
          <w:marRight w:val="0"/>
          <w:marTop w:val="60"/>
          <w:marBottom w:val="60"/>
          <w:divBdr>
            <w:top w:val="none" w:sz="0" w:space="0" w:color="auto"/>
            <w:left w:val="none" w:sz="0" w:space="0" w:color="auto"/>
            <w:bottom w:val="none" w:sz="0" w:space="0" w:color="auto"/>
            <w:right w:val="none" w:sz="0" w:space="0" w:color="auto"/>
          </w:divBdr>
          <w:divsChild>
            <w:div w:id="650404375">
              <w:marLeft w:val="240"/>
              <w:marRight w:val="0"/>
              <w:marTop w:val="60"/>
              <w:marBottom w:val="60"/>
              <w:divBdr>
                <w:top w:val="none" w:sz="0" w:space="0" w:color="auto"/>
                <w:left w:val="none" w:sz="0" w:space="0" w:color="auto"/>
                <w:bottom w:val="none" w:sz="0" w:space="0" w:color="auto"/>
                <w:right w:val="none" w:sz="0" w:space="0" w:color="auto"/>
              </w:divBdr>
              <w:divsChild>
                <w:div w:id="1617905980">
                  <w:marLeft w:val="0"/>
                  <w:marRight w:val="0"/>
                  <w:marTop w:val="0"/>
                  <w:marBottom w:val="0"/>
                  <w:divBdr>
                    <w:top w:val="none" w:sz="0" w:space="0" w:color="auto"/>
                    <w:left w:val="none" w:sz="0" w:space="0" w:color="auto"/>
                    <w:bottom w:val="none" w:sz="0" w:space="0" w:color="auto"/>
                    <w:right w:val="none" w:sz="0" w:space="0" w:color="auto"/>
                  </w:divBdr>
                </w:div>
              </w:divsChild>
            </w:div>
            <w:div w:id="1996101596">
              <w:marLeft w:val="240"/>
              <w:marRight w:val="0"/>
              <w:marTop w:val="60"/>
              <w:marBottom w:val="60"/>
              <w:divBdr>
                <w:top w:val="none" w:sz="0" w:space="0" w:color="auto"/>
                <w:left w:val="none" w:sz="0" w:space="0" w:color="auto"/>
                <w:bottom w:val="none" w:sz="0" w:space="0" w:color="auto"/>
                <w:right w:val="none" w:sz="0" w:space="0" w:color="auto"/>
              </w:divBdr>
              <w:divsChild>
                <w:div w:id="904487576">
                  <w:marLeft w:val="0"/>
                  <w:marRight w:val="0"/>
                  <w:marTop w:val="0"/>
                  <w:marBottom w:val="0"/>
                  <w:divBdr>
                    <w:top w:val="none" w:sz="0" w:space="0" w:color="auto"/>
                    <w:left w:val="none" w:sz="0" w:space="0" w:color="auto"/>
                    <w:bottom w:val="none" w:sz="0" w:space="0" w:color="auto"/>
                    <w:right w:val="none" w:sz="0" w:space="0" w:color="auto"/>
                  </w:divBdr>
                </w:div>
              </w:divsChild>
            </w:div>
            <w:div w:id="1091664738">
              <w:marLeft w:val="240"/>
              <w:marRight w:val="0"/>
              <w:marTop w:val="60"/>
              <w:marBottom w:val="60"/>
              <w:divBdr>
                <w:top w:val="none" w:sz="0" w:space="0" w:color="auto"/>
                <w:left w:val="none" w:sz="0" w:space="0" w:color="auto"/>
                <w:bottom w:val="none" w:sz="0" w:space="0" w:color="auto"/>
                <w:right w:val="none" w:sz="0" w:space="0" w:color="auto"/>
              </w:divBdr>
              <w:divsChild>
                <w:div w:id="1466855397">
                  <w:marLeft w:val="0"/>
                  <w:marRight w:val="0"/>
                  <w:marTop w:val="0"/>
                  <w:marBottom w:val="0"/>
                  <w:divBdr>
                    <w:top w:val="none" w:sz="0" w:space="0" w:color="auto"/>
                    <w:left w:val="none" w:sz="0" w:space="0" w:color="auto"/>
                    <w:bottom w:val="none" w:sz="0" w:space="0" w:color="auto"/>
                    <w:right w:val="none" w:sz="0" w:space="0" w:color="auto"/>
                  </w:divBdr>
                </w:div>
              </w:divsChild>
            </w:div>
            <w:div w:id="2015303140">
              <w:marLeft w:val="240"/>
              <w:marRight w:val="0"/>
              <w:marTop w:val="60"/>
              <w:marBottom w:val="60"/>
              <w:divBdr>
                <w:top w:val="none" w:sz="0" w:space="0" w:color="auto"/>
                <w:left w:val="none" w:sz="0" w:space="0" w:color="auto"/>
                <w:bottom w:val="none" w:sz="0" w:space="0" w:color="auto"/>
                <w:right w:val="none" w:sz="0" w:space="0" w:color="auto"/>
              </w:divBdr>
              <w:divsChild>
                <w:div w:id="1134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23736">
          <w:marLeft w:val="240"/>
          <w:marRight w:val="0"/>
          <w:marTop w:val="60"/>
          <w:marBottom w:val="60"/>
          <w:divBdr>
            <w:top w:val="none" w:sz="0" w:space="0" w:color="auto"/>
            <w:left w:val="none" w:sz="0" w:space="0" w:color="auto"/>
            <w:bottom w:val="none" w:sz="0" w:space="0" w:color="auto"/>
            <w:right w:val="none" w:sz="0" w:space="0" w:color="auto"/>
          </w:divBdr>
          <w:divsChild>
            <w:div w:id="1984503513">
              <w:marLeft w:val="240"/>
              <w:marRight w:val="0"/>
              <w:marTop w:val="60"/>
              <w:marBottom w:val="60"/>
              <w:divBdr>
                <w:top w:val="none" w:sz="0" w:space="0" w:color="auto"/>
                <w:left w:val="none" w:sz="0" w:space="0" w:color="auto"/>
                <w:bottom w:val="none" w:sz="0" w:space="0" w:color="auto"/>
                <w:right w:val="none" w:sz="0" w:space="0" w:color="auto"/>
              </w:divBdr>
              <w:divsChild>
                <w:div w:id="361831719">
                  <w:marLeft w:val="0"/>
                  <w:marRight w:val="0"/>
                  <w:marTop w:val="0"/>
                  <w:marBottom w:val="0"/>
                  <w:divBdr>
                    <w:top w:val="none" w:sz="0" w:space="0" w:color="auto"/>
                    <w:left w:val="none" w:sz="0" w:space="0" w:color="auto"/>
                    <w:bottom w:val="none" w:sz="0" w:space="0" w:color="auto"/>
                    <w:right w:val="none" w:sz="0" w:space="0" w:color="auto"/>
                  </w:divBdr>
                </w:div>
              </w:divsChild>
            </w:div>
            <w:div w:id="2010255175">
              <w:marLeft w:val="240"/>
              <w:marRight w:val="0"/>
              <w:marTop w:val="60"/>
              <w:marBottom w:val="60"/>
              <w:divBdr>
                <w:top w:val="none" w:sz="0" w:space="0" w:color="auto"/>
                <w:left w:val="none" w:sz="0" w:space="0" w:color="auto"/>
                <w:bottom w:val="none" w:sz="0" w:space="0" w:color="auto"/>
                <w:right w:val="none" w:sz="0" w:space="0" w:color="auto"/>
              </w:divBdr>
              <w:divsChild>
                <w:div w:id="17652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08094">
          <w:marLeft w:val="0"/>
          <w:marRight w:val="0"/>
          <w:marTop w:val="0"/>
          <w:marBottom w:val="0"/>
          <w:divBdr>
            <w:top w:val="none" w:sz="0" w:space="0" w:color="auto"/>
            <w:left w:val="none" w:sz="0" w:space="0" w:color="auto"/>
            <w:bottom w:val="none" w:sz="0" w:space="0" w:color="auto"/>
            <w:right w:val="none" w:sz="0" w:space="0" w:color="auto"/>
          </w:divBdr>
        </w:div>
      </w:divsChild>
    </w:div>
    <w:div w:id="523789104">
      <w:bodyDiv w:val="1"/>
      <w:marLeft w:val="0"/>
      <w:marRight w:val="0"/>
      <w:marTop w:val="0"/>
      <w:marBottom w:val="0"/>
      <w:divBdr>
        <w:top w:val="none" w:sz="0" w:space="0" w:color="auto"/>
        <w:left w:val="none" w:sz="0" w:space="0" w:color="auto"/>
        <w:bottom w:val="none" w:sz="0" w:space="0" w:color="auto"/>
        <w:right w:val="none" w:sz="0" w:space="0" w:color="auto"/>
      </w:divBdr>
      <w:divsChild>
        <w:div w:id="85661274">
          <w:marLeft w:val="240"/>
          <w:marRight w:val="0"/>
          <w:marTop w:val="60"/>
          <w:marBottom w:val="60"/>
          <w:divBdr>
            <w:top w:val="none" w:sz="0" w:space="0" w:color="auto"/>
            <w:left w:val="none" w:sz="0" w:space="0" w:color="auto"/>
            <w:bottom w:val="none" w:sz="0" w:space="0" w:color="auto"/>
            <w:right w:val="none" w:sz="0" w:space="0" w:color="auto"/>
          </w:divBdr>
          <w:divsChild>
            <w:div w:id="950552634">
              <w:marLeft w:val="0"/>
              <w:marRight w:val="0"/>
              <w:marTop w:val="0"/>
              <w:marBottom w:val="0"/>
              <w:divBdr>
                <w:top w:val="none" w:sz="0" w:space="0" w:color="auto"/>
                <w:left w:val="none" w:sz="0" w:space="0" w:color="auto"/>
                <w:bottom w:val="none" w:sz="0" w:space="0" w:color="auto"/>
                <w:right w:val="none" w:sz="0" w:space="0" w:color="auto"/>
              </w:divBdr>
            </w:div>
          </w:divsChild>
        </w:div>
        <w:div w:id="1204446973">
          <w:marLeft w:val="240"/>
          <w:marRight w:val="0"/>
          <w:marTop w:val="60"/>
          <w:marBottom w:val="60"/>
          <w:divBdr>
            <w:top w:val="none" w:sz="0" w:space="0" w:color="auto"/>
            <w:left w:val="none" w:sz="0" w:space="0" w:color="auto"/>
            <w:bottom w:val="none" w:sz="0" w:space="0" w:color="auto"/>
            <w:right w:val="none" w:sz="0" w:space="0" w:color="auto"/>
          </w:divBdr>
          <w:divsChild>
            <w:div w:id="2022123995">
              <w:marLeft w:val="0"/>
              <w:marRight w:val="0"/>
              <w:marTop w:val="0"/>
              <w:marBottom w:val="0"/>
              <w:divBdr>
                <w:top w:val="none" w:sz="0" w:space="0" w:color="auto"/>
                <w:left w:val="none" w:sz="0" w:space="0" w:color="auto"/>
                <w:bottom w:val="none" w:sz="0" w:space="0" w:color="auto"/>
                <w:right w:val="none" w:sz="0" w:space="0" w:color="auto"/>
              </w:divBdr>
            </w:div>
          </w:divsChild>
        </w:div>
        <w:div w:id="894270305">
          <w:marLeft w:val="240"/>
          <w:marRight w:val="0"/>
          <w:marTop w:val="60"/>
          <w:marBottom w:val="60"/>
          <w:divBdr>
            <w:top w:val="none" w:sz="0" w:space="0" w:color="auto"/>
            <w:left w:val="none" w:sz="0" w:space="0" w:color="auto"/>
            <w:bottom w:val="none" w:sz="0" w:space="0" w:color="auto"/>
            <w:right w:val="none" w:sz="0" w:space="0" w:color="auto"/>
          </w:divBdr>
          <w:divsChild>
            <w:div w:id="2010214013">
              <w:marLeft w:val="240"/>
              <w:marRight w:val="0"/>
              <w:marTop w:val="60"/>
              <w:marBottom w:val="60"/>
              <w:divBdr>
                <w:top w:val="none" w:sz="0" w:space="0" w:color="auto"/>
                <w:left w:val="none" w:sz="0" w:space="0" w:color="auto"/>
                <w:bottom w:val="none" w:sz="0" w:space="0" w:color="auto"/>
                <w:right w:val="none" w:sz="0" w:space="0" w:color="auto"/>
              </w:divBdr>
              <w:divsChild>
                <w:div w:id="373235617">
                  <w:marLeft w:val="0"/>
                  <w:marRight w:val="0"/>
                  <w:marTop w:val="0"/>
                  <w:marBottom w:val="0"/>
                  <w:divBdr>
                    <w:top w:val="none" w:sz="0" w:space="0" w:color="auto"/>
                    <w:left w:val="none" w:sz="0" w:space="0" w:color="auto"/>
                    <w:bottom w:val="none" w:sz="0" w:space="0" w:color="auto"/>
                    <w:right w:val="none" w:sz="0" w:space="0" w:color="auto"/>
                  </w:divBdr>
                </w:div>
              </w:divsChild>
            </w:div>
            <w:div w:id="840437711">
              <w:marLeft w:val="240"/>
              <w:marRight w:val="0"/>
              <w:marTop w:val="60"/>
              <w:marBottom w:val="60"/>
              <w:divBdr>
                <w:top w:val="none" w:sz="0" w:space="0" w:color="auto"/>
                <w:left w:val="none" w:sz="0" w:space="0" w:color="auto"/>
                <w:bottom w:val="none" w:sz="0" w:space="0" w:color="auto"/>
                <w:right w:val="none" w:sz="0" w:space="0" w:color="auto"/>
              </w:divBdr>
              <w:divsChild>
                <w:div w:id="1526286692">
                  <w:marLeft w:val="0"/>
                  <w:marRight w:val="0"/>
                  <w:marTop w:val="0"/>
                  <w:marBottom w:val="0"/>
                  <w:divBdr>
                    <w:top w:val="none" w:sz="0" w:space="0" w:color="auto"/>
                    <w:left w:val="none" w:sz="0" w:space="0" w:color="auto"/>
                    <w:bottom w:val="none" w:sz="0" w:space="0" w:color="auto"/>
                    <w:right w:val="none" w:sz="0" w:space="0" w:color="auto"/>
                  </w:divBdr>
                </w:div>
              </w:divsChild>
            </w:div>
            <w:div w:id="1910068201">
              <w:marLeft w:val="240"/>
              <w:marRight w:val="0"/>
              <w:marTop w:val="60"/>
              <w:marBottom w:val="60"/>
              <w:divBdr>
                <w:top w:val="none" w:sz="0" w:space="0" w:color="auto"/>
                <w:left w:val="none" w:sz="0" w:space="0" w:color="auto"/>
                <w:bottom w:val="none" w:sz="0" w:space="0" w:color="auto"/>
                <w:right w:val="none" w:sz="0" w:space="0" w:color="auto"/>
              </w:divBdr>
              <w:divsChild>
                <w:div w:id="1161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2137">
          <w:marLeft w:val="240"/>
          <w:marRight w:val="0"/>
          <w:marTop w:val="60"/>
          <w:marBottom w:val="60"/>
          <w:divBdr>
            <w:top w:val="none" w:sz="0" w:space="0" w:color="auto"/>
            <w:left w:val="none" w:sz="0" w:space="0" w:color="auto"/>
            <w:bottom w:val="none" w:sz="0" w:space="0" w:color="auto"/>
            <w:right w:val="none" w:sz="0" w:space="0" w:color="auto"/>
          </w:divBdr>
          <w:divsChild>
            <w:div w:id="1741175332">
              <w:marLeft w:val="0"/>
              <w:marRight w:val="0"/>
              <w:marTop w:val="0"/>
              <w:marBottom w:val="0"/>
              <w:divBdr>
                <w:top w:val="none" w:sz="0" w:space="0" w:color="auto"/>
                <w:left w:val="none" w:sz="0" w:space="0" w:color="auto"/>
                <w:bottom w:val="none" w:sz="0" w:space="0" w:color="auto"/>
                <w:right w:val="none" w:sz="0" w:space="0" w:color="auto"/>
              </w:divBdr>
            </w:div>
          </w:divsChild>
        </w:div>
        <w:div w:id="762066782">
          <w:marLeft w:val="0"/>
          <w:marRight w:val="0"/>
          <w:marTop w:val="0"/>
          <w:marBottom w:val="0"/>
          <w:divBdr>
            <w:top w:val="none" w:sz="0" w:space="0" w:color="auto"/>
            <w:left w:val="none" w:sz="0" w:space="0" w:color="auto"/>
            <w:bottom w:val="none" w:sz="0" w:space="0" w:color="auto"/>
            <w:right w:val="none" w:sz="0" w:space="0" w:color="auto"/>
          </w:divBdr>
        </w:div>
      </w:divsChild>
    </w:div>
    <w:div w:id="525026672">
      <w:bodyDiv w:val="1"/>
      <w:marLeft w:val="0"/>
      <w:marRight w:val="0"/>
      <w:marTop w:val="0"/>
      <w:marBottom w:val="0"/>
      <w:divBdr>
        <w:top w:val="none" w:sz="0" w:space="0" w:color="auto"/>
        <w:left w:val="none" w:sz="0" w:space="0" w:color="auto"/>
        <w:bottom w:val="none" w:sz="0" w:space="0" w:color="auto"/>
        <w:right w:val="none" w:sz="0" w:space="0" w:color="auto"/>
      </w:divBdr>
    </w:div>
    <w:div w:id="526332327">
      <w:bodyDiv w:val="1"/>
      <w:marLeft w:val="0"/>
      <w:marRight w:val="0"/>
      <w:marTop w:val="0"/>
      <w:marBottom w:val="0"/>
      <w:divBdr>
        <w:top w:val="none" w:sz="0" w:space="0" w:color="auto"/>
        <w:left w:val="none" w:sz="0" w:space="0" w:color="auto"/>
        <w:bottom w:val="none" w:sz="0" w:space="0" w:color="auto"/>
        <w:right w:val="none" w:sz="0" w:space="0" w:color="auto"/>
      </w:divBdr>
    </w:div>
    <w:div w:id="531067591">
      <w:bodyDiv w:val="1"/>
      <w:marLeft w:val="0"/>
      <w:marRight w:val="0"/>
      <w:marTop w:val="0"/>
      <w:marBottom w:val="0"/>
      <w:divBdr>
        <w:top w:val="none" w:sz="0" w:space="0" w:color="auto"/>
        <w:left w:val="none" w:sz="0" w:space="0" w:color="auto"/>
        <w:bottom w:val="none" w:sz="0" w:space="0" w:color="auto"/>
        <w:right w:val="none" w:sz="0" w:space="0" w:color="auto"/>
      </w:divBdr>
    </w:div>
    <w:div w:id="551504461">
      <w:bodyDiv w:val="1"/>
      <w:marLeft w:val="0"/>
      <w:marRight w:val="0"/>
      <w:marTop w:val="0"/>
      <w:marBottom w:val="0"/>
      <w:divBdr>
        <w:top w:val="none" w:sz="0" w:space="0" w:color="auto"/>
        <w:left w:val="none" w:sz="0" w:space="0" w:color="auto"/>
        <w:bottom w:val="none" w:sz="0" w:space="0" w:color="auto"/>
        <w:right w:val="none" w:sz="0" w:space="0" w:color="auto"/>
      </w:divBdr>
    </w:div>
    <w:div w:id="558900514">
      <w:bodyDiv w:val="1"/>
      <w:marLeft w:val="0"/>
      <w:marRight w:val="0"/>
      <w:marTop w:val="0"/>
      <w:marBottom w:val="0"/>
      <w:divBdr>
        <w:top w:val="none" w:sz="0" w:space="0" w:color="auto"/>
        <w:left w:val="none" w:sz="0" w:space="0" w:color="auto"/>
        <w:bottom w:val="none" w:sz="0" w:space="0" w:color="auto"/>
        <w:right w:val="none" w:sz="0" w:space="0" w:color="auto"/>
      </w:divBdr>
    </w:div>
    <w:div w:id="562719364">
      <w:bodyDiv w:val="1"/>
      <w:marLeft w:val="0"/>
      <w:marRight w:val="0"/>
      <w:marTop w:val="0"/>
      <w:marBottom w:val="0"/>
      <w:divBdr>
        <w:top w:val="none" w:sz="0" w:space="0" w:color="auto"/>
        <w:left w:val="none" w:sz="0" w:space="0" w:color="auto"/>
        <w:bottom w:val="none" w:sz="0" w:space="0" w:color="auto"/>
        <w:right w:val="none" w:sz="0" w:space="0" w:color="auto"/>
      </w:divBdr>
    </w:div>
    <w:div w:id="569927420">
      <w:bodyDiv w:val="1"/>
      <w:marLeft w:val="0"/>
      <w:marRight w:val="0"/>
      <w:marTop w:val="0"/>
      <w:marBottom w:val="0"/>
      <w:divBdr>
        <w:top w:val="none" w:sz="0" w:space="0" w:color="auto"/>
        <w:left w:val="none" w:sz="0" w:space="0" w:color="auto"/>
        <w:bottom w:val="none" w:sz="0" w:space="0" w:color="auto"/>
        <w:right w:val="none" w:sz="0" w:space="0" w:color="auto"/>
      </w:divBdr>
    </w:div>
    <w:div w:id="573860644">
      <w:bodyDiv w:val="1"/>
      <w:marLeft w:val="0"/>
      <w:marRight w:val="0"/>
      <w:marTop w:val="0"/>
      <w:marBottom w:val="0"/>
      <w:divBdr>
        <w:top w:val="none" w:sz="0" w:space="0" w:color="auto"/>
        <w:left w:val="none" w:sz="0" w:space="0" w:color="auto"/>
        <w:bottom w:val="none" w:sz="0" w:space="0" w:color="auto"/>
        <w:right w:val="none" w:sz="0" w:space="0" w:color="auto"/>
      </w:divBdr>
    </w:div>
    <w:div w:id="574555578">
      <w:bodyDiv w:val="1"/>
      <w:marLeft w:val="0"/>
      <w:marRight w:val="0"/>
      <w:marTop w:val="0"/>
      <w:marBottom w:val="0"/>
      <w:divBdr>
        <w:top w:val="none" w:sz="0" w:space="0" w:color="auto"/>
        <w:left w:val="none" w:sz="0" w:space="0" w:color="auto"/>
        <w:bottom w:val="none" w:sz="0" w:space="0" w:color="auto"/>
        <w:right w:val="none" w:sz="0" w:space="0" w:color="auto"/>
      </w:divBdr>
    </w:div>
    <w:div w:id="575634329">
      <w:bodyDiv w:val="1"/>
      <w:marLeft w:val="0"/>
      <w:marRight w:val="0"/>
      <w:marTop w:val="0"/>
      <w:marBottom w:val="0"/>
      <w:divBdr>
        <w:top w:val="none" w:sz="0" w:space="0" w:color="auto"/>
        <w:left w:val="none" w:sz="0" w:space="0" w:color="auto"/>
        <w:bottom w:val="none" w:sz="0" w:space="0" w:color="auto"/>
        <w:right w:val="none" w:sz="0" w:space="0" w:color="auto"/>
      </w:divBdr>
      <w:divsChild>
        <w:div w:id="1426801440">
          <w:marLeft w:val="240"/>
          <w:marRight w:val="0"/>
          <w:marTop w:val="60"/>
          <w:marBottom w:val="60"/>
          <w:divBdr>
            <w:top w:val="none" w:sz="0" w:space="0" w:color="auto"/>
            <w:left w:val="none" w:sz="0" w:space="0" w:color="auto"/>
            <w:bottom w:val="none" w:sz="0" w:space="0" w:color="auto"/>
            <w:right w:val="none" w:sz="0" w:space="0" w:color="auto"/>
          </w:divBdr>
          <w:divsChild>
            <w:div w:id="194661965">
              <w:marLeft w:val="240"/>
              <w:marRight w:val="0"/>
              <w:marTop w:val="60"/>
              <w:marBottom w:val="60"/>
              <w:divBdr>
                <w:top w:val="none" w:sz="0" w:space="0" w:color="auto"/>
                <w:left w:val="none" w:sz="0" w:space="0" w:color="auto"/>
                <w:bottom w:val="none" w:sz="0" w:space="0" w:color="auto"/>
                <w:right w:val="none" w:sz="0" w:space="0" w:color="auto"/>
              </w:divBdr>
              <w:divsChild>
                <w:div w:id="1903787751">
                  <w:marLeft w:val="0"/>
                  <w:marRight w:val="0"/>
                  <w:marTop w:val="0"/>
                  <w:marBottom w:val="0"/>
                  <w:divBdr>
                    <w:top w:val="none" w:sz="0" w:space="0" w:color="auto"/>
                    <w:left w:val="none" w:sz="0" w:space="0" w:color="auto"/>
                    <w:bottom w:val="none" w:sz="0" w:space="0" w:color="auto"/>
                    <w:right w:val="none" w:sz="0" w:space="0" w:color="auto"/>
                  </w:divBdr>
                </w:div>
              </w:divsChild>
            </w:div>
            <w:div w:id="1158612314">
              <w:marLeft w:val="240"/>
              <w:marRight w:val="0"/>
              <w:marTop w:val="60"/>
              <w:marBottom w:val="60"/>
              <w:divBdr>
                <w:top w:val="none" w:sz="0" w:space="0" w:color="auto"/>
                <w:left w:val="none" w:sz="0" w:space="0" w:color="auto"/>
                <w:bottom w:val="none" w:sz="0" w:space="0" w:color="auto"/>
                <w:right w:val="none" w:sz="0" w:space="0" w:color="auto"/>
              </w:divBdr>
              <w:divsChild>
                <w:div w:id="1036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72423">
          <w:marLeft w:val="240"/>
          <w:marRight w:val="0"/>
          <w:marTop w:val="60"/>
          <w:marBottom w:val="60"/>
          <w:divBdr>
            <w:top w:val="none" w:sz="0" w:space="0" w:color="auto"/>
            <w:left w:val="none" w:sz="0" w:space="0" w:color="auto"/>
            <w:bottom w:val="none" w:sz="0" w:space="0" w:color="auto"/>
            <w:right w:val="none" w:sz="0" w:space="0" w:color="auto"/>
          </w:divBdr>
          <w:divsChild>
            <w:div w:id="1703480077">
              <w:marLeft w:val="240"/>
              <w:marRight w:val="0"/>
              <w:marTop w:val="60"/>
              <w:marBottom w:val="60"/>
              <w:divBdr>
                <w:top w:val="none" w:sz="0" w:space="0" w:color="auto"/>
                <w:left w:val="none" w:sz="0" w:space="0" w:color="auto"/>
                <w:bottom w:val="none" w:sz="0" w:space="0" w:color="auto"/>
                <w:right w:val="none" w:sz="0" w:space="0" w:color="auto"/>
              </w:divBdr>
              <w:divsChild>
                <w:div w:id="788595165">
                  <w:marLeft w:val="240"/>
                  <w:marRight w:val="0"/>
                  <w:marTop w:val="60"/>
                  <w:marBottom w:val="60"/>
                  <w:divBdr>
                    <w:top w:val="none" w:sz="0" w:space="0" w:color="auto"/>
                    <w:left w:val="none" w:sz="0" w:space="0" w:color="auto"/>
                    <w:bottom w:val="none" w:sz="0" w:space="0" w:color="auto"/>
                    <w:right w:val="none" w:sz="0" w:space="0" w:color="auto"/>
                  </w:divBdr>
                  <w:divsChild>
                    <w:div w:id="822357937">
                      <w:marLeft w:val="0"/>
                      <w:marRight w:val="0"/>
                      <w:marTop w:val="0"/>
                      <w:marBottom w:val="0"/>
                      <w:divBdr>
                        <w:top w:val="none" w:sz="0" w:space="0" w:color="auto"/>
                        <w:left w:val="none" w:sz="0" w:space="0" w:color="auto"/>
                        <w:bottom w:val="none" w:sz="0" w:space="0" w:color="auto"/>
                        <w:right w:val="none" w:sz="0" w:space="0" w:color="auto"/>
                      </w:divBdr>
                    </w:div>
                  </w:divsChild>
                </w:div>
                <w:div w:id="806969911">
                  <w:marLeft w:val="240"/>
                  <w:marRight w:val="0"/>
                  <w:marTop w:val="60"/>
                  <w:marBottom w:val="60"/>
                  <w:divBdr>
                    <w:top w:val="none" w:sz="0" w:space="0" w:color="auto"/>
                    <w:left w:val="none" w:sz="0" w:space="0" w:color="auto"/>
                    <w:bottom w:val="none" w:sz="0" w:space="0" w:color="auto"/>
                    <w:right w:val="none" w:sz="0" w:space="0" w:color="auto"/>
                  </w:divBdr>
                  <w:divsChild>
                    <w:div w:id="104888450">
                      <w:marLeft w:val="0"/>
                      <w:marRight w:val="0"/>
                      <w:marTop w:val="0"/>
                      <w:marBottom w:val="0"/>
                      <w:divBdr>
                        <w:top w:val="none" w:sz="0" w:space="0" w:color="auto"/>
                        <w:left w:val="none" w:sz="0" w:space="0" w:color="auto"/>
                        <w:bottom w:val="none" w:sz="0" w:space="0" w:color="auto"/>
                        <w:right w:val="none" w:sz="0" w:space="0" w:color="auto"/>
                      </w:divBdr>
                    </w:div>
                  </w:divsChild>
                </w:div>
                <w:div w:id="1310018418">
                  <w:marLeft w:val="240"/>
                  <w:marRight w:val="0"/>
                  <w:marTop w:val="60"/>
                  <w:marBottom w:val="60"/>
                  <w:divBdr>
                    <w:top w:val="none" w:sz="0" w:space="0" w:color="auto"/>
                    <w:left w:val="none" w:sz="0" w:space="0" w:color="auto"/>
                    <w:bottom w:val="none" w:sz="0" w:space="0" w:color="auto"/>
                    <w:right w:val="none" w:sz="0" w:space="0" w:color="auto"/>
                  </w:divBdr>
                  <w:divsChild>
                    <w:div w:id="19982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90101">
              <w:marLeft w:val="240"/>
              <w:marRight w:val="0"/>
              <w:marTop w:val="60"/>
              <w:marBottom w:val="60"/>
              <w:divBdr>
                <w:top w:val="none" w:sz="0" w:space="0" w:color="auto"/>
                <w:left w:val="none" w:sz="0" w:space="0" w:color="auto"/>
                <w:bottom w:val="none" w:sz="0" w:space="0" w:color="auto"/>
                <w:right w:val="none" w:sz="0" w:space="0" w:color="auto"/>
              </w:divBdr>
              <w:divsChild>
                <w:div w:id="1166751300">
                  <w:marLeft w:val="240"/>
                  <w:marRight w:val="0"/>
                  <w:marTop w:val="60"/>
                  <w:marBottom w:val="60"/>
                  <w:divBdr>
                    <w:top w:val="none" w:sz="0" w:space="0" w:color="auto"/>
                    <w:left w:val="none" w:sz="0" w:space="0" w:color="auto"/>
                    <w:bottom w:val="none" w:sz="0" w:space="0" w:color="auto"/>
                    <w:right w:val="none" w:sz="0" w:space="0" w:color="auto"/>
                  </w:divBdr>
                  <w:divsChild>
                    <w:div w:id="230192705">
                      <w:marLeft w:val="240"/>
                      <w:marRight w:val="0"/>
                      <w:marTop w:val="60"/>
                      <w:marBottom w:val="60"/>
                      <w:divBdr>
                        <w:top w:val="none" w:sz="0" w:space="0" w:color="auto"/>
                        <w:left w:val="none" w:sz="0" w:space="0" w:color="auto"/>
                        <w:bottom w:val="none" w:sz="0" w:space="0" w:color="auto"/>
                        <w:right w:val="none" w:sz="0" w:space="0" w:color="auto"/>
                      </w:divBdr>
                      <w:divsChild>
                        <w:div w:id="122969732">
                          <w:marLeft w:val="0"/>
                          <w:marRight w:val="0"/>
                          <w:marTop w:val="0"/>
                          <w:marBottom w:val="0"/>
                          <w:divBdr>
                            <w:top w:val="none" w:sz="0" w:space="0" w:color="auto"/>
                            <w:left w:val="none" w:sz="0" w:space="0" w:color="auto"/>
                            <w:bottom w:val="none" w:sz="0" w:space="0" w:color="auto"/>
                            <w:right w:val="none" w:sz="0" w:space="0" w:color="auto"/>
                          </w:divBdr>
                        </w:div>
                      </w:divsChild>
                    </w:div>
                    <w:div w:id="226765745">
                      <w:marLeft w:val="240"/>
                      <w:marRight w:val="0"/>
                      <w:marTop w:val="60"/>
                      <w:marBottom w:val="60"/>
                      <w:divBdr>
                        <w:top w:val="none" w:sz="0" w:space="0" w:color="auto"/>
                        <w:left w:val="none" w:sz="0" w:space="0" w:color="auto"/>
                        <w:bottom w:val="none" w:sz="0" w:space="0" w:color="auto"/>
                        <w:right w:val="none" w:sz="0" w:space="0" w:color="auto"/>
                      </w:divBdr>
                      <w:divsChild>
                        <w:div w:id="1171599864">
                          <w:marLeft w:val="0"/>
                          <w:marRight w:val="0"/>
                          <w:marTop w:val="0"/>
                          <w:marBottom w:val="0"/>
                          <w:divBdr>
                            <w:top w:val="none" w:sz="0" w:space="0" w:color="auto"/>
                            <w:left w:val="none" w:sz="0" w:space="0" w:color="auto"/>
                            <w:bottom w:val="none" w:sz="0" w:space="0" w:color="auto"/>
                            <w:right w:val="none" w:sz="0" w:space="0" w:color="auto"/>
                          </w:divBdr>
                        </w:div>
                      </w:divsChild>
                    </w:div>
                    <w:div w:id="974410883">
                      <w:marLeft w:val="506"/>
                      <w:marRight w:val="0"/>
                      <w:marTop w:val="0"/>
                      <w:marBottom w:val="0"/>
                      <w:divBdr>
                        <w:top w:val="none" w:sz="0" w:space="0" w:color="auto"/>
                        <w:left w:val="none" w:sz="0" w:space="0" w:color="auto"/>
                        <w:bottom w:val="none" w:sz="0" w:space="0" w:color="auto"/>
                        <w:right w:val="none" w:sz="0" w:space="0" w:color="auto"/>
                      </w:divBdr>
                    </w:div>
                  </w:divsChild>
                </w:div>
                <w:div w:id="1925258707">
                  <w:marLeft w:val="240"/>
                  <w:marRight w:val="0"/>
                  <w:marTop w:val="60"/>
                  <w:marBottom w:val="60"/>
                  <w:divBdr>
                    <w:top w:val="none" w:sz="0" w:space="0" w:color="auto"/>
                    <w:left w:val="none" w:sz="0" w:space="0" w:color="auto"/>
                    <w:bottom w:val="none" w:sz="0" w:space="0" w:color="auto"/>
                    <w:right w:val="none" w:sz="0" w:space="0" w:color="auto"/>
                  </w:divBdr>
                  <w:divsChild>
                    <w:div w:id="735974877">
                      <w:marLeft w:val="240"/>
                      <w:marRight w:val="0"/>
                      <w:marTop w:val="60"/>
                      <w:marBottom w:val="60"/>
                      <w:divBdr>
                        <w:top w:val="none" w:sz="0" w:space="0" w:color="auto"/>
                        <w:left w:val="none" w:sz="0" w:space="0" w:color="auto"/>
                        <w:bottom w:val="none" w:sz="0" w:space="0" w:color="auto"/>
                        <w:right w:val="none" w:sz="0" w:space="0" w:color="auto"/>
                      </w:divBdr>
                      <w:divsChild>
                        <w:div w:id="1900900548">
                          <w:marLeft w:val="0"/>
                          <w:marRight w:val="0"/>
                          <w:marTop w:val="0"/>
                          <w:marBottom w:val="0"/>
                          <w:divBdr>
                            <w:top w:val="none" w:sz="0" w:space="0" w:color="auto"/>
                            <w:left w:val="none" w:sz="0" w:space="0" w:color="auto"/>
                            <w:bottom w:val="none" w:sz="0" w:space="0" w:color="auto"/>
                            <w:right w:val="none" w:sz="0" w:space="0" w:color="auto"/>
                          </w:divBdr>
                        </w:div>
                      </w:divsChild>
                    </w:div>
                    <w:div w:id="1403483834">
                      <w:marLeft w:val="240"/>
                      <w:marRight w:val="0"/>
                      <w:marTop w:val="60"/>
                      <w:marBottom w:val="60"/>
                      <w:divBdr>
                        <w:top w:val="none" w:sz="0" w:space="0" w:color="auto"/>
                        <w:left w:val="none" w:sz="0" w:space="0" w:color="auto"/>
                        <w:bottom w:val="none" w:sz="0" w:space="0" w:color="auto"/>
                        <w:right w:val="none" w:sz="0" w:space="0" w:color="auto"/>
                      </w:divBdr>
                      <w:divsChild>
                        <w:div w:id="10232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5268">
                  <w:marLeft w:val="240"/>
                  <w:marRight w:val="0"/>
                  <w:marTop w:val="60"/>
                  <w:marBottom w:val="60"/>
                  <w:divBdr>
                    <w:top w:val="none" w:sz="0" w:space="0" w:color="auto"/>
                    <w:left w:val="none" w:sz="0" w:space="0" w:color="auto"/>
                    <w:bottom w:val="none" w:sz="0" w:space="0" w:color="auto"/>
                    <w:right w:val="none" w:sz="0" w:space="0" w:color="auto"/>
                  </w:divBdr>
                  <w:divsChild>
                    <w:div w:id="1518078907">
                      <w:marLeft w:val="240"/>
                      <w:marRight w:val="0"/>
                      <w:marTop w:val="60"/>
                      <w:marBottom w:val="60"/>
                      <w:divBdr>
                        <w:top w:val="none" w:sz="0" w:space="0" w:color="auto"/>
                        <w:left w:val="none" w:sz="0" w:space="0" w:color="auto"/>
                        <w:bottom w:val="none" w:sz="0" w:space="0" w:color="auto"/>
                        <w:right w:val="none" w:sz="0" w:space="0" w:color="auto"/>
                      </w:divBdr>
                      <w:divsChild>
                        <w:div w:id="1003582388">
                          <w:marLeft w:val="0"/>
                          <w:marRight w:val="0"/>
                          <w:marTop w:val="0"/>
                          <w:marBottom w:val="0"/>
                          <w:divBdr>
                            <w:top w:val="none" w:sz="0" w:space="0" w:color="auto"/>
                            <w:left w:val="none" w:sz="0" w:space="0" w:color="auto"/>
                            <w:bottom w:val="none" w:sz="0" w:space="0" w:color="auto"/>
                            <w:right w:val="none" w:sz="0" w:space="0" w:color="auto"/>
                          </w:divBdr>
                        </w:div>
                      </w:divsChild>
                    </w:div>
                    <w:div w:id="277836194">
                      <w:marLeft w:val="240"/>
                      <w:marRight w:val="0"/>
                      <w:marTop w:val="60"/>
                      <w:marBottom w:val="60"/>
                      <w:divBdr>
                        <w:top w:val="none" w:sz="0" w:space="0" w:color="auto"/>
                        <w:left w:val="none" w:sz="0" w:space="0" w:color="auto"/>
                        <w:bottom w:val="none" w:sz="0" w:space="0" w:color="auto"/>
                        <w:right w:val="none" w:sz="0" w:space="0" w:color="auto"/>
                      </w:divBdr>
                      <w:divsChild>
                        <w:div w:id="4457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49">
                  <w:marLeft w:val="240"/>
                  <w:marRight w:val="0"/>
                  <w:marTop w:val="60"/>
                  <w:marBottom w:val="60"/>
                  <w:divBdr>
                    <w:top w:val="none" w:sz="0" w:space="0" w:color="auto"/>
                    <w:left w:val="none" w:sz="0" w:space="0" w:color="auto"/>
                    <w:bottom w:val="none" w:sz="0" w:space="0" w:color="auto"/>
                    <w:right w:val="none" w:sz="0" w:space="0" w:color="auto"/>
                  </w:divBdr>
                  <w:divsChild>
                    <w:div w:id="252321494">
                      <w:marLeft w:val="240"/>
                      <w:marRight w:val="0"/>
                      <w:marTop w:val="60"/>
                      <w:marBottom w:val="60"/>
                      <w:divBdr>
                        <w:top w:val="none" w:sz="0" w:space="0" w:color="auto"/>
                        <w:left w:val="none" w:sz="0" w:space="0" w:color="auto"/>
                        <w:bottom w:val="none" w:sz="0" w:space="0" w:color="auto"/>
                        <w:right w:val="none" w:sz="0" w:space="0" w:color="auto"/>
                      </w:divBdr>
                      <w:divsChild>
                        <w:div w:id="1976570047">
                          <w:marLeft w:val="0"/>
                          <w:marRight w:val="0"/>
                          <w:marTop w:val="0"/>
                          <w:marBottom w:val="0"/>
                          <w:divBdr>
                            <w:top w:val="none" w:sz="0" w:space="0" w:color="auto"/>
                            <w:left w:val="none" w:sz="0" w:space="0" w:color="auto"/>
                            <w:bottom w:val="none" w:sz="0" w:space="0" w:color="auto"/>
                            <w:right w:val="none" w:sz="0" w:space="0" w:color="auto"/>
                          </w:divBdr>
                        </w:div>
                      </w:divsChild>
                    </w:div>
                    <w:div w:id="516581876">
                      <w:marLeft w:val="240"/>
                      <w:marRight w:val="0"/>
                      <w:marTop w:val="60"/>
                      <w:marBottom w:val="60"/>
                      <w:divBdr>
                        <w:top w:val="none" w:sz="0" w:space="0" w:color="auto"/>
                        <w:left w:val="none" w:sz="0" w:space="0" w:color="auto"/>
                        <w:bottom w:val="none" w:sz="0" w:space="0" w:color="auto"/>
                        <w:right w:val="none" w:sz="0" w:space="0" w:color="auto"/>
                      </w:divBdr>
                      <w:divsChild>
                        <w:div w:id="699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91486">
          <w:marLeft w:val="240"/>
          <w:marRight w:val="0"/>
          <w:marTop w:val="60"/>
          <w:marBottom w:val="60"/>
          <w:divBdr>
            <w:top w:val="none" w:sz="0" w:space="0" w:color="auto"/>
            <w:left w:val="none" w:sz="0" w:space="0" w:color="auto"/>
            <w:bottom w:val="none" w:sz="0" w:space="0" w:color="auto"/>
            <w:right w:val="none" w:sz="0" w:space="0" w:color="auto"/>
          </w:divBdr>
          <w:divsChild>
            <w:div w:id="1377971779">
              <w:marLeft w:val="240"/>
              <w:marRight w:val="0"/>
              <w:marTop w:val="60"/>
              <w:marBottom w:val="60"/>
              <w:divBdr>
                <w:top w:val="none" w:sz="0" w:space="0" w:color="auto"/>
                <w:left w:val="none" w:sz="0" w:space="0" w:color="auto"/>
                <w:bottom w:val="none" w:sz="0" w:space="0" w:color="auto"/>
                <w:right w:val="none" w:sz="0" w:space="0" w:color="auto"/>
              </w:divBdr>
              <w:divsChild>
                <w:div w:id="1558398086">
                  <w:marLeft w:val="0"/>
                  <w:marRight w:val="0"/>
                  <w:marTop w:val="0"/>
                  <w:marBottom w:val="0"/>
                  <w:divBdr>
                    <w:top w:val="none" w:sz="0" w:space="0" w:color="auto"/>
                    <w:left w:val="none" w:sz="0" w:space="0" w:color="auto"/>
                    <w:bottom w:val="none" w:sz="0" w:space="0" w:color="auto"/>
                    <w:right w:val="none" w:sz="0" w:space="0" w:color="auto"/>
                  </w:divBdr>
                </w:div>
              </w:divsChild>
            </w:div>
            <w:div w:id="1053699133">
              <w:marLeft w:val="240"/>
              <w:marRight w:val="0"/>
              <w:marTop w:val="60"/>
              <w:marBottom w:val="60"/>
              <w:divBdr>
                <w:top w:val="none" w:sz="0" w:space="0" w:color="auto"/>
                <w:left w:val="none" w:sz="0" w:space="0" w:color="auto"/>
                <w:bottom w:val="none" w:sz="0" w:space="0" w:color="auto"/>
                <w:right w:val="none" w:sz="0" w:space="0" w:color="auto"/>
              </w:divBdr>
              <w:divsChild>
                <w:div w:id="1226643376">
                  <w:marLeft w:val="0"/>
                  <w:marRight w:val="0"/>
                  <w:marTop w:val="0"/>
                  <w:marBottom w:val="0"/>
                  <w:divBdr>
                    <w:top w:val="none" w:sz="0" w:space="0" w:color="auto"/>
                    <w:left w:val="none" w:sz="0" w:space="0" w:color="auto"/>
                    <w:bottom w:val="none" w:sz="0" w:space="0" w:color="auto"/>
                    <w:right w:val="none" w:sz="0" w:space="0" w:color="auto"/>
                  </w:divBdr>
                </w:div>
              </w:divsChild>
            </w:div>
            <w:div w:id="607078020">
              <w:marLeft w:val="538"/>
              <w:marRight w:val="0"/>
              <w:marTop w:val="0"/>
              <w:marBottom w:val="0"/>
              <w:divBdr>
                <w:top w:val="none" w:sz="0" w:space="0" w:color="auto"/>
                <w:left w:val="none" w:sz="0" w:space="0" w:color="auto"/>
                <w:bottom w:val="none" w:sz="0" w:space="0" w:color="auto"/>
                <w:right w:val="none" w:sz="0" w:space="0" w:color="auto"/>
              </w:divBdr>
            </w:div>
          </w:divsChild>
        </w:div>
        <w:div w:id="1831284103">
          <w:marLeft w:val="240"/>
          <w:marRight w:val="0"/>
          <w:marTop w:val="60"/>
          <w:marBottom w:val="60"/>
          <w:divBdr>
            <w:top w:val="none" w:sz="0" w:space="0" w:color="auto"/>
            <w:left w:val="none" w:sz="0" w:space="0" w:color="auto"/>
            <w:bottom w:val="none" w:sz="0" w:space="0" w:color="auto"/>
            <w:right w:val="none" w:sz="0" w:space="0" w:color="auto"/>
          </w:divBdr>
          <w:divsChild>
            <w:div w:id="57752049">
              <w:marLeft w:val="240"/>
              <w:marRight w:val="0"/>
              <w:marTop w:val="60"/>
              <w:marBottom w:val="60"/>
              <w:divBdr>
                <w:top w:val="none" w:sz="0" w:space="0" w:color="auto"/>
                <w:left w:val="none" w:sz="0" w:space="0" w:color="auto"/>
                <w:bottom w:val="none" w:sz="0" w:space="0" w:color="auto"/>
                <w:right w:val="none" w:sz="0" w:space="0" w:color="auto"/>
              </w:divBdr>
              <w:divsChild>
                <w:div w:id="805658311">
                  <w:marLeft w:val="240"/>
                  <w:marRight w:val="0"/>
                  <w:marTop w:val="60"/>
                  <w:marBottom w:val="60"/>
                  <w:divBdr>
                    <w:top w:val="none" w:sz="0" w:space="0" w:color="auto"/>
                    <w:left w:val="none" w:sz="0" w:space="0" w:color="auto"/>
                    <w:bottom w:val="none" w:sz="0" w:space="0" w:color="auto"/>
                    <w:right w:val="none" w:sz="0" w:space="0" w:color="auto"/>
                  </w:divBdr>
                  <w:divsChild>
                    <w:div w:id="1083144732">
                      <w:marLeft w:val="0"/>
                      <w:marRight w:val="0"/>
                      <w:marTop w:val="0"/>
                      <w:marBottom w:val="0"/>
                      <w:divBdr>
                        <w:top w:val="none" w:sz="0" w:space="0" w:color="auto"/>
                        <w:left w:val="none" w:sz="0" w:space="0" w:color="auto"/>
                        <w:bottom w:val="none" w:sz="0" w:space="0" w:color="auto"/>
                        <w:right w:val="none" w:sz="0" w:space="0" w:color="auto"/>
                      </w:divBdr>
                    </w:div>
                  </w:divsChild>
                </w:div>
                <w:div w:id="1651013223">
                  <w:marLeft w:val="240"/>
                  <w:marRight w:val="0"/>
                  <w:marTop w:val="60"/>
                  <w:marBottom w:val="60"/>
                  <w:divBdr>
                    <w:top w:val="none" w:sz="0" w:space="0" w:color="auto"/>
                    <w:left w:val="none" w:sz="0" w:space="0" w:color="auto"/>
                    <w:bottom w:val="none" w:sz="0" w:space="0" w:color="auto"/>
                    <w:right w:val="none" w:sz="0" w:space="0" w:color="auto"/>
                  </w:divBdr>
                  <w:divsChild>
                    <w:div w:id="2843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04385">
              <w:marLeft w:val="240"/>
              <w:marRight w:val="0"/>
              <w:marTop w:val="60"/>
              <w:marBottom w:val="60"/>
              <w:divBdr>
                <w:top w:val="none" w:sz="0" w:space="0" w:color="auto"/>
                <w:left w:val="none" w:sz="0" w:space="0" w:color="auto"/>
                <w:bottom w:val="none" w:sz="0" w:space="0" w:color="auto"/>
                <w:right w:val="none" w:sz="0" w:space="0" w:color="auto"/>
              </w:divBdr>
              <w:divsChild>
                <w:div w:id="1041245455">
                  <w:marLeft w:val="240"/>
                  <w:marRight w:val="0"/>
                  <w:marTop w:val="60"/>
                  <w:marBottom w:val="60"/>
                  <w:divBdr>
                    <w:top w:val="none" w:sz="0" w:space="0" w:color="auto"/>
                    <w:left w:val="none" w:sz="0" w:space="0" w:color="auto"/>
                    <w:bottom w:val="none" w:sz="0" w:space="0" w:color="auto"/>
                    <w:right w:val="none" w:sz="0" w:space="0" w:color="auto"/>
                  </w:divBdr>
                  <w:divsChild>
                    <w:div w:id="1918052076">
                      <w:marLeft w:val="0"/>
                      <w:marRight w:val="0"/>
                      <w:marTop w:val="0"/>
                      <w:marBottom w:val="0"/>
                      <w:divBdr>
                        <w:top w:val="none" w:sz="0" w:space="0" w:color="auto"/>
                        <w:left w:val="none" w:sz="0" w:space="0" w:color="auto"/>
                        <w:bottom w:val="none" w:sz="0" w:space="0" w:color="auto"/>
                        <w:right w:val="none" w:sz="0" w:space="0" w:color="auto"/>
                      </w:divBdr>
                    </w:div>
                  </w:divsChild>
                </w:div>
                <w:div w:id="1228882587">
                  <w:marLeft w:val="240"/>
                  <w:marRight w:val="0"/>
                  <w:marTop w:val="60"/>
                  <w:marBottom w:val="60"/>
                  <w:divBdr>
                    <w:top w:val="none" w:sz="0" w:space="0" w:color="auto"/>
                    <w:left w:val="none" w:sz="0" w:space="0" w:color="auto"/>
                    <w:bottom w:val="none" w:sz="0" w:space="0" w:color="auto"/>
                    <w:right w:val="none" w:sz="0" w:space="0" w:color="auto"/>
                  </w:divBdr>
                  <w:divsChild>
                    <w:div w:id="1364399668">
                      <w:marLeft w:val="0"/>
                      <w:marRight w:val="0"/>
                      <w:marTop w:val="0"/>
                      <w:marBottom w:val="0"/>
                      <w:divBdr>
                        <w:top w:val="none" w:sz="0" w:space="0" w:color="auto"/>
                        <w:left w:val="none" w:sz="0" w:space="0" w:color="auto"/>
                        <w:bottom w:val="none" w:sz="0" w:space="0" w:color="auto"/>
                        <w:right w:val="none" w:sz="0" w:space="0" w:color="auto"/>
                      </w:divBdr>
                    </w:div>
                  </w:divsChild>
                </w:div>
                <w:div w:id="1383021049">
                  <w:marLeft w:val="522"/>
                  <w:marRight w:val="0"/>
                  <w:marTop w:val="0"/>
                  <w:marBottom w:val="0"/>
                  <w:divBdr>
                    <w:top w:val="none" w:sz="0" w:space="0" w:color="auto"/>
                    <w:left w:val="none" w:sz="0" w:space="0" w:color="auto"/>
                    <w:bottom w:val="none" w:sz="0" w:space="0" w:color="auto"/>
                    <w:right w:val="none" w:sz="0" w:space="0" w:color="auto"/>
                  </w:divBdr>
                </w:div>
              </w:divsChild>
            </w:div>
          </w:divsChild>
        </w:div>
        <w:div w:id="488400647">
          <w:marLeft w:val="240"/>
          <w:marRight w:val="0"/>
          <w:marTop w:val="60"/>
          <w:marBottom w:val="60"/>
          <w:divBdr>
            <w:top w:val="none" w:sz="0" w:space="0" w:color="auto"/>
            <w:left w:val="none" w:sz="0" w:space="0" w:color="auto"/>
            <w:bottom w:val="none" w:sz="0" w:space="0" w:color="auto"/>
            <w:right w:val="none" w:sz="0" w:space="0" w:color="auto"/>
          </w:divBdr>
          <w:divsChild>
            <w:div w:id="1324509589">
              <w:marLeft w:val="240"/>
              <w:marRight w:val="0"/>
              <w:marTop w:val="60"/>
              <w:marBottom w:val="60"/>
              <w:divBdr>
                <w:top w:val="none" w:sz="0" w:space="0" w:color="auto"/>
                <w:left w:val="none" w:sz="0" w:space="0" w:color="auto"/>
                <w:bottom w:val="none" w:sz="0" w:space="0" w:color="auto"/>
                <w:right w:val="none" w:sz="0" w:space="0" w:color="auto"/>
              </w:divBdr>
              <w:divsChild>
                <w:div w:id="728764369">
                  <w:marLeft w:val="0"/>
                  <w:marRight w:val="0"/>
                  <w:marTop w:val="0"/>
                  <w:marBottom w:val="0"/>
                  <w:divBdr>
                    <w:top w:val="none" w:sz="0" w:space="0" w:color="auto"/>
                    <w:left w:val="none" w:sz="0" w:space="0" w:color="auto"/>
                    <w:bottom w:val="none" w:sz="0" w:space="0" w:color="auto"/>
                    <w:right w:val="none" w:sz="0" w:space="0" w:color="auto"/>
                  </w:divBdr>
                </w:div>
              </w:divsChild>
            </w:div>
            <w:div w:id="656569055">
              <w:marLeft w:val="240"/>
              <w:marRight w:val="0"/>
              <w:marTop w:val="60"/>
              <w:marBottom w:val="60"/>
              <w:divBdr>
                <w:top w:val="none" w:sz="0" w:space="0" w:color="auto"/>
                <w:left w:val="none" w:sz="0" w:space="0" w:color="auto"/>
                <w:bottom w:val="none" w:sz="0" w:space="0" w:color="auto"/>
                <w:right w:val="none" w:sz="0" w:space="0" w:color="auto"/>
              </w:divBdr>
              <w:divsChild>
                <w:div w:id="554203906">
                  <w:marLeft w:val="0"/>
                  <w:marRight w:val="0"/>
                  <w:marTop w:val="0"/>
                  <w:marBottom w:val="0"/>
                  <w:divBdr>
                    <w:top w:val="none" w:sz="0" w:space="0" w:color="auto"/>
                    <w:left w:val="none" w:sz="0" w:space="0" w:color="auto"/>
                    <w:bottom w:val="none" w:sz="0" w:space="0" w:color="auto"/>
                    <w:right w:val="none" w:sz="0" w:space="0" w:color="auto"/>
                  </w:divBdr>
                </w:div>
              </w:divsChild>
            </w:div>
            <w:div w:id="1015038859">
              <w:marLeft w:val="240"/>
              <w:marRight w:val="0"/>
              <w:marTop w:val="60"/>
              <w:marBottom w:val="60"/>
              <w:divBdr>
                <w:top w:val="none" w:sz="0" w:space="0" w:color="auto"/>
                <w:left w:val="none" w:sz="0" w:space="0" w:color="auto"/>
                <w:bottom w:val="none" w:sz="0" w:space="0" w:color="auto"/>
                <w:right w:val="none" w:sz="0" w:space="0" w:color="auto"/>
              </w:divBdr>
              <w:divsChild>
                <w:div w:id="2008634472">
                  <w:marLeft w:val="0"/>
                  <w:marRight w:val="0"/>
                  <w:marTop w:val="0"/>
                  <w:marBottom w:val="0"/>
                  <w:divBdr>
                    <w:top w:val="none" w:sz="0" w:space="0" w:color="auto"/>
                    <w:left w:val="none" w:sz="0" w:space="0" w:color="auto"/>
                    <w:bottom w:val="none" w:sz="0" w:space="0" w:color="auto"/>
                    <w:right w:val="none" w:sz="0" w:space="0" w:color="auto"/>
                  </w:divBdr>
                </w:div>
              </w:divsChild>
            </w:div>
            <w:div w:id="932976009">
              <w:marLeft w:val="240"/>
              <w:marRight w:val="0"/>
              <w:marTop w:val="60"/>
              <w:marBottom w:val="60"/>
              <w:divBdr>
                <w:top w:val="none" w:sz="0" w:space="0" w:color="auto"/>
                <w:left w:val="none" w:sz="0" w:space="0" w:color="auto"/>
                <w:bottom w:val="none" w:sz="0" w:space="0" w:color="auto"/>
                <w:right w:val="none" w:sz="0" w:space="0" w:color="auto"/>
              </w:divBdr>
              <w:divsChild>
                <w:div w:id="1477868838">
                  <w:marLeft w:val="240"/>
                  <w:marRight w:val="0"/>
                  <w:marTop w:val="60"/>
                  <w:marBottom w:val="60"/>
                  <w:divBdr>
                    <w:top w:val="none" w:sz="0" w:space="0" w:color="auto"/>
                    <w:left w:val="none" w:sz="0" w:space="0" w:color="auto"/>
                    <w:bottom w:val="none" w:sz="0" w:space="0" w:color="auto"/>
                    <w:right w:val="none" w:sz="0" w:space="0" w:color="auto"/>
                  </w:divBdr>
                  <w:divsChild>
                    <w:div w:id="1469126530">
                      <w:marLeft w:val="240"/>
                      <w:marRight w:val="0"/>
                      <w:marTop w:val="60"/>
                      <w:marBottom w:val="60"/>
                      <w:divBdr>
                        <w:top w:val="none" w:sz="0" w:space="0" w:color="auto"/>
                        <w:left w:val="none" w:sz="0" w:space="0" w:color="auto"/>
                        <w:bottom w:val="none" w:sz="0" w:space="0" w:color="auto"/>
                        <w:right w:val="none" w:sz="0" w:space="0" w:color="auto"/>
                      </w:divBdr>
                      <w:divsChild>
                        <w:div w:id="1450474140">
                          <w:marLeft w:val="0"/>
                          <w:marRight w:val="0"/>
                          <w:marTop w:val="0"/>
                          <w:marBottom w:val="0"/>
                          <w:divBdr>
                            <w:top w:val="none" w:sz="0" w:space="0" w:color="auto"/>
                            <w:left w:val="none" w:sz="0" w:space="0" w:color="auto"/>
                            <w:bottom w:val="none" w:sz="0" w:space="0" w:color="auto"/>
                            <w:right w:val="none" w:sz="0" w:space="0" w:color="auto"/>
                          </w:divBdr>
                        </w:div>
                      </w:divsChild>
                    </w:div>
                    <w:div w:id="2001810561">
                      <w:marLeft w:val="240"/>
                      <w:marRight w:val="0"/>
                      <w:marTop w:val="60"/>
                      <w:marBottom w:val="60"/>
                      <w:divBdr>
                        <w:top w:val="none" w:sz="0" w:space="0" w:color="auto"/>
                        <w:left w:val="none" w:sz="0" w:space="0" w:color="auto"/>
                        <w:bottom w:val="none" w:sz="0" w:space="0" w:color="auto"/>
                        <w:right w:val="none" w:sz="0" w:space="0" w:color="auto"/>
                      </w:divBdr>
                      <w:divsChild>
                        <w:div w:id="18104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3818">
                  <w:marLeft w:val="240"/>
                  <w:marRight w:val="0"/>
                  <w:marTop w:val="60"/>
                  <w:marBottom w:val="60"/>
                  <w:divBdr>
                    <w:top w:val="none" w:sz="0" w:space="0" w:color="auto"/>
                    <w:left w:val="none" w:sz="0" w:space="0" w:color="auto"/>
                    <w:bottom w:val="none" w:sz="0" w:space="0" w:color="auto"/>
                    <w:right w:val="none" w:sz="0" w:space="0" w:color="auto"/>
                  </w:divBdr>
                  <w:divsChild>
                    <w:div w:id="1479690424">
                      <w:marLeft w:val="0"/>
                      <w:marRight w:val="0"/>
                      <w:marTop w:val="0"/>
                      <w:marBottom w:val="0"/>
                      <w:divBdr>
                        <w:top w:val="none" w:sz="0" w:space="0" w:color="auto"/>
                        <w:left w:val="none" w:sz="0" w:space="0" w:color="auto"/>
                        <w:bottom w:val="none" w:sz="0" w:space="0" w:color="auto"/>
                        <w:right w:val="none" w:sz="0" w:space="0" w:color="auto"/>
                      </w:divBdr>
                    </w:div>
                  </w:divsChild>
                </w:div>
                <w:div w:id="1219779418">
                  <w:marLeft w:val="522"/>
                  <w:marRight w:val="0"/>
                  <w:marTop w:val="0"/>
                  <w:marBottom w:val="0"/>
                  <w:divBdr>
                    <w:top w:val="none" w:sz="0" w:space="0" w:color="auto"/>
                    <w:left w:val="none" w:sz="0" w:space="0" w:color="auto"/>
                    <w:bottom w:val="none" w:sz="0" w:space="0" w:color="auto"/>
                    <w:right w:val="none" w:sz="0" w:space="0" w:color="auto"/>
                  </w:divBdr>
                </w:div>
              </w:divsChild>
            </w:div>
            <w:div w:id="176316152">
              <w:marLeft w:val="240"/>
              <w:marRight w:val="0"/>
              <w:marTop w:val="60"/>
              <w:marBottom w:val="60"/>
              <w:divBdr>
                <w:top w:val="none" w:sz="0" w:space="0" w:color="auto"/>
                <w:left w:val="none" w:sz="0" w:space="0" w:color="auto"/>
                <w:bottom w:val="none" w:sz="0" w:space="0" w:color="auto"/>
                <w:right w:val="none" w:sz="0" w:space="0" w:color="auto"/>
              </w:divBdr>
              <w:divsChild>
                <w:div w:id="1773280269">
                  <w:marLeft w:val="240"/>
                  <w:marRight w:val="0"/>
                  <w:marTop w:val="60"/>
                  <w:marBottom w:val="60"/>
                  <w:divBdr>
                    <w:top w:val="none" w:sz="0" w:space="0" w:color="auto"/>
                    <w:left w:val="none" w:sz="0" w:space="0" w:color="auto"/>
                    <w:bottom w:val="none" w:sz="0" w:space="0" w:color="auto"/>
                    <w:right w:val="none" w:sz="0" w:space="0" w:color="auto"/>
                  </w:divBdr>
                  <w:divsChild>
                    <w:div w:id="803012734">
                      <w:marLeft w:val="0"/>
                      <w:marRight w:val="0"/>
                      <w:marTop w:val="0"/>
                      <w:marBottom w:val="0"/>
                      <w:divBdr>
                        <w:top w:val="none" w:sz="0" w:space="0" w:color="auto"/>
                        <w:left w:val="none" w:sz="0" w:space="0" w:color="auto"/>
                        <w:bottom w:val="none" w:sz="0" w:space="0" w:color="auto"/>
                        <w:right w:val="none" w:sz="0" w:space="0" w:color="auto"/>
                      </w:divBdr>
                    </w:div>
                  </w:divsChild>
                </w:div>
                <w:div w:id="1205214283">
                  <w:marLeft w:val="240"/>
                  <w:marRight w:val="0"/>
                  <w:marTop w:val="60"/>
                  <w:marBottom w:val="60"/>
                  <w:divBdr>
                    <w:top w:val="none" w:sz="0" w:space="0" w:color="auto"/>
                    <w:left w:val="none" w:sz="0" w:space="0" w:color="auto"/>
                    <w:bottom w:val="none" w:sz="0" w:space="0" w:color="auto"/>
                    <w:right w:val="none" w:sz="0" w:space="0" w:color="auto"/>
                  </w:divBdr>
                  <w:divsChild>
                    <w:div w:id="684328839">
                      <w:marLeft w:val="0"/>
                      <w:marRight w:val="0"/>
                      <w:marTop w:val="0"/>
                      <w:marBottom w:val="0"/>
                      <w:divBdr>
                        <w:top w:val="none" w:sz="0" w:space="0" w:color="auto"/>
                        <w:left w:val="none" w:sz="0" w:space="0" w:color="auto"/>
                        <w:bottom w:val="none" w:sz="0" w:space="0" w:color="auto"/>
                        <w:right w:val="none" w:sz="0" w:space="0" w:color="auto"/>
                      </w:divBdr>
                    </w:div>
                  </w:divsChild>
                </w:div>
                <w:div w:id="1901867102">
                  <w:marLeft w:val="522"/>
                  <w:marRight w:val="0"/>
                  <w:marTop w:val="0"/>
                  <w:marBottom w:val="0"/>
                  <w:divBdr>
                    <w:top w:val="none" w:sz="0" w:space="0" w:color="auto"/>
                    <w:left w:val="none" w:sz="0" w:space="0" w:color="auto"/>
                    <w:bottom w:val="none" w:sz="0" w:space="0" w:color="auto"/>
                    <w:right w:val="none" w:sz="0" w:space="0" w:color="auto"/>
                  </w:divBdr>
                </w:div>
              </w:divsChild>
            </w:div>
            <w:div w:id="338236253">
              <w:marLeft w:val="240"/>
              <w:marRight w:val="0"/>
              <w:marTop w:val="60"/>
              <w:marBottom w:val="60"/>
              <w:divBdr>
                <w:top w:val="none" w:sz="0" w:space="0" w:color="auto"/>
                <w:left w:val="none" w:sz="0" w:space="0" w:color="auto"/>
                <w:bottom w:val="none" w:sz="0" w:space="0" w:color="auto"/>
                <w:right w:val="none" w:sz="0" w:space="0" w:color="auto"/>
              </w:divBdr>
              <w:divsChild>
                <w:div w:id="715662575">
                  <w:marLeft w:val="240"/>
                  <w:marRight w:val="0"/>
                  <w:marTop w:val="60"/>
                  <w:marBottom w:val="60"/>
                  <w:divBdr>
                    <w:top w:val="none" w:sz="0" w:space="0" w:color="auto"/>
                    <w:left w:val="none" w:sz="0" w:space="0" w:color="auto"/>
                    <w:bottom w:val="none" w:sz="0" w:space="0" w:color="auto"/>
                    <w:right w:val="none" w:sz="0" w:space="0" w:color="auto"/>
                  </w:divBdr>
                  <w:divsChild>
                    <w:div w:id="86969723">
                      <w:marLeft w:val="0"/>
                      <w:marRight w:val="0"/>
                      <w:marTop w:val="0"/>
                      <w:marBottom w:val="0"/>
                      <w:divBdr>
                        <w:top w:val="none" w:sz="0" w:space="0" w:color="auto"/>
                        <w:left w:val="none" w:sz="0" w:space="0" w:color="auto"/>
                        <w:bottom w:val="none" w:sz="0" w:space="0" w:color="auto"/>
                        <w:right w:val="none" w:sz="0" w:space="0" w:color="auto"/>
                      </w:divBdr>
                    </w:div>
                  </w:divsChild>
                </w:div>
                <w:div w:id="1873031942">
                  <w:marLeft w:val="240"/>
                  <w:marRight w:val="0"/>
                  <w:marTop w:val="60"/>
                  <w:marBottom w:val="60"/>
                  <w:divBdr>
                    <w:top w:val="none" w:sz="0" w:space="0" w:color="auto"/>
                    <w:left w:val="none" w:sz="0" w:space="0" w:color="auto"/>
                    <w:bottom w:val="none" w:sz="0" w:space="0" w:color="auto"/>
                    <w:right w:val="none" w:sz="0" w:space="0" w:color="auto"/>
                  </w:divBdr>
                  <w:divsChild>
                    <w:div w:id="1784886455">
                      <w:marLeft w:val="0"/>
                      <w:marRight w:val="0"/>
                      <w:marTop w:val="0"/>
                      <w:marBottom w:val="0"/>
                      <w:divBdr>
                        <w:top w:val="none" w:sz="0" w:space="0" w:color="auto"/>
                        <w:left w:val="none" w:sz="0" w:space="0" w:color="auto"/>
                        <w:bottom w:val="none" w:sz="0" w:space="0" w:color="auto"/>
                        <w:right w:val="none" w:sz="0" w:space="0" w:color="auto"/>
                      </w:divBdr>
                    </w:div>
                  </w:divsChild>
                </w:div>
                <w:div w:id="230427416">
                  <w:marLeft w:val="522"/>
                  <w:marRight w:val="0"/>
                  <w:marTop w:val="0"/>
                  <w:marBottom w:val="0"/>
                  <w:divBdr>
                    <w:top w:val="none" w:sz="0" w:space="0" w:color="auto"/>
                    <w:left w:val="none" w:sz="0" w:space="0" w:color="auto"/>
                    <w:bottom w:val="none" w:sz="0" w:space="0" w:color="auto"/>
                    <w:right w:val="none" w:sz="0" w:space="0" w:color="auto"/>
                  </w:divBdr>
                </w:div>
              </w:divsChild>
            </w:div>
            <w:div w:id="568686633">
              <w:marLeft w:val="240"/>
              <w:marRight w:val="0"/>
              <w:marTop w:val="60"/>
              <w:marBottom w:val="60"/>
              <w:divBdr>
                <w:top w:val="none" w:sz="0" w:space="0" w:color="auto"/>
                <w:left w:val="none" w:sz="0" w:space="0" w:color="auto"/>
                <w:bottom w:val="none" w:sz="0" w:space="0" w:color="auto"/>
                <w:right w:val="none" w:sz="0" w:space="0" w:color="auto"/>
              </w:divBdr>
              <w:divsChild>
                <w:div w:id="1632129371">
                  <w:marLeft w:val="0"/>
                  <w:marRight w:val="0"/>
                  <w:marTop w:val="0"/>
                  <w:marBottom w:val="0"/>
                  <w:divBdr>
                    <w:top w:val="none" w:sz="0" w:space="0" w:color="auto"/>
                    <w:left w:val="none" w:sz="0" w:space="0" w:color="auto"/>
                    <w:bottom w:val="none" w:sz="0" w:space="0" w:color="auto"/>
                    <w:right w:val="none" w:sz="0" w:space="0" w:color="auto"/>
                  </w:divBdr>
                </w:div>
              </w:divsChild>
            </w:div>
            <w:div w:id="794249937">
              <w:marLeft w:val="240"/>
              <w:marRight w:val="0"/>
              <w:marTop w:val="60"/>
              <w:marBottom w:val="60"/>
              <w:divBdr>
                <w:top w:val="none" w:sz="0" w:space="0" w:color="auto"/>
                <w:left w:val="none" w:sz="0" w:space="0" w:color="auto"/>
                <w:bottom w:val="none" w:sz="0" w:space="0" w:color="auto"/>
                <w:right w:val="none" w:sz="0" w:space="0" w:color="auto"/>
              </w:divBdr>
              <w:divsChild>
                <w:div w:id="1999651138">
                  <w:marLeft w:val="0"/>
                  <w:marRight w:val="0"/>
                  <w:marTop w:val="0"/>
                  <w:marBottom w:val="0"/>
                  <w:divBdr>
                    <w:top w:val="none" w:sz="0" w:space="0" w:color="auto"/>
                    <w:left w:val="none" w:sz="0" w:space="0" w:color="auto"/>
                    <w:bottom w:val="none" w:sz="0" w:space="0" w:color="auto"/>
                    <w:right w:val="none" w:sz="0" w:space="0" w:color="auto"/>
                  </w:divBdr>
                </w:div>
              </w:divsChild>
            </w:div>
            <w:div w:id="969284375">
              <w:marLeft w:val="240"/>
              <w:marRight w:val="0"/>
              <w:marTop w:val="60"/>
              <w:marBottom w:val="60"/>
              <w:divBdr>
                <w:top w:val="none" w:sz="0" w:space="0" w:color="auto"/>
                <w:left w:val="none" w:sz="0" w:space="0" w:color="auto"/>
                <w:bottom w:val="none" w:sz="0" w:space="0" w:color="auto"/>
                <w:right w:val="none" w:sz="0" w:space="0" w:color="auto"/>
              </w:divBdr>
              <w:divsChild>
                <w:div w:id="1204974712">
                  <w:marLeft w:val="240"/>
                  <w:marRight w:val="0"/>
                  <w:marTop w:val="60"/>
                  <w:marBottom w:val="60"/>
                  <w:divBdr>
                    <w:top w:val="none" w:sz="0" w:space="0" w:color="auto"/>
                    <w:left w:val="none" w:sz="0" w:space="0" w:color="auto"/>
                    <w:bottom w:val="none" w:sz="0" w:space="0" w:color="auto"/>
                    <w:right w:val="none" w:sz="0" w:space="0" w:color="auto"/>
                  </w:divBdr>
                  <w:divsChild>
                    <w:div w:id="1601645670">
                      <w:marLeft w:val="0"/>
                      <w:marRight w:val="0"/>
                      <w:marTop w:val="0"/>
                      <w:marBottom w:val="0"/>
                      <w:divBdr>
                        <w:top w:val="none" w:sz="0" w:space="0" w:color="auto"/>
                        <w:left w:val="none" w:sz="0" w:space="0" w:color="auto"/>
                        <w:bottom w:val="none" w:sz="0" w:space="0" w:color="auto"/>
                        <w:right w:val="none" w:sz="0" w:space="0" w:color="auto"/>
                      </w:divBdr>
                    </w:div>
                  </w:divsChild>
                </w:div>
                <w:div w:id="1228996748">
                  <w:marLeft w:val="240"/>
                  <w:marRight w:val="0"/>
                  <w:marTop w:val="60"/>
                  <w:marBottom w:val="60"/>
                  <w:divBdr>
                    <w:top w:val="none" w:sz="0" w:space="0" w:color="auto"/>
                    <w:left w:val="none" w:sz="0" w:space="0" w:color="auto"/>
                    <w:bottom w:val="none" w:sz="0" w:space="0" w:color="auto"/>
                    <w:right w:val="none" w:sz="0" w:space="0" w:color="auto"/>
                  </w:divBdr>
                  <w:divsChild>
                    <w:div w:id="1389376164">
                      <w:marLeft w:val="0"/>
                      <w:marRight w:val="0"/>
                      <w:marTop w:val="0"/>
                      <w:marBottom w:val="0"/>
                      <w:divBdr>
                        <w:top w:val="none" w:sz="0" w:space="0" w:color="auto"/>
                        <w:left w:val="none" w:sz="0" w:space="0" w:color="auto"/>
                        <w:bottom w:val="none" w:sz="0" w:space="0" w:color="auto"/>
                        <w:right w:val="none" w:sz="0" w:space="0" w:color="auto"/>
                      </w:divBdr>
                    </w:div>
                  </w:divsChild>
                </w:div>
                <w:div w:id="326372818">
                  <w:marLeft w:val="522"/>
                  <w:marRight w:val="0"/>
                  <w:marTop w:val="0"/>
                  <w:marBottom w:val="0"/>
                  <w:divBdr>
                    <w:top w:val="none" w:sz="0" w:space="0" w:color="auto"/>
                    <w:left w:val="none" w:sz="0" w:space="0" w:color="auto"/>
                    <w:bottom w:val="none" w:sz="0" w:space="0" w:color="auto"/>
                    <w:right w:val="none" w:sz="0" w:space="0" w:color="auto"/>
                  </w:divBdr>
                </w:div>
              </w:divsChild>
            </w:div>
            <w:div w:id="833179407">
              <w:marLeft w:val="240"/>
              <w:marRight w:val="0"/>
              <w:marTop w:val="60"/>
              <w:marBottom w:val="60"/>
              <w:divBdr>
                <w:top w:val="none" w:sz="0" w:space="0" w:color="auto"/>
                <w:left w:val="none" w:sz="0" w:space="0" w:color="auto"/>
                <w:bottom w:val="none" w:sz="0" w:space="0" w:color="auto"/>
                <w:right w:val="none" w:sz="0" w:space="0" w:color="auto"/>
              </w:divBdr>
              <w:divsChild>
                <w:div w:id="15866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7498">
          <w:marLeft w:val="240"/>
          <w:marRight w:val="0"/>
          <w:marTop w:val="60"/>
          <w:marBottom w:val="60"/>
          <w:divBdr>
            <w:top w:val="none" w:sz="0" w:space="0" w:color="auto"/>
            <w:left w:val="none" w:sz="0" w:space="0" w:color="auto"/>
            <w:bottom w:val="none" w:sz="0" w:space="0" w:color="auto"/>
            <w:right w:val="none" w:sz="0" w:space="0" w:color="auto"/>
          </w:divBdr>
          <w:divsChild>
            <w:div w:id="411392239">
              <w:marLeft w:val="0"/>
              <w:marRight w:val="0"/>
              <w:marTop w:val="0"/>
              <w:marBottom w:val="0"/>
              <w:divBdr>
                <w:top w:val="none" w:sz="0" w:space="0" w:color="auto"/>
                <w:left w:val="none" w:sz="0" w:space="0" w:color="auto"/>
                <w:bottom w:val="none" w:sz="0" w:space="0" w:color="auto"/>
                <w:right w:val="none" w:sz="0" w:space="0" w:color="auto"/>
              </w:divBdr>
            </w:div>
          </w:divsChild>
        </w:div>
        <w:div w:id="854735617">
          <w:marLeft w:val="0"/>
          <w:marRight w:val="0"/>
          <w:marTop w:val="0"/>
          <w:marBottom w:val="0"/>
          <w:divBdr>
            <w:top w:val="none" w:sz="0" w:space="0" w:color="auto"/>
            <w:left w:val="none" w:sz="0" w:space="0" w:color="auto"/>
            <w:bottom w:val="none" w:sz="0" w:space="0" w:color="auto"/>
            <w:right w:val="none" w:sz="0" w:space="0" w:color="auto"/>
          </w:divBdr>
        </w:div>
      </w:divsChild>
    </w:div>
    <w:div w:id="582375148">
      <w:bodyDiv w:val="1"/>
      <w:marLeft w:val="0"/>
      <w:marRight w:val="0"/>
      <w:marTop w:val="0"/>
      <w:marBottom w:val="0"/>
      <w:divBdr>
        <w:top w:val="none" w:sz="0" w:space="0" w:color="auto"/>
        <w:left w:val="none" w:sz="0" w:space="0" w:color="auto"/>
        <w:bottom w:val="none" w:sz="0" w:space="0" w:color="auto"/>
        <w:right w:val="none" w:sz="0" w:space="0" w:color="auto"/>
      </w:divBdr>
    </w:div>
    <w:div w:id="604388636">
      <w:bodyDiv w:val="1"/>
      <w:marLeft w:val="0"/>
      <w:marRight w:val="0"/>
      <w:marTop w:val="0"/>
      <w:marBottom w:val="0"/>
      <w:divBdr>
        <w:top w:val="none" w:sz="0" w:space="0" w:color="auto"/>
        <w:left w:val="none" w:sz="0" w:space="0" w:color="auto"/>
        <w:bottom w:val="none" w:sz="0" w:space="0" w:color="auto"/>
        <w:right w:val="none" w:sz="0" w:space="0" w:color="auto"/>
      </w:divBdr>
    </w:div>
    <w:div w:id="610556660">
      <w:bodyDiv w:val="1"/>
      <w:marLeft w:val="0"/>
      <w:marRight w:val="0"/>
      <w:marTop w:val="0"/>
      <w:marBottom w:val="0"/>
      <w:divBdr>
        <w:top w:val="none" w:sz="0" w:space="0" w:color="auto"/>
        <w:left w:val="none" w:sz="0" w:space="0" w:color="auto"/>
        <w:bottom w:val="none" w:sz="0" w:space="0" w:color="auto"/>
        <w:right w:val="none" w:sz="0" w:space="0" w:color="auto"/>
      </w:divBdr>
      <w:divsChild>
        <w:div w:id="692072289">
          <w:marLeft w:val="240"/>
          <w:marRight w:val="0"/>
          <w:marTop w:val="60"/>
          <w:marBottom w:val="60"/>
          <w:divBdr>
            <w:top w:val="none" w:sz="0" w:space="0" w:color="auto"/>
            <w:left w:val="none" w:sz="0" w:space="0" w:color="auto"/>
            <w:bottom w:val="none" w:sz="0" w:space="0" w:color="auto"/>
            <w:right w:val="none" w:sz="0" w:space="0" w:color="auto"/>
          </w:divBdr>
          <w:divsChild>
            <w:div w:id="1049450293">
              <w:marLeft w:val="240"/>
              <w:marRight w:val="0"/>
              <w:marTop w:val="60"/>
              <w:marBottom w:val="60"/>
              <w:divBdr>
                <w:top w:val="none" w:sz="0" w:space="0" w:color="auto"/>
                <w:left w:val="none" w:sz="0" w:space="0" w:color="auto"/>
                <w:bottom w:val="none" w:sz="0" w:space="0" w:color="auto"/>
                <w:right w:val="none" w:sz="0" w:space="0" w:color="auto"/>
              </w:divBdr>
              <w:divsChild>
                <w:div w:id="223033066">
                  <w:marLeft w:val="0"/>
                  <w:marRight w:val="0"/>
                  <w:marTop w:val="0"/>
                  <w:marBottom w:val="0"/>
                  <w:divBdr>
                    <w:top w:val="none" w:sz="0" w:space="0" w:color="auto"/>
                    <w:left w:val="none" w:sz="0" w:space="0" w:color="auto"/>
                    <w:bottom w:val="none" w:sz="0" w:space="0" w:color="auto"/>
                    <w:right w:val="none" w:sz="0" w:space="0" w:color="auto"/>
                  </w:divBdr>
                </w:div>
              </w:divsChild>
            </w:div>
            <w:div w:id="186063306">
              <w:marLeft w:val="240"/>
              <w:marRight w:val="0"/>
              <w:marTop w:val="60"/>
              <w:marBottom w:val="60"/>
              <w:divBdr>
                <w:top w:val="none" w:sz="0" w:space="0" w:color="auto"/>
                <w:left w:val="none" w:sz="0" w:space="0" w:color="auto"/>
                <w:bottom w:val="none" w:sz="0" w:space="0" w:color="auto"/>
                <w:right w:val="none" w:sz="0" w:space="0" w:color="auto"/>
              </w:divBdr>
              <w:divsChild>
                <w:div w:id="548881980">
                  <w:marLeft w:val="0"/>
                  <w:marRight w:val="0"/>
                  <w:marTop w:val="0"/>
                  <w:marBottom w:val="0"/>
                  <w:divBdr>
                    <w:top w:val="none" w:sz="0" w:space="0" w:color="auto"/>
                    <w:left w:val="none" w:sz="0" w:space="0" w:color="auto"/>
                    <w:bottom w:val="none" w:sz="0" w:space="0" w:color="auto"/>
                    <w:right w:val="none" w:sz="0" w:space="0" w:color="auto"/>
                  </w:divBdr>
                </w:div>
              </w:divsChild>
            </w:div>
            <w:div w:id="1125268577">
              <w:marLeft w:val="240"/>
              <w:marRight w:val="0"/>
              <w:marTop w:val="60"/>
              <w:marBottom w:val="60"/>
              <w:divBdr>
                <w:top w:val="none" w:sz="0" w:space="0" w:color="auto"/>
                <w:left w:val="none" w:sz="0" w:space="0" w:color="auto"/>
                <w:bottom w:val="none" w:sz="0" w:space="0" w:color="auto"/>
                <w:right w:val="none" w:sz="0" w:space="0" w:color="auto"/>
              </w:divBdr>
              <w:divsChild>
                <w:div w:id="1619335935">
                  <w:marLeft w:val="0"/>
                  <w:marRight w:val="0"/>
                  <w:marTop w:val="0"/>
                  <w:marBottom w:val="0"/>
                  <w:divBdr>
                    <w:top w:val="none" w:sz="0" w:space="0" w:color="auto"/>
                    <w:left w:val="none" w:sz="0" w:space="0" w:color="auto"/>
                    <w:bottom w:val="none" w:sz="0" w:space="0" w:color="auto"/>
                    <w:right w:val="none" w:sz="0" w:space="0" w:color="auto"/>
                  </w:divBdr>
                </w:div>
              </w:divsChild>
            </w:div>
            <w:div w:id="128745268">
              <w:marLeft w:val="240"/>
              <w:marRight w:val="0"/>
              <w:marTop w:val="60"/>
              <w:marBottom w:val="60"/>
              <w:divBdr>
                <w:top w:val="none" w:sz="0" w:space="0" w:color="auto"/>
                <w:left w:val="none" w:sz="0" w:space="0" w:color="auto"/>
                <w:bottom w:val="none" w:sz="0" w:space="0" w:color="auto"/>
                <w:right w:val="none" w:sz="0" w:space="0" w:color="auto"/>
              </w:divBdr>
              <w:divsChild>
                <w:div w:id="16424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98237">
          <w:marLeft w:val="240"/>
          <w:marRight w:val="0"/>
          <w:marTop w:val="60"/>
          <w:marBottom w:val="60"/>
          <w:divBdr>
            <w:top w:val="none" w:sz="0" w:space="0" w:color="auto"/>
            <w:left w:val="none" w:sz="0" w:space="0" w:color="auto"/>
            <w:bottom w:val="none" w:sz="0" w:space="0" w:color="auto"/>
            <w:right w:val="none" w:sz="0" w:space="0" w:color="auto"/>
          </w:divBdr>
          <w:divsChild>
            <w:div w:id="1759863979">
              <w:marLeft w:val="240"/>
              <w:marRight w:val="0"/>
              <w:marTop w:val="60"/>
              <w:marBottom w:val="60"/>
              <w:divBdr>
                <w:top w:val="none" w:sz="0" w:space="0" w:color="auto"/>
                <w:left w:val="none" w:sz="0" w:space="0" w:color="auto"/>
                <w:bottom w:val="none" w:sz="0" w:space="0" w:color="auto"/>
                <w:right w:val="none" w:sz="0" w:space="0" w:color="auto"/>
              </w:divBdr>
              <w:divsChild>
                <w:div w:id="572280513">
                  <w:marLeft w:val="0"/>
                  <w:marRight w:val="0"/>
                  <w:marTop w:val="0"/>
                  <w:marBottom w:val="0"/>
                  <w:divBdr>
                    <w:top w:val="none" w:sz="0" w:space="0" w:color="auto"/>
                    <w:left w:val="none" w:sz="0" w:space="0" w:color="auto"/>
                    <w:bottom w:val="none" w:sz="0" w:space="0" w:color="auto"/>
                    <w:right w:val="none" w:sz="0" w:space="0" w:color="auto"/>
                  </w:divBdr>
                </w:div>
              </w:divsChild>
            </w:div>
            <w:div w:id="1229532691">
              <w:marLeft w:val="240"/>
              <w:marRight w:val="0"/>
              <w:marTop w:val="60"/>
              <w:marBottom w:val="60"/>
              <w:divBdr>
                <w:top w:val="none" w:sz="0" w:space="0" w:color="auto"/>
                <w:left w:val="none" w:sz="0" w:space="0" w:color="auto"/>
                <w:bottom w:val="none" w:sz="0" w:space="0" w:color="auto"/>
                <w:right w:val="none" w:sz="0" w:space="0" w:color="auto"/>
              </w:divBdr>
              <w:divsChild>
                <w:div w:id="3480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2985">
          <w:marLeft w:val="0"/>
          <w:marRight w:val="0"/>
          <w:marTop w:val="0"/>
          <w:marBottom w:val="0"/>
          <w:divBdr>
            <w:top w:val="none" w:sz="0" w:space="0" w:color="auto"/>
            <w:left w:val="none" w:sz="0" w:space="0" w:color="auto"/>
            <w:bottom w:val="none" w:sz="0" w:space="0" w:color="auto"/>
            <w:right w:val="none" w:sz="0" w:space="0" w:color="auto"/>
          </w:divBdr>
        </w:div>
      </w:divsChild>
    </w:div>
    <w:div w:id="618494025">
      <w:bodyDiv w:val="1"/>
      <w:marLeft w:val="0"/>
      <w:marRight w:val="0"/>
      <w:marTop w:val="0"/>
      <w:marBottom w:val="0"/>
      <w:divBdr>
        <w:top w:val="none" w:sz="0" w:space="0" w:color="auto"/>
        <w:left w:val="none" w:sz="0" w:space="0" w:color="auto"/>
        <w:bottom w:val="none" w:sz="0" w:space="0" w:color="auto"/>
        <w:right w:val="none" w:sz="0" w:space="0" w:color="auto"/>
      </w:divBdr>
      <w:divsChild>
        <w:div w:id="1666476046">
          <w:marLeft w:val="240"/>
          <w:marRight w:val="0"/>
          <w:marTop w:val="60"/>
          <w:marBottom w:val="60"/>
          <w:divBdr>
            <w:top w:val="none" w:sz="0" w:space="0" w:color="auto"/>
            <w:left w:val="none" w:sz="0" w:space="0" w:color="auto"/>
            <w:bottom w:val="none" w:sz="0" w:space="0" w:color="auto"/>
            <w:right w:val="none" w:sz="0" w:space="0" w:color="auto"/>
          </w:divBdr>
          <w:divsChild>
            <w:div w:id="660504184">
              <w:marLeft w:val="0"/>
              <w:marRight w:val="0"/>
              <w:marTop w:val="0"/>
              <w:marBottom w:val="0"/>
              <w:divBdr>
                <w:top w:val="none" w:sz="0" w:space="0" w:color="auto"/>
                <w:left w:val="none" w:sz="0" w:space="0" w:color="auto"/>
                <w:bottom w:val="none" w:sz="0" w:space="0" w:color="auto"/>
                <w:right w:val="none" w:sz="0" w:space="0" w:color="auto"/>
              </w:divBdr>
            </w:div>
          </w:divsChild>
        </w:div>
        <w:div w:id="1346443353">
          <w:marLeft w:val="240"/>
          <w:marRight w:val="0"/>
          <w:marTop w:val="60"/>
          <w:marBottom w:val="60"/>
          <w:divBdr>
            <w:top w:val="none" w:sz="0" w:space="0" w:color="auto"/>
            <w:left w:val="none" w:sz="0" w:space="0" w:color="auto"/>
            <w:bottom w:val="none" w:sz="0" w:space="0" w:color="auto"/>
            <w:right w:val="none" w:sz="0" w:space="0" w:color="auto"/>
          </w:divBdr>
          <w:divsChild>
            <w:div w:id="202207176">
              <w:marLeft w:val="240"/>
              <w:marRight w:val="0"/>
              <w:marTop w:val="60"/>
              <w:marBottom w:val="60"/>
              <w:divBdr>
                <w:top w:val="none" w:sz="0" w:space="0" w:color="auto"/>
                <w:left w:val="none" w:sz="0" w:space="0" w:color="auto"/>
                <w:bottom w:val="none" w:sz="0" w:space="0" w:color="auto"/>
                <w:right w:val="none" w:sz="0" w:space="0" w:color="auto"/>
              </w:divBdr>
              <w:divsChild>
                <w:div w:id="388266410">
                  <w:marLeft w:val="0"/>
                  <w:marRight w:val="0"/>
                  <w:marTop w:val="0"/>
                  <w:marBottom w:val="0"/>
                  <w:divBdr>
                    <w:top w:val="none" w:sz="0" w:space="0" w:color="auto"/>
                    <w:left w:val="none" w:sz="0" w:space="0" w:color="auto"/>
                    <w:bottom w:val="none" w:sz="0" w:space="0" w:color="auto"/>
                    <w:right w:val="none" w:sz="0" w:space="0" w:color="auto"/>
                  </w:divBdr>
                </w:div>
              </w:divsChild>
            </w:div>
            <w:div w:id="1050231815">
              <w:marLeft w:val="240"/>
              <w:marRight w:val="0"/>
              <w:marTop w:val="60"/>
              <w:marBottom w:val="60"/>
              <w:divBdr>
                <w:top w:val="none" w:sz="0" w:space="0" w:color="auto"/>
                <w:left w:val="none" w:sz="0" w:space="0" w:color="auto"/>
                <w:bottom w:val="none" w:sz="0" w:space="0" w:color="auto"/>
                <w:right w:val="none" w:sz="0" w:space="0" w:color="auto"/>
              </w:divBdr>
              <w:divsChild>
                <w:div w:id="17206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2963">
          <w:marLeft w:val="240"/>
          <w:marRight w:val="0"/>
          <w:marTop w:val="60"/>
          <w:marBottom w:val="60"/>
          <w:divBdr>
            <w:top w:val="none" w:sz="0" w:space="0" w:color="auto"/>
            <w:left w:val="none" w:sz="0" w:space="0" w:color="auto"/>
            <w:bottom w:val="none" w:sz="0" w:space="0" w:color="auto"/>
            <w:right w:val="none" w:sz="0" w:space="0" w:color="auto"/>
          </w:divBdr>
          <w:divsChild>
            <w:div w:id="59795241">
              <w:marLeft w:val="240"/>
              <w:marRight w:val="0"/>
              <w:marTop w:val="60"/>
              <w:marBottom w:val="60"/>
              <w:divBdr>
                <w:top w:val="none" w:sz="0" w:space="0" w:color="auto"/>
                <w:left w:val="none" w:sz="0" w:space="0" w:color="auto"/>
                <w:bottom w:val="none" w:sz="0" w:space="0" w:color="auto"/>
                <w:right w:val="none" w:sz="0" w:space="0" w:color="auto"/>
              </w:divBdr>
              <w:divsChild>
                <w:div w:id="312610527">
                  <w:marLeft w:val="0"/>
                  <w:marRight w:val="0"/>
                  <w:marTop w:val="0"/>
                  <w:marBottom w:val="0"/>
                  <w:divBdr>
                    <w:top w:val="none" w:sz="0" w:space="0" w:color="auto"/>
                    <w:left w:val="none" w:sz="0" w:space="0" w:color="auto"/>
                    <w:bottom w:val="none" w:sz="0" w:space="0" w:color="auto"/>
                    <w:right w:val="none" w:sz="0" w:space="0" w:color="auto"/>
                  </w:divBdr>
                </w:div>
              </w:divsChild>
            </w:div>
            <w:div w:id="1861504185">
              <w:marLeft w:val="240"/>
              <w:marRight w:val="0"/>
              <w:marTop w:val="60"/>
              <w:marBottom w:val="60"/>
              <w:divBdr>
                <w:top w:val="none" w:sz="0" w:space="0" w:color="auto"/>
                <w:left w:val="none" w:sz="0" w:space="0" w:color="auto"/>
                <w:bottom w:val="none" w:sz="0" w:space="0" w:color="auto"/>
                <w:right w:val="none" w:sz="0" w:space="0" w:color="auto"/>
              </w:divBdr>
              <w:divsChild>
                <w:div w:id="707874704">
                  <w:marLeft w:val="240"/>
                  <w:marRight w:val="0"/>
                  <w:marTop w:val="60"/>
                  <w:marBottom w:val="60"/>
                  <w:divBdr>
                    <w:top w:val="none" w:sz="0" w:space="0" w:color="auto"/>
                    <w:left w:val="none" w:sz="0" w:space="0" w:color="auto"/>
                    <w:bottom w:val="none" w:sz="0" w:space="0" w:color="auto"/>
                    <w:right w:val="none" w:sz="0" w:space="0" w:color="auto"/>
                  </w:divBdr>
                  <w:divsChild>
                    <w:div w:id="49966117">
                      <w:marLeft w:val="240"/>
                      <w:marRight w:val="0"/>
                      <w:marTop w:val="60"/>
                      <w:marBottom w:val="60"/>
                      <w:divBdr>
                        <w:top w:val="none" w:sz="0" w:space="0" w:color="auto"/>
                        <w:left w:val="none" w:sz="0" w:space="0" w:color="auto"/>
                        <w:bottom w:val="none" w:sz="0" w:space="0" w:color="auto"/>
                        <w:right w:val="none" w:sz="0" w:space="0" w:color="auto"/>
                      </w:divBdr>
                      <w:divsChild>
                        <w:div w:id="1013192699">
                          <w:marLeft w:val="0"/>
                          <w:marRight w:val="0"/>
                          <w:marTop w:val="0"/>
                          <w:marBottom w:val="0"/>
                          <w:divBdr>
                            <w:top w:val="none" w:sz="0" w:space="0" w:color="auto"/>
                            <w:left w:val="none" w:sz="0" w:space="0" w:color="auto"/>
                            <w:bottom w:val="none" w:sz="0" w:space="0" w:color="auto"/>
                            <w:right w:val="none" w:sz="0" w:space="0" w:color="auto"/>
                          </w:divBdr>
                        </w:div>
                      </w:divsChild>
                    </w:div>
                    <w:div w:id="344138827">
                      <w:marLeft w:val="240"/>
                      <w:marRight w:val="0"/>
                      <w:marTop w:val="60"/>
                      <w:marBottom w:val="60"/>
                      <w:divBdr>
                        <w:top w:val="none" w:sz="0" w:space="0" w:color="auto"/>
                        <w:left w:val="none" w:sz="0" w:space="0" w:color="auto"/>
                        <w:bottom w:val="none" w:sz="0" w:space="0" w:color="auto"/>
                        <w:right w:val="none" w:sz="0" w:space="0" w:color="auto"/>
                      </w:divBdr>
                      <w:divsChild>
                        <w:div w:id="1734935579">
                          <w:marLeft w:val="0"/>
                          <w:marRight w:val="0"/>
                          <w:marTop w:val="0"/>
                          <w:marBottom w:val="0"/>
                          <w:divBdr>
                            <w:top w:val="none" w:sz="0" w:space="0" w:color="auto"/>
                            <w:left w:val="none" w:sz="0" w:space="0" w:color="auto"/>
                            <w:bottom w:val="none" w:sz="0" w:space="0" w:color="auto"/>
                            <w:right w:val="none" w:sz="0" w:space="0" w:color="auto"/>
                          </w:divBdr>
                        </w:div>
                      </w:divsChild>
                    </w:div>
                    <w:div w:id="1673987714">
                      <w:marLeft w:val="240"/>
                      <w:marRight w:val="0"/>
                      <w:marTop w:val="60"/>
                      <w:marBottom w:val="60"/>
                      <w:divBdr>
                        <w:top w:val="none" w:sz="0" w:space="0" w:color="auto"/>
                        <w:left w:val="none" w:sz="0" w:space="0" w:color="auto"/>
                        <w:bottom w:val="none" w:sz="0" w:space="0" w:color="auto"/>
                        <w:right w:val="none" w:sz="0" w:space="0" w:color="auto"/>
                      </w:divBdr>
                      <w:divsChild>
                        <w:div w:id="189805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0019">
                  <w:marLeft w:val="240"/>
                  <w:marRight w:val="0"/>
                  <w:marTop w:val="60"/>
                  <w:marBottom w:val="60"/>
                  <w:divBdr>
                    <w:top w:val="none" w:sz="0" w:space="0" w:color="auto"/>
                    <w:left w:val="none" w:sz="0" w:space="0" w:color="auto"/>
                    <w:bottom w:val="none" w:sz="0" w:space="0" w:color="auto"/>
                    <w:right w:val="none" w:sz="0" w:space="0" w:color="auto"/>
                  </w:divBdr>
                  <w:divsChild>
                    <w:div w:id="2002004433">
                      <w:marLeft w:val="240"/>
                      <w:marRight w:val="0"/>
                      <w:marTop w:val="60"/>
                      <w:marBottom w:val="60"/>
                      <w:divBdr>
                        <w:top w:val="none" w:sz="0" w:space="0" w:color="auto"/>
                        <w:left w:val="none" w:sz="0" w:space="0" w:color="auto"/>
                        <w:bottom w:val="none" w:sz="0" w:space="0" w:color="auto"/>
                        <w:right w:val="none" w:sz="0" w:space="0" w:color="auto"/>
                      </w:divBdr>
                      <w:divsChild>
                        <w:div w:id="1478299832">
                          <w:marLeft w:val="0"/>
                          <w:marRight w:val="0"/>
                          <w:marTop w:val="0"/>
                          <w:marBottom w:val="0"/>
                          <w:divBdr>
                            <w:top w:val="none" w:sz="0" w:space="0" w:color="auto"/>
                            <w:left w:val="none" w:sz="0" w:space="0" w:color="auto"/>
                            <w:bottom w:val="none" w:sz="0" w:space="0" w:color="auto"/>
                            <w:right w:val="none" w:sz="0" w:space="0" w:color="auto"/>
                          </w:divBdr>
                        </w:div>
                      </w:divsChild>
                    </w:div>
                    <w:div w:id="597635331">
                      <w:marLeft w:val="240"/>
                      <w:marRight w:val="0"/>
                      <w:marTop w:val="60"/>
                      <w:marBottom w:val="60"/>
                      <w:divBdr>
                        <w:top w:val="none" w:sz="0" w:space="0" w:color="auto"/>
                        <w:left w:val="none" w:sz="0" w:space="0" w:color="auto"/>
                        <w:bottom w:val="none" w:sz="0" w:space="0" w:color="auto"/>
                        <w:right w:val="none" w:sz="0" w:space="0" w:color="auto"/>
                      </w:divBdr>
                      <w:divsChild>
                        <w:div w:id="1977681795">
                          <w:marLeft w:val="240"/>
                          <w:marRight w:val="0"/>
                          <w:marTop w:val="60"/>
                          <w:marBottom w:val="60"/>
                          <w:divBdr>
                            <w:top w:val="none" w:sz="0" w:space="0" w:color="auto"/>
                            <w:left w:val="none" w:sz="0" w:space="0" w:color="auto"/>
                            <w:bottom w:val="none" w:sz="0" w:space="0" w:color="auto"/>
                            <w:right w:val="none" w:sz="0" w:space="0" w:color="auto"/>
                          </w:divBdr>
                          <w:divsChild>
                            <w:div w:id="1298294938">
                              <w:marLeft w:val="0"/>
                              <w:marRight w:val="0"/>
                              <w:marTop w:val="0"/>
                              <w:marBottom w:val="0"/>
                              <w:divBdr>
                                <w:top w:val="none" w:sz="0" w:space="0" w:color="auto"/>
                                <w:left w:val="none" w:sz="0" w:space="0" w:color="auto"/>
                                <w:bottom w:val="none" w:sz="0" w:space="0" w:color="auto"/>
                                <w:right w:val="none" w:sz="0" w:space="0" w:color="auto"/>
                              </w:divBdr>
                            </w:div>
                          </w:divsChild>
                        </w:div>
                        <w:div w:id="1620647589">
                          <w:marLeft w:val="240"/>
                          <w:marRight w:val="0"/>
                          <w:marTop w:val="60"/>
                          <w:marBottom w:val="60"/>
                          <w:divBdr>
                            <w:top w:val="none" w:sz="0" w:space="0" w:color="auto"/>
                            <w:left w:val="none" w:sz="0" w:space="0" w:color="auto"/>
                            <w:bottom w:val="none" w:sz="0" w:space="0" w:color="auto"/>
                            <w:right w:val="none" w:sz="0" w:space="0" w:color="auto"/>
                          </w:divBdr>
                          <w:divsChild>
                            <w:div w:id="11506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87740">
                      <w:marLeft w:val="240"/>
                      <w:marRight w:val="0"/>
                      <w:marTop w:val="60"/>
                      <w:marBottom w:val="60"/>
                      <w:divBdr>
                        <w:top w:val="none" w:sz="0" w:space="0" w:color="auto"/>
                        <w:left w:val="none" w:sz="0" w:space="0" w:color="auto"/>
                        <w:bottom w:val="none" w:sz="0" w:space="0" w:color="auto"/>
                        <w:right w:val="none" w:sz="0" w:space="0" w:color="auto"/>
                      </w:divBdr>
                      <w:divsChild>
                        <w:div w:id="17632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26378">
              <w:marLeft w:val="240"/>
              <w:marRight w:val="0"/>
              <w:marTop w:val="60"/>
              <w:marBottom w:val="60"/>
              <w:divBdr>
                <w:top w:val="none" w:sz="0" w:space="0" w:color="auto"/>
                <w:left w:val="none" w:sz="0" w:space="0" w:color="auto"/>
                <w:bottom w:val="none" w:sz="0" w:space="0" w:color="auto"/>
                <w:right w:val="none" w:sz="0" w:space="0" w:color="auto"/>
              </w:divBdr>
              <w:divsChild>
                <w:div w:id="1189490511">
                  <w:marLeft w:val="240"/>
                  <w:marRight w:val="0"/>
                  <w:marTop w:val="60"/>
                  <w:marBottom w:val="60"/>
                  <w:divBdr>
                    <w:top w:val="none" w:sz="0" w:space="0" w:color="auto"/>
                    <w:left w:val="none" w:sz="0" w:space="0" w:color="auto"/>
                    <w:bottom w:val="none" w:sz="0" w:space="0" w:color="auto"/>
                    <w:right w:val="none" w:sz="0" w:space="0" w:color="auto"/>
                  </w:divBdr>
                  <w:divsChild>
                    <w:div w:id="152450364">
                      <w:marLeft w:val="240"/>
                      <w:marRight w:val="0"/>
                      <w:marTop w:val="60"/>
                      <w:marBottom w:val="60"/>
                      <w:divBdr>
                        <w:top w:val="none" w:sz="0" w:space="0" w:color="auto"/>
                        <w:left w:val="none" w:sz="0" w:space="0" w:color="auto"/>
                        <w:bottom w:val="none" w:sz="0" w:space="0" w:color="auto"/>
                        <w:right w:val="none" w:sz="0" w:space="0" w:color="auto"/>
                      </w:divBdr>
                      <w:divsChild>
                        <w:div w:id="102967518">
                          <w:marLeft w:val="240"/>
                          <w:marRight w:val="0"/>
                          <w:marTop w:val="60"/>
                          <w:marBottom w:val="60"/>
                          <w:divBdr>
                            <w:top w:val="none" w:sz="0" w:space="0" w:color="auto"/>
                            <w:left w:val="none" w:sz="0" w:space="0" w:color="auto"/>
                            <w:bottom w:val="none" w:sz="0" w:space="0" w:color="auto"/>
                            <w:right w:val="none" w:sz="0" w:space="0" w:color="auto"/>
                          </w:divBdr>
                          <w:divsChild>
                            <w:div w:id="4014662">
                              <w:marLeft w:val="0"/>
                              <w:marRight w:val="0"/>
                              <w:marTop w:val="0"/>
                              <w:marBottom w:val="0"/>
                              <w:divBdr>
                                <w:top w:val="none" w:sz="0" w:space="0" w:color="auto"/>
                                <w:left w:val="none" w:sz="0" w:space="0" w:color="auto"/>
                                <w:bottom w:val="none" w:sz="0" w:space="0" w:color="auto"/>
                                <w:right w:val="none" w:sz="0" w:space="0" w:color="auto"/>
                              </w:divBdr>
                            </w:div>
                          </w:divsChild>
                        </w:div>
                        <w:div w:id="1445615155">
                          <w:marLeft w:val="240"/>
                          <w:marRight w:val="0"/>
                          <w:marTop w:val="60"/>
                          <w:marBottom w:val="60"/>
                          <w:divBdr>
                            <w:top w:val="none" w:sz="0" w:space="0" w:color="auto"/>
                            <w:left w:val="none" w:sz="0" w:space="0" w:color="auto"/>
                            <w:bottom w:val="none" w:sz="0" w:space="0" w:color="auto"/>
                            <w:right w:val="none" w:sz="0" w:space="0" w:color="auto"/>
                          </w:divBdr>
                          <w:divsChild>
                            <w:div w:id="1305355639">
                              <w:marLeft w:val="0"/>
                              <w:marRight w:val="0"/>
                              <w:marTop w:val="0"/>
                              <w:marBottom w:val="0"/>
                              <w:divBdr>
                                <w:top w:val="none" w:sz="0" w:space="0" w:color="auto"/>
                                <w:left w:val="none" w:sz="0" w:space="0" w:color="auto"/>
                                <w:bottom w:val="none" w:sz="0" w:space="0" w:color="auto"/>
                                <w:right w:val="none" w:sz="0" w:space="0" w:color="auto"/>
                              </w:divBdr>
                            </w:div>
                          </w:divsChild>
                        </w:div>
                        <w:div w:id="1648513720">
                          <w:marLeft w:val="240"/>
                          <w:marRight w:val="0"/>
                          <w:marTop w:val="60"/>
                          <w:marBottom w:val="60"/>
                          <w:divBdr>
                            <w:top w:val="none" w:sz="0" w:space="0" w:color="auto"/>
                            <w:left w:val="none" w:sz="0" w:space="0" w:color="auto"/>
                            <w:bottom w:val="none" w:sz="0" w:space="0" w:color="auto"/>
                            <w:right w:val="none" w:sz="0" w:space="0" w:color="auto"/>
                          </w:divBdr>
                          <w:divsChild>
                            <w:div w:id="213956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84753">
                      <w:marLeft w:val="240"/>
                      <w:marRight w:val="0"/>
                      <w:marTop w:val="60"/>
                      <w:marBottom w:val="60"/>
                      <w:divBdr>
                        <w:top w:val="none" w:sz="0" w:space="0" w:color="auto"/>
                        <w:left w:val="none" w:sz="0" w:space="0" w:color="auto"/>
                        <w:bottom w:val="none" w:sz="0" w:space="0" w:color="auto"/>
                        <w:right w:val="none" w:sz="0" w:space="0" w:color="auto"/>
                      </w:divBdr>
                      <w:divsChild>
                        <w:div w:id="1406951413">
                          <w:marLeft w:val="0"/>
                          <w:marRight w:val="0"/>
                          <w:marTop w:val="0"/>
                          <w:marBottom w:val="0"/>
                          <w:divBdr>
                            <w:top w:val="none" w:sz="0" w:space="0" w:color="auto"/>
                            <w:left w:val="none" w:sz="0" w:space="0" w:color="auto"/>
                            <w:bottom w:val="none" w:sz="0" w:space="0" w:color="auto"/>
                            <w:right w:val="none" w:sz="0" w:space="0" w:color="auto"/>
                          </w:divBdr>
                        </w:div>
                      </w:divsChild>
                    </w:div>
                    <w:div w:id="2002347614">
                      <w:marLeft w:val="506"/>
                      <w:marRight w:val="0"/>
                      <w:marTop w:val="0"/>
                      <w:marBottom w:val="0"/>
                      <w:divBdr>
                        <w:top w:val="none" w:sz="0" w:space="0" w:color="auto"/>
                        <w:left w:val="none" w:sz="0" w:space="0" w:color="auto"/>
                        <w:bottom w:val="none" w:sz="0" w:space="0" w:color="auto"/>
                        <w:right w:val="none" w:sz="0" w:space="0" w:color="auto"/>
                      </w:divBdr>
                    </w:div>
                  </w:divsChild>
                </w:div>
                <w:div w:id="1960187928">
                  <w:marLeft w:val="240"/>
                  <w:marRight w:val="0"/>
                  <w:marTop w:val="60"/>
                  <w:marBottom w:val="60"/>
                  <w:divBdr>
                    <w:top w:val="none" w:sz="0" w:space="0" w:color="auto"/>
                    <w:left w:val="none" w:sz="0" w:space="0" w:color="auto"/>
                    <w:bottom w:val="none" w:sz="0" w:space="0" w:color="auto"/>
                    <w:right w:val="none" w:sz="0" w:space="0" w:color="auto"/>
                  </w:divBdr>
                  <w:divsChild>
                    <w:div w:id="1278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712">
          <w:marLeft w:val="240"/>
          <w:marRight w:val="0"/>
          <w:marTop w:val="60"/>
          <w:marBottom w:val="60"/>
          <w:divBdr>
            <w:top w:val="none" w:sz="0" w:space="0" w:color="auto"/>
            <w:left w:val="none" w:sz="0" w:space="0" w:color="auto"/>
            <w:bottom w:val="none" w:sz="0" w:space="0" w:color="auto"/>
            <w:right w:val="none" w:sz="0" w:space="0" w:color="auto"/>
          </w:divBdr>
          <w:divsChild>
            <w:div w:id="739324823">
              <w:marLeft w:val="240"/>
              <w:marRight w:val="0"/>
              <w:marTop w:val="60"/>
              <w:marBottom w:val="60"/>
              <w:divBdr>
                <w:top w:val="none" w:sz="0" w:space="0" w:color="auto"/>
                <w:left w:val="none" w:sz="0" w:space="0" w:color="auto"/>
                <w:bottom w:val="none" w:sz="0" w:space="0" w:color="auto"/>
                <w:right w:val="none" w:sz="0" w:space="0" w:color="auto"/>
              </w:divBdr>
              <w:divsChild>
                <w:div w:id="1010448476">
                  <w:marLeft w:val="0"/>
                  <w:marRight w:val="0"/>
                  <w:marTop w:val="0"/>
                  <w:marBottom w:val="0"/>
                  <w:divBdr>
                    <w:top w:val="none" w:sz="0" w:space="0" w:color="auto"/>
                    <w:left w:val="none" w:sz="0" w:space="0" w:color="auto"/>
                    <w:bottom w:val="none" w:sz="0" w:space="0" w:color="auto"/>
                    <w:right w:val="none" w:sz="0" w:space="0" w:color="auto"/>
                  </w:divBdr>
                </w:div>
              </w:divsChild>
            </w:div>
            <w:div w:id="160048367">
              <w:marLeft w:val="240"/>
              <w:marRight w:val="0"/>
              <w:marTop w:val="60"/>
              <w:marBottom w:val="60"/>
              <w:divBdr>
                <w:top w:val="none" w:sz="0" w:space="0" w:color="auto"/>
                <w:left w:val="none" w:sz="0" w:space="0" w:color="auto"/>
                <w:bottom w:val="none" w:sz="0" w:space="0" w:color="auto"/>
                <w:right w:val="none" w:sz="0" w:space="0" w:color="auto"/>
              </w:divBdr>
              <w:divsChild>
                <w:div w:id="756946285">
                  <w:marLeft w:val="0"/>
                  <w:marRight w:val="0"/>
                  <w:marTop w:val="0"/>
                  <w:marBottom w:val="0"/>
                  <w:divBdr>
                    <w:top w:val="none" w:sz="0" w:space="0" w:color="auto"/>
                    <w:left w:val="none" w:sz="0" w:space="0" w:color="auto"/>
                    <w:bottom w:val="none" w:sz="0" w:space="0" w:color="auto"/>
                    <w:right w:val="none" w:sz="0" w:space="0" w:color="auto"/>
                  </w:divBdr>
                </w:div>
              </w:divsChild>
            </w:div>
            <w:div w:id="614796356">
              <w:marLeft w:val="240"/>
              <w:marRight w:val="0"/>
              <w:marTop w:val="60"/>
              <w:marBottom w:val="60"/>
              <w:divBdr>
                <w:top w:val="none" w:sz="0" w:space="0" w:color="auto"/>
                <w:left w:val="none" w:sz="0" w:space="0" w:color="auto"/>
                <w:bottom w:val="none" w:sz="0" w:space="0" w:color="auto"/>
                <w:right w:val="none" w:sz="0" w:space="0" w:color="auto"/>
              </w:divBdr>
              <w:divsChild>
                <w:div w:id="1907640796">
                  <w:marLeft w:val="0"/>
                  <w:marRight w:val="0"/>
                  <w:marTop w:val="0"/>
                  <w:marBottom w:val="0"/>
                  <w:divBdr>
                    <w:top w:val="none" w:sz="0" w:space="0" w:color="auto"/>
                    <w:left w:val="none" w:sz="0" w:space="0" w:color="auto"/>
                    <w:bottom w:val="none" w:sz="0" w:space="0" w:color="auto"/>
                    <w:right w:val="none" w:sz="0" w:space="0" w:color="auto"/>
                  </w:divBdr>
                </w:div>
              </w:divsChild>
            </w:div>
            <w:div w:id="118107700">
              <w:marLeft w:val="538"/>
              <w:marRight w:val="0"/>
              <w:marTop w:val="0"/>
              <w:marBottom w:val="0"/>
              <w:divBdr>
                <w:top w:val="none" w:sz="0" w:space="0" w:color="auto"/>
                <w:left w:val="none" w:sz="0" w:space="0" w:color="auto"/>
                <w:bottom w:val="none" w:sz="0" w:space="0" w:color="auto"/>
                <w:right w:val="none" w:sz="0" w:space="0" w:color="auto"/>
              </w:divBdr>
            </w:div>
          </w:divsChild>
        </w:div>
        <w:div w:id="2038462724">
          <w:marLeft w:val="240"/>
          <w:marRight w:val="0"/>
          <w:marTop w:val="60"/>
          <w:marBottom w:val="60"/>
          <w:divBdr>
            <w:top w:val="none" w:sz="0" w:space="0" w:color="auto"/>
            <w:left w:val="none" w:sz="0" w:space="0" w:color="auto"/>
            <w:bottom w:val="none" w:sz="0" w:space="0" w:color="auto"/>
            <w:right w:val="none" w:sz="0" w:space="0" w:color="auto"/>
          </w:divBdr>
          <w:divsChild>
            <w:div w:id="362289160">
              <w:marLeft w:val="240"/>
              <w:marRight w:val="0"/>
              <w:marTop w:val="60"/>
              <w:marBottom w:val="60"/>
              <w:divBdr>
                <w:top w:val="none" w:sz="0" w:space="0" w:color="auto"/>
                <w:left w:val="none" w:sz="0" w:space="0" w:color="auto"/>
                <w:bottom w:val="none" w:sz="0" w:space="0" w:color="auto"/>
                <w:right w:val="none" w:sz="0" w:space="0" w:color="auto"/>
              </w:divBdr>
              <w:divsChild>
                <w:div w:id="1049184859">
                  <w:marLeft w:val="0"/>
                  <w:marRight w:val="0"/>
                  <w:marTop w:val="0"/>
                  <w:marBottom w:val="0"/>
                  <w:divBdr>
                    <w:top w:val="none" w:sz="0" w:space="0" w:color="auto"/>
                    <w:left w:val="none" w:sz="0" w:space="0" w:color="auto"/>
                    <w:bottom w:val="none" w:sz="0" w:space="0" w:color="auto"/>
                    <w:right w:val="none" w:sz="0" w:space="0" w:color="auto"/>
                  </w:divBdr>
                </w:div>
              </w:divsChild>
            </w:div>
            <w:div w:id="1747415616">
              <w:marLeft w:val="240"/>
              <w:marRight w:val="0"/>
              <w:marTop w:val="60"/>
              <w:marBottom w:val="60"/>
              <w:divBdr>
                <w:top w:val="none" w:sz="0" w:space="0" w:color="auto"/>
                <w:left w:val="none" w:sz="0" w:space="0" w:color="auto"/>
                <w:bottom w:val="none" w:sz="0" w:space="0" w:color="auto"/>
                <w:right w:val="none" w:sz="0" w:space="0" w:color="auto"/>
              </w:divBdr>
              <w:divsChild>
                <w:div w:id="1802185196">
                  <w:marLeft w:val="0"/>
                  <w:marRight w:val="0"/>
                  <w:marTop w:val="0"/>
                  <w:marBottom w:val="0"/>
                  <w:divBdr>
                    <w:top w:val="none" w:sz="0" w:space="0" w:color="auto"/>
                    <w:left w:val="none" w:sz="0" w:space="0" w:color="auto"/>
                    <w:bottom w:val="none" w:sz="0" w:space="0" w:color="auto"/>
                    <w:right w:val="none" w:sz="0" w:space="0" w:color="auto"/>
                  </w:divBdr>
                </w:div>
              </w:divsChild>
            </w:div>
            <w:div w:id="1533222660">
              <w:marLeft w:val="240"/>
              <w:marRight w:val="0"/>
              <w:marTop w:val="60"/>
              <w:marBottom w:val="60"/>
              <w:divBdr>
                <w:top w:val="none" w:sz="0" w:space="0" w:color="auto"/>
                <w:left w:val="none" w:sz="0" w:space="0" w:color="auto"/>
                <w:bottom w:val="none" w:sz="0" w:space="0" w:color="auto"/>
                <w:right w:val="none" w:sz="0" w:space="0" w:color="auto"/>
              </w:divBdr>
              <w:divsChild>
                <w:div w:id="101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40041">
          <w:marLeft w:val="240"/>
          <w:marRight w:val="0"/>
          <w:marTop w:val="60"/>
          <w:marBottom w:val="60"/>
          <w:divBdr>
            <w:top w:val="none" w:sz="0" w:space="0" w:color="auto"/>
            <w:left w:val="none" w:sz="0" w:space="0" w:color="auto"/>
            <w:bottom w:val="none" w:sz="0" w:space="0" w:color="auto"/>
            <w:right w:val="none" w:sz="0" w:space="0" w:color="auto"/>
          </w:divBdr>
          <w:divsChild>
            <w:div w:id="776022184">
              <w:marLeft w:val="0"/>
              <w:marRight w:val="0"/>
              <w:marTop w:val="0"/>
              <w:marBottom w:val="0"/>
              <w:divBdr>
                <w:top w:val="none" w:sz="0" w:space="0" w:color="auto"/>
                <w:left w:val="none" w:sz="0" w:space="0" w:color="auto"/>
                <w:bottom w:val="none" w:sz="0" w:space="0" w:color="auto"/>
                <w:right w:val="none" w:sz="0" w:space="0" w:color="auto"/>
              </w:divBdr>
            </w:div>
          </w:divsChild>
        </w:div>
        <w:div w:id="1131827143">
          <w:marLeft w:val="0"/>
          <w:marRight w:val="0"/>
          <w:marTop w:val="0"/>
          <w:marBottom w:val="0"/>
          <w:divBdr>
            <w:top w:val="none" w:sz="0" w:space="0" w:color="auto"/>
            <w:left w:val="none" w:sz="0" w:space="0" w:color="auto"/>
            <w:bottom w:val="none" w:sz="0" w:space="0" w:color="auto"/>
            <w:right w:val="none" w:sz="0" w:space="0" w:color="auto"/>
          </w:divBdr>
        </w:div>
      </w:divsChild>
    </w:div>
    <w:div w:id="624317574">
      <w:bodyDiv w:val="1"/>
      <w:marLeft w:val="0"/>
      <w:marRight w:val="0"/>
      <w:marTop w:val="0"/>
      <w:marBottom w:val="0"/>
      <w:divBdr>
        <w:top w:val="none" w:sz="0" w:space="0" w:color="auto"/>
        <w:left w:val="none" w:sz="0" w:space="0" w:color="auto"/>
        <w:bottom w:val="none" w:sz="0" w:space="0" w:color="auto"/>
        <w:right w:val="none" w:sz="0" w:space="0" w:color="auto"/>
      </w:divBdr>
    </w:div>
    <w:div w:id="628513618">
      <w:bodyDiv w:val="1"/>
      <w:marLeft w:val="0"/>
      <w:marRight w:val="0"/>
      <w:marTop w:val="0"/>
      <w:marBottom w:val="0"/>
      <w:divBdr>
        <w:top w:val="none" w:sz="0" w:space="0" w:color="auto"/>
        <w:left w:val="none" w:sz="0" w:space="0" w:color="auto"/>
        <w:bottom w:val="none" w:sz="0" w:space="0" w:color="auto"/>
        <w:right w:val="none" w:sz="0" w:space="0" w:color="auto"/>
      </w:divBdr>
    </w:div>
    <w:div w:id="633605651">
      <w:bodyDiv w:val="1"/>
      <w:marLeft w:val="0"/>
      <w:marRight w:val="0"/>
      <w:marTop w:val="0"/>
      <w:marBottom w:val="0"/>
      <w:divBdr>
        <w:top w:val="none" w:sz="0" w:space="0" w:color="auto"/>
        <w:left w:val="none" w:sz="0" w:space="0" w:color="auto"/>
        <w:bottom w:val="none" w:sz="0" w:space="0" w:color="auto"/>
        <w:right w:val="none" w:sz="0" w:space="0" w:color="auto"/>
      </w:divBdr>
    </w:div>
    <w:div w:id="641083581">
      <w:bodyDiv w:val="1"/>
      <w:marLeft w:val="0"/>
      <w:marRight w:val="0"/>
      <w:marTop w:val="0"/>
      <w:marBottom w:val="0"/>
      <w:divBdr>
        <w:top w:val="none" w:sz="0" w:space="0" w:color="auto"/>
        <w:left w:val="none" w:sz="0" w:space="0" w:color="auto"/>
        <w:bottom w:val="none" w:sz="0" w:space="0" w:color="auto"/>
        <w:right w:val="none" w:sz="0" w:space="0" w:color="auto"/>
      </w:divBdr>
      <w:divsChild>
        <w:div w:id="869301951">
          <w:marLeft w:val="240"/>
          <w:marRight w:val="0"/>
          <w:marTop w:val="60"/>
          <w:marBottom w:val="60"/>
          <w:divBdr>
            <w:top w:val="none" w:sz="0" w:space="0" w:color="auto"/>
            <w:left w:val="none" w:sz="0" w:space="0" w:color="auto"/>
            <w:bottom w:val="none" w:sz="0" w:space="0" w:color="auto"/>
            <w:right w:val="none" w:sz="0" w:space="0" w:color="auto"/>
          </w:divBdr>
          <w:divsChild>
            <w:div w:id="1475484118">
              <w:marLeft w:val="240"/>
              <w:marRight w:val="0"/>
              <w:marTop w:val="60"/>
              <w:marBottom w:val="60"/>
              <w:divBdr>
                <w:top w:val="none" w:sz="0" w:space="0" w:color="auto"/>
                <w:left w:val="none" w:sz="0" w:space="0" w:color="auto"/>
                <w:bottom w:val="none" w:sz="0" w:space="0" w:color="auto"/>
                <w:right w:val="none" w:sz="0" w:space="0" w:color="auto"/>
              </w:divBdr>
              <w:divsChild>
                <w:div w:id="1760367323">
                  <w:marLeft w:val="0"/>
                  <w:marRight w:val="0"/>
                  <w:marTop w:val="0"/>
                  <w:marBottom w:val="0"/>
                  <w:divBdr>
                    <w:top w:val="none" w:sz="0" w:space="0" w:color="auto"/>
                    <w:left w:val="none" w:sz="0" w:space="0" w:color="auto"/>
                    <w:bottom w:val="none" w:sz="0" w:space="0" w:color="auto"/>
                    <w:right w:val="none" w:sz="0" w:space="0" w:color="auto"/>
                  </w:divBdr>
                </w:div>
              </w:divsChild>
            </w:div>
            <w:div w:id="2141919365">
              <w:marLeft w:val="240"/>
              <w:marRight w:val="0"/>
              <w:marTop w:val="60"/>
              <w:marBottom w:val="60"/>
              <w:divBdr>
                <w:top w:val="none" w:sz="0" w:space="0" w:color="auto"/>
                <w:left w:val="none" w:sz="0" w:space="0" w:color="auto"/>
                <w:bottom w:val="none" w:sz="0" w:space="0" w:color="auto"/>
                <w:right w:val="none" w:sz="0" w:space="0" w:color="auto"/>
              </w:divBdr>
              <w:divsChild>
                <w:div w:id="10183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0560">
          <w:marLeft w:val="240"/>
          <w:marRight w:val="0"/>
          <w:marTop w:val="60"/>
          <w:marBottom w:val="60"/>
          <w:divBdr>
            <w:top w:val="none" w:sz="0" w:space="0" w:color="auto"/>
            <w:left w:val="none" w:sz="0" w:space="0" w:color="auto"/>
            <w:bottom w:val="none" w:sz="0" w:space="0" w:color="auto"/>
            <w:right w:val="none" w:sz="0" w:space="0" w:color="auto"/>
          </w:divBdr>
          <w:divsChild>
            <w:div w:id="1334920613">
              <w:marLeft w:val="240"/>
              <w:marRight w:val="0"/>
              <w:marTop w:val="60"/>
              <w:marBottom w:val="60"/>
              <w:divBdr>
                <w:top w:val="none" w:sz="0" w:space="0" w:color="auto"/>
                <w:left w:val="none" w:sz="0" w:space="0" w:color="auto"/>
                <w:bottom w:val="none" w:sz="0" w:space="0" w:color="auto"/>
                <w:right w:val="none" w:sz="0" w:space="0" w:color="auto"/>
              </w:divBdr>
              <w:divsChild>
                <w:div w:id="236480671">
                  <w:marLeft w:val="0"/>
                  <w:marRight w:val="0"/>
                  <w:marTop w:val="0"/>
                  <w:marBottom w:val="0"/>
                  <w:divBdr>
                    <w:top w:val="none" w:sz="0" w:space="0" w:color="auto"/>
                    <w:left w:val="none" w:sz="0" w:space="0" w:color="auto"/>
                    <w:bottom w:val="none" w:sz="0" w:space="0" w:color="auto"/>
                    <w:right w:val="none" w:sz="0" w:space="0" w:color="auto"/>
                  </w:divBdr>
                </w:div>
              </w:divsChild>
            </w:div>
            <w:div w:id="1033336795">
              <w:marLeft w:val="240"/>
              <w:marRight w:val="0"/>
              <w:marTop w:val="60"/>
              <w:marBottom w:val="60"/>
              <w:divBdr>
                <w:top w:val="none" w:sz="0" w:space="0" w:color="auto"/>
                <w:left w:val="none" w:sz="0" w:space="0" w:color="auto"/>
                <w:bottom w:val="none" w:sz="0" w:space="0" w:color="auto"/>
                <w:right w:val="none" w:sz="0" w:space="0" w:color="auto"/>
              </w:divBdr>
              <w:divsChild>
                <w:div w:id="24142372">
                  <w:marLeft w:val="240"/>
                  <w:marRight w:val="0"/>
                  <w:marTop w:val="60"/>
                  <w:marBottom w:val="60"/>
                  <w:divBdr>
                    <w:top w:val="none" w:sz="0" w:space="0" w:color="auto"/>
                    <w:left w:val="none" w:sz="0" w:space="0" w:color="auto"/>
                    <w:bottom w:val="none" w:sz="0" w:space="0" w:color="auto"/>
                    <w:right w:val="none" w:sz="0" w:space="0" w:color="auto"/>
                  </w:divBdr>
                  <w:divsChild>
                    <w:div w:id="1624077493">
                      <w:marLeft w:val="0"/>
                      <w:marRight w:val="0"/>
                      <w:marTop w:val="0"/>
                      <w:marBottom w:val="0"/>
                      <w:divBdr>
                        <w:top w:val="none" w:sz="0" w:space="0" w:color="auto"/>
                        <w:left w:val="none" w:sz="0" w:space="0" w:color="auto"/>
                        <w:bottom w:val="none" w:sz="0" w:space="0" w:color="auto"/>
                        <w:right w:val="none" w:sz="0" w:space="0" w:color="auto"/>
                      </w:divBdr>
                    </w:div>
                  </w:divsChild>
                </w:div>
                <w:div w:id="769348638">
                  <w:marLeft w:val="240"/>
                  <w:marRight w:val="0"/>
                  <w:marTop w:val="60"/>
                  <w:marBottom w:val="60"/>
                  <w:divBdr>
                    <w:top w:val="none" w:sz="0" w:space="0" w:color="auto"/>
                    <w:left w:val="none" w:sz="0" w:space="0" w:color="auto"/>
                    <w:bottom w:val="none" w:sz="0" w:space="0" w:color="auto"/>
                    <w:right w:val="none" w:sz="0" w:space="0" w:color="auto"/>
                  </w:divBdr>
                  <w:divsChild>
                    <w:div w:id="799493627">
                      <w:marLeft w:val="0"/>
                      <w:marRight w:val="0"/>
                      <w:marTop w:val="0"/>
                      <w:marBottom w:val="0"/>
                      <w:divBdr>
                        <w:top w:val="none" w:sz="0" w:space="0" w:color="auto"/>
                        <w:left w:val="none" w:sz="0" w:space="0" w:color="auto"/>
                        <w:bottom w:val="none" w:sz="0" w:space="0" w:color="auto"/>
                        <w:right w:val="none" w:sz="0" w:space="0" w:color="auto"/>
                      </w:divBdr>
                    </w:div>
                  </w:divsChild>
                </w:div>
                <w:div w:id="1900358987">
                  <w:marLeft w:val="240"/>
                  <w:marRight w:val="0"/>
                  <w:marTop w:val="60"/>
                  <w:marBottom w:val="60"/>
                  <w:divBdr>
                    <w:top w:val="none" w:sz="0" w:space="0" w:color="auto"/>
                    <w:left w:val="none" w:sz="0" w:space="0" w:color="auto"/>
                    <w:bottom w:val="none" w:sz="0" w:space="0" w:color="auto"/>
                    <w:right w:val="none" w:sz="0" w:space="0" w:color="auto"/>
                  </w:divBdr>
                  <w:divsChild>
                    <w:div w:id="306931879">
                      <w:marLeft w:val="0"/>
                      <w:marRight w:val="0"/>
                      <w:marTop w:val="0"/>
                      <w:marBottom w:val="0"/>
                      <w:divBdr>
                        <w:top w:val="none" w:sz="0" w:space="0" w:color="auto"/>
                        <w:left w:val="none" w:sz="0" w:space="0" w:color="auto"/>
                        <w:bottom w:val="none" w:sz="0" w:space="0" w:color="auto"/>
                        <w:right w:val="none" w:sz="0" w:space="0" w:color="auto"/>
                      </w:divBdr>
                    </w:div>
                  </w:divsChild>
                </w:div>
                <w:div w:id="1775978589">
                  <w:marLeft w:val="240"/>
                  <w:marRight w:val="0"/>
                  <w:marTop w:val="60"/>
                  <w:marBottom w:val="60"/>
                  <w:divBdr>
                    <w:top w:val="none" w:sz="0" w:space="0" w:color="auto"/>
                    <w:left w:val="none" w:sz="0" w:space="0" w:color="auto"/>
                    <w:bottom w:val="none" w:sz="0" w:space="0" w:color="auto"/>
                    <w:right w:val="none" w:sz="0" w:space="0" w:color="auto"/>
                  </w:divBdr>
                  <w:divsChild>
                    <w:div w:id="464392009">
                      <w:marLeft w:val="0"/>
                      <w:marRight w:val="0"/>
                      <w:marTop w:val="0"/>
                      <w:marBottom w:val="0"/>
                      <w:divBdr>
                        <w:top w:val="none" w:sz="0" w:space="0" w:color="auto"/>
                        <w:left w:val="none" w:sz="0" w:space="0" w:color="auto"/>
                        <w:bottom w:val="none" w:sz="0" w:space="0" w:color="auto"/>
                        <w:right w:val="none" w:sz="0" w:space="0" w:color="auto"/>
                      </w:divBdr>
                    </w:div>
                  </w:divsChild>
                </w:div>
                <w:div w:id="1240947919">
                  <w:marLeft w:val="240"/>
                  <w:marRight w:val="0"/>
                  <w:marTop w:val="60"/>
                  <w:marBottom w:val="60"/>
                  <w:divBdr>
                    <w:top w:val="none" w:sz="0" w:space="0" w:color="auto"/>
                    <w:left w:val="none" w:sz="0" w:space="0" w:color="auto"/>
                    <w:bottom w:val="none" w:sz="0" w:space="0" w:color="auto"/>
                    <w:right w:val="none" w:sz="0" w:space="0" w:color="auto"/>
                  </w:divBdr>
                  <w:divsChild>
                    <w:div w:id="758021584">
                      <w:marLeft w:val="0"/>
                      <w:marRight w:val="0"/>
                      <w:marTop w:val="0"/>
                      <w:marBottom w:val="0"/>
                      <w:divBdr>
                        <w:top w:val="none" w:sz="0" w:space="0" w:color="auto"/>
                        <w:left w:val="none" w:sz="0" w:space="0" w:color="auto"/>
                        <w:bottom w:val="none" w:sz="0" w:space="0" w:color="auto"/>
                        <w:right w:val="none" w:sz="0" w:space="0" w:color="auto"/>
                      </w:divBdr>
                    </w:div>
                  </w:divsChild>
                </w:div>
                <w:div w:id="593699">
                  <w:marLeft w:val="240"/>
                  <w:marRight w:val="0"/>
                  <w:marTop w:val="60"/>
                  <w:marBottom w:val="60"/>
                  <w:divBdr>
                    <w:top w:val="none" w:sz="0" w:space="0" w:color="auto"/>
                    <w:left w:val="none" w:sz="0" w:space="0" w:color="auto"/>
                    <w:bottom w:val="none" w:sz="0" w:space="0" w:color="auto"/>
                    <w:right w:val="none" w:sz="0" w:space="0" w:color="auto"/>
                  </w:divBdr>
                  <w:divsChild>
                    <w:div w:id="33769684">
                      <w:marLeft w:val="0"/>
                      <w:marRight w:val="0"/>
                      <w:marTop w:val="0"/>
                      <w:marBottom w:val="0"/>
                      <w:divBdr>
                        <w:top w:val="none" w:sz="0" w:space="0" w:color="auto"/>
                        <w:left w:val="none" w:sz="0" w:space="0" w:color="auto"/>
                        <w:bottom w:val="none" w:sz="0" w:space="0" w:color="auto"/>
                        <w:right w:val="none" w:sz="0" w:space="0" w:color="auto"/>
                      </w:divBdr>
                    </w:div>
                  </w:divsChild>
                </w:div>
                <w:div w:id="1896814135">
                  <w:marLeft w:val="240"/>
                  <w:marRight w:val="0"/>
                  <w:marTop w:val="60"/>
                  <w:marBottom w:val="60"/>
                  <w:divBdr>
                    <w:top w:val="none" w:sz="0" w:space="0" w:color="auto"/>
                    <w:left w:val="none" w:sz="0" w:space="0" w:color="auto"/>
                    <w:bottom w:val="none" w:sz="0" w:space="0" w:color="auto"/>
                    <w:right w:val="none" w:sz="0" w:space="0" w:color="auto"/>
                  </w:divBdr>
                  <w:divsChild>
                    <w:div w:id="816607229">
                      <w:marLeft w:val="0"/>
                      <w:marRight w:val="0"/>
                      <w:marTop w:val="0"/>
                      <w:marBottom w:val="0"/>
                      <w:divBdr>
                        <w:top w:val="none" w:sz="0" w:space="0" w:color="auto"/>
                        <w:left w:val="none" w:sz="0" w:space="0" w:color="auto"/>
                        <w:bottom w:val="none" w:sz="0" w:space="0" w:color="auto"/>
                        <w:right w:val="none" w:sz="0" w:space="0" w:color="auto"/>
                      </w:divBdr>
                    </w:div>
                  </w:divsChild>
                </w:div>
                <w:div w:id="851072801">
                  <w:marLeft w:val="240"/>
                  <w:marRight w:val="0"/>
                  <w:marTop w:val="60"/>
                  <w:marBottom w:val="60"/>
                  <w:divBdr>
                    <w:top w:val="none" w:sz="0" w:space="0" w:color="auto"/>
                    <w:left w:val="none" w:sz="0" w:space="0" w:color="auto"/>
                    <w:bottom w:val="none" w:sz="0" w:space="0" w:color="auto"/>
                    <w:right w:val="none" w:sz="0" w:space="0" w:color="auto"/>
                  </w:divBdr>
                  <w:divsChild>
                    <w:div w:id="1535267994">
                      <w:marLeft w:val="0"/>
                      <w:marRight w:val="0"/>
                      <w:marTop w:val="0"/>
                      <w:marBottom w:val="0"/>
                      <w:divBdr>
                        <w:top w:val="none" w:sz="0" w:space="0" w:color="auto"/>
                        <w:left w:val="none" w:sz="0" w:space="0" w:color="auto"/>
                        <w:bottom w:val="none" w:sz="0" w:space="0" w:color="auto"/>
                        <w:right w:val="none" w:sz="0" w:space="0" w:color="auto"/>
                      </w:divBdr>
                    </w:div>
                  </w:divsChild>
                </w:div>
                <w:div w:id="1692682283">
                  <w:marLeft w:val="240"/>
                  <w:marRight w:val="0"/>
                  <w:marTop w:val="60"/>
                  <w:marBottom w:val="60"/>
                  <w:divBdr>
                    <w:top w:val="none" w:sz="0" w:space="0" w:color="auto"/>
                    <w:left w:val="none" w:sz="0" w:space="0" w:color="auto"/>
                    <w:bottom w:val="none" w:sz="0" w:space="0" w:color="auto"/>
                    <w:right w:val="none" w:sz="0" w:space="0" w:color="auto"/>
                  </w:divBdr>
                  <w:divsChild>
                    <w:div w:id="468478676">
                      <w:marLeft w:val="0"/>
                      <w:marRight w:val="0"/>
                      <w:marTop w:val="0"/>
                      <w:marBottom w:val="0"/>
                      <w:divBdr>
                        <w:top w:val="none" w:sz="0" w:space="0" w:color="auto"/>
                        <w:left w:val="none" w:sz="0" w:space="0" w:color="auto"/>
                        <w:bottom w:val="none" w:sz="0" w:space="0" w:color="auto"/>
                        <w:right w:val="none" w:sz="0" w:space="0" w:color="auto"/>
                      </w:divBdr>
                    </w:div>
                  </w:divsChild>
                </w:div>
                <w:div w:id="228619764">
                  <w:marLeft w:val="240"/>
                  <w:marRight w:val="0"/>
                  <w:marTop w:val="60"/>
                  <w:marBottom w:val="60"/>
                  <w:divBdr>
                    <w:top w:val="none" w:sz="0" w:space="0" w:color="auto"/>
                    <w:left w:val="none" w:sz="0" w:space="0" w:color="auto"/>
                    <w:bottom w:val="none" w:sz="0" w:space="0" w:color="auto"/>
                    <w:right w:val="none" w:sz="0" w:space="0" w:color="auto"/>
                  </w:divBdr>
                  <w:divsChild>
                    <w:div w:id="1132019767">
                      <w:marLeft w:val="0"/>
                      <w:marRight w:val="0"/>
                      <w:marTop w:val="0"/>
                      <w:marBottom w:val="0"/>
                      <w:divBdr>
                        <w:top w:val="none" w:sz="0" w:space="0" w:color="auto"/>
                        <w:left w:val="none" w:sz="0" w:space="0" w:color="auto"/>
                        <w:bottom w:val="none" w:sz="0" w:space="0" w:color="auto"/>
                        <w:right w:val="none" w:sz="0" w:space="0" w:color="auto"/>
                      </w:divBdr>
                    </w:div>
                  </w:divsChild>
                </w:div>
                <w:div w:id="697318730">
                  <w:marLeft w:val="240"/>
                  <w:marRight w:val="0"/>
                  <w:marTop w:val="60"/>
                  <w:marBottom w:val="60"/>
                  <w:divBdr>
                    <w:top w:val="none" w:sz="0" w:space="0" w:color="auto"/>
                    <w:left w:val="none" w:sz="0" w:space="0" w:color="auto"/>
                    <w:bottom w:val="none" w:sz="0" w:space="0" w:color="auto"/>
                    <w:right w:val="none" w:sz="0" w:space="0" w:color="auto"/>
                  </w:divBdr>
                  <w:divsChild>
                    <w:div w:id="977954821">
                      <w:marLeft w:val="0"/>
                      <w:marRight w:val="0"/>
                      <w:marTop w:val="0"/>
                      <w:marBottom w:val="0"/>
                      <w:divBdr>
                        <w:top w:val="none" w:sz="0" w:space="0" w:color="auto"/>
                        <w:left w:val="none" w:sz="0" w:space="0" w:color="auto"/>
                        <w:bottom w:val="none" w:sz="0" w:space="0" w:color="auto"/>
                        <w:right w:val="none" w:sz="0" w:space="0" w:color="auto"/>
                      </w:divBdr>
                    </w:div>
                  </w:divsChild>
                </w:div>
                <w:div w:id="571546837">
                  <w:marLeft w:val="240"/>
                  <w:marRight w:val="0"/>
                  <w:marTop w:val="60"/>
                  <w:marBottom w:val="60"/>
                  <w:divBdr>
                    <w:top w:val="none" w:sz="0" w:space="0" w:color="auto"/>
                    <w:left w:val="none" w:sz="0" w:space="0" w:color="auto"/>
                    <w:bottom w:val="none" w:sz="0" w:space="0" w:color="auto"/>
                    <w:right w:val="none" w:sz="0" w:space="0" w:color="auto"/>
                  </w:divBdr>
                  <w:divsChild>
                    <w:div w:id="1229925520">
                      <w:marLeft w:val="0"/>
                      <w:marRight w:val="0"/>
                      <w:marTop w:val="0"/>
                      <w:marBottom w:val="0"/>
                      <w:divBdr>
                        <w:top w:val="none" w:sz="0" w:space="0" w:color="auto"/>
                        <w:left w:val="none" w:sz="0" w:space="0" w:color="auto"/>
                        <w:bottom w:val="none" w:sz="0" w:space="0" w:color="auto"/>
                        <w:right w:val="none" w:sz="0" w:space="0" w:color="auto"/>
                      </w:divBdr>
                    </w:div>
                  </w:divsChild>
                </w:div>
                <w:div w:id="410127195">
                  <w:marLeft w:val="240"/>
                  <w:marRight w:val="0"/>
                  <w:marTop w:val="60"/>
                  <w:marBottom w:val="60"/>
                  <w:divBdr>
                    <w:top w:val="none" w:sz="0" w:space="0" w:color="auto"/>
                    <w:left w:val="none" w:sz="0" w:space="0" w:color="auto"/>
                    <w:bottom w:val="none" w:sz="0" w:space="0" w:color="auto"/>
                    <w:right w:val="none" w:sz="0" w:space="0" w:color="auto"/>
                  </w:divBdr>
                  <w:divsChild>
                    <w:div w:id="758988311">
                      <w:marLeft w:val="0"/>
                      <w:marRight w:val="0"/>
                      <w:marTop w:val="0"/>
                      <w:marBottom w:val="0"/>
                      <w:divBdr>
                        <w:top w:val="none" w:sz="0" w:space="0" w:color="auto"/>
                        <w:left w:val="none" w:sz="0" w:space="0" w:color="auto"/>
                        <w:bottom w:val="none" w:sz="0" w:space="0" w:color="auto"/>
                        <w:right w:val="none" w:sz="0" w:space="0" w:color="auto"/>
                      </w:divBdr>
                    </w:div>
                  </w:divsChild>
                </w:div>
                <w:div w:id="1465392908">
                  <w:marLeft w:val="240"/>
                  <w:marRight w:val="0"/>
                  <w:marTop w:val="60"/>
                  <w:marBottom w:val="60"/>
                  <w:divBdr>
                    <w:top w:val="none" w:sz="0" w:space="0" w:color="auto"/>
                    <w:left w:val="none" w:sz="0" w:space="0" w:color="auto"/>
                    <w:bottom w:val="none" w:sz="0" w:space="0" w:color="auto"/>
                    <w:right w:val="none" w:sz="0" w:space="0" w:color="auto"/>
                  </w:divBdr>
                  <w:divsChild>
                    <w:div w:id="789784995">
                      <w:marLeft w:val="0"/>
                      <w:marRight w:val="0"/>
                      <w:marTop w:val="0"/>
                      <w:marBottom w:val="0"/>
                      <w:divBdr>
                        <w:top w:val="none" w:sz="0" w:space="0" w:color="auto"/>
                        <w:left w:val="none" w:sz="0" w:space="0" w:color="auto"/>
                        <w:bottom w:val="none" w:sz="0" w:space="0" w:color="auto"/>
                        <w:right w:val="none" w:sz="0" w:space="0" w:color="auto"/>
                      </w:divBdr>
                    </w:div>
                  </w:divsChild>
                </w:div>
                <w:div w:id="1479151734">
                  <w:marLeft w:val="240"/>
                  <w:marRight w:val="0"/>
                  <w:marTop w:val="60"/>
                  <w:marBottom w:val="60"/>
                  <w:divBdr>
                    <w:top w:val="none" w:sz="0" w:space="0" w:color="auto"/>
                    <w:left w:val="none" w:sz="0" w:space="0" w:color="auto"/>
                    <w:bottom w:val="none" w:sz="0" w:space="0" w:color="auto"/>
                    <w:right w:val="none" w:sz="0" w:space="0" w:color="auto"/>
                  </w:divBdr>
                  <w:divsChild>
                    <w:div w:id="684402423">
                      <w:marLeft w:val="0"/>
                      <w:marRight w:val="0"/>
                      <w:marTop w:val="0"/>
                      <w:marBottom w:val="0"/>
                      <w:divBdr>
                        <w:top w:val="none" w:sz="0" w:space="0" w:color="auto"/>
                        <w:left w:val="none" w:sz="0" w:space="0" w:color="auto"/>
                        <w:bottom w:val="none" w:sz="0" w:space="0" w:color="auto"/>
                        <w:right w:val="none" w:sz="0" w:space="0" w:color="auto"/>
                      </w:divBdr>
                    </w:div>
                  </w:divsChild>
                </w:div>
                <w:div w:id="1804032198">
                  <w:marLeft w:val="240"/>
                  <w:marRight w:val="0"/>
                  <w:marTop w:val="60"/>
                  <w:marBottom w:val="60"/>
                  <w:divBdr>
                    <w:top w:val="none" w:sz="0" w:space="0" w:color="auto"/>
                    <w:left w:val="none" w:sz="0" w:space="0" w:color="auto"/>
                    <w:bottom w:val="none" w:sz="0" w:space="0" w:color="auto"/>
                    <w:right w:val="none" w:sz="0" w:space="0" w:color="auto"/>
                  </w:divBdr>
                  <w:divsChild>
                    <w:div w:id="2122020802">
                      <w:marLeft w:val="0"/>
                      <w:marRight w:val="0"/>
                      <w:marTop w:val="0"/>
                      <w:marBottom w:val="0"/>
                      <w:divBdr>
                        <w:top w:val="none" w:sz="0" w:space="0" w:color="auto"/>
                        <w:left w:val="none" w:sz="0" w:space="0" w:color="auto"/>
                        <w:bottom w:val="none" w:sz="0" w:space="0" w:color="auto"/>
                        <w:right w:val="none" w:sz="0" w:space="0" w:color="auto"/>
                      </w:divBdr>
                    </w:div>
                  </w:divsChild>
                </w:div>
                <w:div w:id="195238538">
                  <w:marLeft w:val="240"/>
                  <w:marRight w:val="0"/>
                  <w:marTop w:val="60"/>
                  <w:marBottom w:val="60"/>
                  <w:divBdr>
                    <w:top w:val="none" w:sz="0" w:space="0" w:color="auto"/>
                    <w:left w:val="none" w:sz="0" w:space="0" w:color="auto"/>
                    <w:bottom w:val="none" w:sz="0" w:space="0" w:color="auto"/>
                    <w:right w:val="none" w:sz="0" w:space="0" w:color="auto"/>
                  </w:divBdr>
                  <w:divsChild>
                    <w:div w:id="1020208287">
                      <w:marLeft w:val="0"/>
                      <w:marRight w:val="0"/>
                      <w:marTop w:val="0"/>
                      <w:marBottom w:val="0"/>
                      <w:divBdr>
                        <w:top w:val="none" w:sz="0" w:space="0" w:color="auto"/>
                        <w:left w:val="none" w:sz="0" w:space="0" w:color="auto"/>
                        <w:bottom w:val="none" w:sz="0" w:space="0" w:color="auto"/>
                        <w:right w:val="none" w:sz="0" w:space="0" w:color="auto"/>
                      </w:divBdr>
                    </w:div>
                  </w:divsChild>
                </w:div>
                <w:div w:id="232661005">
                  <w:marLeft w:val="240"/>
                  <w:marRight w:val="0"/>
                  <w:marTop w:val="60"/>
                  <w:marBottom w:val="60"/>
                  <w:divBdr>
                    <w:top w:val="none" w:sz="0" w:space="0" w:color="auto"/>
                    <w:left w:val="none" w:sz="0" w:space="0" w:color="auto"/>
                    <w:bottom w:val="none" w:sz="0" w:space="0" w:color="auto"/>
                    <w:right w:val="none" w:sz="0" w:space="0" w:color="auto"/>
                  </w:divBdr>
                  <w:divsChild>
                    <w:div w:id="975135878">
                      <w:marLeft w:val="0"/>
                      <w:marRight w:val="0"/>
                      <w:marTop w:val="0"/>
                      <w:marBottom w:val="0"/>
                      <w:divBdr>
                        <w:top w:val="none" w:sz="0" w:space="0" w:color="auto"/>
                        <w:left w:val="none" w:sz="0" w:space="0" w:color="auto"/>
                        <w:bottom w:val="none" w:sz="0" w:space="0" w:color="auto"/>
                        <w:right w:val="none" w:sz="0" w:space="0" w:color="auto"/>
                      </w:divBdr>
                    </w:div>
                  </w:divsChild>
                </w:div>
                <w:div w:id="38555354">
                  <w:marLeft w:val="240"/>
                  <w:marRight w:val="0"/>
                  <w:marTop w:val="60"/>
                  <w:marBottom w:val="60"/>
                  <w:divBdr>
                    <w:top w:val="none" w:sz="0" w:space="0" w:color="auto"/>
                    <w:left w:val="none" w:sz="0" w:space="0" w:color="auto"/>
                    <w:bottom w:val="none" w:sz="0" w:space="0" w:color="auto"/>
                    <w:right w:val="none" w:sz="0" w:space="0" w:color="auto"/>
                  </w:divBdr>
                  <w:divsChild>
                    <w:div w:id="815756133">
                      <w:marLeft w:val="0"/>
                      <w:marRight w:val="0"/>
                      <w:marTop w:val="0"/>
                      <w:marBottom w:val="0"/>
                      <w:divBdr>
                        <w:top w:val="none" w:sz="0" w:space="0" w:color="auto"/>
                        <w:left w:val="none" w:sz="0" w:space="0" w:color="auto"/>
                        <w:bottom w:val="none" w:sz="0" w:space="0" w:color="auto"/>
                        <w:right w:val="none" w:sz="0" w:space="0" w:color="auto"/>
                      </w:divBdr>
                    </w:div>
                  </w:divsChild>
                </w:div>
                <w:div w:id="123474918">
                  <w:marLeft w:val="240"/>
                  <w:marRight w:val="0"/>
                  <w:marTop w:val="60"/>
                  <w:marBottom w:val="60"/>
                  <w:divBdr>
                    <w:top w:val="none" w:sz="0" w:space="0" w:color="auto"/>
                    <w:left w:val="none" w:sz="0" w:space="0" w:color="auto"/>
                    <w:bottom w:val="none" w:sz="0" w:space="0" w:color="auto"/>
                    <w:right w:val="none" w:sz="0" w:space="0" w:color="auto"/>
                  </w:divBdr>
                  <w:divsChild>
                    <w:div w:id="691296846">
                      <w:marLeft w:val="0"/>
                      <w:marRight w:val="0"/>
                      <w:marTop w:val="0"/>
                      <w:marBottom w:val="0"/>
                      <w:divBdr>
                        <w:top w:val="none" w:sz="0" w:space="0" w:color="auto"/>
                        <w:left w:val="none" w:sz="0" w:space="0" w:color="auto"/>
                        <w:bottom w:val="none" w:sz="0" w:space="0" w:color="auto"/>
                        <w:right w:val="none" w:sz="0" w:space="0" w:color="auto"/>
                      </w:divBdr>
                    </w:div>
                  </w:divsChild>
                </w:div>
                <w:div w:id="300159110">
                  <w:marLeft w:val="240"/>
                  <w:marRight w:val="0"/>
                  <w:marTop w:val="60"/>
                  <w:marBottom w:val="60"/>
                  <w:divBdr>
                    <w:top w:val="none" w:sz="0" w:space="0" w:color="auto"/>
                    <w:left w:val="none" w:sz="0" w:space="0" w:color="auto"/>
                    <w:bottom w:val="none" w:sz="0" w:space="0" w:color="auto"/>
                    <w:right w:val="none" w:sz="0" w:space="0" w:color="auto"/>
                  </w:divBdr>
                  <w:divsChild>
                    <w:div w:id="1884437292">
                      <w:marLeft w:val="0"/>
                      <w:marRight w:val="0"/>
                      <w:marTop w:val="0"/>
                      <w:marBottom w:val="0"/>
                      <w:divBdr>
                        <w:top w:val="none" w:sz="0" w:space="0" w:color="auto"/>
                        <w:left w:val="none" w:sz="0" w:space="0" w:color="auto"/>
                        <w:bottom w:val="none" w:sz="0" w:space="0" w:color="auto"/>
                        <w:right w:val="none" w:sz="0" w:space="0" w:color="auto"/>
                      </w:divBdr>
                    </w:div>
                  </w:divsChild>
                </w:div>
                <w:div w:id="1939942561">
                  <w:marLeft w:val="240"/>
                  <w:marRight w:val="0"/>
                  <w:marTop w:val="60"/>
                  <w:marBottom w:val="60"/>
                  <w:divBdr>
                    <w:top w:val="none" w:sz="0" w:space="0" w:color="auto"/>
                    <w:left w:val="none" w:sz="0" w:space="0" w:color="auto"/>
                    <w:bottom w:val="none" w:sz="0" w:space="0" w:color="auto"/>
                    <w:right w:val="none" w:sz="0" w:space="0" w:color="auto"/>
                  </w:divBdr>
                  <w:divsChild>
                    <w:div w:id="1703898439">
                      <w:marLeft w:val="0"/>
                      <w:marRight w:val="0"/>
                      <w:marTop w:val="0"/>
                      <w:marBottom w:val="0"/>
                      <w:divBdr>
                        <w:top w:val="none" w:sz="0" w:space="0" w:color="auto"/>
                        <w:left w:val="none" w:sz="0" w:space="0" w:color="auto"/>
                        <w:bottom w:val="none" w:sz="0" w:space="0" w:color="auto"/>
                        <w:right w:val="none" w:sz="0" w:space="0" w:color="auto"/>
                      </w:divBdr>
                    </w:div>
                  </w:divsChild>
                </w:div>
                <w:div w:id="117190523">
                  <w:marLeft w:val="240"/>
                  <w:marRight w:val="0"/>
                  <w:marTop w:val="60"/>
                  <w:marBottom w:val="60"/>
                  <w:divBdr>
                    <w:top w:val="none" w:sz="0" w:space="0" w:color="auto"/>
                    <w:left w:val="none" w:sz="0" w:space="0" w:color="auto"/>
                    <w:bottom w:val="none" w:sz="0" w:space="0" w:color="auto"/>
                    <w:right w:val="none" w:sz="0" w:space="0" w:color="auto"/>
                  </w:divBdr>
                  <w:divsChild>
                    <w:div w:id="748235576">
                      <w:marLeft w:val="0"/>
                      <w:marRight w:val="0"/>
                      <w:marTop w:val="0"/>
                      <w:marBottom w:val="0"/>
                      <w:divBdr>
                        <w:top w:val="none" w:sz="0" w:space="0" w:color="auto"/>
                        <w:left w:val="none" w:sz="0" w:space="0" w:color="auto"/>
                        <w:bottom w:val="none" w:sz="0" w:space="0" w:color="auto"/>
                        <w:right w:val="none" w:sz="0" w:space="0" w:color="auto"/>
                      </w:divBdr>
                    </w:div>
                  </w:divsChild>
                </w:div>
                <w:div w:id="1043217223">
                  <w:marLeft w:val="240"/>
                  <w:marRight w:val="0"/>
                  <w:marTop w:val="60"/>
                  <w:marBottom w:val="60"/>
                  <w:divBdr>
                    <w:top w:val="none" w:sz="0" w:space="0" w:color="auto"/>
                    <w:left w:val="none" w:sz="0" w:space="0" w:color="auto"/>
                    <w:bottom w:val="none" w:sz="0" w:space="0" w:color="auto"/>
                    <w:right w:val="none" w:sz="0" w:space="0" w:color="auto"/>
                  </w:divBdr>
                  <w:divsChild>
                    <w:div w:id="278338330">
                      <w:marLeft w:val="0"/>
                      <w:marRight w:val="0"/>
                      <w:marTop w:val="0"/>
                      <w:marBottom w:val="0"/>
                      <w:divBdr>
                        <w:top w:val="none" w:sz="0" w:space="0" w:color="auto"/>
                        <w:left w:val="none" w:sz="0" w:space="0" w:color="auto"/>
                        <w:bottom w:val="none" w:sz="0" w:space="0" w:color="auto"/>
                        <w:right w:val="none" w:sz="0" w:space="0" w:color="auto"/>
                      </w:divBdr>
                    </w:div>
                  </w:divsChild>
                </w:div>
                <w:div w:id="299380541">
                  <w:marLeft w:val="240"/>
                  <w:marRight w:val="0"/>
                  <w:marTop w:val="60"/>
                  <w:marBottom w:val="60"/>
                  <w:divBdr>
                    <w:top w:val="none" w:sz="0" w:space="0" w:color="auto"/>
                    <w:left w:val="none" w:sz="0" w:space="0" w:color="auto"/>
                    <w:bottom w:val="none" w:sz="0" w:space="0" w:color="auto"/>
                    <w:right w:val="none" w:sz="0" w:space="0" w:color="auto"/>
                  </w:divBdr>
                  <w:divsChild>
                    <w:div w:id="6355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2139">
          <w:marLeft w:val="240"/>
          <w:marRight w:val="0"/>
          <w:marTop w:val="60"/>
          <w:marBottom w:val="60"/>
          <w:divBdr>
            <w:top w:val="none" w:sz="0" w:space="0" w:color="auto"/>
            <w:left w:val="none" w:sz="0" w:space="0" w:color="auto"/>
            <w:bottom w:val="none" w:sz="0" w:space="0" w:color="auto"/>
            <w:right w:val="none" w:sz="0" w:space="0" w:color="auto"/>
          </w:divBdr>
          <w:divsChild>
            <w:div w:id="370963258">
              <w:marLeft w:val="0"/>
              <w:marRight w:val="0"/>
              <w:marTop w:val="0"/>
              <w:marBottom w:val="0"/>
              <w:divBdr>
                <w:top w:val="none" w:sz="0" w:space="0" w:color="auto"/>
                <w:left w:val="none" w:sz="0" w:space="0" w:color="auto"/>
                <w:bottom w:val="none" w:sz="0" w:space="0" w:color="auto"/>
                <w:right w:val="none" w:sz="0" w:space="0" w:color="auto"/>
              </w:divBdr>
            </w:div>
          </w:divsChild>
        </w:div>
        <w:div w:id="1711027865">
          <w:marLeft w:val="0"/>
          <w:marRight w:val="0"/>
          <w:marTop w:val="0"/>
          <w:marBottom w:val="0"/>
          <w:divBdr>
            <w:top w:val="none" w:sz="0" w:space="0" w:color="auto"/>
            <w:left w:val="none" w:sz="0" w:space="0" w:color="auto"/>
            <w:bottom w:val="none" w:sz="0" w:space="0" w:color="auto"/>
            <w:right w:val="none" w:sz="0" w:space="0" w:color="auto"/>
          </w:divBdr>
        </w:div>
      </w:divsChild>
    </w:div>
    <w:div w:id="642081043">
      <w:bodyDiv w:val="1"/>
      <w:marLeft w:val="0"/>
      <w:marRight w:val="0"/>
      <w:marTop w:val="0"/>
      <w:marBottom w:val="0"/>
      <w:divBdr>
        <w:top w:val="none" w:sz="0" w:space="0" w:color="auto"/>
        <w:left w:val="none" w:sz="0" w:space="0" w:color="auto"/>
        <w:bottom w:val="none" w:sz="0" w:space="0" w:color="auto"/>
        <w:right w:val="none" w:sz="0" w:space="0" w:color="auto"/>
      </w:divBdr>
    </w:div>
    <w:div w:id="665598231">
      <w:bodyDiv w:val="1"/>
      <w:marLeft w:val="0"/>
      <w:marRight w:val="0"/>
      <w:marTop w:val="0"/>
      <w:marBottom w:val="0"/>
      <w:divBdr>
        <w:top w:val="none" w:sz="0" w:space="0" w:color="auto"/>
        <w:left w:val="none" w:sz="0" w:space="0" w:color="auto"/>
        <w:bottom w:val="none" w:sz="0" w:space="0" w:color="auto"/>
        <w:right w:val="none" w:sz="0" w:space="0" w:color="auto"/>
      </w:divBdr>
    </w:div>
    <w:div w:id="676927718">
      <w:bodyDiv w:val="1"/>
      <w:marLeft w:val="0"/>
      <w:marRight w:val="0"/>
      <w:marTop w:val="0"/>
      <w:marBottom w:val="0"/>
      <w:divBdr>
        <w:top w:val="none" w:sz="0" w:space="0" w:color="auto"/>
        <w:left w:val="none" w:sz="0" w:space="0" w:color="auto"/>
        <w:bottom w:val="none" w:sz="0" w:space="0" w:color="auto"/>
        <w:right w:val="none" w:sz="0" w:space="0" w:color="auto"/>
      </w:divBdr>
    </w:div>
    <w:div w:id="678889801">
      <w:bodyDiv w:val="1"/>
      <w:marLeft w:val="0"/>
      <w:marRight w:val="0"/>
      <w:marTop w:val="0"/>
      <w:marBottom w:val="0"/>
      <w:divBdr>
        <w:top w:val="none" w:sz="0" w:space="0" w:color="auto"/>
        <w:left w:val="none" w:sz="0" w:space="0" w:color="auto"/>
        <w:bottom w:val="none" w:sz="0" w:space="0" w:color="auto"/>
        <w:right w:val="none" w:sz="0" w:space="0" w:color="auto"/>
      </w:divBdr>
    </w:div>
    <w:div w:id="685139693">
      <w:bodyDiv w:val="1"/>
      <w:marLeft w:val="0"/>
      <w:marRight w:val="0"/>
      <w:marTop w:val="0"/>
      <w:marBottom w:val="0"/>
      <w:divBdr>
        <w:top w:val="none" w:sz="0" w:space="0" w:color="auto"/>
        <w:left w:val="none" w:sz="0" w:space="0" w:color="auto"/>
        <w:bottom w:val="none" w:sz="0" w:space="0" w:color="auto"/>
        <w:right w:val="none" w:sz="0" w:space="0" w:color="auto"/>
      </w:divBdr>
    </w:div>
    <w:div w:id="696202211">
      <w:bodyDiv w:val="1"/>
      <w:marLeft w:val="0"/>
      <w:marRight w:val="0"/>
      <w:marTop w:val="0"/>
      <w:marBottom w:val="0"/>
      <w:divBdr>
        <w:top w:val="none" w:sz="0" w:space="0" w:color="auto"/>
        <w:left w:val="none" w:sz="0" w:space="0" w:color="auto"/>
        <w:bottom w:val="none" w:sz="0" w:space="0" w:color="auto"/>
        <w:right w:val="none" w:sz="0" w:space="0" w:color="auto"/>
      </w:divBdr>
    </w:div>
    <w:div w:id="713384759">
      <w:bodyDiv w:val="1"/>
      <w:marLeft w:val="0"/>
      <w:marRight w:val="0"/>
      <w:marTop w:val="0"/>
      <w:marBottom w:val="0"/>
      <w:divBdr>
        <w:top w:val="none" w:sz="0" w:space="0" w:color="auto"/>
        <w:left w:val="none" w:sz="0" w:space="0" w:color="auto"/>
        <w:bottom w:val="none" w:sz="0" w:space="0" w:color="auto"/>
        <w:right w:val="none" w:sz="0" w:space="0" w:color="auto"/>
      </w:divBdr>
    </w:div>
    <w:div w:id="717977887">
      <w:bodyDiv w:val="1"/>
      <w:marLeft w:val="0"/>
      <w:marRight w:val="0"/>
      <w:marTop w:val="0"/>
      <w:marBottom w:val="0"/>
      <w:divBdr>
        <w:top w:val="none" w:sz="0" w:space="0" w:color="auto"/>
        <w:left w:val="none" w:sz="0" w:space="0" w:color="auto"/>
        <w:bottom w:val="none" w:sz="0" w:space="0" w:color="auto"/>
        <w:right w:val="none" w:sz="0" w:space="0" w:color="auto"/>
      </w:divBdr>
    </w:div>
    <w:div w:id="752623528">
      <w:bodyDiv w:val="1"/>
      <w:marLeft w:val="0"/>
      <w:marRight w:val="0"/>
      <w:marTop w:val="0"/>
      <w:marBottom w:val="0"/>
      <w:divBdr>
        <w:top w:val="none" w:sz="0" w:space="0" w:color="auto"/>
        <w:left w:val="none" w:sz="0" w:space="0" w:color="auto"/>
        <w:bottom w:val="none" w:sz="0" w:space="0" w:color="auto"/>
        <w:right w:val="none" w:sz="0" w:space="0" w:color="auto"/>
      </w:divBdr>
      <w:divsChild>
        <w:div w:id="652300118">
          <w:marLeft w:val="0"/>
          <w:marRight w:val="0"/>
          <w:marTop w:val="0"/>
          <w:marBottom w:val="0"/>
          <w:divBdr>
            <w:top w:val="none" w:sz="0" w:space="0" w:color="auto"/>
            <w:left w:val="none" w:sz="0" w:space="0" w:color="auto"/>
            <w:bottom w:val="none" w:sz="0" w:space="0" w:color="auto"/>
            <w:right w:val="none" w:sz="0" w:space="0" w:color="auto"/>
          </w:divBdr>
        </w:div>
        <w:div w:id="1098597734">
          <w:marLeft w:val="0"/>
          <w:marRight w:val="0"/>
          <w:marTop w:val="0"/>
          <w:marBottom w:val="0"/>
          <w:divBdr>
            <w:top w:val="none" w:sz="0" w:space="0" w:color="auto"/>
            <w:left w:val="none" w:sz="0" w:space="0" w:color="auto"/>
            <w:bottom w:val="none" w:sz="0" w:space="0" w:color="auto"/>
            <w:right w:val="none" w:sz="0" w:space="0" w:color="auto"/>
          </w:divBdr>
        </w:div>
        <w:div w:id="1777140864">
          <w:marLeft w:val="0"/>
          <w:marRight w:val="0"/>
          <w:marTop w:val="0"/>
          <w:marBottom w:val="0"/>
          <w:divBdr>
            <w:top w:val="none" w:sz="0" w:space="0" w:color="auto"/>
            <w:left w:val="none" w:sz="0" w:space="0" w:color="auto"/>
            <w:bottom w:val="none" w:sz="0" w:space="0" w:color="auto"/>
            <w:right w:val="none" w:sz="0" w:space="0" w:color="auto"/>
          </w:divBdr>
        </w:div>
        <w:div w:id="355931302">
          <w:marLeft w:val="0"/>
          <w:marRight w:val="0"/>
          <w:marTop w:val="0"/>
          <w:marBottom w:val="0"/>
          <w:divBdr>
            <w:top w:val="none" w:sz="0" w:space="0" w:color="auto"/>
            <w:left w:val="none" w:sz="0" w:space="0" w:color="auto"/>
            <w:bottom w:val="none" w:sz="0" w:space="0" w:color="auto"/>
            <w:right w:val="none" w:sz="0" w:space="0" w:color="auto"/>
          </w:divBdr>
          <w:divsChild>
            <w:div w:id="751781209">
              <w:marLeft w:val="0"/>
              <w:marRight w:val="0"/>
              <w:marTop w:val="0"/>
              <w:marBottom w:val="0"/>
              <w:divBdr>
                <w:top w:val="none" w:sz="0" w:space="0" w:color="auto"/>
                <w:left w:val="none" w:sz="0" w:space="0" w:color="auto"/>
                <w:bottom w:val="none" w:sz="0" w:space="0" w:color="auto"/>
                <w:right w:val="none" w:sz="0" w:space="0" w:color="auto"/>
              </w:divBdr>
              <w:divsChild>
                <w:div w:id="1775978181">
                  <w:marLeft w:val="240"/>
                  <w:marRight w:val="0"/>
                  <w:marTop w:val="60"/>
                  <w:marBottom w:val="60"/>
                  <w:divBdr>
                    <w:top w:val="none" w:sz="0" w:space="0" w:color="auto"/>
                    <w:left w:val="none" w:sz="0" w:space="0" w:color="auto"/>
                    <w:bottom w:val="none" w:sz="0" w:space="0" w:color="auto"/>
                    <w:right w:val="none" w:sz="0" w:space="0" w:color="auto"/>
                  </w:divBdr>
                  <w:divsChild>
                    <w:div w:id="560412105">
                      <w:marLeft w:val="0"/>
                      <w:marRight w:val="0"/>
                      <w:marTop w:val="0"/>
                      <w:marBottom w:val="0"/>
                      <w:divBdr>
                        <w:top w:val="none" w:sz="0" w:space="0" w:color="auto"/>
                        <w:left w:val="none" w:sz="0" w:space="0" w:color="auto"/>
                        <w:bottom w:val="none" w:sz="0" w:space="0" w:color="auto"/>
                        <w:right w:val="none" w:sz="0" w:space="0" w:color="auto"/>
                      </w:divBdr>
                    </w:div>
                  </w:divsChild>
                </w:div>
                <w:div w:id="2041317948">
                  <w:marLeft w:val="240"/>
                  <w:marRight w:val="0"/>
                  <w:marTop w:val="60"/>
                  <w:marBottom w:val="60"/>
                  <w:divBdr>
                    <w:top w:val="none" w:sz="0" w:space="0" w:color="auto"/>
                    <w:left w:val="none" w:sz="0" w:space="0" w:color="auto"/>
                    <w:bottom w:val="none" w:sz="0" w:space="0" w:color="auto"/>
                    <w:right w:val="none" w:sz="0" w:space="0" w:color="auto"/>
                  </w:divBdr>
                  <w:divsChild>
                    <w:div w:id="20179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3314">
          <w:marLeft w:val="0"/>
          <w:marRight w:val="0"/>
          <w:marTop w:val="0"/>
          <w:marBottom w:val="0"/>
          <w:divBdr>
            <w:top w:val="none" w:sz="0" w:space="0" w:color="auto"/>
            <w:left w:val="none" w:sz="0" w:space="0" w:color="auto"/>
            <w:bottom w:val="none" w:sz="0" w:space="0" w:color="auto"/>
            <w:right w:val="none" w:sz="0" w:space="0" w:color="auto"/>
          </w:divBdr>
          <w:divsChild>
            <w:div w:id="832455290">
              <w:marLeft w:val="0"/>
              <w:marRight w:val="0"/>
              <w:marTop w:val="0"/>
              <w:marBottom w:val="0"/>
              <w:divBdr>
                <w:top w:val="none" w:sz="0" w:space="0" w:color="auto"/>
                <w:left w:val="none" w:sz="0" w:space="0" w:color="auto"/>
                <w:bottom w:val="none" w:sz="0" w:space="0" w:color="auto"/>
                <w:right w:val="none" w:sz="0" w:space="0" w:color="auto"/>
              </w:divBdr>
            </w:div>
          </w:divsChild>
        </w:div>
        <w:div w:id="1240601436">
          <w:marLeft w:val="0"/>
          <w:marRight w:val="0"/>
          <w:marTop w:val="0"/>
          <w:marBottom w:val="0"/>
          <w:divBdr>
            <w:top w:val="none" w:sz="0" w:space="0" w:color="auto"/>
            <w:left w:val="none" w:sz="0" w:space="0" w:color="auto"/>
            <w:bottom w:val="none" w:sz="0" w:space="0" w:color="auto"/>
            <w:right w:val="none" w:sz="0" w:space="0" w:color="auto"/>
          </w:divBdr>
        </w:div>
        <w:div w:id="416678699">
          <w:marLeft w:val="0"/>
          <w:marRight w:val="0"/>
          <w:marTop w:val="0"/>
          <w:marBottom w:val="0"/>
          <w:divBdr>
            <w:top w:val="none" w:sz="0" w:space="0" w:color="auto"/>
            <w:left w:val="none" w:sz="0" w:space="0" w:color="auto"/>
            <w:bottom w:val="none" w:sz="0" w:space="0" w:color="auto"/>
            <w:right w:val="none" w:sz="0" w:space="0" w:color="auto"/>
          </w:divBdr>
          <w:divsChild>
            <w:div w:id="1063793084">
              <w:marLeft w:val="0"/>
              <w:marRight w:val="0"/>
              <w:marTop w:val="0"/>
              <w:marBottom w:val="0"/>
              <w:divBdr>
                <w:top w:val="none" w:sz="0" w:space="0" w:color="auto"/>
                <w:left w:val="none" w:sz="0" w:space="0" w:color="auto"/>
                <w:bottom w:val="none" w:sz="0" w:space="0" w:color="auto"/>
                <w:right w:val="none" w:sz="0" w:space="0" w:color="auto"/>
              </w:divBdr>
            </w:div>
          </w:divsChild>
        </w:div>
        <w:div w:id="222720391">
          <w:marLeft w:val="0"/>
          <w:marRight w:val="0"/>
          <w:marTop w:val="0"/>
          <w:marBottom w:val="0"/>
          <w:divBdr>
            <w:top w:val="none" w:sz="0" w:space="0" w:color="auto"/>
            <w:left w:val="none" w:sz="0" w:space="0" w:color="auto"/>
            <w:bottom w:val="none" w:sz="0" w:space="0" w:color="auto"/>
            <w:right w:val="none" w:sz="0" w:space="0" w:color="auto"/>
          </w:divBdr>
          <w:divsChild>
            <w:div w:id="4942616">
              <w:marLeft w:val="0"/>
              <w:marRight w:val="0"/>
              <w:marTop w:val="0"/>
              <w:marBottom w:val="0"/>
              <w:divBdr>
                <w:top w:val="none" w:sz="0" w:space="0" w:color="auto"/>
                <w:left w:val="none" w:sz="0" w:space="0" w:color="auto"/>
                <w:bottom w:val="none" w:sz="0" w:space="0" w:color="auto"/>
                <w:right w:val="none" w:sz="0" w:space="0" w:color="auto"/>
              </w:divBdr>
            </w:div>
          </w:divsChild>
        </w:div>
        <w:div w:id="2021740099">
          <w:marLeft w:val="0"/>
          <w:marRight w:val="0"/>
          <w:marTop w:val="0"/>
          <w:marBottom w:val="0"/>
          <w:divBdr>
            <w:top w:val="none" w:sz="0" w:space="0" w:color="auto"/>
            <w:left w:val="none" w:sz="0" w:space="0" w:color="auto"/>
            <w:bottom w:val="none" w:sz="0" w:space="0" w:color="auto"/>
            <w:right w:val="none" w:sz="0" w:space="0" w:color="auto"/>
          </w:divBdr>
        </w:div>
        <w:div w:id="233979796">
          <w:marLeft w:val="0"/>
          <w:marRight w:val="0"/>
          <w:marTop w:val="0"/>
          <w:marBottom w:val="0"/>
          <w:divBdr>
            <w:top w:val="none" w:sz="0" w:space="0" w:color="auto"/>
            <w:left w:val="none" w:sz="0" w:space="0" w:color="auto"/>
            <w:bottom w:val="none" w:sz="0" w:space="0" w:color="auto"/>
            <w:right w:val="none" w:sz="0" w:space="0" w:color="auto"/>
          </w:divBdr>
          <w:divsChild>
            <w:div w:id="143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7389">
      <w:bodyDiv w:val="1"/>
      <w:marLeft w:val="0"/>
      <w:marRight w:val="0"/>
      <w:marTop w:val="0"/>
      <w:marBottom w:val="0"/>
      <w:divBdr>
        <w:top w:val="none" w:sz="0" w:space="0" w:color="auto"/>
        <w:left w:val="none" w:sz="0" w:space="0" w:color="auto"/>
        <w:bottom w:val="none" w:sz="0" w:space="0" w:color="auto"/>
        <w:right w:val="none" w:sz="0" w:space="0" w:color="auto"/>
      </w:divBdr>
    </w:div>
    <w:div w:id="767968715">
      <w:bodyDiv w:val="1"/>
      <w:marLeft w:val="0"/>
      <w:marRight w:val="0"/>
      <w:marTop w:val="0"/>
      <w:marBottom w:val="0"/>
      <w:divBdr>
        <w:top w:val="none" w:sz="0" w:space="0" w:color="auto"/>
        <w:left w:val="none" w:sz="0" w:space="0" w:color="auto"/>
        <w:bottom w:val="none" w:sz="0" w:space="0" w:color="auto"/>
        <w:right w:val="none" w:sz="0" w:space="0" w:color="auto"/>
      </w:divBdr>
    </w:div>
    <w:div w:id="768744510">
      <w:bodyDiv w:val="1"/>
      <w:marLeft w:val="0"/>
      <w:marRight w:val="0"/>
      <w:marTop w:val="0"/>
      <w:marBottom w:val="0"/>
      <w:divBdr>
        <w:top w:val="none" w:sz="0" w:space="0" w:color="auto"/>
        <w:left w:val="none" w:sz="0" w:space="0" w:color="auto"/>
        <w:bottom w:val="none" w:sz="0" w:space="0" w:color="auto"/>
        <w:right w:val="none" w:sz="0" w:space="0" w:color="auto"/>
      </w:divBdr>
    </w:div>
    <w:div w:id="785928139">
      <w:bodyDiv w:val="1"/>
      <w:marLeft w:val="0"/>
      <w:marRight w:val="0"/>
      <w:marTop w:val="0"/>
      <w:marBottom w:val="0"/>
      <w:divBdr>
        <w:top w:val="none" w:sz="0" w:space="0" w:color="auto"/>
        <w:left w:val="none" w:sz="0" w:space="0" w:color="auto"/>
        <w:bottom w:val="none" w:sz="0" w:space="0" w:color="auto"/>
        <w:right w:val="none" w:sz="0" w:space="0" w:color="auto"/>
      </w:divBdr>
    </w:div>
    <w:div w:id="791048546">
      <w:bodyDiv w:val="1"/>
      <w:marLeft w:val="0"/>
      <w:marRight w:val="0"/>
      <w:marTop w:val="0"/>
      <w:marBottom w:val="0"/>
      <w:divBdr>
        <w:top w:val="none" w:sz="0" w:space="0" w:color="auto"/>
        <w:left w:val="none" w:sz="0" w:space="0" w:color="auto"/>
        <w:bottom w:val="none" w:sz="0" w:space="0" w:color="auto"/>
        <w:right w:val="none" w:sz="0" w:space="0" w:color="auto"/>
      </w:divBdr>
    </w:div>
    <w:div w:id="801730553">
      <w:bodyDiv w:val="1"/>
      <w:marLeft w:val="0"/>
      <w:marRight w:val="0"/>
      <w:marTop w:val="0"/>
      <w:marBottom w:val="0"/>
      <w:divBdr>
        <w:top w:val="none" w:sz="0" w:space="0" w:color="auto"/>
        <w:left w:val="none" w:sz="0" w:space="0" w:color="auto"/>
        <w:bottom w:val="none" w:sz="0" w:space="0" w:color="auto"/>
        <w:right w:val="none" w:sz="0" w:space="0" w:color="auto"/>
      </w:divBdr>
    </w:div>
    <w:div w:id="814757915">
      <w:bodyDiv w:val="1"/>
      <w:marLeft w:val="0"/>
      <w:marRight w:val="0"/>
      <w:marTop w:val="0"/>
      <w:marBottom w:val="0"/>
      <w:divBdr>
        <w:top w:val="none" w:sz="0" w:space="0" w:color="auto"/>
        <w:left w:val="none" w:sz="0" w:space="0" w:color="auto"/>
        <w:bottom w:val="none" w:sz="0" w:space="0" w:color="auto"/>
        <w:right w:val="none" w:sz="0" w:space="0" w:color="auto"/>
      </w:divBdr>
      <w:divsChild>
        <w:div w:id="1104694244">
          <w:marLeft w:val="240"/>
          <w:marRight w:val="0"/>
          <w:marTop w:val="60"/>
          <w:marBottom w:val="60"/>
          <w:divBdr>
            <w:top w:val="none" w:sz="0" w:space="0" w:color="auto"/>
            <w:left w:val="none" w:sz="0" w:space="0" w:color="auto"/>
            <w:bottom w:val="none" w:sz="0" w:space="0" w:color="auto"/>
            <w:right w:val="none" w:sz="0" w:space="0" w:color="auto"/>
          </w:divBdr>
          <w:divsChild>
            <w:div w:id="1707606750">
              <w:marLeft w:val="240"/>
              <w:marRight w:val="0"/>
              <w:marTop w:val="60"/>
              <w:marBottom w:val="60"/>
              <w:divBdr>
                <w:top w:val="none" w:sz="0" w:space="0" w:color="auto"/>
                <w:left w:val="none" w:sz="0" w:space="0" w:color="auto"/>
                <w:bottom w:val="none" w:sz="0" w:space="0" w:color="auto"/>
                <w:right w:val="none" w:sz="0" w:space="0" w:color="auto"/>
              </w:divBdr>
              <w:divsChild>
                <w:div w:id="1999336727">
                  <w:marLeft w:val="240"/>
                  <w:marRight w:val="0"/>
                  <w:marTop w:val="60"/>
                  <w:marBottom w:val="60"/>
                  <w:divBdr>
                    <w:top w:val="none" w:sz="0" w:space="0" w:color="auto"/>
                    <w:left w:val="none" w:sz="0" w:space="0" w:color="auto"/>
                    <w:bottom w:val="none" w:sz="0" w:space="0" w:color="auto"/>
                    <w:right w:val="none" w:sz="0" w:space="0" w:color="auto"/>
                  </w:divBdr>
                  <w:divsChild>
                    <w:div w:id="27997814">
                      <w:marLeft w:val="0"/>
                      <w:marRight w:val="0"/>
                      <w:marTop w:val="0"/>
                      <w:marBottom w:val="0"/>
                      <w:divBdr>
                        <w:top w:val="none" w:sz="0" w:space="0" w:color="auto"/>
                        <w:left w:val="none" w:sz="0" w:space="0" w:color="auto"/>
                        <w:bottom w:val="none" w:sz="0" w:space="0" w:color="auto"/>
                        <w:right w:val="none" w:sz="0" w:space="0" w:color="auto"/>
                      </w:divBdr>
                    </w:div>
                  </w:divsChild>
                </w:div>
                <w:div w:id="834030527">
                  <w:marLeft w:val="240"/>
                  <w:marRight w:val="0"/>
                  <w:marTop w:val="60"/>
                  <w:marBottom w:val="60"/>
                  <w:divBdr>
                    <w:top w:val="none" w:sz="0" w:space="0" w:color="auto"/>
                    <w:left w:val="none" w:sz="0" w:space="0" w:color="auto"/>
                    <w:bottom w:val="none" w:sz="0" w:space="0" w:color="auto"/>
                    <w:right w:val="none" w:sz="0" w:space="0" w:color="auto"/>
                  </w:divBdr>
                  <w:divsChild>
                    <w:div w:id="321273224">
                      <w:marLeft w:val="0"/>
                      <w:marRight w:val="0"/>
                      <w:marTop w:val="0"/>
                      <w:marBottom w:val="0"/>
                      <w:divBdr>
                        <w:top w:val="none" w:sz="0" w:space="0" w:color="auto"/>
                        <w:left w:val="none" w:sz="0" w:space="0" w:color="auto"/>
                        <w:bottom w:val="none" w:sz="0" w:space="0" w:color="auto"/>
                        <w:right w:val="none" w:sz="0" w:space="0" w:color="auto"/>
                      </w:divBdr>
                    </w:div>
                  </w:divsChild>
                </w:div>
                <w:div w:id="185827256">
                  <w:marLeft w:val="522"/>
                  <w:marRight w:val="0"/>
                  <w:marTop w:val="0"/>
                  <w:marBottom w:val="0"/>
                  <w:divBdr>
                    <w:top w:val="none" w:sz="0" w:space="0" w:color="auto"/>
                    <w:left w:val="none" w:sz="0" w:space="0" w:color="auto"/>
                    <w:bottom w:val="none" w:sz="0" w:space="0" w:color="auto"/>
                    <w:right w:val="none" w:sz="0" w:space="0" w:color="auto"/>
                  </w:divBdr>
                </w:div>
              </w:divsChild>
            </w:div>
            <w:div w:id="77754561">
              <w:marLeft w:val="240"/>
              <w:marRight w:val="0"/>
              <w:marTop w:val="60"/>
              <w:marBottom w:val="60"/>
              <w:divBdr>
                <w:top w:val="none" w:sz="0" w:space="0" w:color="auto"/>
                <w:left w:val="none" w:sz="0" w:space="0" w:color="auto"/>
                <w:bottom w:val="none" w:sz="0" w:space="0" w:color="auto"/>
                <w:right w:val="none" w:sz="0" w:space="0" w:color="auto"/>
              </w:divBdr>
              <w:divsChild>
                <w:div w:id="41101956">
                  <w:marLeft w:val="240"/>
                  <w:marRight w:val="0"/>
                  <w:marTop w:val="60"/>
                  <w:marBottom w:val="60"/>
                  <w:divBdr>
                    <w:top w:val="none" w:sz="0" w:space="0" w:color="auto"/>
                    <w:left w:val="none" w:sz="0" w:space="0" w:color="auto"/>
                    <w:bottom w:val="none" w:sz="0" w:space="0" w:color="auto"/>
                    <w:right w:val="none" w:sz="0" w:space="0" w:color="auto"/>
                  </w:divBdr>
                  <w:divsChild>
                    <w:div w:id="1963922677">
                      <w:marLeft w:val="0"/>
                      <w:marRight w:val="0"/>
                      <w:marTop w:val="0"/>
                      <w:marBottom w:val="0"/>
                      <w:divBdr>
                        <w:top w:val="none" w:sz="0" w:space="0" w:color="auto"/>
                        <w:left w:val="none" w:sz="0" w:space="0" w:color="auto"/>
                        <w:bottom w:val="none" w:sz="0" w:space="0" w:color="auto"/>
                        <w:right w:val="none" w:sz="0" w:space="0" w:color="auto"/>
                      </w:divBdr>
                    </w:div>
                  </w:divsChild>
                </w:div>
                <w:div w:id="2057002838">
                  <w:marLeft w:val="240"/>
                  <w:marRight w:val="0"/>
                  <w:marTop w:val="60"/>
                  <w:marBottom w:val="60"/>
                  <w:divBdr>
                    <w:top w:val="none" w:sz="0" w:space="0" w:color="auto"/>
                    <w:left w:val="none" w:sz="0" w:space="0" w:color="auto"/>
                    <w:bottom w:val="none" w:sz="0" w:space="0" w:color="auto"/>
                    <w:right w:val="none" w:sz="0" w:space="0" w:color="auto"/>
                  </w:divBdr>
                  <w:divsChild>
                    <w:div w:id="7673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40412">
              <w:marLeft w:val="240"/>
              <w:marRight w:val="0"/>
              <w:marTop w:val="60"/>
              <w:marBottom w:val="60"/>
              <w:divBdr>
                <w:top w:val="none" w:sz="0" w:space="0" w:color="auto"/>
                <w:left w:val="none" w:sz="0" w:space="0" w:color="auto"/>
                <w:bottom w:val="none" w:sz="0" w:space="0" w:color="auto"/>
                <w:right w:val="none" w:sz="0" w:space="0" w:color="auto"/>
              </w:divBdr>
              <w:divsChild>
                <w:div w:id="2123645691">
                  <w:marLeft w:val="240"/>
                  <w:marRight w:val="0"/>
                  <w:marTop w:val="60"/>
                  <w:marBottom w:val="60"/>
                  <w:divBdr>
                    <w:top w:val="none" w:sz="0" w:space="0" w:color="auto"/>
                    <w:left w:val="none" w:sz="0" w:space="0" w:color="auto"/>
                    <w:bottom w:val="none" w:sz="0" w:space="0" w:color="auto"/>
                    <w:right w:val="none" w:sz="0" w:space="0" w:color="auto"/>
                  </w:divBdr>
                  <w:divsChild>
                    <w:div w:id="879633904">
                      <w:marLeft w:val="0"/>
                      <w:marRight w:val="0"/>
                      <w:marTop w:val="0"/>
                      <w:marBottom w:val="0"/>
                      <w:divBdr>
                        <w:top w:val="none" w:sz="0" w:space="0" w:color="auto"/>
                        <w:left w:val="none" w:sz="0" w:space="0" w:color="auto"/>
                        <w:bottom w:val="none" w:sz="0" w:space="0" w:color="auto"/>
                        <w:right w:val="none" w:sz="0" w:space="0" w:color="auto"/>
                      </w:divBdr>
                    </w:div>
                  </w:divsChild>
                </w:div>
                <w:div w:id="482695226">
                  <w:marLeft w:val="240"/>
                  <w:marRight w:val="0"/>
                  <w:marTop w:val="60"/>
                  <w:marBottom w:val="60"/>
                  <w:divBdr>
                    <w:top w:val="none" w:sz="0" w:space="0" w:color="auto"/>
                    <w:left w:val="none" w:sz="0" w:space="0" w:color="auto"/>
                    <w:bottom w:val="none" w:sz="0" w:space="0" w:color="auto"/>
                    <w:right w:val="none" w:sz="0" w:space="0" w:color="auto"/>
                  </w:divBdr>
                  <w:divsChild>
                    <w:div w:id="11666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808">
          <w:marLeft w:val="240"/>
          <w:marRight w:val="0"/>
          <w:marTop w:val="60"/>
          <w:marBottom w:val="60"/>
          <w:divBdr>
            <w:top w:val="none" w:sz="0" w:space="0" w:color="auto"/>
            <w:left w:val="none" w:sz="0" w:space="0" w:color="auto"/>
            <w:bottom w:val="none" w:sz="0" w:space="0" w:color="auto"/>
            <w:right w:val="none" w:sz="0" w:space="0" w:color="auto"/>
          </w:divBdr>
          <w:divsChild>
            <w:div w:id="1935476481">
              <w:marLeft w:val="240"/>
              <w:marRight w:val="0"/>
              <w:marTop w:val="60"/>
              <w:marBottom w:val="60"/>
              <w:divBdr>
                <w:top w:val="none" w:sz="0" w:space="0" w:color="auto"/>
                <w:left w:val="none" w:sz="0" w:space="0" w:color="auto"/>
                <w:bottom w:val="none" w:sz="0" w:space="0" w:color="auto"/>
                <w:right w:val="none" w:sz="0" w:space="0" w:color="auto"/>
              </w:divBdr>
              <w:divsChild>
                <w:div w:id="648217740">
                  <w:marLeft w:val="240"/>
                  <w:marRight w:val="0"/>
                  <w:marTop w:val="60"/>
                  <w:marBottom w:val="60"/>
                  <w:divBdr>
                    <w:top w:val="none" w:sz="0" w:space="0" w:color="auto"/>
                    <w:left w:val="none" w:sz="0" w:space="0" w:color="auto"/>
                    <w:bottom w:val="none" w:sz="0" w:space="0" w:color="auto"/>
                    <w:right w:val="none" w:sz="0" w:space="0" w:color="auto"/>
                  </w:divBdr>
                  <w:divsChild>
                    <w:div w:id="1853033798">
                      <w:marLeft w:val="240"/>
                      <w:marRight w:val="0"/>
                      <w:marTop w:val="60"/>
                      <w:marBottom w:val="60"/>
                      <w:divBdr>
                        <w:top w:val="none" w:sz="0" w:space="0" w:color="auto"/>
                        <w:left w:val="none" w:sz="0" w:space="0" w:color="auto"/>
                        <w:bottom w:val="none" w:sz="0" w:space="0" w:color="auto"/>
                        <w:right w:val="none" w:sz="0" w:space="0" w:color="auto"/>
                      </w:divBdr>
                      <w:divsChild>
                        <w:div w:id="1401365083">
                          <w:marLeft w:val="240"/>
                          <w:marRight w:val="0"/>
                          <w:marTop w:val="60"/>
                          <w:marBottom w:val="60"/>
                          <w:divBdr>
                            <w:top w:val="none" w:sz="0" w:space="0" w:color="auto"/>
                            <w:left w:val="none" w:sz="0" w:space="0" w:color="auto"/>
                            <w:bottom w:val="none" w:sz="0" w:space="0" w:color="auto"/>
                            <w:right w:val="none" w:sz="0" w:space="0" w:color="auto"/>
                          </w:divBdr>
                          <w:divsChild>
                            <w:div w:id="437876643">
                              <w:marLeft w:val="0"/>
                              <w:marRight w:val="0"/>
                              <w:marTop w:val="0"/>
                              <w:marBottom w:val="0"/>
                              <w:divBdr>
                                <w:top w:val="none" w:sz="0" w:space="0" w:color="auto"/>
                                <w:left w:val="none" w:sz="0" w:space="0" w:color="auto"/>
                                <w:bottom w:val="none" w:sz="0" w:space="0" w:color="auto"/>
                                <w:right w:val="none" w:sz="0" w:space="0" w:color="auto"/>
                              </w:divBdr>
                            </w:div>
                          </w:divsChild>
                        </w:div>
                        <w:div w:id="2146119753">
                          <w:marLeft w:val="240"/>
                          <w:marRight w:val="0"/>
                          <w:marTop w:val="60"/>
                          <w:marBottom w:val="60"/>
                          <w:divBdr>
                            <w:top w:val="none" w:sz="0" w:space="0" w:color="auto"/>
                            <w:left w:val="none" w:sz="0" w:space="0" w:color="auto"/>
                            <w:bottom w:val="none" w:sz="0" w:space="0" w:color="auto"/>
                            <w:right w:val="none" w:sz="0" w:space="0" w:color="auto"/>
                          </w:divBdr>
                          <w:divsChild>
                            <w:div w:id="2394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2368">
                      <w:marLeft w:val="240"/>
                      <w:marRight w:val="0"/>
                      <w:marTop w:val="60"/>
                      <w:marBottom w:val="60"/>
                      <w:divBdr>
                        <w:top w:val="none" w:sz="0" w:space="0" w:color="auto"/>
                        <w:left w:val="none" w:sz="0" w:space="0" w:color="auto"/>
                        <w:bottom w:val="none" w:sz="0" w:space="0" w:color="auto"/>
                        <w:right w:val="none" w:sz="0" w:space="0" w:color="auto"/>
                      </w:divBdr>
                      <w:divsChild>
                        <w:div w:id="93690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4612">
                  <w:marLeft w:val="240"/>
                  <w:marRight w:val="0"/>
                  <w:marTop w:val="60"/>
                  <w:marBottom w:val="60"/>
                  <w:divBdr>
                    <w:top w:val="none" w:sz="0" w:space="0" w:color="auto"/>
                    <w:left w:val="none" w:sz="0" w:space="0" w:color="auto"/>
                    <w:bottom w:val="none" w:sz="0" w:space="0" w:color="auto"/>
                    <w:right w:val="none" w:sz="0" w:space="0" w:color="auto"/>
                  </w:divBdr>
                  <w:divsChild>
                    <w:div w:id="2093040287">
                      <w:marLeft w:val="0"/>
                      <w:marRight w:val="0"/>
                      <w:marTop w:val="0"/>
                      <w:marBottom w:val="0"/>
                      <w:divBdr>
                        <w:top w:val="none" w:sz="0" w:space="0" w:color="auto"/>
                        <w:left w:val="none" w:sz="0" w:space="0" w:color="auto"/>
                        <w:bottom w:val="none" w:sz="0" w:space="0" w:color="auto"/>
                        <w:right w:val="none" w:sz="0" w:space="0" w:color="auto"/>
                      </w:divBdr>
                    </w:div>
                  </w:divsChild>
                </w:div>
                <w:div w:id="835346692">
                  <w:marLeft w:val="522"/>
                  <w:marRight w:val="0"/>
                  <w:marTop w:val="0"/>
                  <w:marBottom w:val="0"/>
                  <w:divBdr>
                    <w:top w:val="none" w:sz="0" w:space="0" w:color="auto"/>
                    <w:left w:val="none" w:sz="0" w:space="0" w:color="auto"/>
                    <w:bottom w:val="none" w:sz="0" w:space="0" w:color="auto"/>
                    <w:right w:val="none" w:sz="0" w:space="0" w:color="auto"/>
                  </w:divBdr>
                </w:div>
              </w:divsChild>
            </w:div>
            <w:div w:id="825129788">
              <w:marLeft w:val="240"/>
              <w:marRight w:val="0"/>
              <w:marTop w:val="60"/>
              <w:marBottom w:val="60"/>
              <w:divBdr>
                <w:top w:val="none" w:sz="0" w:space="0" w:color="auto"/>
                <w:left w:val="none" w:sz="0" w:space="0" w:color="auto"/>
                <w:bottom w:val="none" w:sz="0" w:space="0" w:color="auto"/>
                <w:right w:val="none" w:sz="0" w:space="0" w:color="auto"/>
              </w:divBdr>
              <w:divsChild>
                <w:div w:id="41901959">
                  <w:marLeft w:val="240"/>
                  <w:marRight w:val="0"/>
                  <w:marTop w:val="60"/>
                  <w:marBottom w:val="60"/>
                  <w:divBdr>
                    <w:top w:val="none" w:sz="0" w:space="0" w:color="auto"/>
                    <w:left w:val="none" w:sz="0" w:space="0" w:color="auto"/>
                    <w:bottom w:val="none" w:sz="0" w:space="0" w:color="auto"/>
                    <w:right w:val="none" w:sz="0" w:space="0" w:color="auto"/>
                  </w:divBdr>
                  <w:divsChild>
                    <w:div w:id="894001149">
                      <w:marLeft w:val="0"/>
                      <w:marRight w:val="0"/>
                      <w:marTop w:val="0"/>
                      <w:marBottom w:val="0"/>
                      <w:divBdr>
                        <w:top w:val="none" w:sz="0" w:space="0" w:color="auto"/>
                        <w:left w:val="none" w:sz="0" w:space="0" w:color="auto"/>
                        <w:bottom w:val="none" w:sz="0" w:space="0" w:color="auto"/>
                        <w:right w:val="none" w:sz="0" w:space="0" w:color="auto"/>
                      </w:divBdr>
                    </w:div>
                  </w:divsChild>
                </w:div>
                <w:div w:id="2043895660">
                  <w:marLeft w:val="240"/>
                  <w:marRight w:val="0"/>
                  <w:marTop w:val="60"/>
                  <w:marBottom w:val="60"/>
                  <w:divBdr>
                    <w:top w:val="none" w:sz="0" w:space="0" w:color="auto"/>
                    <w:left w:val="none" w:sz="0" w:space="0" w:color="auto"/>
                    <w:bottom w:val="none" w:sz="0" w:space="0" w:color="auto"/>
                    <w:right w:val="none" w:sz="0" w:space="0" w:color="auto"/>
                  </w:divBdr>
                  <w:divsChild>
                    <w:div w:id="1768228000">
                      <w:marLeft w:val="0"/>
                      <w:marRight w:val="0"/>
                      <w:marTop w:val="0"/>
                      <w:marBottom w:val="0"/>
                      <w:divBdr>
                        <w:top w:val="none" w:sz="0" w:space="0" w:color="auto"/>
                        <w:left w:val="none" w:sz="0" w:space="0" w:color="auto"/>
                        <w:bottom w:val="none" w:sz="0" w:space="0" w:color="auto"/>
                        <w:right w:val="none" w:sz="0" w:space="0" w:color="auto"/>
                      </w:divBdr>
                    </w:div>
                  </w:divsChild>
                </w:div>
                <w:div w:id="1279485774">
                  <w:marLeft w:val="240"/>
                  <w:marRight w:val="0"/>
                  <w:marTop w:val="60"/>
                  <w:marBottom w:val="60"/>
                  <w:divBdr>
                    <w:top w:val="none" w:sz="0" w:space="0" w:color="auto"/>
                    <w:left w:val="none" w:sz="0" w:space="0" w:color="auto"/>
                    <w:bottom w:val="none" w:sz="0" w:space="0" w:color="auto"/>
                    <w:right w:val="none" w:sz="0" w:space="0" w:color="auto"/>
                  </w:divBdr>
                  <w:divsChild>
                    <w:div w:id="15910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236199">
              <w:marLeft w:val="240"/>
              <w:marRight w:val="0"/>
              <w:marTop w:val="60"/>
              <w:marBottom w:val="60"/>
              <w:divBdr>
                <w:top w:val="none" w:sz="0" w:space="0" w:color="auto"/>
                <w:left w:val="none" w:sz="0" w:space="0" w:color="auto"/>
                <w:bottom w:val="none" w:sz="0" w:space="0" w:color="auto"/>
                <w:right w:val="none" w:sz="0" w:space="0" w:color="auto"/>
              </w:divBdr>
              <w:divsChild>
                <w:div w:id="1972708432">
                  <w:marLeft w:val="240"/>
                  <w:marRight w:val="0"/>
                  <w:marTop w:val="60"/>
                  <w:marBottom w:val="60"/>
                  <w:divBdr>
                    <w:top w:val="none" w:sz="0" w:space="0" w:color="auto"/>
                    <w:left w:val="none" w:sz="0" w:space="0" w:color="auto"/>
                    <w:bottom w:val="none" w:sz="0" w:space="0" w:color="auto"/>
                    <w:right w:val="none" w:sz="0" w:space="0" w:color="auto"/>
                  </w:divBdr>
                  <w:divsChild>
                    <w:div w:id="1381519966">
                      <w:marLeft w:val="0"/>
                      <w:marRight w:val="0"/>
                      <w:marTop w:val="0"/>
                      <w:marBottom w:val="0"/>
                      <w:divBdr>
                        <w:top w:val="none" w:sz="0" w:space="0" w:color="auto"/>
                        <w:left w:val="none" w:sz="0" w:space="0" w:color="auto"/>
                        <w:bottom w:val="none" w:sz="0" w:space="0" w:color="auto"/>
                        <w:right w:val="none" w:sz="0" w:space="0" w:color="auto"/>
                      </w:divBdr>
                    </w:div>
                  </w:divsChild>
                </w:div>
                <w:div w:id="629945808">
                  <w:marLeft w:val="240"/>
                  <w:marRight w:val="0"/>
                  <w:marTop w:val="60"/>
                  <w:marBottom w:val="60"/>
                  <w:divBdr>
                    <w:top w:val="none" w:sz="0" w:space="0" w:color="auto"/>
                    <w:left w:val="none" w:sz="0" w:space="0" w:color="auto"/>
                    <w:bottom w:val="none" w:sz="0" w:space="0" w:color="auto"/>
                    <w:right w:val="none" w:sz="0" w:space="0" w:color="auto"/>
                  </w:divBdr>
                  <w:divsChild>
                    <w:div w:id="1392801873">
                      <w:marLeft w:val="240"/>
                      <w:marRight w:val="0"/>
                      <w:marTop w:val="60"/>
                      <w:marBottom w:val="60"/>
                      <w:divBdr>
                        <w:top w:val="none" w:sz="0" w:space="0" w:color="auto"/>
                        <w:left w:val="none" w:sz="0" w:space="0" w:color="auto"/>
                        <w:bottom w:val="none" w:sz="0" w:space="0" w:color="auto"/>
                        <w:right w:val="none" w:sz="0" w:space="0" w:color="auto"/>
                      </w:divBdr>
                      <w:divsChild>
                        <w:div w:id="819619539">
                          <w:marLeft w:val="0"/>
                          <w:marRight w:val="0"/>
                          <w:marTop w:val="0"/>
                          <w:marBottom w:val="0"/>
                          <w:divBdr>
                            <w:top w:val="none" w:sz="0" w:space="0" w:color="auto"/>
                            <w:left w:val="none" w:sz="0" w:space="0" w:color="auto"/>
                            <w:bottom w:val="none" w:sz="0" w:space="0" w:color="auto"/>
                            <w:right w:val="none" w:sz="0" w:space="0" w:color="auto"/>
                          </w:divBdr>
                        </w:div>
                      </w:divsChild>
                    </w:div>
                    <w:div w:id="670454744">
                      <w:marLeft w:val="240"/>
                      <w:marRight w:val="0"/>
                      <w:marTop w:val="60"/>
                      <w:marBottom w:val="60"/>
                      <w:divBdr>
                        <w:top w:val="none" w:sz="0" w:space="0" w:color="auto"/>
                        <w:left w:val="none" w:sz="0" w:space="0" w:color="auto"/>
                        <w:bottom w:val="none" w:sz="0" w:space="0" w:color="auto"/>
                        <w:right w:val="none" w:sz="0" w:space="0" w:color="auto"/>
                      </w:divBdr>
                      <w:divsChild>
                        <w:div w:id="15049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650988">
          <w:marLeft w:val="240"/>
          <w:marRight w:val="0"/>
          <w:marTop w:val="60"/>
          <w:marBottom w:val="60"/>
          <w:divBdr>
            <w:top w:val="none" w:sz="0" w:space="0" w:color="auto"/>
            <w:left w:val="none" w:sz="0" w:space="0" w:color="auto"/>
            <w:bottom w:val="none" w:sz="0" w:space="0" w:color="auto"/>
            <w:right w:val="none" w:sz="0" w:space="0" w:color="auto"/>
          </w:divBdr>
          <w:divsChild>
            <w:div w:id="1389038215">
              <w:marLeft w:val="0"/>
              <w:marRight w:val="0"/>
              <w:marTop w:val="0"/>
              <w:marBottom w:val="0"/>
              <w:divBdr>
                <w:top w:val="none" w:sz="0" w:space="0" w:color="auto"/>
                <w:left w:val="none" w:sz="0" w:space="0" w:color="auto"/>
                <w:bottom w:val="none" w:sz="0" w:space="0" w:color="auto"/>
                <w:right w:val="none" w:sz="0" w:space="0" w:color="auto"/>
              </w:divBdr>
            </w:div>
          </w:divsChild>
        </w:div>
        <w:div w:id="1274555195">
          <w:marLeft w:val="240"/>
          <w:marRight w:val="0"/>
          <w:marTop w:val="60"/>
          <w:marBottom w:val="60"/>
          <w:divBdr>
            <w:top w:val="none" w:sz="0" w:space="0" w:color="auto"/>
            <w:left w:val="none" w:sz="0" w:space="0" w:color="auto"/>
            <w:bottom w:val="none" w:sz="0" w:space="0" w:color="auto"/>
            <w:right w:val="none" w:sz="0" w:space="0" w:color="auto"/>
          </w:divBdr>
          <w:divsChild>
            <w:div w:id="740910529">
              <w:marLeft w:val="0"/>
              <w:marRight w:val="0"/>
              <w:marTop w:val="0"/>
              <w:marBottom w:val="0"/>
              <w:divBdr>
                <w:top w:val="none" w:sz="0" w:space="0" w:color="auto"/>
                <w:left w:val="none" w:sz="0" w:space="0" w:color="auto"/>
                <w:bottom w:val="none" w:sz="0" w:space="0" w:color="auto"/>
                <w:right w:val="none" w:sz="0" w:space="0" w:color="auto"/>
              </w:divBdr>
            </w:div>
          </w:divsChild>
        </w:div>
        <w:div w:id="1949238570">
          <w:marLeft w:val="240"/>
          <w:marRight w:val="0"/>
          <w:marTop w:val="60"/>
          <w:marBottom w:val="60"/>
          <w:divBdr>
            <w:top w:val="none" w:sz="0" w:space="0" w:color="auto"/>
            <w:left w:val="none" w:sz="0" w:space="0" w:color="auto"/>
            <w:bottom w:val="none" w:sz="0" w:space="0" w:color="auto"/>
            <w:right w:val="none" w:sz="0" w:space="0" w:color="auto"/>
          </w:divBdr>
          <w:divsChild>
            <w:div w:id="169806094">
              <w:marLeft w:val="0"/>
              <w:marRight w:val="0"/>
              <w:marTop w:val="0"/>
              <w:marBottom w:val="0"/>
              <w:divBdr>
                <w:top w:val="none" w:sz="0" w:space="0" w:color="auto"/>
                <w:left w:val="none" w:sz="0" w:space="0" w:color="auto"/>
                <w:bottom w:val="none" w:sz="0" w:space="0" w:color="auto"/>
                <w:right w:val="none" w:sz="0" w:space="0" w:color="auto"/>
              </w:divBdr>
            </w:div>
          </w:divsChild>
        </w:div>
        <w:div w:id="779034924">
          <w:marLeft w:val="0"/>
          <w:marRight w:val="0"/>
          <w:marTop w:val="0"/>
          <w:marBottom w:val="0"/>
          <w:divBdr>
            <w:top w:val="none" w:sz="0" w:space="0" w:color="auto"/>
            <w:left w:val="none" w:sz="0" w:space="0" w:color="auto"/>
            <w:bottom w:val="none" w:sz="0" w:space="0" w:color="auto"/>
            <w:right w:val="none" w:sz="0" w:space="0" w:color="auto"/>
          </w:divBdr>
        </w:div>
      </w:divsChild>
    </w:div>
    <w:div w:id="831025328">
      <w:bodyDiv w:val="1"/>
      <w:marLeft w:val="0"/>
      <w:marRight w:val="0"/>
      <w:marTop w:val="0"/>
      <w:marBottom w:val="0"/>
      <w:divBdr>
        <w:top w:val="none" w:sz="0" w:space="0" w:color="auto"/>
        <w:left w:val="none" w:sz="0" w:space="0" w:color="auto"/>
        <w:bottom w:val="none" w:sz="0" w:space="0" w:color="auto"/>
        <w:right w:val="none" w:sz="0" w:space="0" w:color="auto"/>
      </w:divBdr>
    </w:div>
    <w:div w:id="858809511">
      <w:bodyDiv w:val="1"/>
      <w:marLeft w:val="0"/>
      <w:marRight w:val="0"/>
      <w:marTop w:val="0"/>
      <w:marBottom w:val="0"/>
      <w:divBdr>
        <w:top w:val="none" w:sz="0" w:space="0" w:color="auto"/>
        <w:left w:val="none" w:sz="0" w:space="0" w:color="auto"/>
        <w:bottom w:val="none" w:sz="0" w:space="0" w:color="auto"/>
        <w:right w:val="none" w:sz="0" w:space="0" w:color="auto"/>
      </w:divBdr>
    </w:div>
    <w:div w:id="862472921">
      <w:bodyDiv w:val="1"/>
      <w:marLeft w:val="0"/>
      <w:marRight w:val="0"/>
      <w:marTop w:val="0"/>
      <w:marBottom w:val="0"/>
      <w:divBdr>
        <w:top w:val="none" w:sz="0" w:space="0" w:color="auto"/>
        <w:left w:val="none" w:sz="0" w:space="0" w:color="auto"/>
        <w:bottom w:val="none" w:sz="0" w:space="0" w:color="auto"/>
        <w:right w:val="none" w:sz="0" w:space="0" w:color="auto"/>
      </w:divBdr>
    </w:div>
    <w:div w:id="873154497">
      <w:bodyDiv w:val="1"/>
      <w:marLeft w:val="0"/>
      <w:marRight w:val="0"/>
      <w:marTop w:val="0"/>
      <w:marBottom w:val="0"/>
      <w:divBdr>
        <w:top w:val="none" w:sz="0" w:space="0" w:color="auto"/>
        <w:left w:val="none" w:sz="0" w:space="0" w:color="auto"/>
        <w:bottom w:val="none" w:sz="0" w:space="0" w:color="auto"/>
        <w:right w:val="none" w:sz="0" w:space="0" w:color="auto"/>
      </w:divBdr>
      <w:divsChild>
        <w:div w:id="1936861301">
          <w:marLeft w:val="240"/>
          <w:marRight w:val="0"/>
          <w:marTop w:val="60"/>
          <w:marBottom w:val="60"/>
          <w:divBdr>
            <w:top w:val="none" w:sz="0" w:space="0" w:color="auto"/>
            <w:left w:val="none" w:sz="0" w:space="0" w:color="auto"/>
            <w:bottom w:val="none" w:sz="0" w:space="0" w:color="auto"/>
            <w:right w:val="none" w:sz="0" w:space="0" w:color="auto"/>
          </w:divBdr>
          <w:divsChild>
            <w:div w:id="852497646">
              <w:marLeft w:val="0"/>
              <w:marRight w:val="0"/>
              <w:marTop w:val="0"/>
              <w:marBottom w:val="0"/>
              <w:divBdr>
                <w:top w:val="none" w:sz="0" w:space="0" w:color="auto"/>
                <w:left w:val="none" w:sz="0" w:space="0" w:color="auto"/>
                <w:bottom w:val="none" w:sz="0" w:space="0" w:color="auto"/>
                <w:right w:val="none" w:sz="0" w:space="0" w:color="auto"/>
              </w:divBdr>
            </w:div>
          </w:divsChild>
        </w:div>
        <w:div w:id="1355420293">
          <w:marLeft w:val="240"/>
          <w:marRight w:val="0"/>
          <w:marTop w:val="60"/>
          <w:marBottom w:val="60"/>
          <w:divBdr>
            <w:top w:val="none" w:sz="0" w:space="0" w:color="auto"/>
            <w:left w:val="none" w:sz="0" w:space="0" w:color="auto"/>
            <w:bottom w:val="none" w:sz="0" w:space="0" w:color="auto"/>
            <w:right w:val="none" w:sz="0" w:space="0" w:color="auto"/>
          </w:divBdr>
          <w:divsChild>
            <w:div w:id="282611439">
              <w:marLeft w:val="240"/>
              <w:marRight w:val="0"/>
              <w:marTop w:val="60"/>
              <w:marBottom w:val="60"/>
              <w:divBdr>
                <w:top w:val="none" w:sz="0" w:space="0" w:color="auto"/>
                <w:left w:val="none" w:sz="0" w:space="0" w:color="auto"/>
                <w:bottom w:val="none" w:sz="0" w:space="0" w:color="auto"/>
                <w:right w:val="none" w:sz="0" w:space="0" w:color="auto"/>
              </w:divBdr>
              <w:divsChild>
                <w:div w:id="364647656">
                  <w:marLeft w:val="0"/>
                  <w:marRight w:val="0"/>
                  <w:marTop w:val="0"/>
                  <w:marBottom w:val="0"/>
                  <w:divBdr>
                    <w:top w:val="none" w:sz="0" w:space="0" w:color="auto"/>
                    <w:left w:val="none" w:sz="0" w:space="0" w:color="auto"/>
                    <w:bottom w:val="none" w:sz="0" w:space="0" w:color="auto"/>
                    <w:right w:val="none" w:sz="0" w:space="0" w:color="auto"/>
                  </w:divBdr>
                </w:div>
              </w:divsChild>
            </w:div>
            <w:div w:id="1477070642">
              <w:marLeft w:val="240"/>
              <w:marRight w:val="0"/>
              <w:marTop w:val="60"/>
              <w:marBottom w:val="60"/>
              <w:divBdr>
                <w:top w:val="none" w:sz="0" w:space="0" w:color="auto"/>
                <w:left w:val="none" w:sz="0" w:space="0" w:color="auto"/>
                <w:bottom w:val="none" w:sz="0" w:space="0" w:color="auto"/>
                <w:right w:val="none" w:sz="0" w:space="0" w:color="auto"/>
              </w:divBdr>
              <w:divsChild>
                <w:div w:id="756901937">
                  <w:marLeft w:val="240"/>
                  <w:marRight w:val="0"/>
                  <w:marTop w:val="60"/>
                  <w:marBottom w:val="60"/>
                  <w:divBdr>
                    <w:top w:val="none" w:sz="0" w:space="0" w:color="auto"/>
                    <w:left w:val="none" w:sz="0" w:space="0" w:color="auto"/>
                    <w:bottom w:val="none" w:sz="0" w:space="0" w:color="auto"/>
                    <w:right w:val="none" w:sz="0" w:space="0" w:color="auto"/>
                  </w:divBdr>
                  <w:divsChild>
                    <w:div w:id="947616731">
                      <w:marLeft w:val="0"/>
                      <w:marRight w:val="0"/>
                      <w:marTop w:val="0"/>
                      <w:marBottom w:val="0"/>
                      <w:divBdr>
                        <w:top w:val="none" w:sz="0" w:space="0" w:color="auto"/>
                        <w:left w:val="none" w:sz="0" w:space="0" w:color="auto"/>
                        <w:bottom w:val="none" w:sz="0" w:space="0" w:color="auto"/>
                        <w:right w:val="none" w:sz="0" w:space="0" w:color="auto"/>
                      </w:divBdr>
                    </w:div>
                  </w:divsChild>
                </w:div>
                <w:div w:id="368797380">
                  <w:marLeft w:val="240"/>
                  <w:marRight w:val="0"/>
                  <w:marTop w:val="60"/>
                  <w:marBottom w:val="60"/>
                  <w:divBdr>
                    <w:top w:val="none" w:sz="0" w:space="0" w:color="auto"/>
                    <w:left w:val="none" w:sz="0" w:space="0" w:color="auto"/>
                    <w:bottom w:val="none" w:sz="0" w:space="0" w:color="auto"/>
                    <w:right w:val="none" w:sz="0" w:space="0" w:color="auto"/>
                  </w:divBdr>
                  <w:divsChild>
                    <w:div w:id="946237552">
                      <w:marLeft w:val="0"/>
                      <w:marRight w:val="0"/>
                      <w:marTop w:val="0"/>
                      <w:marBottom w:val="0"/>
                      <w:divBdr>
                        <w:top w:val="none" w:sz="0" w:space="0" w:color="auto"/>
                        <w:left w:val="none" w:sz="0" w:space="0" w:color="auto"/>
                        <w:bottom w:val="none" w:sz="0" w:space="0" w:color="auto"/>
                        <w:right w:val="none" w:sz="0" w:space="0" w:color="auto"/>
                      </w:divBdr>
                    </w:div>
                  </w:divsChild>
                </w:div>
                <w:div w:id="2070768052">
                  <w:marLeft w:val="240"/>
                  <w:marRight w:val="0"/>
                  <w:marTop w:val="60"/>
                  <w:marBottom w:val="60"/>
                  <w:divBdr>
                    <w:top w:val="none" w:sz="0" w:space="0" w:color="auto"/>
                    <w:left w:val="none" w:sz="0" w:space="0" w:color="auto"/>
                    <w:bottom w:val="none" w:sz="0" w:space="0" w:color="auto"/>
                    <w:right w:val="none" w:sz="0" w:space="0" w:color="auto"/>
                  </w:divBdr>
                  <w:divsChild>
                    <w:div w:id="79524338">
                      <w:marLeft w:val="0"/>
                      <w:marRight w:val="0"/>
                      <w:marTop w:val="0"/>
                      <w:marBottom w:val="0"/>
                      <w:divBdr>
                        <w:top w:val="none" w:sz="0" w:space="0" w:color="auto"/>
                        <w:left w:val="none" w:sz="0" w:space="0" w:color="auto"/>
                        <w:bottom w:val="none" w:sz="0" w:space="0" w:color="auto"/>
                        <w:right w:val="none" w:sz="0" w:space="0" w:color="auto"/>
                      </w:divBdr>
                    </w:div>
                  </w:divsChild>
                </w:div>
                <w:div w:id="1392654032">
                  <w:marLeft w:val="522"/>
                  <w:marRight w:val="0"/>
                  <w:marTop w:val="0"/>
                  <w:marBottom w:val="0"/>
                  <w:divBdr>
                    <w:top w:val="none" w:sz="0" w:space="0" w:color="auto"/>
                    <w:left w:val="none" w:sz="0" w:space="0" w:color="auto"/>
                    <w:bottom w:val="none" w:sz="0" w:space="0" w:color="auto"/>
                    <w:right w:val="none" w:sz="0" w:space="0" w:color="auto"/>
                  </w:divBdr>
                </w:div>
              </w:divsChild>
            </w:div>
          </w:divsChild>
        </w:div>
        <w:div w:id="191235651">
          <w:marLeft w:val="240"/>
          <w:marRight w:val="0"/>
          <w:marTop w:val="60"/>
          <w:marBottom w:val="60"/>
          <w:divBdr>
            <w:top w:val="none" w:sz="0" w:space="0" w:color="auto"/>
            <w:left w:val="none" w:sz="0" w:space="0" w:color="auto"/>
            <w:bottom w:val="none" w:sz="0" w:space="0" w:color="auto"/>
            <w:right w:val="none" w:sz="0" w:space="0" w:color="auto"/>
          </w:divBdr>
          <w:divsChild>
            <w:div w:id="882719774">
              <w:marLeft w:val="240"/>
              <w:marRight w:val="0"/>
              <w:marTop w:val="60"/>
              <w:marBottom w:val="60"/>
              <w:divBdr>
                <w:top w:val="none" w:sz="0" w:space="0" w:color="auto"/>
                <w:left w:val="none" w:sz="0" w:space="0" w:color="auto"/>
                <w:bottom w:val="none" w:sz="0" w:space="0" w:color="auto"/>
                <w:right w:val="none" w:sz="0" w:space="0" w:color="auto"/>
              </w:divBdr>
              <w:divsChild>
                <w:div w:id="285545395">
                  <w:marLeft w:val="0"/>
                  <w:marRight w:val="0"/>
                  <w:marTop w:val="0"/>
                  <w:marBottom w:val="0"/>
                  <w:divBdr>
                    <w:top w:val="none" w:sz="0" w:space="0" w:color="auto"/>
                    <w:left w:val="none" w:sz="0" w:space="0" w:color="auto"/>
                    <w:bottom w:val="none" w:sz="0" w:space="0" w:color="auto"/>
                    <w:right w:val="none" w:sz="0" w:space="0" w:color="auto"/>
                  </w:divBdr>
                </w:div>
              </w:divsChild>
            </w:div>
            <w:div w:id="632560122">
              <w:marLeft w:val="240"/>
              <w:marRight w:val="0"/>
              <w:marTop w:val="60"/>
              <w:marBottom w:val="60"/>
              <w:divBdr>
                <w:top w:val="none" w:sz="0" w:space="0" w:color="auto"/>
                <w:left w:val="none" w:sz="0" w:space="0" w:color="auto"/>
                <w:bottom w:val="none" w:sz="0" w:space="0" w:color="auto"/>
                <w:right w:val="none" w:sz="0" w:space="0" w:color="auto"/>
              </w:divBdr>
              <w:divsChild>
                <w:div w:id="19864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8450">
          <w:marLeft w:val="240"/>
          <w:marRight w:val="0"/>
          <w:marTop w:val="60"/>
          <w:marBottom w:val="60"/>
          <w:divBdr>
            <w:top w:val="none" w:sz="0" w:space="0" w:color="auto"/>
            <w:left w:val="none" w:sz="0" w:space="0" w:color="auto"/>
            <w:bottom w:val="none" w:sz="0" w:space="0" w:color="auto"/>
            <w:right w:val="none" w:sz="0" w:space="0" w:color="auto"/>
          </w:divBdr>
          <w:divsChild>
            <w:div w:id="1951624492">
              <w:marLeft w:val="240"/>
              <w:marRight w:val="0"/>
              <w:marTop w:val="60"/>
              <w:marBottom w:val="60"/>
              <w:divBdr>
                <w:top w:val="none" w:sz="0" w:space="0" w:color="auto"/>
                <w:left w:val="none" w:sz="0" w:space="0" w:color="auto"/>
                <w:bottom w:val="none" w:sz="0" w:space="0" w:color="auto"/>
                <w:right w:val="none" w:sz="0" w:space="0" w:color="auto"/>
              </w:divBdr>
              <w:divsChild>
                <w:div w:id="736166046">
                  <w:marLeft w:val="240"/>
                  <w:marRight w:val="0"/>
                  <w:marTop w:val="60"/>
                  <w:marBottom w:val="60"/>
                  <w:divBdr>
                    <w:top w:val="none" w:sz="0" w:space="0" w:color="auto"/>
                    <w:left w:val="none" w:sz="0" w:space="0" w:color="auto"/>
                    <w:bottom w:val="none" w:sz="0" w:space="0" w:color="auto"/>
                    <w:right w:val="none" w:sz="0" w:space="0" w:color="auto"/>
                  </w:divBdr>
                  <w:divsChild>
                    <w:div w:id="1209957609">
                      <w:marLeft w:val="0"/>
                      <w:marRight w:val="0"/>
                      <w:marTop w:val="0"/>
                      <w:marBottom w:val="0"/>
                      <w:divBdr>
                        <w:top w:val="none" w:sz="0" w:space="0" w:color="auto"/>
                        <w:left w:val="none" w:sz="0" w:space="0" w:color="auto"/>
                        <w:bottom w:val="none" w:sz="0" w:space="0" w:color="auto"/>
                        <w:right w:val="none" w:sz="0" w:space="0" w:color="auto"/>
                      </w:divBdr>
                    </w:div>
                  </w:divsChild>
                </w:div>
                <w:div w:id="2075811615">
                  <w:marLeft w:val="240"/>
                  <w:marRight w:val="0"/>
                  <w:marTop w:val="60"/>
                  <w:marBottom w:val="60"/>
                  <w:divBdr>
                    <w:top w:val="none" w:sz="0" w:space="0" w:color="auto"/>
                    <w:left w:val="none" w:sz="0" w:space="0" w:color="auto"/>
                    <w:bottom w:val="none" w:sz="0" w:space="0" w:color="auto"/>
                    <w:right w:val="none" w:sz="0" w:space="0" w:color="auto"/>
                  </w:divBdr>
                  <w:divsChild>
                    <w:div w:id="1560751896">
                      <w:marLeft w:val="240"/>
                      <w:marRight w:val="0"/>
                      <w:marTop w:val="60"/>
                      <w:marBottom w:val="60"/>
                      <w:divBdr>
                        <w:top w:val="none" w:sz="0" w:space="0" w:color="auto"/>
                        <w:left w:val="none" w:sz="0" w:space="0" w:color="auto"/>
                        <w:bottom w:val="none" w:sz="0" w:space="0" w:color="auto"/>
                        <w:right w:val="none" w:sz="0" w:space="0" w:color="auto"/>
                      </w:divBdr>
                      <w:divsChild>
                        <w:div w:id="1118599192">
                          <w:marLeft w:val="0"/>
                          <w:marRight w:val="0"/>
                          <w:marTop w:val="0"/>
                          <w:marBottom w:val="0"/>
                          <w:divBdr>
                            <w:top w:val="none" w:sz="0" w:space="0" w:color="auto"/>
                            <w:left w:val="none" w:sz="0" w:space="0" w:color="auto"/>
                            <w:bottom w:val="none" w:sz="0" w:space="0" w:color="auto"/>
                            <w:right w:val="none" w:sz="0" w:space="0" w:color="auto"/>
                          </w:divBdr>
                        </w:div>
                      </w:divsChild>
                    </w:div>
                    <w:div w:id="1376543851">
                      <w:marLeft w:val="240"/>
                      <w:marRight w:val="0"/>
                      <w:marTop w:val="60"/>
                      <w:marBottom w:val="60"/>
                      <w:divBdr>
                        <w:top w:val="none" w:sz="0" w:space="0" w:color="auto"/>
                        <w:left w:val="none" w:sz="0" w:space="0" w:color="auto"/>
                        <w:bottom w:val="none" w:sz="0" w:space="0" w:color="auto"/>
                        <w:right w:val="none" w:sz="0" w:space="0" w:color="auto"/>
                      </w:divBdr>
                      <w:divsChild>
                        <w:div w:id="1192182890">
                          <w:marLeft w:val="240"/>
                          <w:marRight w:val="0"/>
                          <w:marTop w:val="60"/>
                          <w:marBottom w:val="60"/>
                          <w:divBdr>
                            <w:top w:val="none" w:sz="0" w:space="0" w:color="auto"/>
                            <w:left w:val="none" w:sz="0" w:space="0" w:color="auto"/>
                            <w:bottom w:val="none" w:sz="0" w:space="0" w:color="auto"/>
                            <w:right w:val="none" w:sz="0" w:space="0" w:color="auto"/>
                          </w:divBdr>
                          <w:divsChild>
                            <w:div w:id="1415013672">
                              <w:marLeft w:val="0"/>
                              <w:marRight w:val="0"/>
                              <w:marTop w:val="0"/>
                              <w:marBottom w:val="0"/>
                              <w:divBdr>
                                <w:top w:val="none" w:sz="0" w:space="0" w:color="auto"/>
                                <w:left w:val="none" w:sz="0" w:space="0" w:color="auto"/>
                                <w:bottom w:val="none" w:sz="0" w:space="0" w:color="auto"/>
                                <w:right w:val="none" w:sz="0" w:space="0" w:color="auto"/>
                              </w:divBdr>
                            </w:div>
                          </w:divsChild>
                        </w:div>
                        <w:div w:id="833453864">
                          <w:marLeft w:val="240"/>
                          <w:marRight w:val="0"/>
                          <w:marTop w:val="60"/>
                          <w:marBottom w:val="60"/>
                          <w:divBdr>
                            <w:top w:val="none" w:sz="0" w:space="0" w:color="auto"/>
                            <w:left w:val="none" w:sz="0" w:space="0" w:color="auto"/>
                            <w:bottom w:val="none" w:sz="0" w:space="0" w:color="auto"/>
                            <w:right w:val="none" w:sz="0" w:space="0" w:color="auto"/>
                          </w:divBdr>
                          <w:divsChild>
                            <w:div w:id="7958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6124">
                  <w:marLeft w:val="522"/>
                  <w:marRight w:val="0"/>
                  <w:marTop w:val="0"/>
                  <w:marBottom w:val="0"/>
                  <w:divBdr>
                    <w:top w:val="none" w:sz="0" w:space="0" w:color="auto"/>
                    <w:left w:val="none" w:sz="0" w:space="0" w:color="auto"/>
                    <w:bottom w:val="none" w:sz="0" w:space="0" w:color="auto"/>
                    <w:right w:val="none" w:sz="0" w:space="0" w:color="auto"/>
                  </w:divBdr>
                </w:div>
              </w:divsChild>
            </w:div>
            <w:div w:id="205142055">
              <w:marLeft w:val="240"/>
              <w:marRight w:val="0"/>
              <w:marTop w:val="60"/>
              <w:marBottom w:val="60"/>
              <w:divBdr>
                <w:top w:val="none" w:sz="0" w:space="0" w:color="auto"/>
                <w:left w:val="none" w:sz="0" w:space="0" w:color="auto"/>
                <w:bottom w:val="none" w:sz="0" w:space="0" w:color="auto"/>
                <w:right w:val="none" w:sz="0" w:space="0" w:color="auto"/>
              </w:divBdr>
              <w:divsChild>
                <w:div w:id="376903709">
                  <w:marLeft w:val="240"/>
                  <w:marRight w:val="0"/>
                  <w:marTop w:val="60"/>
                  <w:marBottom w:val="60"/>
                  <w:divBdr>
                    <w:top w:val="none" w:sz="0" w:space="0" w:color="auto"/>
                    <w:left w:val="none" w:sz="0" w:space="0" w:color="auto"/>
                    <w:bottom w:val="none" w:sz="0" w:space="0" w:color="auto"/>
                    <w:right w:val="none" w:sz="0" w:space="0" w:color="auto"/>
                  </w:divBdr>
                  <w:divsChild>
                    <w:div w:id="1492986989">
                      <w:marLeft w:val="240"/>
                      <w:marRight w:val="0"/>
                      <w:marTop w:val="60"/>
                      <w:marBottom w:val="60"/>
                      <w:divBdr>
                        <w:top w:val="none" w:sz="0" w:space="0" w:color="auto"/>
                        <w:left w:val="none" w:sz="0" w:space="0" w:color="auto"/>
                        <w:bottom w:val="none" w:sz="0" w:space="0" w:color="auto"/>
                        <w:right w:val="none" w:sz="0" w:space="0" w:color="auto"/>
                      </w:divBdr>
                      <w:divsChild>
                        <w:div w:id="1640646266">
                          <w:marLeft w:val="0"/>
                          <w:marRight w:val="0"/>
                          <w:marTop w:val="0"/>
                          <w:marBottom w:val="0"/>
                          <w:divBdr>
                            <w:top w:val="none" w:sz="0" w:space="0" w:color="auto"/>
                            <w:left w:val="none" w:sz="0" w:space="0" w:color="auto"/>
                            <w:bottom w:val="none" w:sz="0" w:space="0" w:color="auto"/>
                            <w:right w:val="none" w:sz="0" w:space="0" w:color="auto"/>
                          </w:divBdr>
                        </w:div>
                      </w:divsChild>
                    </w:div>
                    <w:div w:id="210966848">
                      <w:marLeft w:val="240"/>
                      <w:marRight w:val="0"/>
                      <w:marTop w:val="60"/>
                      <w:marBottom w:val="60"/>
                      <w:divBdr>
                        <w:top w:val="none" w:sz="0" w:space="0" w:color="auto"/>
                        <w:left w:val="none" w:sz="0" w:space="0" w:color="auto"/>
                        <w:bottom w:val="none" w:sz="0" w:space="0" w:color="auto"/>
                        <w:right w:val="none" w:sz="0" w:space="0" w:color="auto"/>
                      </w:divBdr>
                      <w:divsChild>
                        <w:div w:id="1444106496">
                          <w:marLeft w:val="0"/>
                          <w:marRight w:val="0"/>
                          <w:marTop w:val="0"/>
                          <w:marBottom w:val="0"/>
                          <w:divBdr>
                            <w:top w:val="none" w:sz="0" w:space="0" w:color="auto"/>
                            <w:left w:val="none" w:sz="0" w:space="0" w:color="auto"/>
                            <w:bottom w:val="none" w:sz="0" w:space="0" w:color="auto"/>
                            <w:right w:val="none" w:sz="0" w:space="0" w:color="auto"/>
                          </w:divBdr>
                        </w:div>
                      </w:divsChild>
                    </w:div>
                    <w:div w:id="1486581668">
                      <w:marLeft w:val="240"/>
                      <w:marRight w:val="0"/>
                      <w:marTop w:val="60"/>
                      <w:marBottom w:val="60"/>
                      <w:divBdr>
                        <w:top w:val="none" w:sz="0" w:space="0" w:color="auto"/>
                        <w:left w:val="none" w:sz="0" w:space="0" w:color="auto"/>
                        <w:bottom w:val="none" w:sz="0" w:space="0" w:color="auto"/>
                        <w:right w:val="none" w:sz="0" w:space="0" w:color="auto"/>
                      </w:divBdr>
                      <w:divsChild>
                        <w:div w:id="10866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7039">
                  <w:marLeft w:val="240"/>
                  <w:marRight w:val="0"/>
                  <w:marTop w:val="60"/>
                  <w:marBottom w:val="60"/>
                  <w:divBdr>
                    <w:top w:val="none" w:sz="0" w:space="0" w:color="auto"/>
                    <w:left w:val="none" w:sz="0" w:space="0" w:color="auto"/>
                    <w:bottom w:val="none" w:sz="0" w:space="0" w:color="auto"/>
                    <w:right w:val="none" w:sz="0" w:space="0" w:color="auto"/>
                  </w:divBdr>
                  <w:divsChild>
                    <w:div w:id="503906858">
                      <w:marLeft w:val="0"/>
                      <w:marRight w:val="0"/>
                      <w:marTop w:val="0"/>
                      <w:marBottom w:val="0"/>
                      <w:divBdr>
                        <w:top w:val="none" w:sz="0" w:space="0" w:color="auto"/>
                        <w:left w:val="none" w:sz="0" w:space="0" w:color="auto"/>
                        <w:bottom w:val="none" w:sz="0" w:space="0" w:color="auto"/>
                        <w:right w:val="none" w:sz="0" w:space="0" w:color="auto"/>
                      </w:divBdr>
                    </w:div>
                  </w:divsChild>
                </w:div>
                <w:div w:id="779959320">
                  <w:marLeft w:val="240"/>
                  <w:marRight w:val="0"/>
                  <w:marTop w:val="60"/>
                  <w:marBottom w:val="60"/>
                  <w:divBdr>
                    <w:top w:val="none" w:sz="0" w:space="0" w:color="auto"/>
                    <w:left w:val="none" w:sz="0" w:space="0" w:color="auto"/>
                    <w:bottom w:val="none" w:sz="0" w:space="0" w:color="auto"/>
                    <w:right w:val="none" w:sz="0" w:space="0" w:color="auto"/>
                  </w:divBdr>
                  <w:divsChild>
                    <w:div w:id="4011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50565">
              <w:marLeft w:val="240"/>
              <w:marRight w:val="0"/>
              <w:marTop w:val="60"/>
              <w:marBottom w:val="60"/>
              <w:divBdr>
                <w:top w:val="none" w:sz="0" w:space="0" w:color="auto"/>
                <w:left w:val="none" w:sz="0" w:space="0" w:color="auto"/>
                <w:bottom w:val="none" w:sz="0" w:space="0" w:color="auto"/>
                <w:right w:val="none" w:sz="0" w:space="0" w:color="auto"/>
              </w:divBdr>
            </w:div>
            <w:div w:id="530071771">
              <w:marLeft w:val="240"/>
              <w:marRight w:val="0"/>
              <w:marTop w:val="60"/>
              <w:marBottom w:val="60"/>
              <w:divBdr>
                <w:top w:val="none" w:sz="0" w:space="0" w:color="auto"/>
                <w:left w:val="none" w:sz="0" w:space="0" w:color="auto"/>
                <w:bottom w:val="none" w:sz="0" w:space="0" w:color="auto"/>
                <w:right w:val="none" w:sz="0" w:space="0" w:color="auto"/>
              </w:divBdr>
              <w:divsChild>
                <w:div w:id="14586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4162">
          <w:marLeft w:val="240"/>
          <w:marRight w:val="0"/>
          <w:marTop w:val="60"/>
          <w:marBottom w:val="60"/>
          <w:divBdr>
            <w:top w:val="none" w:sz="0" w:space="0" w:color="auto"/>
            <w:left w:val="none" w:sz="0" w:space="0" w:color="auto"/>
            <w:bottom w:val="none" w:sz="0" w:space="0" w:color="auto"/>
            <w:right w:val="none" w:sz="0" w:space="0" w:color="auto"/>
          </w:divBdr>
          <w:divsChild>
            <w:div w:id="354582439">
              <w:marLeft w:val="240"/>
              <w:marRight w:val="0"/>
              <w:marTop w:val="60"/>
              <w:marBottom w:val="60"/>
              <w:divBdr>
                <w:top w:val="none" w:sz="0" w:space="0" w:color="auto"/>
                <w:left w:val="none" w:sz="0" w:space="0" w:color="auto"/>
                <w:bottom w:val="none" w:sz="0" w:space="0" w:color="auto"/>
                <w:right w:val="none" w:sz="0" w:space="0" w:color="auto"/>
              </w:divBdr>
              <w:divsChild>
                <w:div w:id="2010399369">
                  <w:marLeft w:val="0"/>
                  <w:marRight w:val="0"/>
                  <w:marTop w:val="0"/>
                  <w:marBottom w:val="0"/>
                  <w:divBdr>
                    <w:top w:val="none" w:sz="0" w:space="0" w:color="auto"/>
                    <w:left w:val="none" w:sz="0" w:space="0" w:color="auto"/>
                    <w:bottom w:val="none" w:sz="0" w:space="0" w:color="auto"/>
                    <w:right w:val="none" w:sz="0" w:space="0" w:color="auto"/>
                  </w:divBdr>
                </w:div>
              </w:divsChild>
            </w:div>
            <w:div w:id="504437000">
              <w:marLeft w:val="240"/>
              <w:marRight w:val="0"/>
              <w:marTop w:val="60"/>
              <w:marBottom w:val="60"/>
              <w:divBdr>
                <w:top w:val="none" w:sz="0" w:space="0" w:color="auto"/>
                <w:left w:val="none" w:sz="0" w:space="0" w:color="auto"/>
                <w:bottom w:val="none" w:sz="0" w:space="0" w:color="auto"/>
                <w:right w:val="none" w:sz="0" w:space="0" w:color="auto"/>
              </w:divBdr>
              <w:divsChild>
                <w:div w:id="174864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60920">
          <w:marLeft w:val="240"/>
          <w:marRight w:val="0"/>
          <w:marTop w:val="60"/>
          <w:marBottom w:val="60"/>
          <w:divBdr>
            <w:top w:val="none" w:sz="0" w:space="0" w:color="auto"/>
            <w:left w:val="none" w:sz="0" w:space="0" w:color="auto"/>
            <w:bottom w:val="none" w:sz="0" w:space="0" w:color="auto"/>
            <w:right w:val="none" w:sz="0" w:space="0" w:color="auto"/>
          </w:divBdr>
          <w:divsChild>
            <w:div w:id="1514104628">
              <w:marLeft w:val="0"/>
              <w:marRight w:val="0"/>
              <w:marTop w:val="0"/>
              <w:marBottom w:val="0"/>
              <w:divBdr>
                <w:top w:val="none" w:sz="0" w:space="0" w:color="auto"/>
                <w:left w:val="none" w:sz="0" w:space="0" w:color="auto"/>
                <w:bottom w:val="none" w:sz="0" w:space="0" w:color="auto"/>
                <w:right w:val="none" w:sz="0" w:space="0" w:color="auto"/>
              </w:divBdr>
            </w:div>
          </w:divsChild>
        </w:div>
        <w:div w:id="1437289073">
          <w:marLeft w:val="240"/>
          <w:marRight w:val="0"/>
          <w:marTop w:val="60"/>
          <w:marBottom w:val="60"/>
          <w:divBdr>
            <w:top w:val="none" w:sz="0" w:space="0" w:color="auto"/>
            <w:left w:val="none" w:sz="0" w:space="0" w:color="auto"/>
            <w:bottom w:val="none" w:sz="0" w:space="0" w:color="auto"/>
            <w:right w:val="none" w:sz="0" w:space="0" w:color="auto"/>
          </w:divBdr>
          <w:divsChild>
            <w:div w:id="144399562">
              <w:marLeft w:val="240"/>
              <w:marRight w:val="0"/>
              <w:marTop w:val="60"/>
              <w:marBottom w:val="60"/>
              <w:divBdr>
                <w:top w:val="none" w:sz="0" w:space="0" w:color="auto"/>
                <w:left w:val="none" w:sz="0" w:space="0" w:color="auto"/>
                <w:bottom w:val="none" w:sz="0" w:space="0" w:color="auto"/>
                <w:right w:val="none" w:sz="0" w:space="0" w:color="auto"/>
              </w:divBdr>
              <w:divsChild>
                <w:div w:id="688988786">
                  <w:marLeft w:val="240"/>
                  <w:marRight w:val="0"/>
                  <w:marTop w:val="60"/>
                  <w:marBottom w:val="60"/>
                  <w:divBdr>
                    <w:top w:val="none" w:sz="0" w:space="0" w:color="auto"/>
                    <w:left w:val="none" w:sz="0" w:space="0" w:color="auto"/>
                    <w:bottom w:val="none" w:sz="0" w:space="0" w:color="auto"/>
                    <w:right w:val="none" w:sz="0" w:space="0" w:color="auto"/>
                  </w:divBdr>
                  <w:divsChild>
                    <w:div w:id="1919628626">
                      <w:marLeft w:val="0"/>
                      <w:marRight w:val="0"/>
                      <w:marTop w:val="0"/>
                      <w:marBottom w:val="0"/>
                      <w:divBdr>
                        <w:top w:val="none" w:sz="0" w:space="0" w:color="auto"/>
                        <w:left w:val="none" w:sz="0" w:space="0" w:color="auto"/>
                        <w:bottom w:val="none" w:sz="0" w:space="0" w:color="auto"/>
                        <w:right w:val="none" w:sz="0" w:space="0" w:color="auto"/>
                      </w:divBdr>
                    </w:div>
                  </w:divsChild>
                </w:div>
                <w:div w:id="1627932687">
                  <w:marLeft w:val="240"/>
                  <w:marRight w:val="0"/>
                  <w:marTop w:val="60"/>
                  <w:marBottom w:val="60"/>
                  <w:divBdr>
                    <w:top w:val="none" w:sz="0" w:space="0" w:color="auto"/>
                    <w:left w:val="none" w:sz="0" w:space="0" w:color="auto"/>
                    <w:bottom w:val="none" w:sz="0" w:space="0" w:color="auto"/>
                    <w:right w:val="none" w:sz="0" w:space="0" w:color="auto"/>
                  </w:divBdr>
                  <w:divsChild>
                    <w:div w:id="371657370">
                      <w:marLeft w:val="240"/>
                      <w:marRight w:val="0"/>
                      <w:marTop w:val="60"/>
                      <w:marBottom w:val="60"/>
                      <w:divBdr>
                        <w:top w:val="none" w:sz="0" w:space="0" w:color="auto"/>
                        <w:left w:val="none" w:sz="0" w:space="0" w:color="auto"/>
                        <w:bottom w:val="none" w:sz="0" w:space="0" w:color="auto"/>
                        <w:right w:val="none" w:sz="0" w:space="0" w:color="auto"/>
                      </w:divBdr>
                      <w:divsChild>
                        <w:div w:id="137654177">
                          <w:marLeft w:val="0"/>
                          <w:marRight w:val="0"/>
                          <w:marTop w:val="0"/>
                          <w:marBottom w:val="0"/>
                          <w:divBdr>
                            <w:top w:val="none" w:sz="0" w:space="0" w:color="auto"/>
                            <w:left w:val="none" w:sz="0" w:space="0" w:color="auto"/>
                            <w:bottom w:val="none" w:sz="0" w:space="0" w:color="auto"/>
                            <w:right w:val="none" w:sz="0" w:space="0" w:color="auto"/>
                          </w:divBdr>
                        </w:div>
                      </w:divsChild>
                    </w:div>
                    <w:div w:id="1827239526">
                      <w:marLeft w:val="240"/>
                      <w:marRight w:val="0"/>
                      <w:marTop w:val="60"/>
                      <w:marBottom w:val="60"/>
                      <w:divBdr>
                        <w:top w:val="none" w:sz="0" w:space="0" w:color="auto"/>
                        <w:left w:val="none" w:sz="0" w:space="0" w:color="auto"/>
                        <w:bottom w:val="none" w:sz="0" w:space="0" w:color="auto"/>
                        <w:right w:val="none" w:sz="0" w:space="0" w:color="auto"/>
                      </w:divBdr>
                      <w:divsChild>
                        <w:div w:id="13628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4752">
              <w:marLeft w:val="240"/>
              <w:marRight w:val="0"/>
              <w:marTop w:val="60"/>
              <w:marBottom w:val="60"/>
              <w:divBdr>
                <w:top w:val="none" w:sz="0" w:space="0" w:color="auto"/>
                <w:left w:val="none" w:sz="0" w:space="0" w:color="auto"/>
                <w:bottom w:val="none" w:sz="0" w:space="0" w:color="auto"/>
                <w:right w:val="none" w:sz="0" w:space="0" w:color="auto"/>
              </w:divBdr>
              <w:divsChild>
                <w:div w:id="16639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09471">
          <w:marLeft w:val="240"/>
          <w:marRight w:val="0"/>
          <w:marTop w:val="60"/>
          <w:marBottom w:val="60"/>
          <w:divBdr>
            <w:top w:val="none" w:sz="0" w:space="0" w:color="auto"/>
            <w:left w:val="none" w:sz="0" w:space="0" w:color="auto"/>
            <w:bottom w:val="none" w:sz="0" w:space="0" w:color="auto"/>
            <w:right w:val="none" w:sz="0" w:space="0" w:color="auto"/>
          </w:divBdr>
          <w:divsChild>
            <w:div w:id="1577325036">
              <w:marLeft w:val="240"/>
              <w:marRight w:val="0"/>
              <w:marTop w:val="60"/>
              <w:marBottom w:val="60"/>
              <w:divBdr>
                <w:top w:val="none" w:sz="0" w:space="0" w:color="auto"/>
                <w:left w:val="none" w:sz="0" w:space="0" w:color="auto"/>
                <w:bottom w:val="none" w:sz="0" w:space="0" w:color="auto"/>
                <w:right w:val="none" w:sz="0" w:space="0" w:color="auto"/>
              </w:divBdr>
              <w:divsChild>
                <w:div w:id="1839079418">
                  <w:marLeft w:val="0"/>
                  <w:marRight w:val="0"/>
                  <w:marTop w:val="0"/>
                  <w:marBottom w:val="0"/>
                  <w:divBdr>
                    <w:top w:val="none" w:sz="0" w:space="0" w:color="auto"/>
                    <w:left w:val="none" w:sz="0" w:space="0" w:color="auto"/>
                    <w:bottom w:val="none" w:sz="0" w:space="0" w:color="auto"/>
                    <w:right w:val="none" w:sz="0" w:space="0" w:color="auto"/>
                  </w:divBdr>
                </w:div>
              </w:divsChild>
            </w:div>
            <w:div w:id="1222666870">
              <w:marLeft w:val="240"/>
              <w:marRight w:val="0"/>
              <w:marTop w:val="60"/>
              <w:marBottom w:val="60"/>
              <w:divBdr>
                <w:top w:val="none" w:sz="0" w:space="0" w:color="auto"/>
                <w:left w:val="none" w:sz="0" w:space="0" w:color="auto"/>
                <w:bottom w:val="none" w:sz="0" w:space="0" w:color="auto"/>
                <w:right w:val="none" w:sz="0" w:space="0" w:color="auto"/>
              </w:divBdr>
              <w:divsChild>
                <w:div w:id="192810510">
                  <w:marLeft w:val="0"/>
                  <w:marRight w:val="0"/>
                  <w:marTop w:val="0"/>
                  <w:marBottom w:val="0"/>
                  <w:divBdr>
                    <w:top w:val="none" w:sz="0" w:space="0" w:color="auto"/>
                    <w:left w:val="none" w:sz="0" w:space="0" w:color="auto"/>
                    <w:bottom w:val="none" w:sz="0" w:space="0" w:color="auto"/>
                    <w:right w:val="none" w:sz="0" w:space="0" w:color="auto"/>
                  </w:divBdr>
                </w:div>
              </w:divsChild>
            </w:div>
            <w:div w:id="1460801298">
              <w:marLeft w:val="240"/>
              <w:marRight w:val="0"/>
              <w:marTop w:val="60"/>
              <w:marBottom w:val="60"/>
              <w:divBdr>
                <w:top w:val="none" w:sz="0" w:space="0" w:color="auto"/>
                <w:left w:val="none" w:sz="0" w:space="0" w:color="auto"/>
                <w:bottom w:val="none" w:sz="0" w:space="0" w:color="auto"/>
                <w:right w:val="none" w:sz="0" w:space="0" w:color="auto"/>
              </w:divBdr>
              <w:divsChild>
                <w:div w:id="1510413222">
                  <w:marLeft w:val="0"/>
                  <w:marRight w:val="0"/>
                  <w:marTop w:val="0"/>
                  <w:marBottom w:val="0"/>
                  <w:divBdr>
                    <w:top w:val="none" w:sz="0" w:space="0" w:color="auto"/>
                    <w:left w:val="none" w:sz="0" w:space="0" w:color="auto"/>
                    <w:bottom w:val="none" w:sz="0" w:space="0" w:color="auto"/>
                    <w:right w:val="none" w:sz="0" w:space="0" w:color="auto"/>
                  </w:divBdr>
                </w:div>
              </w:divsChild>
            </w:div>
            <w:div w:id="236786200">
              <w:marLeft w:val="240"/>
              <w:marRight w:val="0"/>
              <w:marTop w:val="60"/>
              <w:marBottom w:val="60"/>
              <w:divBdr>
                <w:top w:val="none" w:sz="0" w:space="0" w:color="auto"/>
                <w:left w:val="none" w:sz="0" w:space="0" w:color="auto"/>
                <w:bottom w:val="none" w:sz="0" w:space="0" w:color="auto"/>
                <w:right w:val="none" w:sz="0" w:space="0" w:color="auto"/>
              </w:divBdr>
              <w:divsChild>
                <w:div w:id="1029841262">
                  <w:marLeft w:val="240"/>
                  <w:marRight w:val="0"/>
                  <w:marTop w:val="60"/>
                  <w:marBottom w:val="60"/>
                  <w:divBdr>
                    <w:top w:val="none" w:sz="0" w:space="0" w:color="auto"/>
                    <w:left w:val="none" w:sz="0" w:space="0" w:color="auto"/>
                    <w:bottom w:val="none" w:sz="0" w:space="0" w:color="auto"/>
                    <w:right w:val="none" w:sz="0" w:space="0" w:color="auto"/>
                  </w:divBdr>
                  <w:divsChild>
                    <w:div w:id="1104229938">
                      <w:marLeft w:val="0"/>
                      <w:marRight w:val="0"/>
                      <w:marTop w:val="0"/>
                      <w:marBottom w:val="0"/>
                      <w:divBdr>
                        <w:top w:val="none" w:sz="0" w:space="0" w:color="auto"/>
                        <w:left w:val="none" w:sz="0" w:space="0" w:color="auto"/>
                        <w:bottom w:val="none" w:sz="0" w:space="0" w:color="auto"/>
                        <w:right w:val="none" w:sz="0" w:space="0" w:color="auto"/>
                      </w:divBdr>
                    </w:div>
                  </w:divsChild>
                </w:div>
                <w:div w:id="1740782904">
                  <w:marLeft w:val="240"/>
                  <w:marRight w:val="0"/>
                  <w:marTop w:val="60"/>
                  <w:marBottom w:val="60"/>
                  <w:divBdr>
                    <w:top w:val="none" w:sz="0" w:space="0" w:color="auto"/>
                    <w:left w:val="none" w:sz="0" w:space="0" w:color="auto"/>
                    <w:bottom w:val="none" w:sz="0" w:space="0" w:color="auto"/>
                    <w:right w:val="none" w:sz="0" w:space="0" w:color="auto"/>
                  </w:divBdr>
                  <w:divsChild>
                    <w:div w:id="2133551281">
                      <w:marLeft w:val="0"/>
                      <w:marRight w:val="0"/>
                      <w:marTop w:val="0"/>
                      <w:marBottom w:val="0"/>
                      <w:divBdr>
                        <w:top w:val="none" w:sz="0" w:space="0" w:color="auto"/>
                        <w:left w:val="none" w:sz="0" w:space="0" w:color="auto"/>
                        <w:bottom w:val="none" w:sz="0" w:space="0" w:color="auto"/>
                        <w:right w:val="none" w:sz="0" w:space="0" w:color="auto"/>
                      </w:divBdr>
                    </w:div>
                  </w:divsChild>
                </w:div>
                <w:div w:id="2124688170">
                  <w:marLeft w:val="240"/>
                  <w:marRight w:val="0"/>
                  <w:marTop w:val="60"/>
                  <w:marBottom w:val="60"/>
                  <w:divBdr>
                    <w:top w:val="none" w:sz="0" w:space="0" w:color="auto"/>
                    <w:left w:val="none" w:sz="0" w:space="0" w:color="auto"/>
                    <w:bottom w:val="none" w:sz="0" w:space="0" w:color="auto"/>
                    <w:right w:val="none" w:sz="0" w:space="0" w:color="auto"/>
                  </w:divBdr>
                  <w:divsChild>
                    <w:div w:id="4641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3024">
              <w:marLeft w:val="240"/>
              <w:marRight w:val="0"/>
              <w:marTop w:val="60"/>
              <w:marBottom w:val="60"/>
              <w:divBdr>
                <w:top w:val="none" w:sz="0" w:space="0" w:color="auto"/>
                <w:left w:val="none" w:sz="0" w:space="0" w:color="auto"/>
                <w:bottom w:val="none" w:sz="0" w:space="0" w:color="auto"/>
                <w:right w:val="none" w:sz="0" w:space="0" w:color="auto"/>
              </w:divBdr>
              <w:divsChild>
                <w:div w:id="218250393">
                  <w:marLeft w:val="240"/>
                  <w:marRight w:val="0"/>
                  <w:marTop w:val="60"/>
                  <w:marBottom w:val="60"/>
                  <w:divBdr>
                    <w:top w:val="none" w:sz="0" w:space="0" w:color="auto"/>
                    <w:left w:val="none" w:sz="0" w:space="0" w:color="auto"/>
                    <w:bottom w:val="none" w:sz="0" w:space="0" w:color="auto"/>
                    <w:right w:val="none" w:sz="0" w:space="0" w:color="auto"/>
                  </w:divBdr>
                  <w:divsChild>
                    <w:div w:id="609433781">
                      <w:marLeft w:val="0"/>
                      <w:marRight w:val="0"/>
                      <w:marTop w:val="0"/>
                      <w:marBottom w:val="0"/>
                      <w:divBdr>
                        <w:top w:val="none" w:sz="0" w:space="0" w:color="auto"/>
                        <w:left w:val="none" w:sz="0" w:space="0" w:color="auto"/>
                        <w:bottom w:val="none" w:sz="0" w:space="0" w:color="auto"/>
                        <w:right w:val="none" w:sz="0" w:space="0" w:color="auto"/>
                      </w:divBdr>
                    </w:div>
                  </w:divsChild>
                </w:div>
                <w:div w:id="1717777411">
                  <w:marLeft w:val="240"/>
                  <w:marRight w:val="0"/>
                  <w:marTop w:val="60"/>
                  <w:marBottom w:val="60"/>
                  <w:divBdr>
                    <w:top w:val="none" w:sz="0" w:space="0" w:color="auto"/>
                    <w:left w:val="none" w:sz="0" w:space="0" w:color="auto"/>
                    <w:bottom w:val="none" w:sz="0" w:space="0" w:color="auto"/>
                    <w:right w:val="none" w:sz="0" w:space="0" w:color="auto"/>
                  </w:divBdr>
                  <w:divsChild>
                    <w:div w:id="957300277">
                      <w:marLeft w:val="240"/>
                      <w:marRight w:val="0"/>
                      <w:marTop w:val="60"/>
                      <w:marBottom w:val="60"/>
                      <w:divBdr>
                        <w:top w:val="none" w:sz="0" w:space="0" w:color="auto"/>
                        <w:left w:val="none" w:sz="0" w:space="0" w:color="auto"/>
                        <w:bottom w:val="none" w:sz="0" w:space="0" w:color="auto"/>
                        <w:right w:val="none" w:sz="0" w:space="0" w:color="auto"/>
                      </w:divBdr>
                      <w:divsChild>
                        <w:div w:id="1251428879">
                          <w:marLeft w:val="0"/>
                          <w:marRight w:val="0"/>
                          <w:marTop w:val="0"/>
                          <w:marBottom w:val="0"/>
                          <w:divBdr>
                            <w:top w:val="none" w:sz="0" w:space="0" w:color="auto"/>
                            <w:left w:val="none" w:sz="0" w:space="0" w:color="auto"/>
                            <w:bottom w:val="none" w:sz="0" w:space="0" w:color="auto"/>
                            <w:right w:val="none" w:sz="0" w:space="0" w:color="auto"/>
                          </w:divBdr>
                        </w:div>
                      </w:divsChild>
                    </w:div>
                    <w:div w:id="1540360217">
                      <w:marLeft w:val="240"/>
                      <w:marRight w:val="0"/>
                      <w:marTop w:val="60"/>
                      <w:marBottom w:val="60"/>
                      <w:divBdr>
                        <w:top w:val="none" w:sz="0" w:space="0" w:color="auto"/>
                        <w:left w:val="none" w:sz="0" w:space="0" w:color="auto"/>
                        <w:bottom w:val="none" w:sz="0" w:space="0" w:color="auto"/>
                        <w:right w:val="none" w:sz="0" w:space="0" w:color="auto"/>
                      </w:divBdr>
                      <w:divsChild>
                        <w:div w:id="58289679">
                          <w:marLeft w:val="0"/>
                          <w:marRight w:val="0"/>
                          <w:marTop w:val="0"/>
                          <w:marBottom w:val="0"/>
                          <w:divBdr>
                            <w:top w:val="none" w:sz="0" w:space="0" w:color="auto"/>
                            <w:left w:val="none" w:sz="0" w:space="0" w:color="auto"/>
                            <w:bottom w:val="none" w:sz="0" w:space="0" w:color="auto"/>
                            <w:right w:val="none" w:sz="0" w:space="0" w:color="auto"/>
                          </w:divBdr>
                        </w:div>
                      </w:divsChild>
                    </w:div>
                    <w:div w:id="1019039852">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 w:id="107626429">
              <w:marLeft w:val="240"/>
              <w:marRight w:val="0"/>
              <w:marTop w:val="60"/>
              <w:marBottom w:val="60"/>
              <w:divBdr>
                <w:top w:val="none" w:sz="0" w:space="0" w:color="auto"/>
                <w:left w:val="none" w:sz="0" w:space="0" w:color="auto"/>
                <w:bottom w:val="none" w:sz="0" w:space="0" w:color="auto"/>
                <w:right w:val="none" w:sz="0" w:space="0" w:color="auto"/>
              </w:divBdr>
              <w:divsChild>
                <w:div w:id="1335107937">
                  <w:marLeft w:val="0"/>
                  <w:marRight w:val="0"/>
                  <w:marTop w:val="0"/>
                  <w:marBottom w:val="0"/>
                  <w:divBdr>
                    <w:top w:val="none" w:sz="0" w:space="0" w:color="auto"/>
                    <w:left w:val="none" w:sz="0" w:space="0" w:color="auto"/>
                    <w:bottom w:val="none" w:sz="0" w:space="0" w:color="auto"/>
                    <w:right w:val="none" w:sz="0" w:space="0" w:color="auto"/>
                  </w:divBdr>
                </w:div>
              </w:divsChild>
            </w:div>
            <w:div w:id="1711607925">
              <w:marLeft w:val="240"/>
              <w:marRight w:val="0"/>
              <w:marTop w:val="60"/>
              <w:marBottom w:val="60"/>
              <w:divBdr>
                <w:top w:val="none" w:sz="0" w:space="0" w:color="auto"/>
                <w:left w:val="none" w:sz="0" w:space="0" w:color="auto"/>
                <w:bottom w:val="none" w:sz="0" w:space="0" w:color="auto"/>
                <w:right w:val="none" w:sz="0" w:space="0" w:color="auto"/>
              </w:divBdr>
              <w:divsChild>
                <w:div w:id="1182167472">
                  <w:marLeft w:val="240"/>
                  <w:marRight w:val="0"/>
                  <w:marTop w:val="60"/>
                  <w:marBottom w:val="60"/>
                  <w:divBdr>
                    <w:top w:val="none" w:sz="0" w:space="0" w:color="auto"/>
                    <w:left w:val="none" w:sz="0" w:space="0" w:color="auto"/>
                    <w:bottom w:val="none" w:sz="0" w:space="0" w:color="auto"/>
                    <w:right w:val="none" w:sz="0" w:space="0" w:color="auto"/>
                  </w:divBdr>
                  <w:divsChild>
                    <w:div w:id="1066293633">
                      <w:marLeft w:val="0"/>
                      <w:marRight w:val="0"/>
                      <w:marTop w:val="0"/>
                      <w:marBottom w:val="0"/>
                      <w:divBdr>
                        <w:top w:val="none" w:sz="0" w:space="0" w:color="auto"/>
                        <w:left w:val="none" w:sz="0" w:space="0" w:color="auto"/>
                        <w:bottom w:val="none" w:sz="0" w:space="0" w:color="auto"/>
                        <w:right w:val="none" w:sz="0" w:space="0" w:color="auto"/>
                      </w:divBdr>
                    </w:div>
                  </w:divsChild>
                </w:div>
                <w:div w:id="127473311">
                  <w:marLeft w:val="240"/>
                  <w:marRight w:val="0"/>
                  <w:marTop w:val="60"/>
                  <w:marBottom w:val="60"/>
                  <w:divBdr>
                    <w:top w:val="none" w:sz="0" w:space="0" w:color="auto"/>
                    <w:left w:val="none" w:sz="0" w:space="0" w:color="auto"/>
                    <w:bottom w:val="none" w:sz="0" w:space="0" w:color="auto"/>
                    <w:right w:val="none" w:sz="0" w:space="0" w:color="auto"/>
                  </w:divBdr>
                  <w:divsChild>
                    <w:div w:id="1466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15575">
          <w:marLeft w:val="0"/>
          <w:marRight w:val="0"/>
          <w:marTop w:val="0"/>
          <w:marBottom w:val="0"/>
          <w:divBdr>
            <w:top w:val="none" w:sz="0" w:space="0" w:color="auto"/>
            <w:left w:val="none" w:sz="0" w:space="0" w:color="auto"/>
            <w:bottom w:val="none" w:sz="0" w:space="0" w:color="auto"/>
            <w:right w:val="none" w:sz="0" w:space="0" w:color="auto"/>
          </w:divBdr>
        </w:div>
      </w:divsChild>
    </w:div>
    <w:div w:id="880676430">
      <w:bodyDiv w:val="1"/>
      <w:marLeft w:val="0"/>
      <w:marRight w:val="0"/>
      <w:marTop w:val="0"/>
      <w:marBottom w:val="0"/>
      <w:divBdr>
        <w:top w:val="none" w:sz="0" w:space="0" w:color="auto"/>
        <w:left w:val="none" w:sz="0" w:space="0" w:color="auto"/>
        <w:bottom w:val="none" w:sz="0" w:space="0" w:color="auto"/>
        <w:right w:val="none" w:sz="0" w:space="0" w:color="auto"/>
      </w:divBdr>
    </w:div>
    <w:div w:id="885875705">
      <w:bodyDiv w:val="1"/>
      <w:marLeft w:val="0"/>
      <w:marRight w:val="0"/>
      <w:marTop w:val="0"/>
      <w:marBottom w:val="0"/>
      <w:divBdr>
        <w:top w:val="none" w:sz="0" w:space="0" w:color="auto"/>
        <w:left w:val="none" w:sz="0" w:space="0" w:color="auto"/>
        <w:bottom w:val="none" w:sz="0" w:space="0" w:color="auto"/>
        <w:right w:val="none" w:sz="0" w:space="0" w:color="auto"/>
      </w:divBdr>
    </w:div>
    <w:div w:id="901252780">
      <w:bodyDiv w:val="1"/>
      <w:marLeft w:val="0"/>
      <w:marRight w:val="0"/>
      <w:marTop w:val="0"/>
      <w:marBottom w:val="0"/>
      <w:divBdr>
        <w:top w:val="none" w:sz="0" w:space="0" w:color="auto"/>
        <w:left w:val="none" w:sz="0" w:space="0" w:color="auto"/>
        <w:bottom w:val="none" w:sz="0" w:space="0" w:color="auto"/>
        <w:right w:val="none" w:sz="0" w:space="0" w:color="auto"/>
      </w:divBdr>
      <w:divsChild>
        <w:div w:id="622543723">
          <w:marLeft w:val="240"/>
          <w:marRight w:val="0"/>
          <w:marTop w:val="60"/>
          <w:marBottom w:val="60"/>
          <w:divBdr>
            <w:top w:val="none" w:sz="0" w:space="0" w:color="auto"/>
            <w:left w:val="none" w:sz="0" w:space="0" w:color="auto"/>
            <w:bottom w:val="none" w:sz="0" w:space="0" w:color="auto"/>
            <w:right w:val="none" w:sz="0" w:space="0" w:color="auto"/>
          </w:divBdr>
          <w:divsChild>
            <w:div w:id="1331836635">
              <w:marLeft w:val="240"/>
              <w:marRight w:val="0"/>
              <w:marTop w:val="60"/>
              <w:marBottom w:val="60"/>
              <w:divBdr>
                <w:top w:val="none" w:sz="0" w:space="0" w:color="auto"/>
                <w:left w:val="none" w:sz="0" w:space="0" w:color="auto"/>
                <w:bottom w:val="none" w:sz="0" w:space="0" w:color="auto"/>
                <w:right w:val="none" w:sz="0" w:space="0" w:color="auto"/>
              </w:divBdr>
              <w:divsChild>
                <w:div w:id="1572160637">
                  <w:marLeft w:val="240"/>
                  <w:marRight w:val="0"/>
                  <w:marTop w:val="60"/>
                  <w:marBottom w:val="60"/>
                  <w:divBdr>
                    <w:top w:val="none" w:sz="0" w:space="0" w:color="auto"/>
                    <w:left w:val="none" w:sz="0" w:space="0" w:color="auto"/>
                    <w:bottom w:val="none" w:sz="0" w:space="0" w:color="auto"/>
                    <w:right w:val="none" w:sz="0" w:space="0" w:color="auto"/>
                  </w:divBdr>
                  <w:divsChild>
                    <w:div w:id="1840148360">
                      <w:marLeft w:val="0"/>
                      <w:marRight w:val="0"/>
                      <w:marTop w:val="0"/>
                      <w:marBottom w:val="0"/>
                      <w:divBdr>
                        <w:top w:val="none" w:sz="0" w:space="0" w:color="auto"/>
                        <w:left w:val="none" w:sz="0" w:space="0" w:color="auto"/>
                        <w:bottom w:val="none" w:sz="0" w:space="0" w:color="auto"/>
                        <w:right w:val="none" w:sz="0" w:space="0" w:color="auto"/>
                      </w:divBdr>
                    </w:div>
                  </w:divsChild>
                </w:div>
                <w:div w:id="393040857">
                  <w:marLeft w:val="240"/>
                  <w:marRight w:val="0"/>
                  <w:marTop w:val="60"/>
                  <w:marBottom w:val="60"/>
                  <w:divBdr>
                    <w:top w:val="none" w:sz="0" w:space="0" w:color="auto"/>
                    <w:left w:val="none" w:sz="0" w:space="0" w:color="auto"/>
                    <w:bottom w:val="none" w:sz="0" w:space="0" w:color="auto"/>
                    <w:right w:val="none" w:sz="0" w:space="0" w:color="auto"/>
                  </w:divBdr>
                  <w:divsChild>
                    <w:div w:id="288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19">
              <w:marLeft w:val="240"/>
              <w:marRight w:val="0"/>
              <w:marTop w:val="60"/>
              <w:marBottom w:val="60"/>
              <w:divBdr>
                <w:top w:val="none" w:sz="0" w:space="0" w:color="auto"/>
                <w:left w:val="none" w:sz="0" w:space="0" w:color="auto"/>
                <w:bottom w:val="none" w:sz="0" w:space="0" w:color="auto"/>
                <w:right w:val="none" w:sz="0" w:space="0" w:color="auto"/>
              </w:divBdr>
              <w:divsChild>
                <w:div w:id="12608637">
                  <w:marLeft w:val="240"/>
                  <w:marRight w:val="0"/>
                  <w:marTop w:val="60"/>
                  <w:marBottom w:val="60"/>
                  <w:divBdr>
                    <w:top w:val="none" w:sz="0" w:space="0" w:color="auto"/>
                    <w:left w:val="none" w:sz="0" w:space="0" w:color="auto"/>
                    <w:bottom w:val="none" w:sz="0" w:space="0" w:color="auto"/>
                    <w:right w:val="none" w:sz="0" w:space="0" w:color="auto"/>
                  </w:divBdr>
                  <w:divsChild>
                    <w:div w:id="2018732440">
                      <w:marLeft w:val="0"/>
                      <w:marRight w:val="0"/>
                      <w:marTop w:val="0"/>
                      <w:marBottom w:val="0"/>
                      <w:divBdr>
                        <w:top w:val="none" w:sz="0" w:space="0" w:color="auto"/>
                        <w:left w:val="none" w:sz="0" w:space="0" w:color="auto"/>
                        <w:bottom w:val="none" w:sz="0" w:space="0" w:color="auto"/>
                        <w:right w:val="none" w:sz="0" w:space="0" w:color="auto"/>
                      </w:divBdr>
                    </w:div>
                  </w:divsChild>
                </w:div>
                <w:div w:id="557210609">
                  <w:marLeft w:val="240"/>
                  <w:marRight w:val="0"/>
                  <w:marTop w:val="60"/>
                  <w:marBottom w:val="60"/>
                  <w:divBdr>
                    <w:top w:val="none" w:sz="0" w:space="0" w:color="auto"/>
                    <w:left w:val="none" w:sz="0" w:space="0" w:color="auto"/>
                    <w:bottom w:val="none" w:sz="0" w:space="0" w:color="auto"/>
                    <w:right w:val="none" w:sz="0" w:space="0" w:color="auto"/>
                  </w:divBdr>
                  <w:divsChild>
                    <w:div w:id="11197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28335">
          <w:marLeft w:val="240"/>
          <w:marRight w:val="0"/>
          <w:marTop w:val="60"/>
          <w:marBottom w:val="60"/>
          <w:divBdr>
            <w:top w:val="none" w:sz="0" w:space="0" w:color="auto"/>
            <w:left w:val="none" w:sz="0" w:space="0" w:color="auto"/>
            <w:bottom w:val="none" w:sz="0" w:space="0" w:color="auto"/>
            <w:right w:val="none" w:sz="0" w:space="0" w:color="auto"/>
          </w:divBdr>
          <w:divsChild>
            <w:div w:id="733042636">
              <w:marLeft w:val="240"/>
              <w:marRight w:val="0"/>
              <w:marTop w:val="60"/>
              <w:marBottom w:val="60"/>
              <w:divBdr>
                <w:top w:val="none" w:sz="0" w:space="0" w:color="auto"/>
                <w:left w:val="none" w:sz="0" w:space="0" w:color="auto"/>
                <w:bottom w:val="none" w:sz="0" w:space="0" w:color="auto"/>
                <w:right w:val="none" w:sz="0" w:space="0" w:color="auto"/>
              </w:divBdr>
              <w:divsChild>
                <w:div w:id="1963534166">
                  <w:marLeft w:val="0"/>
                  <w:marRight w:val="0"/>
                  <w:marTop w:val="0"/>
                  <w:marBottom w:val="0"/>
                  <w:divBdr>
                    <w:top w:val="none" w:sz="0" w:space="0" w:color="auto"/>
                    <w:left w:val="none" w:sz="0" w:space="0" w:color="auto"/>
                    <w:bottom w:val="none" w:sz="0" w:space="0" w:color="auto"/>
                    <w:right w:val="none" w:sz="0" w:space="0" w:color="auto"/>
                  </w:divBdr>
                </w:div>
              </w:divsChild>
            </w:div>
            <w:div w:id="1085810080">
              <w:marLeft w:val="240"/>
              <w:marRight w:val="0"/>
              <w:marTop w:val="60"/>
              <w:marBottom w:val="60"/>
              <w:divBdr>
                <w:top w:val="none" w:sz="0" w:space="0" w:color="auto"/>
                <w:left w:val="none" w:sz="0" w:space="0" w:color="auto"/>
                <w:bottom w:val="none" w:sz="0" w:space="0" w:color="auto"/>
                <w:right w:val="none" w:sz="0" w:space="0" w:color="auto"/>
              </w:divBdr>
              <w:divsChild>
                <w:div w:id="1915699523">
                  <w:marLeft w:val="240"/>
                  <w:marRight w:val="0"/>
                  <w:marTop w:val="60"/>
                  <w:marBottom w:val="60"/>
                  <w:divBdr>
                    <w:top w:val="none" w:sz="0" w:space="0" w:color="auto"/>
                    <w:left w:val="none" w:sz="0" w:space="0" w:color="auto"/>
                    <w:bottom w:val="none" w:sz="0" w:space="0" w:color="auto"/>
                    <w:right w:val="none" w:sz="0" w:space="0" w:color="auto"/>
                  </w:divBdr>
                  <w:divsChild>
                    <w:div w:id="78139703">
                      <w:marLeft w:val="240"/>
                      <w:marRight w:val="0"/>
                      <w:marTop w:val="60"/>
                      <w:marBottom w:val="60"/>
                      <w:divBdr>
                        <w:top w:val="none" w:sz="0" w:space="0" w:color="auto"/>
                        <w:left w:val="none" w:sz="0" w:space="0" w:color="auto"/>
                        <w:bottom w:val="none" w:sz="0" w:space="0" w:color="auto"/>
                        <w:right w:val="none" w:sz="0" w:space="0" w:color="auto"/>
                      </w:divBdr>
                      <w:divsChild>
                        <w:div w:id="1240825027">
                          <w:marLeft w:val="0"/>
                          <w:marRight w:val="0"/>
                          <w:marTop w:val="0"/>
                          <w:marBottom w:val="0"/>
                          <w:divBdr>
                            <w:top w:val="none" w:sz="0" w:space="0" w:color="auto"/>
                            <w:left w:val="none" w:sz="0" w:space="0" w:color="auto"/>
                            <w:bottom w:val="none" w:sz="0" w:space="0" w:color="auto"/>
                            <w:right w:val="none" w:sz="0" w:space="0" w:color="auto"/>
                          </w:divBdr>
                        </w:div>
                      </w:divsChild>
                    </w:div>
                    <w:div w:id="914360691">
                      <w:marLeft w:val="240"/>
                      <w:marRight w:val="0"/>
                      <w:marTop w:val="60"/>
                      <w:marBottom w:val="60"/>
                      <w:divBdr>
                        <w:top w:val="none" w:sz="0" w:space="0" w:color="auto"/>
                        <w:left w:val="none" w:sz="0" w:space="0" w:color="auto"/>
                        <w:bottom w:val="none" w:sz="0" w:space="0" w:color="auto"/>
                        <w:right w:val="none" w:sz="0" w:space="0" w:color="auto"/>
                      </w:divBdr>
                      <w:divsChild>
                        <w:div w:id="1396516067">
                          <w:marLeft w:val="0"/>
                          <w:marRight w:val="0"/>
                          <w:marTop w:val="0"/>
                          <w:marBottom w:val="0"/>
                          <w:divBdr>
                            <w:top w:val="none" w:sz="0" w:space="0" w:color="auto"/>
                            <w:left w:val="none" w:sz="0" w:space="0" w:color="auto"/>
                            <w:bottom w:val="none" w:sz="0" w:space="0" w:color="auto"/>
                            <w:right w:val="none" w:sz="0" w:space="0" w:color="auto"/>
                          </w:divBdr>
                        </w:div>
                      </w:divsChild>
                    </w:div>
                    <w:div w:id="697200210">
                      <w:marLeft w:val="240"/>
                      <w:marRight w:val="0"/>
                      <w:marTop w:val="60"/>
                      <w:marBottom w:val="60"/>
                      <w:divBdr>
                        <w:top w:val="none" w:sz="0" w:space="0" w:color="auto"/>
                        <w:left w:val="none" w:sz="0" w:space="0" w:color="auto"/>
                        <w:bottom w:val="none" w:sz="0" w:space="0" w:color="auto"/>
                        <w:right w:val="none" w:sz="0" w:space="0" w:color="auto"/>
                      </w:divBdr>
                      <w:divsChild>
                        <w:div w:id="5005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23342">
                  <w:marLeft w:val="240"/>
                  <w:marRight w:val="0"/>
                  <w:marTop w:val="60"/>
                  <w:marBottom w:val="60"/>
                  <w:divBdr>
                    <w:top w:val="none" w:sz="0" w:space="0" w:color="auto"/>
                    <w:left w:val="none" w:sz="0" w:space="0" w:color="auto"/>
                    <w:bottom w:val="none" w:sz="0" w:space="0" w:color="auto"/>
                    <w:right w:val="none" w:sz="0" w:space="0" w:color="auto"/>
                  </w:divBdr>
                  <w:divsChild>
                    <w:div w:id="9395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91425">
          <w:marLeft w:val="240"/>
          <w:marRight w:val="0"/>
          <w:marTop w:val="60"/>
          <w:marBottom w:val="60"/>
          <w:divBdr>
            <w:top w:val="none" w:sz="0" w:space="0" w:color="auto"/>
            <w:left w:val="none" w:sz="0" w:space="0" w:color="auto"/>
            <w:bottom w:val="none" w:sz="0" w:space="0" w:color="auto"/>
            <w:right w:val="none" w:sz="0" w:space="0" w:color="auto"/>
          </w:divBdr>
          <w:divsChild>
            <w:div w:id="1723170514">
              <w:marLeft w:val="240"/>
              <w:marRight w:val="0"/>
              <w:marTop w:val="60"/>
              <w:marBottom w:val="60"/>
              <w:divBdr>
                <w:top w:val="none" w:sz="0" w:space="0" w:color="auto"/>
                <w:left w:val="none" w:sz="0" w:space="0" w:color="auto"/>
                <w:bottom w:val="none" w:sz="0" w:space="0" w:color="auto"/>
                <w:right w:val="none" w:sz="0" w:space="0" w:color="auto"/>
              </w:divBdr>
              <w:divsChild>
                <w:div w:id="1381172530">
                  <w:marLeft w:val="240"/>
                  <w:marRight w:val="0"/>
                  <w:marTop w:val="60"/>
                  <w:marBottom w:val="60"/>
                  <w:divBdr>
                    <w:top w:val="none" w:sz="0" w:space="0" w:color="auto"/>
                    <w:left w:val="none" w:sz="0" w:space="0" w:color="auto"/>
                    <w:bottom w:val="none" w:sz="0" w:space="0" w:color="auto"/>
                    <w:right w:val="none" w:sz="0" w:space="0" w:color="auto"/>
                  </w:divBdr>
                  <w:divsChild>
                    <w:div w:id="1452825188">
                      <w:marLeft w:val="0"/>
                      <w:marRight w:val="0"/>
                      <w:marTop w:val="0"/>
                      <w:marBottom w:val="0"/>
                      <w:divBdr>
                        <w:top w:val="none" w:sz="0" w:space="0" w:color="auto"/>
                        <w:left w:val="none" w:sz="0" w:space="0" w:color="auto"/>
                        <w:bottom w:val="none" w:sz="0" w:space="0" w:color="auto"/>
                        <w:right w:val="none" w:sz="0" w:space="0" w:color="auto"/>
                      </w:divBdr>
                    </w:div>
                  </w:divsChild>
                </w:div>
                <w:div w:id="146240087">
                  <w:marLeft w:val="240"/>
                  <w:marRight w:val="0"/>
                  <w:marTop w:val="60"/>
                  <w:marBottom w:val="60"/>
                  <w:divBdr>
                    <w:top w:val="none" w:sz="0" w:space="0" w:color="auto"/>
                    <w:left w:val="none" w:sz="0" w:space="0" w:color="auto"/>
                    <w:bottom w:val="none" w:sz="0" w:space="0" w:color="auto"/>
                    <w:right w:val="none" w:sz="0" w:space="0" w:color="auto"/>
                  </w:divBdr>
                  <w:divsChild>
                    <w:div w:id="1250624699">
                      <w:marLeft w:val="0"/>
                      <w:marRight w:val="0"/>
                      <w:marTop w:val="0"/>
                      <w:marBottom w:val="0"/>
                      <w:divBdr>
                        <w:top w:val="none" w:sz="0" w:space="0" w:color="auto"/>
                        <w:left w:val="none" w:sz="0" w:space="0" w:color="auto"/>
                        <w:bottom w:val="none" w:sz="0" w:space="0" w:color="auto"/>
                        <w:right w:val="none" w:sz="0" w:space="0" w:color="auto"/>
                      </w:divBdr>
                    </w:div>
                  </w:divsChild>
                </w:div>
                <w:div w:id="783497302">
                  <w:marLeft w:val="240"/>
                  <w:marRight w:val="0"/>
                  <w:marTop w:val="60"/>
                  <w:marBottom w:val="60"/>
                  <w:divBdr>
                    <w:top w:val="none" w:sz="0" w:space="0" w:color="auto"/>
                    <w:left w:val="none" w:sz="0" w:space="0" w:color="auto"/>
                    <w:bottom w:val="none" w:sz="0" w:space="0" w:color="auto"/>
                    <w:right w:val="none" w:sz="0" w:space="0" w:color="auto"/>
                  </w:divBdr>
                  <w:divsChild>
                    <w:div w:id="1039744710">
                      <w:marLeft w:val="240"/>
                      <w:marRight w:val="0"/>
                      <w:marTop w:val="60"/>
                      <w:marBottom w:val="60"/>
                      <w:divBdr>
                        <w:top w:val="none" w:sz="0" w:space="0" w:color="auto"/>
                        <w:left w:val="none" w:sz="0" w:space="0" w:color="auto"/>
                        <w:bottom w:val="none" w:sz="0" w:space="0" w:color="auto"/>
                        <w:right w:val="none" w:sz="0" w:space="0" w:color="auto"/>
                      </w:divBdr>
                      <w:divsChild>
                        <w:div w:id="624121417">
                          <w:marLeft w:val="0"/>
                          <w:marRight w:val="0"/>
                          <w:marTop w:val="0"/>
                          <w:marBottom w:val="0"/>
                          <w:divBdr>
                            <w:top w:val="none" w:sz="0" w:space="0" w:color="auto"/>
                            <w:left w:val="none" w:sz="0" w:space="0" w:color="auto"/>
                            <w:bottom w:val="none" w:sz="0" w:space="0" w:color="auto"/>
                            <w:right w:val="none" w:sz="0" w:space="0" w:color="auto"/>
                          </w:divBdr>
                        </w:div>
                      </w:divsChild>
                    </w:div>
                    <w:div w:id="1808425675">
                      <w:marLeft w:val="240"/>
                      <w:marRight w:val="0"/>
                      <w:marTop w:val="60"/>
                      <w:marBottom w:val="60"/>
                      <w:divBdr>
                        <w:top w:val="none" w:sz="0" w:space="0" w:color="auto"/>
                        <w:left w:val="none" w:sz="0" w:space="0" w:color="auto"/>
                        <w:bottom w:val="none" w:sz="0" w:space="0" w:color="auto"/>
                        <w:right w:val="none" w:sz="0" w:space="0" w:color="auto"/>
                      </w:divBdr>
                      <w:divsChild>
                        <w:div w:id="11733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2958">
                  <w:marLeft w:val="240"/>
                  <w:marRight w:val="0"/>
                  <w:marTop w:val="60"/>
                  <w:marBottom w:val="60"/>
                  <w:divBdr>
                    <w:top w:val="none" w:sz="0" w:space="0" w:color="auto"/>
                    <w:left w:val="none" w:sz="0" w:space="0" w:color="auto"/>
                    <w:bottom w:val="none" w:sz="0" w:space="0" w:color="auto"/>
                    <w:right w:val="none" w:sz="0" w:space="0" w:color="auto"/>
                  </w:divBdr>
                  <w:divsChild>
                    <w:div w:id="12123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60853">
              <w:marLeft w:val="240"/>
              <w:marRight w:val="0"/>
              <w:marTop w:val="60"/>
              <w:marBottom w:val="60"/>
              <w:divBdr>
                <w:top w:val="none" w:sz="0" w:space="0" w:color="auto"/>
                <w:left w:val="none" w:sz="0" w:space="0" w:color="auto"/>
                <w:bottom w:val="none" w:sz="0" w:space="0" w:color="auto"/>
                <w:right w:val="none" w:sz="0" w:space="0" w:color="auto"/>
              </w:divBdr>
              <w:divsChild>
                <w:div w:id="885138990">
                  <w:marLeft w:val="240"/>
                  <w:marRight w:val="0"/>
                  <w:marTop w:val="60"/>
                  <w:marBottom w:val="60"/>
                  <w:divBdr>
                    <w:top w:val="none" w:sz="0" w:space="0" w:color="auto"/>
                    <w:left w:val="none" w:sz="0" w:space="0" w:color="auto"/>
                    <w:bottom w:val="none" w:sz="0" w:space="0" w:color="auto"/>
                    <w:right w:val="none" w:sz="0" w:space="0" w:color="auto"/>
                  </w:divBdr>
                  <w:divsChild>
                    <w:div w:id="359937342">
                      <w:marLeft w:val="240"/>
                      <w:marRight w:val="0"/>
                      <w:marTop w:val="60"/>
                      <w:marBottom w:val="60"/>
                      <w:divBdr>
                        <w:top w:val="none" w:sz="0" w:space="0" w:color="auto"/>
                        <w:left w:val="none" w:sz="0" w:space="0" w:color="auto"/>
                        <w:bottom w:val="none" w:sz="0" w:space="0" w:color="auto"/>
                        <w:right w:val="none" w:sz="0" w:space="0" w:color="auto"/>
                      </w:divBdr>
                      <w:divsChild>
                        <w:div w:id="1956977993">
                          <w:marLeft w:val="0"/>
                          <w:marRight w:val="0"/>
                          <w:marTop w:val="0"/>
                          <w:marBottom w:val="0"/>
                          <w:divBdr>
                            <w:top w:val="none" w:sz="0" w:space="0" w:color="auto"/>
                            <w:left w:val="none" w:sz="0" w:space="0" w:color="auto"/>
                            <w:bottom w:val="none" w:sz="0" w:space="0" w:color="auto"/>
                            <w:right w:val="none" w:sz="0" w:space="0" w:color="auto"/>
                          </w:divBdr>
                        </w:div>
                      </w:divsChild>
                    </w:div>
                    <w:div w:id="446125444">
                      <w:marLeft w:val="240"/>
                      <w:marRight w:val="0"/>
                      <w:marTop w:val="60"/>
                      <w:marBottom w:val="60"/>
                      <w:divBdr>
                        <w:top w:val="none" w:sz="0" w:space="0" w:color="auto"/>
                        <w:left w:val="none" w:sz="0" w:space="0" w:color="auto"/>
                        <w:bottom w:val="none" w:sz="0" w:space="0" w:color="auto"/>
                        <w:right w:val="none" w:sz="0" w:space="0" w:color="auto"/>
                      </w:divBdr>
                      <w:divsChild>
                        <w:div w:id="808590011">
                          <w:marLeft w:val="0"/>
                          <w:marRight w:val="0"/>
                          <w:marTop w:val="0"/>
                          <w:marBottom w:val="0"/>
                          <w:divBdr>
                            <w:top w:val="none" w:sz="0" w:space="0" w:color="auto"/>
                            <w:left w:val="none" w:sz="0" w:space="0" w:color="auto"/>
                            <w:bottom w:val="none" w:sz="0" w:space="0" w:color="auto"/>
                            <w:right w:val="none" w:sz="0" w:space="0" w:color="auto"/>
                          </w:divBdr>
                        </w:div>
                      </w:divsChild>
                    </w:div>
                    <w:div w:id="967469399">
                      <w:marLeft w:val="240"/>
                      <w:marRight w:val="0"/>
                      <w:marTop w:val="60"/>
                      <w:marBottom w:val="60"/>
                      <w:divBdr>
                        <w:top w:val="none" w:sz="0" w:space="0" w:color="auto"/>
                        <w:left w:val="none" w:sz="0" w:space="0" w:color="auto"/>
                        <w:bottom w:val="none" w:sz="0" w:space="0" w:color="auto"/>
                        <w:right w:val="none" w:sz="0" w:space="0" w:color="auto"/>
                      </w:divBdr>
                      <w:divsChild>
                        <w:div w:id="1269048813">
                          <w:marLeft w:val="240"/>
                          <w:marRight w:val="0"/>
                          <w:marTop w:val="60"/>
                          <w:marBottom w:val="60"/>
                          <w:divBdr>
                            <w:top w:val="none" w:sz="0" w:space="0" w:color="auto"/>
                            <w:left w:val="none" w:sz="0" w:space="0" w:color="auto"/>
                            <w:bottom w:val="none" w:sz="0" w:space="0" w:color="auto"/>
                            <w:right w:val="none" w:sz="0" w:space="0" w:color="auto"/>
                          </w:divBdr>
                          <w:divsChild>
                            <w:div w:id="1506357807">
                              <w:marLeft w:val="0"/>
                              <w:marRight w:val="0"/>
                              <w:marTop w:val="0"/>
                              <w:marBottom w:val="0"/>
                              <w:divBdr>
                                <w:top w:val="none" w:sz="0" w:space="0" w:color="auto"/>
                                <w:left w:val="none" w:sz="0" w:space="0" w:color="auto"/>
                                <w:bottom w:val="none" w:sz="0" w:space="0" w:color="auto"/>
                                <w:right w:val="none" w:sz="0" w:space="0" w:color="auto"/>
                              </w:divBdr>
                            </w:div>
                          </w:divsChild>
                        </w:div>
                        <w:div w:id="388499870">
                          <w:marLeft w:val="240"/>
                          <w:marRight w:val="0"/>
                          <w:marTop w:val="60"/>
                          <w:marBottom w:val="60"/>
                          <w:divBdr>
                            <w:top w:val="none" w:sz="0" w:space="0" w:color="auto"/>
                            <w:left w:val="none" w:sz="0" w:space="0" w:color="auto"/>
                            <w:bottom w:val="none" w:sz="0" w:space="0" w:color="auto"/>
                            <w:right w:val="none" w:sz="0" w:space="0" w:color="auto"/>
                          </w:divBdr>
                          <w:divsChild>
                            <w:div w:id="446388608">
                              <w:marLeft w:val="0"/>
                              <w:marRight w:val="0"/>
                              <w:marTop w:val="0"/>
                              <w:marBottom w:val="0"/>
                              <w:divBdr>
                                <w:top w:val="none" w:sz="0" w:space="0" w:color="auto"/>
                                <w:left w:val="none" w:sz="0" w:space="0" w:color="auto"/>
                                <w:bottom w:val="none" w:sz="0" w:space="0" w:color="auto"/>
                                <w:right w:val="none" w:sz="0" w:space="0" w:color="auto"/>
                              </w:divBdr>
                            </w:div>
                          </w:divsChild>
                        </w:div>
                        <w:div w:id="680470935">
                          <w:marLeft w:val="240"/>
                          <w:marRight w:val="0"/>
                          <w:marTop w:val="60"/>
                          <w:marBottom w:val="60"/>
                          <w:divBdr>
                            <w:top w:val="none" w:sz="0" w:space="0" w:color="auto"/>
                            <w:left w:val="none" w:sz="0" w:space="0" w:color="auto"/>
                            <w:bottom w:val="none" w:sz="0" w:space="0" w:color="auto"/>
                            <w:right w:val="none" w:sz="0" w:space="0" w:color="auto"/>
                          </w:divBdr>
                          <w:divsChild>
                            <w:div w:id="1874729590">
                              <w:marLeft w:val="0"/>
                              <w:marRight w:val="0"/>
                              <w:marTop w:val="0"/>
                              <w:marBottom w:val="0"/>
                              <w:divBdr>
                                <w:top w:val="none" w:sz="0" w:space="0" w:color="auto"/>
                                <w:left w:val="none" w:sz="0" w:space="0" w:color="auto"/>
                                <w:bottom w:val="none" w:sz="0" w:space="0" w:color="auto"/>
                                <w:right w:val="none" w:sz="0" w:space="0" w:color="auto"/>
                              </w:divBdr>
                            </w:div>
                          </w:divsChild>
                        </w:div>
                        <w:div w:id="1511985452">
                          <w:marLeft w:val="240"/>
                          <w:marRight w:val="0"/>
                          <w:marTop w:val="60"/>
                          <w:marBottom w:val="60"/>
                          <w:divBdr>
                            <w:top w:val="none" w:sz="0" w:space="0" w:color="auto"/>
                            <w:left w:val="none" w:sz="0" w:space="0" w:color="auto"/>
                            <w:bottom w:val="none" w:sz="0" w:space="0" w:color="auto"/>
                            <w:right w:val="none" w:sz="0" w:space="0" w:color="auto"/>
                          </w:divBdr>
                          <w:divsChild>
                            <w:div w:id="577399774">
                              <w:marLeft w:val="0"/>
                              <w:marRight w:val="0"/>
                              <w:marTop w:val="0"/>
                              <w:marBottom w:val="0"/>
                              <w:divBdr>
                                <w:top w:val="none" w:sz="0" w:space="0" w:color="auto"/>
                                <w:left w:val="none" w:sz="0" w:space="0" w:color="auto"/>
                                <w:bottom w:val="none" w:sz="0" w:space="0" w:color="auto"/>
                                <w:right w:val="none" w:sz="0" w:space="0" w:color="auto"/>
                              </w:divBdr>
                            </w:div>
                          </w:divsChild>
                        </w:div>
                        <w:div w:id="1476795381">
                          <w:marLeft w:val="240"/>
                          <w:marRight w:val="0"/>
                          <w:marTop w:val="60"/>
                          <w:marBottom w:val="60"/>
                          <w:divBdr>
                            <w:top w:val="none" w:sz="0" w:space="0" w:color="auto"/>
                            <w:left w:val="none" w:sz="0" w:space="0" w:color="auto"/>
                            <w:bottom w:val="none" w:sz="0" w:space="0" w:color="auto"/>
                            <w:right w:val="none" w:sz="0" w:space="0" w:color="auto"/>
                          </w:divBdr>
                          <w:divsChild>
                            <w:div w:id="1442337863">
                              <w:marLeft w:val="0"/>
                              <w:marRight w:val="0"/>
                              <w:marTop w:val="0"/>
                              <w:marBottom w:val="0"/>
                              <w:divBdr>
                                <w:top w:val="none" w:sz="0" w:space="0" w:color="auto"/>
                                <w:left w:val="none" w:sz="0" w:space="0" w:color="auto"/>
                                <w:bottom w:val="none" w:sz="0" w:space="0" w:color="auto"/>
                                <w:right w:val="none" w:sz="0" w:space="0" w:color="auto"/>
                              </w:divBdr>
                            </w:div>
                          </w:divsChild>
                        </w:div>
                        <w:div w:id="680354591">
                          <w:marLeft w:val="240"/>
                          <w:marRight w:val="0"/>
                          <w:marTop w:val="60"/>
                          <w:marBottom w:val="60"/>
                          <w:divBdr>
                            <w:top w:val="none" w:sz="0" w:space="0" w:color="auto"/>
                            <w:left w:val="none" w:sz="0" w:space="0" w:color="auto"/>
                            <w:bottom w:val="none" w:sz="0" w:space="0" w:color="auto"/>
                            <w:right w:val="none" w:sz="0" w:space="0" w:color="auto"/>
                          </w:divBdr>
                          <w:divsChild>
                            <w:div w:id="2835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65743">
                      <w:marLeft w:val="240"/>
                      <w:marRight w:val="0"/>
                      <w:marTop w:val="60"/>
                      <w:marBottom w:val="60"/>
                      <w:divBdr>
                        <w:top w:val="none" w:sz="0" w:space="0" w:color="auto"/>
                        <w:left w:val="none" w:sz="0" w:space="0" w:color="auto"/>
                        <w:bottom w:val="none" w:sz="0" w:space="0" w:color="auto"/>
                        <w:right w:val="none" w:sz="0" w:space="0" w:color="auto"/>
                      </w:divBdr>
                      <w:divsChild>
                        <w:div w:id="1409498814">
                          <w:marLeft w:val="0"/>
                          <w:marRight w:val="0"/>
                          <w:marTop w:val="0"/>
                          <w:marBottom w:val="0"/>
                          <w:divBdr>
                            <w:top w:val="none" w:sz="0" w:space="0" w:color="auto"/>
                            <w:left w:val="none" w:sz="0" w:space="0" w:color="auto"/>
                            <w:bottom w:val="none" w:sz="0" w:space="0" w:color="auto"/>
                            <w:right w:val="none" w:sz="0" w:space="0" w:color="auto"/>
                          </w:divBdr>
                        </w:div>
                      </w:divsChild>
                    </w:div>
                    <w:div w:id="2077775658">
                      <w:marLeft w:val="240"/>
                      <w:marRight w:val="0"/>
                      <w:marTop w:val="60"/>
                      <w:marBottom w:val="60"/>
                      <w:divBdr>
                        <w:top w:val="none" w:sz="0" w:space="0" w:color="auto"/>
                        <w:left w:val="none" w:sz="0" w:space="0" w:color="auto"/>
                        <w:bottom w:val="none" w:sz="0" w:space="0" w:color="auto"/>
                        <w:right w:val="none" w:sz="0" w:space="0" w:color="auto"/>
                      </w:divBdr>
                      <w:divsChild>
                        <w:div w:id="869419173">
                          <w:marLeft w:val="0"/>
                          <w:marRight w:val="0"/>
                          <w:marTop w:val="0"/>
                          <w:marBottom w:val="0"/>
                          <w:divBdr>
                            <w:top w:val="none" w:sz="0" w:space="0" w:color="auto"/>
                            <w:left w:val="none" w:sz="0" w:space="0" w:color="auto"/>
                            <w:bottom w:val="none" w:sz="0" w:space="0" w:color="auto"/>
                            <w:right w:val="none" w:sz="0" w:space="0" w:color="auto"/>
                          </w:divBdr>
                        </w:div>
                      </w:divsChild>
                    </w:div>
                    <w:div w:id="160631160">
                      <w:marLeft w:val="240"/>
                      <w:marRight w:val="0"/>
                      <w:marTop w:val="60"/>
                      <w:marBottom w:val="60"/>
                      <w:divBdr>
                        <w:top w:val="none" w:sz="0" w:space="0" w:color="auto"/>
                        <w:left w:val="none" w:sz="0" w:space="0" w:color="auto"/>
                        <w:bottom w:val="none" w:sz="0" w:space="0" w:color="auto"/>
                        <w:right w:val="none" w:sz="0" w:space="0" w:color="auto"/>
                      </w:divBdr>
                      <w:divsChild>
                        <w:div w:id="74670667">
                          <w:marLeft w:val="0"/>
                          <w:marRight w:val="0"/>
                          <w:marTop w:val="0"/>
                          <w:marBottom w:val="0"/>
                          <w:divBdr>
                            <w:top w:val="none" w:sz="0" w:space="0" w:color="auto"/>
                            <w:left w:val="none" w:sz="0" w:space="0" w:color="auto"/>
                            <w:bottom w:val="none" w:sz="0" w:space="0" w:color="auto"/>
                            <w:right w:val="none" w:sz="0" w:space="0" w:color="auto"/>
                          </w:divBdr>
                        </w:div>
                      </w:divsChild>
                    </w:div>
                    <w:div w:id="1648974921">
                      <w:marLeft w:val="240"/>
                      <w:marRight w:val="0"/>
                      <w:marTop w:val="60"/>
                      <w:marBottom w:val="60"/>
                      <w:divBdr>
                        <w:top w:val="none" w:sz="0" w:space="0" w:color="auto"/>
                        <w:left w:val="none" w:sz="0" w:space="0" w:color="auto"/>
                        <w:bottom w:val="none" w:sz="0" w:space="0" w:color="auto"/>
                        <w:right w:val="none" w:sz="0" w:space="0" w:color="auto"/>
                      </w:divBdr>
                      <w:divsChild>
                        <w:div w:id="1136217022">
                          <w:marLeft w:val="0"/>
                          <w:marRight w:val="0"/>
                          <w:marTop w:val="0"/>
                          <w:marBottom w:val="0"/>
                          <w:divBdr>
                            <w:top w:val="none" w:sz="0" w:space="0" w:color="auto"/>
                            <w:left w:val="none" w:sz="0" w:space="0" w:color="auto"/>
                            <w:bottom w:val="none" w:sz="0" w:space="0" w:color="auto"/>
                            <w:right w:val="none" w:sz="0" w:space="0" w:color="auto"/>
                          </w:divBdr>
                        </w:div>
                      </w:divsChild>
                    </w:div>
                    <w:div w:id="2086754008">
                      <w:marLeft w:val="506"/>
                      <w:marRight w:val="0"/>
                      <w:marTop w:val="0"/>
                      <w:marBottom w:val="0"/>
                      <w:divBdr>
                        <w:top w:val="none" w:sz="0" w:space="0" w:color="auto"/>
                        <w:left w:val="none" w:sz="0" w:space="0" w:color="auto"/>
                        <w:bottom w:val="none" w:sz="0" w:space="0" w:color="auto"/>
                        <w:right w:val="none" w:sz="0" w:space="0" w:color="auto"/>
                      </w:divBdr>
                    </w:div>
                  </w:divsChild>
                </w:div>
                <w:div w:id="1043360071">
                  <w:marLeft w:val="240"/>
                  <w:marRight w:val="0"/>
                  <w:marTop w:val="60"/>
                  <w:marBottom w:val="60"/>
                  <w:divBdr>
                    <w:top w:val="none" w:sz="0" w:space="0" w:color="auto"/>
                    <w:left w:val="none" w:sz="0" w:space="0" w:color="auto"/>
                    <w:bottom w:val="none" w:sz="0" w:space="0" w:color="auto"/>
                    <w:right w:val="none" w:sz="0" w:space="0" w:color="auto"/>
                  </w:divBdr>
                  <w:divsChild>
                    <w:div w:id="283925047">
                      <w:marLeft w:val="240"/>
                      <w:marRight w:val="0"/>
                      <w:marTop w:val="60"/>
                      <w:marBottom w:val="60"/>
                      <w:divBdr>
                        <w:top w:val="none" w:sz="0" w:space="0" w:color="auto"/>
                        <w:left w:val="none" w:sz="0" w:space="0" w:color="auto"/>
                        <w:bottom w:val="none" w:sz="0" w:space="0" w:color="auto"/>
                        <w:right w:val="none" w:sz="0" w:space="0" w:color="auto"/>
                      </w:divBdr>
                      <w:divsChild>
                        <w:div w:id="958611898">
                          <w:marLeft w:val="0"/>
                          <w:marRight w:val="0"/>
                          <w:marTop w:val="0"/>
                          <w:marBottom w:val="0"/>
                          <w:divBdr>
                            <w:top w:val="none" w:sz="0" w:space="0" w:color="auto"/>
                            <w:left w:val="none" w:sz="0" w:space="0" w:color="auto"/>
                            <w:bottom w:val="none" w:sz="0" w:space="0" w:color="auto"/>
                            <w:right w:val="none" w:sz="0" w:space="0" w:color="auto"/>
                          </w:divBdr>
                        </w:div>
                      </w:divsChild>
                    </w:div>
                    <w:div w:id="295722232">
                      <w:marLeft w:val="240"/>
                      <w:marRight w:val="0"/>
                      <w:marTop w:val="60"/>
                      <w:marBottom w:val="60"/>
                      <w:divBdr>
                        <w:top w:val="none" w:sz="0" w:space="0" w:color="auto"/>
                        <w:left w:val="none" w:sz="0" w:space="0" w:color="auto"/>
                        <w:bottom w:val="none" w:sz="0" w:space="0" w:color="auto"/>
                        <w:right w:val="none" w:sz="0" w:space="0" w:color="auto"/>
                      </w:divBdr>
                      <w:divsChild>
                        <w:div w:id="537082787">
                          <w:marLeft w:val="240"/>
                          <w:marRight w:val="0"/>
                          <w:marTop w:val="60"/>
                          <w:marBottom w:val="60"/>
                          <w:divBdr>
                            <w:top w:val="none" w:sz="0" w:space="0" w:color="auto"/>
                            <w:left w:val="none" w:sz="0" w:space="0" w:color="auto"/>
                            <w:bottom w:val="none" w:sz="0" w:space="0" w:color="auto"/>
                            <w:right w:val="none" w:sz="0" w:space="0" w:color="auto"/>
                          </w:divBdr>
                          <w:divsChild>
                            <w:div w:id="127557733">
                              <w:marLeft w:val="0"/>
                              <w:marRight w:val="0"/>
                              <w:marTop w:val="0"/>
                              <w:marBottom w:val="0"/>
                              <w:divBdr>
                                <w:top w:val="none" w:sz="0" w:space="0" w:color="auto"/>
                                <w:left w:val="none" w:sz="0" w:space="0" w:color="auto"/>
                                <w:bottom w:val="none" w:sz="0" w:space="0" w:color="auto"/>
                                <w:right w:val="none" w:sz="0" w:space="0" w:color="auto"/>
                              </w:divBdr>
                            </w:div>
                          </w:divsChild>
                        </w:div>
                        <w:div w:id="752628640">
                          <w:marLeft w:val="240"/>
                          <w:marRight w:val="0"/>
                          <w:marTop w:val="60"/>
                          <w:marBottom w:val="60"/>
                          <w:divBdr>
                            <w:top w:val="none" w:sz="0" w:space="0" w:color="auto"/>
                            <w:left w:val="none" w:sz="0" w:space="0" w:color="auto"/>
                            <w:bottom w:val="none" w:sz="0" w:space="0" w:color="auto"/>
                            <w:right w:val="none" w:sz="0" w:space="0" w:color="auto"/>
                          </w:divBdr>
                          <w:divsChild>
                            <w:div w:id="18093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9640">
                      <w:marLeft w:val="506"/>
                      <w:marRight w:val="0"/>
                      <w:marTop w:val="0"/>
                      <w:marBottom w:val="0"/>
                      <w:divBdr>
                        <w:top w:val="none" w:sz="0" w:space="0" w:color="auto"/>
                        <w:left w:val="none" w:sz="0" w:space="0" w:color="auto"/>
                        <w:bottom w:val="none" w:sz="0" w:space="0" w:color="auto"/>
                        <w:right w:val="none" w:sz="0" w:space="0" w:color="auto"/>
                      </w:divBdr>
                    </w:div>
                    <w:div w:id="1357928447">
                      <w:marLeft w:val="240"/>
                      <w:marRight w:val="0"/>
                      <w:marTop w:val="60"/>
                      <w:marBottom w:val="60"/>
                      <w:divBdr>
                        <w:top w:val="none" w:sz="0" w:space="0" w:color="auto"/>
                        <w:left w:val="none" w:sz="0" w:space="0" w:color="auto"/>
                        <w:bottom w:val="none" w:sz="0" w:space="0" w:color="auto"/>
                        <w:right w:val="none" w:sz="0" w:space="0" w:color="auto"/>
                      </w:divBdr>
                      <w:divsChild>
                        <w:div w:id="1262421385">
                          <w:marLeft w:val="0"/>
                          <w:marRight w:val="0"/>
                          <w:marTop w:val="0"/>
                          <w:marBottom w:val="0"/>
                          <w:divBdr>
                            <w:top w:val="none" w:sz="0" w:space="0" w:color="auto"/>
                            <w:left w:val="none" w:sz="0" w:space="0" w:color="auto"/>
                            <w:bottom w:val="none" w:sz="0" w:space="0" w:color="auto"/>
                            <w:right w:val="none" w:sz="0" w:space="0" w:color="auto"/>
                          </w:divBdr>
                        </w:div>
                      </w:divsChild>
                    </w:div>
                    <w:div w:id="2037345422">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2836">
          <w:marLeft w:val="240"/>
          <w:marRight w:val="0"/>
          <w:marTop w:val="60"/>
          <w:marBottom w:val="60"/>
          <w:divBdr>
            <w:top w:val="none" w:sz="0" w:space="0" w:color="auto"/>
            <w:left w:val="none" w:sz="0" w:space="0" w:color="auto"/>
            <w:bottom w:val="none" w:sz="0" w:space="0" w:color="auto"/>
            <w:right w:val="none" w:sz="0" w:space="0" w:color="auto"/>
          </w:divBdr>
          <w:divsChild>
            <w:div w:id="2063408246">
              <w:marLeft w:val="240"/>
              <w:marRight w:val="0"/>
              <w:marTop w:val="60"/>
              <w:marBottom w:val="60"/>
              <w:divBdr>
                <w:top w:val="none" w:sz="0" w:space="0" w:color="auto"/>
                <w:left w:val="none" w:sz="0" w:space="0" w:color="auto"/>
                <w:bottom w:val="none" w:sz="0" w:space="0" w:color="auto"/>
                <w:right w:val="none" w:sz="0" w:space="0" w:color="auto"/>
              </w:divBdr>
              <w:divsChild>
                <w:div w:id="74665839">
                  <w:marLeft w:val="0"/>
                  <w:marRight w:val="0"/>
                  <w:marTop w:val="0"/>
                  <w:marBottom w:val="0"/>
                  <w:divBdr>
                    <w:top w:val="none" w:sz="0" w:space="0" w:color="auto"/>
                    <w:left w:val="none" w:sz="0" w:space="0" w:color="auto"/>
                    <w:bottom w:val="none" w:sz="0" w:space="0" w:color="auto"/>
                    <w:right w:val="none" w:sz="0" w:space="0" w:color="auto"/>
                  </w:divBdr>
                </w:div>
              </w:divsChild>
            </w:div>
            <w:div w:id="576716906">
              <w:marLeft w:val="240"/>
              <w:marRight w:val="0"/>
              <w:marTop w:val="60"/>
              <w:marBottom w:val="60"/>
              <w:divBdr>
                <w:top w:val="none" w:sz="0" w:space="0" w:color="auto"/>
                <w:left w:val="none" w:sz="0" w:space="0" w:color="auto"/>
                <w:bottom w:val="none" w:sz="0" w:space="0" w:color="auto"/>
                <w:right w:val="none" w:sz="0" w:space="0" w:color="auto"/>
              </w:divBdr>
              <w:divsChild>
                <w:div w:id="1954366192">
                  <w:marLeft w:val="240"/>
                  <w:marRight w:val="0"/>
                  <w:marTop w:val="60"/>
                  <w:marBottom w:val="60"/>
                  <w:divBdr>
                    <w:top w:val="none" w:sz="0" w:space="0" w:color="auto"/>
                    <w:left w:val="none" w:sz="0" w:space="0" w:color="auto"/>
                    <w:bottom w:val="none" w:sz="0" w:space="0" w:color="auto"/>
                    <w:right w:val="none" w:sz="0" w:space="0" w:color="auto"/>
                  </w:divBdr>
                  <w:divsChild>
                    <w:div w:id="989747932">
                      <w:marLeft w:val="240"/>
                      <w:marRight w:val="0"/>
                      <w:marTop w:val="60"/>
                      <w:marBottom w:val="60"/>
                      <w:divBdr>
                        <w:top w:val="none" w:sz="0" w:space="0" w:color="auto"/>
                        <w:left w:val="none" w:sz="0" w:space="0" w:color="auto"/>
                        <w:bottom w:val="none" w:sz="0" w:space="0" w:color="auto"/>
                        <w:right w:val="none" w:sz="0" w:space="0" w:color="auto"/>
                      </w:divBdr>
                      <w:divsChild>
                        <w:div w:id="1789547424">
                          <w:marLeft w:val="0"/>
                          <w:marRight w:val="0"/>
                          <w:marTop w:val="0"/>
                          <w:marBottom w:val="0"/>
                          <w:divBdr>
                            <w:top w:val="none" w:sz="0" w:space="0" w:color="auto"/>
                            <w:left w:val="none" w:sz="0" w:space="0" w:color="auto"/>
                            <w:bottom w:val="none" w:sz="0" w:space="0" w:color="auto"/>
                            <w:right w:val="none" w:sz="0" w:space="0" w:color="auto"/>
                          </w:divBdr>
                        </w:div>
                      </w:divsChild>
                    </w:div>
                    <w:div w:id="2130470133">
                      <w:marLeft w:val="240"/>
                      <w:marRight w:val="0"/>
                      <w:marTop w:val="60"/>
                      <w:marBottom w:val="60"/>
                      <w:divBdr>
                        <w:top w:val="none" w:sz="0" w:space="0" w:color="auto"/>
                        <w:left w:val="none" w:sz="0" w:space="0" w:color="auto"/>
                        <w:bottom w:val="none" w:sz="0" w:space="0" w:color="auto"/>
                        <w:right w:val="none" w:sz="0" w:space="0" w:color="auto"/>
                      </w:divBdr>
                      <w:divsChild>
                        <w:div w:id="1485704873">
                          <w:marLeft w:val="0"/>
                          <w:marRight w:val="0"/>
                          <w:marTop w:val="0"/>
                          <w:marBottom w:val="0"/>
                          <w:divBdr>
                            <w:top w:val="none" w:sz="0" w:space="0" w:color="auto"/>
                            <w:left w:val="none" w:sz="0" w:space="0" w:color="auto"/>
                            <w:bottom w:val="none" w:sz="0" w:space="0" w:color="auto"/>
                            <w:right w:val="none" w:sz="0" w:space="0" w:color="auto"/>
                          </w:divBdr>
                        </w:div>
                      </w:divsChild>
                    </w:div>
                    <w:div w:id="901447693">
                      <w:marLeft w:val="506"/>
                      <w:marRight w:val="0"/>
                      <w:marTop w:val="0"/>
                      <w:marBottom w:val="0"/>
                      <w:divBdr>
                        <w:top w:val="none" w:sz="0" w:space="0" w:color="auto"/>
                        <w:left w:val="none" w:sz="0" w:space="0" w:color="auto"/>
                        <w:bottom w:val="none" w:sz="0" w:space="0" w:color="auto"/>
                        <w:right w:val="none" w:sz="0" w:space="0" w:color="auto"/>
                      </w:divBdr>
                    </w:div>
                  </w:divsChild>
                </w:div>
                <w:div w:id="68964685">
                  <w:marLeft w:val="240"/>
                  <w:marRight w:val="0"/>
                  <w:marTop w:val="60"/>
                  <w:marBottom w:val="60"/>
                  <w:divBdr>
                    <w:top w:val="none" w:sz="0" w:space="0" w:color="auto"/>
                    <w:left w:val="none" w:sz="0" w:space="0" w:color="auto"/>
                    <w:bottom w:val="none" w:sz="0" w:space="0" w:color="auto"/>
                    <w:right w:val="none" w:sz="0" w:space="0" w:color="auto"/>
                  </w:divBdr>
                  <w:divsChild>
                    <w:div w:id="1858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27577">
          <w:marLeft w:val="240"/>
          <w:marRight w:val="0"/>
          <w:marTop w:val="60"/>
          <w:marBottom w:val="60"/>
          <w:divBdr>
            <w:top w:val="none" w:sz="0" w:space="0" w:color="auto"/>
            <w:left w:val="none" w:sz="0" w:space="0" w:color="auto"/>
            <w:bottom w:val="none" w:sz="0" w:space="0" w:color="auto"/>
            <w:right w:val="none" w:sz="0" w:space="0" w:color="auto"/>
          </w:divBdr>
          <w:divsChild>
            <w:div w:id="1324815340">
              <w:marLeft w:val="240"/>
              <w:marRight w:val="0"/>
              <w:marTop w:val="60"/>
              <w:marBottom w:val="60"/>
              <w:divBdr>
                <w:top w:val="none" w:sz="0" w:space="0" w:color="auto"/>
                <w:left w:val="none" w:sz="0" w:space="0" w:color="auto"/>
                <w:bottom w:val="none" w:sz="0" w:space="0" w:color="auto"/>
                <w:right w:val="none" w:sz="0" w:space="0" w:color="auto"/>
              </w:divBdr>
              <w:divsChild>
                <w:div w:id="1934513883">
                  <w:marLeft w:val="240"/>
                  <w:marRight w:val="0"/>
                  <w:marTop w:val="60"/>
                  <w:marBottom w:val="60"/>
                  <w:divBdr>
                    <w:top w:val="none" w:sz="0" w:space="0" w:color="auto"/>
                    <w:left w:val="none" w:sz="0" w:space="0" w:color="auto"/>
                    <w:bottom w:val="none" w:sz="0" w:space="0" w:color="auto"/>
                    <w:right w:val="none" w:sz="0" w:space="0" w:color="auto"/>
                  </w:divBdr>
                  <w:divsChild>
                    <w:div w:id="1644461995">
                      <w:marLeft w:val="0"/>
                      <w:marRight w:val="0"/>
                      <w:marTop w:val="0"/>
                      <w:marBottom w:val="0"/>
                      <w:divBdr>
                        <w:top w:val="none" w:sz="0" w:space="0" w:color="auto"/>
                        <w:left w:val="none" w:sz="0" w:space="0" w:color="auto"/>
                        <w:bottom w:val="none" w:sz="0" w:space="0" w:color="auto"/>
                        <w:right w:val="none" w:sz="0" w:space="0" w:color="auto"/>
                      </w:divBdr>
                    </w:div>
                  </w:divsChild>
                </w:div>
                <w:div w:id="2077195188">
                  <w:marLeft w:val="240"/>
                  <w:marRight w:val="0"/>
                  <w:marTop w:val="60"/>
                  <w:marBottom w:val="60"/>
                  <w:divBdr>
                    <w:top w:val="none" w:sz="0" w:space="0" w:color="auto"/>
                    <w:left w:val="none" w:sz="0" w:space="0" w:color="auto"/>
                    <w:bottom w:val="none" w:sz="0" w:space="0" w:color="auto"/>
                    <w:right w:val="none" w:sz="0" w:space="0" w:color="auto"/>
                  </w:divBdr>
                  <w:divsChild>
                    <w:div w:id="2112116587">
                      <w:marLeft w:val="240"/>
                      <w:marRight w:val="0"/>
                      <w:marTop w:val="60"/>
                      <w:marBottom w:val="60"/>
                      <w:divBdr>
                        <w:top w:val="none" w:sz="0" w:space="0" w:color="auto"/>
                        <w:left w:val="none" w:sz="0" w:space="0" w:color="auto"/>
                        <w:bottom w:val="none" w:sz="0" w:space="0" w:color="auto"/>
                        <w:right w:val="none" w:sz="0" w:space="0" w:color="auto"/>
                      </w:divBdr>
                      <w:divsChild>
                        <w:div w:id="729815926">
                          <w:marLeft w:val="0"/>
                          <w:marRight w:val="0"/>
                          <w:marTop w:val="0"/>
                          <w:marBottom w:val="0"/>
                          <w:divBdr>
                            <w:top w:val="none" w:sz="0" w:space="0" w:color="auto"/>
                            <w:left w:val="none" w:sz="0" w:space="0" w:color="auto"/>
                            <w:bottom w:val="none" w:sz="0" w:space="0" w:color="auto"/>
                            <w:right w:val="none" w:sz="0" w:space="0" w:color="auto"/>
                          </w:divBdr>
                        </w:div>
                      </w:divsChild>
                    </w:div>
                    <w:div w:id="700057427">
                      <w:marLeft w:val="240"/>
                      <w:marRight w:val="0"/>
                      <w:marTop w:val="60"/>
                      <w:marBottom w:val="60"/>
                      <w:divBdr>
                        <w:top w:val="none" w:sz="0" w:space="0" w:color="auto"/>
                        <w:left w:val="none" w:sz="0" w:space="0" w:color="auto"/>
                        <w:bottom w:val="none" w:sz="0" w:space="0" w:color="auto"/>
                        <w:right w:val="none" w:sz="0" w:space="0" w:color="auto"/>
                      </w:divBdr>
                      <w:divsChild>
                        <w:div w:id="11847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718">
                  <w:marLeft w:val="240"/>
                  <w:marRight w:val="0"/>
                  <w:marTop w:val="60"/>
                  <w:marBottom w:val="60"/>
                  <w:divBdr>
                    <w:top w:val="none" w:sz="0" w:space="0" w:color="auto"/>
                    <w:left w:val="none" w:sz="0" w:space="0" w:color="auto"/>
                    <w:bottom w:val="none" w:sz="0" w:space="0" w:color="auto"/>
                    <w:right w:val="none" w:sz="0" w:space="0" w:color="auto"/>
                  </w:divBdr>
                  <w:divsChild>
                    <w:div w:id="15582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65841">
              <w:marLeft w:val="240"/>
              <w:marRight w:val="0"/>
              <w:marTop w:val="60"/>
              <w:marBottom w:val="60"/>
              <w:divBdr>
                <w:top w:val="none" w:sz="0" w:space="0" w:color="auto"/>
                <w:left w:val="none" w:sz="0" w:space="0" w:color="auto"/>
                <w:bottom w:val="none" w:sz="0" w:space="0" w:color="auto"/>
                <w:right w:val="none" w:sz="0" w:space="0" w:color="auto"/>
              </w:divBdr>
              <w:divsChild>
                <w:div w:id="1666398615">
                  <w:marLeft w:val="0"/>
                  <w:marRight w:val="0"/>
                  <w:marTop w:val="0"/>
                  <w:marBottom w:val="0"/>
                  <w:divBdr>
                    <w:top w:val="none" w:sz="0" w:space="0" w:color="auto"/>
                    <w:left w:val="none" w:sz="0" w:space="0" w:color="auto"/>
                    <w:bottom w:val="none" w:sz="0" w:space="0" w:color="auto"/>
                    <w:right w:val="none" w:sz="0" w:space="0" w:color="auto"/>
                  </w:divBdr>
                </w:div>
              </w:divsChild>
            </w:div>
            <w:div w:id="1313292290">
              <w:marLeft w:val="240"/>
              <w:marRight w:val="0"/>
              <w:marTop w:val="60"/>
              <w:marBottom w:val="60"/>
              <w:divBdr>
                <w:top w:val="none" w:sz="0" w:space="0" w:color="auto"/>
                <w:left w:val="none" w:sz="0" w:space="0" w:color="auto"/>
                <w:bottom w:val="none" w:sz="0" w:space="0" w:color="auto"/>
                <w:right w:val="none" w:sz="0" w:space="0" w:color="auto"/>
              </w:divBdr>
              <w:divsChild>
                <w:div w:id="830873233">
                  <w:marLeft w:val="240"/>
                  <w:marRight w:val="0"/>
                  <w:marTop w:val="60"/>
                  <w:marBottom w:val="60"/>
                  <w:divBdr>
                    <w:top w:val="none" w:sz="0" w:space="0" w:color="auto"/>
                    <w:left w:val="none" w:sz="0" w:space="0" w:color="auto"/>
                    <w:bottom w:val="none" w:sz="0" w:space="0" w:color="auto"/>
                    <w:right w:val="none" w:sz="0" w:space="0" w:color="auto"/>
                  </w:divBdr>
                  <w:divsChild>
                    <w:div w:id="1325550084">
                      <w:marLeft w:val="240"/>
                      <w:marRight w:val="0"/>
                      <w:marTop w:val="60"/>
                      <w:marBottom w:val="60"/>
                      <w:divBdr>
                        <w:top w:val="none" w:sz="0" w:space="0" w:color="auto"/>
                        <w:left w:val="none" w:sz="0" w:space="0" w:color="auto"/>
                        <w:bottom w:val="none" w:sz="0" w:space="0" w:color="auto"/>
                        <w:right w:val="none" w:sz="0" w:space="0" w:color="auto"/>
                      </w:divBdr>
                      <w:divsChild>
                        <w:div w:id="787043029">
                          <w:marLeft w:val="0"/>
                          <w:marRight w:val="0"/>
                          <w:marTop w:val="0"/>
                          <w:marBottom w:val="0"/>
                          <w:divBdr>
                            <w:top w:val="none" w:sz="0" w:space="0" w:color="auto"/>
                            <w:left w:val="none" w:sz="0" w:space="0" w:color="auto"/>
                            <w:bottom w:val="none" w:sz="0" w:space="0" w:color="auto"/>
                            <w:right w:val="none" w:sz="0" w:space="0" w:color="auto"/>
                          </w:divBdr>
                        </w:div>
                      </w:divsChild>
                    </w:div>
                    <w:div w:id="279533105">
                      <w:marLeft w:val="240"/>
                      <w:marRight w:val="0"/>
                      <w:marTop w:val="60"/>
                      <w:marBottom w:val="60"/>
                      <w:divBdr>
                        <w:top w:val="none" w:sz="0" w:space="0" w:color="auto"/>
                        <w:left w:val="none" w:sz="0" w:space="0" w:color="auto"/>
                        <w:bottom w:val="none" w:sz="0" w:space="0" w:color="auto"/>
                        <w:right w:val="none" w:sz="0" w:space="0" w:color="auto"/>
                      </w:divBdr>
                      <w:divsChild>
                        <w:div w:id="1456800450">
                          <w:marLeft w:val="240"/>
                          <w:marRight w:val="0"/>
                          <w:marTop w:val="60"/>
                          <w:marBottom w:val="60"/>
                          <w:divBdr>
                            <w:top w:val="none" w:sz="0" w:space="0" w:color="auto"/>
                            <w:left w:val="none" w:sz="0" w:space="0" w:color="auto"/>
                            <w:bottom w:val="none" w:sz="0" w:space="0" w:color="auto"/>
                            <w:right w:val="none" w:sz="0" w:space="0" w:color="auto"/>
                          </w:divBdr>
                          <w:divsChild>
                            <w:div w:id="699205214">
                              <w:marLeft w:val="0"/>
                              <w:marRight w:val="0"/>
                              <w:marTop w:val="0"/>
                              <w:marBottom w:val="0"/>
                              <w:divBdr>
                                <w:top w:val="none" w:sz="0" w:space="0" w:color="auto"/>
                                <w:left w:val="none" w:sz="0" w:space="0" w:color="auto"/>
                                <w:bottom w:val="none" w:sz="0" w:space="0" w:color="auto"/>
                                <w:right w:val="none" w:sz="0" w:space="0" w:color="auto"/>
                              </w:divBdr>
                            </w:div>
                          </w:divsChild>
                        </w:div>
                        <w:div w:id="2020422413">
                          <w:marLeft w:val="240"/>
                          <w:marRight w:val="0"/>
                          <w:marTop w:val="60"/>
                          <w:marBottom w:val="60"/>
                          <w:divBdr>
                            <w:top w:val="none" w:sz="0" w:space="0" w:color="auto"/>
                            <w:left w:val="none" w:sz="0" w:space="0" w:color="auto"/>
                            <w:bottom w:val="none" w:sz="0" w:space="0" w:color="auto"/>
                            <w:right w:val="none" w:sz="0" w:space="0" w:color="auto"/>
                          </w:divBdr>
                          <w:divsChild>
                            <w:div w:id="118385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89037">
                  <w:marLeft w:val="240"/>
                  <w:marRight w:val="0"/>
                  <w:marTop w:val="60"/>
                  <w:marBottom w:val="60"/>
                  <w:divBdr>
                    <w:top w:val="none" w:sz="0" w:space="0" w:color="auto"/>
                    <w:left w:val="none" w:sz="0" w:space="0" w:color="auto"/>
                    <w:bottom w:val="none" w:sz="0" w:space="0" w:color="auto"/>
                    <w:right w:val="none" w:sz="0" w:space="0" w:color="auto"/>
                  </w:divBdr>
                  <w:divsChild>
                    <w:div w:id="982343751">
                      <w:marLeft w:val="0"/>
                      <w:marRight w:val="0"/>
                      <w:marTop w:val="0"/>
                      <w:marBottom w:val="0"/>
                      <w:divBdr>
                        <w:top w:val="none" w:sz="0" w:space="0" w:color="auto"/>
                        <w:left w:val="none" w:sz="0" w:space="0" w:color="auto"/>
                        <w:bottom w:val="none" w:sz="0" w:space="0" w:color="auto"/>
                        <w:right w:val="none" w:sz="0" w:space="0" w:color="auto"/>
                      </w:divBdr>
                    </w:div>
                  </w:divsChild>
                </w:div>
                <w:div w:id="723409114">
                  <w:marLeft w:val="240"/>
                  <w:marRight w:val="0"/>
                  <w:marTop w:val="60"/>
                  <w:marBottom w:val="60"/>
                  <w:divBdr>
                    <w:top w:val="none" w:sz="0" w:space="0" w:color="auto"/>
                    <w:left w:val="none" w:sz="0" w:space="0" w:color="auto"/>
                    <w:bottom w:val="none" w:sz="0" w:space="0" w:color="auto"/>
                    <w:right w:val="none" w:sz="0" w:space="0" w:color="auto"/>
                  </w:divBdr>
                  <w:divsChild>
                    <w:div w:id="8041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70515">
              <w:marLeft w:val="240"/>
              <w:marRight w:val="0"/>
              <w:marTop w:val="60"/>
              <w:marBottom w:val="60"/>
              <w:divBdr>
                <w:top w:val="none" w:sz="0" w:space="0" w:color="auto"/>
                <w:left w:val="none" w:sz="0" w:space="0" w:color="auto"/>
                <w:bottom w:val="none" w:sz="0" w:space="0" w:color="auto"/>
                <w:right w:val="none" w:sz="0" w:space="0" w:color="auto"/>
              </w:divBdr>
              <w:divsChild>
                <w:div w:id="988285302">
                  <w:marLeft w:val="0"/>
                  <w:marRight w:val="0"/>
                  <w:marTop w:val="0"/>
                  <w:marBottom w:val="0"/>
                  <w:divBdr>
                    <w:top w:val="none" w:sz="0" w:space="0" w:color="auto"/>
                    <w:left w:val="none" w:sz="0" w:space="0" w:color="auto"/>
                    <w:bottom w:val="none" w:sz="0" w:space="0" w:color="auto"/>
                    <w:right w:val="none" w:sz="0" w:space="0" w:color="auto"/>
                  </w:divBdr>
                </w:div>
              </w:divsChild>
            </w:div>
            <w:div w:id="1544247881">
              <w:marLeft w:val="240"/>
              <w:marRight w:val="0"/>
              <w:marTop w:val="60"/>
              <w:marBottom w:val="60"/>
              <w:divBdr>
                <w:top w:val="none" w:sz="0" w:space="0" w:color="auto"/>
                <w:left w:val="none" w:sz="0" w:space="0" w:color="auto"/>
                <w:bottom w:val="none" w:sz="0" w:space="0" w:color="auto"/>
                <w:right w:val="none" w:sz="0" w:space="0" w:color="auto"/>
              </w:divBdr>
              <w:divsChild>
                <w:div w:id="1389114460">
                  <w:marLeft w:val="240"/>
                  <w:marRight w:val="0"/>
                  <w:marTop w:val="60"/>
                  <w:marBottom w:val="60"/>
                  <w:divBdr>
                    <w:top w:val="none" w:sz="0" w:space="0" w:color="auto"/>
                    <w:left w:val="none" w:sz="0" w:space="0" w:color="auto"/>
                    <w:bottom w:val="none" w:sz="0" w:space="0" w:color="auto"/>
                    <w:right w:val="none" w:sz="0" w:space="0" w:color="auto"/>
                  </w:divBdr>
                  <w:divsChild>
                    <w:div w:id="1594893510">
                      <w:marLeft w:val="0"/>
                      <w:marRight w:val="0"/>
                      <w:marTop w:val="0"/>
                      <w:marBottom w:val="0"/>
                      <w:divBdr>
                        <w:top w:val="none" w:sz="0" w:space="0" w:color="auto"/>
                        <w:left w:val="none" w:sz="0" w:space="0" w:color="auto"/>
                        <w:bottom w:val="none" w:sz="0" w:space="0" w:color="auto"/>
                        <w:right w:val="none" w:sz="0" w:space="0" w:color="auto"/>
                      </w:divBdr>
                    </w:div>
                  </w:divsChild>
                </w:div>
                <w:div w:id="437719257">
                  <w:marLeft w:val="240"/>
                  <w:marRight w:val="0"/>
                  <w:marTop w:val="60"/>
                  <w:marBottom w:val="60"/>
                  <w:divBdr>
                    <w:top w:val="none" w:sz="0" w:space="0" w:color="auto"/>
                    <w:left w:val="none" w:sz="0" w:space="0" w:color="auto"/>
                    <w:bottom w:val="none" w:sz="0" w:space="0" w:color="auto"/>
                    <w:right w:val="none" w:sz="0" w:space="0" w:color="auto"/>
                  </w:divBdr>
                  <w:divsChild>
                    <w:div w:id="1260678432">
                      <w:marLeft w:val="0"/>
                      <w:marRight w:val="0"/>
                      <w:marTop w:val="0"/>
                      <w:marBottom w:val="0"/>
                      <w:divBdr>
                        <w:top w:val="none" w:sz="0" w:space="0" w:color="auto"/>
                        <w:left w:val="none" w:sz="0" w:space="0" w:color="auto"/>
                        <w:bottom w:val="none" w:sz="0" w:space="0" w:color="auto"/>
                        <w:right w:val="none" w:sz="0" w:space="0" w:color="auto"/>
                      </w:divBdr>
                    </w:div>
                  </w:divsChild>
                </w:div>
                <w:div w:id="1739086400">
                  <w:marLeft w:val="240"/>
                  <w:marRight w:val="0"/>
                  <w:marTop w:val="60"/>
                  <w:marBottom w:val="60"/>
                  <w:divBdr>
                    <w:top w:val="none" w:sz="0" w:space="0" w:color="auto"/>
                    <w:left w:val="none" w:sz="0" w:space="0" w:color="auto"/>
                    <w:bottom w:val="none" w:sz="0" w:space="0" w:color="auto"/>
                    <w:right w:val="none" w:sz="0" w:space="0" w:color="auto"/>
                  </w:divBdr>
                  <w:divsChild>
                    <w:div w:id="14897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7347">
              <w:marLeft w:val="240"/>
              <w:marRight w:val="0"/>
              <w:marTop w:val="60"/>
              <w:marBottom w:val="60"/>
              <w:divBdr>
                <w:top w:val="none" w:sz="0" w:space="0" w:color="auto"/>
                <w:left w:val="none" w:sz="0" w:space="0" w:color="auto"/>
                <w:bottom w:val="none" w:sz="0" w:space="0" w:color="auto"/>
                <w:right w:val="none" w:sz="0" w:space="0" w:color="auto"/>
              </w:divBdr>
              <w:divsChild>
                <w:div w:id="844171712">
                  <w:marLeft w:val="0"/>
                  <w:marRight w:val="0"/>
                  <w:marTop w:val="0"/>
                  <w:marBottom w:val="0"/>
                  <w:divBdr>
                    <w:top w:val="none" w:sz="0" w:space="0" w:color="auto"/>
                    <w:left w:val="none" w:sz="0" w:space="0" w:color="auto"/>
                    <w:bottom w:val="none" w:sz="0" w:space="0" w:color="auto"/>
                    <w:right w:val="none" w:sz="0" w:space="0" w:color="auto"/>
                  </w:divBdr>
                </w:div>
              </w:divsChild>
            </w:div>
            <w:div w:id="1349914997">
              <w:marLeft w:val="240"/>
              <w:marRight w:val="0"/>
              <w:marTop w:val="60"/>
              <w:marBottom w:val="60"/>
              <w:divBdr>
                <w:top w:val="none" w:sz="0" w:space="0" w:color="auto"/>
                <w:left w:val="none" w:sz="0" w:space="0" w:color="auto"/>
                <w:bottom w:val="none" w:sz="0" w:space="0" w:color="auto"/>
                <w:right w:val="none" w:sz="0" w:space="0" w:color="auto"/>
              </w:divBdr>
              <w:divsChild>
                <w:div w:id="95833189">
                  <w:marLeft w:val="0"/>
                  <w:marRight w:val="0"/>
                  <w:marTop w:val="0"/>
                  <w:marBottom w:val="0"/>
                  <w:divBdr>
                    <w:top w:val="none" w:sz="0" w:space="0" w:color="auto"/>
                    <w:left w:val="none" w:sz="0" w:space="0" w:color="auto"/>
                    <w:bottom w:val="none" w:sz="0" w:space="0" w:color="auto"/>
                    <w:right w:val="none" w:sz="0" w:space="0" w:color="auto"/>
                  </w:divBdr>
                </w:div>
              </w:divsChild>
            </w:div>
            <w:div w:id="1605530431">
              <w:marLeft w:val="240"/>
              <w:marRight w:val="0"/>
              <w:marTop w:val="60"/>
              <w:marBottom w:val="60"/>
              <w:divBdr>
                <w:top w:val="none" w:sz="0" w:space="0" w:color="auto"/>
                <w:left w:val="none" w:sz="0" w:space="0" w:color="auto"/>
                <w:bottom w:val="none" w:sz="0" w:space="0" w:color="auto"/>
                <w:right w:val="none" w:sz="0" w:space="0" w:color="auto"/>
              </w:divBdr>
              <w:divsChild>
                <w:div w:id="1039744002">
                  <w:marLeft w:val="240"/>
                  <w:marRight w:val="0"/>
                  <w:marTop w:val="60"/>
                  <w:marBottom w:val="60"/>
                  <w:divBdr>
                    <w:top w:val="none" w:sz="0" w:space="0" w:color="auto"/>
                    <w:left w:val="none" w:sz="0" w:space="0" w:color="auto"/>
                    <w:bottom w:val="none" w:sz="0" w:space="0" w:color="auto"/>
                    <w:right w:val="none" w:sz="0" w:space="0" w:color="auto"/>
                  </w:divBdr>
                  <w:divsChild>
                    <w:div w:id="1000082297">
                      <w:marLeft w:val="0"/>
                      <w:marRight w:val="0"/>
                      <w:marTop w:val="0"/>
                      <w:marBottom w:val="0"/>
                      <w:divBdr>
                        <w:top w:val="none" w:sz="0" w:space="0" w:color="auto"/>
                        <w:left w:val="none" w:sz="0" w:space="0" w:color="auto"/>
                        <w:bottom w:val="none" w:sz="0" w:space="0" w:color="auto"/>
                        <w:right w:val="none" w:sz="0" w:space="0" w:color="auto"/>
                      </w:divBdr>
                    </w:div>
                  </w:divsChild>
                </w:div>
                <w:div w:id="810948622">
                  <w:marLeft w:val="240"/>
                  <w:marRight w:val="0"/>
                  <w:marTop w:val="60"/>
                  <w:marBottom w:val="60"/>
                  <w:divBdr>
                    <w:top w:val="none" w:sz="0" w:space="0" w:color="auto"/>
                    <w:left w:val="none" w:sz="0" w:space="0" w:color="auto"/>
                    <w:bottom w:val="none" w:sz="0" w:space="0" w:color="auto"/>
                    <w:right w:val="none" w:sz="0" w:space="0" w:color="auto"/>
                  </w:divBdr>
                  <w:divsChild>
                    <w:div w:id="5694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2813">
              <w:marLeft w:val="240"/>
              <w:marRight w:val="0"/>
              <w:marTop w:val="60"/>
              <w:marBottom w:val="60"/>
              <w:divBdr>
                <w:top w:val="none" w:sz="0" w:space="0" w:color="auto"/>
                <w:left w:val="none" w:sz="0" w:space="0" w:color="auto"/>
                <w:bottom w:val="none" w:sz="0" w:space="0" w:color="auto"/>
                <w:right w:val="none" w:sz="0" w:space="0" w:color="auto"/>
              </w:divBdr>
              <w:divsChild>
                <w:div w:id="1526140203">
                  <w:marLeft w:val="0"/>
                  <w:marRight w:val="0"/>
                  <w:marTop w:val="0"/>
                  <w:marBottom w:val="0"/>
                  <w:divBdr>
                    <w:top w:val="none" w:sz="0" w:space="0" w:color="auto"/>
                    <w:left w:val="none" w:sz="0" w:space="0" w:color="auto"/>
                    <w:bottom w:val="none" w:sz="0" w:space="0" w:color="auto"/>
                    <w:right w:val="none" w:sz="0" w:space="0" w:color="auto"/>
                  </w:divBdr>
                </w:div>
              </w:divsChild>
            </w:div>
            <w:div w:id="2111701278">
              <w:marLeft w:val="240"/>
              <w:marRight w:val="0"/>
              <w:marTop w:val="60"/>
              <w:marBottom w:val="60"/>
              <w:divBdr>
                <w:top w:val="none" w:sz="0" w:space="0" w:color="auto"/>
                <w:left w:val="none" w:sz="0" w:space="0" w:color="auto"/>
                <w:bottom w:val="none" w:sz="0" w:space="0" w:color="auto"/>
                <w:right w:val="none" w:sz="0" w:space="0" w:color="auto"/>
              </w:divBdr>
              <w:divsChild>
                <w:div w:id="19362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10058">
          <w:marLeft w:val="240"/>
          <w:marRight w:val="0"/>
          <w:marTop w:val="60"/>
          <w:marBottom w:val="60"/>
          <w:divBdr>
            <w:top w:val="none" w:sz="0" w:space="0" w:color="auto"/>
            <w:left w:val="none" w:sz="0" w:space="0" w:color="auto"/>
            <w:bottom w:val="none" w:sz="0" w:space="0" w:color="auto"/>
            <w:right w:val="none" w:sz="0" w:space="0" w:color="auto"/>
          </w:divBdr>
          <w:divsChild>
            <w:div w:id="1209224446">
              <w:marLeft w:val="240"/>
              <w:marRight w:val="0"/>
              <w:marTop w:val="60"/>
              <w:marBottom w:val="60"/>
              <w:divBdr>
                <w:top w:val="none" w:sz="0" w:space="0" w:color="auto"/>
                <w:left w:val="none" w:sz="0" w:space="0" w:color="auto"/>
                <w:bottom w:val="none" w:sz="0" w:space="0" w:color="auto"/>
                <w:right w:val="none" w:sz="0" w:space="0" w:color="auto"/>
              </w:divBdr>
              <w:divsChild>
                <w:div w:id="1435008394">
                  <w:marLeft w:val="0"/>
                  <w:marRight w:val="0"/>
                  <w:marTop w:val="0"/>
                  <w:marBottom w:val="0"/>
                  <w:divBdr>
                    <w:top w:val="none" w:sz="0" w:space="0" w:color="auto"/>
                    <w:left w:val="none" w:sz="0" w:space="0" w:color="auto"/>
                    <w:bottom w:val="none" w:sz="0" w:space="0" w:color="auto"/>
                    <w:right w:val="none" w:sz="0" w:space="0" w:color="auto"/>
                  </w:divBdr>
                </w:div>
              </w:divsChild>
            </w:div>
            <w:div w:id="1738478036">
              <w:marLeft w:val="240"/>
              <w:marRight w:val="0"/>
              <w:marTop w:val="60"/>
              <w:marBottom w:val="60"/>
              <w:divBdr>
                <w:top w:val="none" w:sz="0" w:space="0" w:color="auto"/>
                <w:left w:val="none" w:sz="0" w:space="0" w:color="auto"/>
                <w:bottom w:val="none" w:sz="0" w:space="0" w:color="auto"/>
                <w:right w:val="none" w:sz="0" w:space="0" w:color="auto"/>
              </w:divBdr>
              <w:divsChild>
                <w:div w:id="440295322">
                  <w:marLeft w:val="240"/>
                  <w:marRight w:val="0"/>
                  <w:marTop w:val="60"/>
                  <w:marBottom w:val="60"/>
                  <w:divBdr>
                    <w:top w:val="none" w:sz="0" w:space="0" w:color="auto"/>
                    <w:left w:val="none" w:sz="0" w:space="0" w:color="auto"/>
                    <w:bottom w:val="none" w:sz="0" w:space="0" w:color="auto"/>
                    <w:right w:val="none" w:sz="0" w:space="0" w:color="auto"/>
                  </w:divBdr>
                  <w:divsChild>
                    <w:div w:id="1070346007">
                      <w:marLeft w:val="0"/>
                      <w:marRight w:val="0"/>
                      <w:marTop w:val="0"/>
                      <w:marBottom w:val="0"/>
                      <w:divBdr>
                        <w:top w:val="none" w:sz="0" w:space="0" w:color="auto"/>
                        <w:left w:val="none" w:sz="0" w:space="0" w:color="auto"/>
                        <w:bottom w:val="none" w:sz="0" w:space="0" w:color="auto"/>
                        <w:right w:val="none" w:sz="0" w:space="0" w:color="auto"/>
                      </w:divBdr>
                    </w:div>
                  </w:divsChild>
                </w:div>
                <w:div w:id="1736663320">
                  <w:marLeft w:val="240"/>
                  <w:marRight w:val="0"/>
                  <w:marTop w:val="60"/>
                  <w:marBottom w:val="60"/>
                  <w:divBdr>
                    <w:top w:val="none" w:sz="0" w:space="0" w:color="auto"/>
                    <w:left w:val="none" w:sz="0" w:space="0" w:color="auto"/>
                    <w:bottom w:val="none" w:sz="0" w:space="0" w:color="auto"/>
                    <w:right w:val="none" w:sz="0" w:space="0" w:color="auto"/>
                  </w:divBdr>
                  <w:divsChild>
                    <w:div w:id="899636173">
                      <w:marLeft w:val="240"/>
                      <w:marRight w:val="0"/>
                      <w:marTop w:val="60"/>
                      <w:marBottom w:val="60"/>
                      <w:divBdr>
                        <w:top w:val="none" w:sz="0" w:space="0" w:color="auto"/>
                        <w:left w:val="none" w:sz="0" w:space="0" w:color="auto"/>
                        <w:bottom w:val="none" w:sz="0" w:space="0" w:color="auto"/>
                        <w:right w:val="none" w:sz="0" w:space="0" w:color="auto"/>
                      </w:divBdr>
                      <w:divsChild>
                        <w:div w:id="1068725111">
                          <w:marLeft w:val="240"/>
                          <w:marRight w:val="0"/>
                          <w:marTop w:val="60"/>
                          <w:marBottom w:val="60"/>
                          <w:divBdr>
                            <w:top w:val="none" w:sz="0" w:space="0" w:color="auto"/>
                            <w:left w:val="none" w:sz="0" w:space="0" w:color="auto"/>
                            <w:bottom w:val="none" w:sz="0" w:space="0" w:color="auto"/>
                            <w:right w:val="none" w:sz="0" w:space="0" w:color="auto"/>
                          </w:divBdr>
                          <w:divsChild>
                            <w:div w:id="997922332">
                              <w:marLeft w:val="0"/>
                              <w:marRight w:val="0"/>
                              <w:marTop w:val="0"/>
                              <w:marBottom w:val="0"/>
                              <w:divBdr>
                                <w:top w:val="none" w:sz="0" w:space="0" w:color="auto"/>
                                <w:left w:val="none" w:sz="0" w:space="0" w:color="auto"/>
                                <w:bottom w:val="none" w:sz="0" w:space="0" w:color="auto"/>
                                <w:right w:val="none" w:sz="0" w:space="0" w:color="auto"/>
                              </w:divBdr>
                            </w:div>
                          </w:divsChild>
                        </w:div>
                        <w:div w:id="317541830">
                          <w:marLeft w:val="240"/>
                          <w:marRight w:val="0"/>
                          <w:marTop w:val="60"/>
                          <w:marBottom w:val="60"/>
                          <w:divBdr>
                            <w:top w:val="none" w:sz="0" w:space="0" w:color="auto"/>
                            <w:left w:val="none" w:sz="0" w:space="0" w:color="auto"/>
                            <w:bottom w:val="none" w:sz="0" w:space="0" w:color="auto"/>
                            <w:right w:val="none" w:sz="0" w:space="0" w:color="auto"/>
                          </w:divBdr>
                          <w:divsChild>
                            <w:div w:id="13308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89185">
                      <w:marLeft w:val="240"/>
                      <w:marRight w:val="0"/>
                      <w:marTop w:val="60"/>
                      <w:marBottom w:val="60"/>
                      <w:divBdr>
                        <w:top w:val="none" w:sz="0" w:space="0" w:color="auto"/>
                        <w:left w:val="none" w:sz="0" w:space="0" w:color="auto"/>
                        <w:bottom w:val="none" w:sz="0" w:space="0" w:color="auto"/>
                        <w:right w:val="none" w:sz="0" w:space="0" w:color="auto"/>
                      </w:divBdr>
                      <w:divsChild>
                        <w:div w:id="20379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29594">
              <w:marLeft w:val="240"/>
              <w:marRight w:val="0"/>
              <w:marTop w:val="60"/>
              <w:marBottom w:val="60"/>
              <w:divBdr>
                <w:top w:val="none" w:sz="0" w:space="0" w:color="auto"/>
                <w:left w:val="none" w:sz="0" w:space="0" w:color="auto"/>
                <w:bottom w:val="none" w:sz="0" w:space="0" w:color="auto"/>
                <w:right w:val="none" w:sz="0" w:space="0" w:color="auto"/>
              </w:divBdr>
              <w:divsChild>
                <w:div w:id="137958599">
                  <w:marLeft w:val="0"/>
                  <w:marRight w:val="0"/>
                  <w:marTop w:val="0"/>
                  <w:marBottom w:val="0"/>
                  <w:divBdr>
                    <w:top w:val="none" w:sz="0" w:space="0" w:color="auto"/>
                    <w:left w:val="none" w:sz="0" w:space="0" w:color="auto"/>
                    <w:bottom w:val="none" w:sz="0" w:space="0" w:color="auto"/>
                    <w:right w:val="none" w:sz="0" w:space="0" w:color="auto"/>
                  </w:divBdr>
                </w:div>
              </w:divsChild>
            </w:div>
            <w:div w:id="890923392">
              <w:marLeft w:val="240"/>
              <w:marRight w:val="0"/>
              <w:marTop w:val="60"/>
              <w:marBottom w:val="60"/>
              <w:divBdr>
                <w:top w:val="none" w:sz="0" w:space="0" w:color="auto"/>
                <w:left w:val="none" w:sz="0" w:space="0" w:color="auto"/>
                <w:bottom w:val="none" w:sz="0" w:space="0" w:color="auto"/>
                <w:right w:val="none" w:sz="0" w:space="0" w:color="auto"/>
              </w:divBdr>
              <w:divsChild>
                <w:div w:id="839270129">
                  <w:marLeft w:val="0"/>
                  <w:marRight w:val="0"/>
                  <w:marTop w:val="0"/>
                  <w:marBottom w:val="0"/>
                  <w:divBdr>
                    <w:top w:val="none" w:sz="0" w:space="0" w:color="auto"/>
                    <w:left w:val="none" w:sz="0" w:space="0" w:color="auto"/>
                    <w:bottom w:val="none" w:sz="0" w:space="0" w:color="auto"/>
                    <w:right w:val="none" w:sz="0" w:space="0" w:color="auto"/>
                  </w:divBdr>
                </w:div>
              </w:divsChild>
            </w:div>
            <w:div w:id="1822846681">
              <w:marLeft w:val="240"/>
              <w:marRight w:val="0"/>
              <w:marTop w:val="60"/>
              <w:marBottom w:val="60"/>
              <w:divBdr>
                <w:top w:val="none" w:sz="0" w:space="0" w:color="auto"/>
                <w:left w:val="none" w:sz="0" w:space="0" w:color="auto"/>
                <w:bottom w:val="none" w:sz="0" w:space="0" w:color="auto"/>
                <w:right w:val="none" w:sz="0" w:space="0" w:color="auto"/>
              </w:divBdr>
              <w:divsChild>
                <w:div w:id="18120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8872">
          <w:marLeft w:val="240"/>
          <w:marRight w:val="0"/>
          <w:marTop w:val="60"/>
          <w:marBottom w:val="60"/>
          <w:divBdr>
            <w:top w:val="none" w:sz="0" w:space="0" w:color="auto"/>
            <w:left w:val="none" w:sz="0" w:space="0" w:color="auto"/>
            <w:bottom w:val="none" w:sz="0" w:space="0" w:color="auto"/>
            <w:right w:val="none" w:sz="0" w:space="0" w:color="auto"/>
          </w:divBdr>
          <w:divsChild>
            <w:div w:id="95907235">
              <w:marLeft w:val="240"/>
              <w:marRight w:val="0"/>
              <w:marTop w:val="60"/>
              <w:marBottom w:val="60"/>
              <w:divBdr>
                <w:top w:val="none" w:sz="0" w:space="0" w:color="auto"/>
                <w:left w:val="none" w:sz="0" w:space="0" w:color="auto"/>
                <w:bottom w:val="none" w:sz="0" w:space="0" w:color="auto"/>
                <w:right w:val="none" w:sz="0" w:space="0" w:color="auto"/>
              </w:divBdr>
              <w:divsChild>
                <w:div w:id="390732832">
                  <w:marLeft w:val="0"/>
                  <w:marRight w:val="0"/>
                  <w:marTop w:val="0"/>
                  <w:marBottom w:val="0"/>
                  <w:divBdr>
                    <w:top w:val="none" w:sz="0" w:space="0" w:color="auto"/>
                    <w:left w:val="none" w:sz="0" w:space="0" w:color="auto"/>
                    <w:bottom w:val="none" w:sz="0" w:space="0" w:color="auto"/>
                    <w:right w:val="none" w:sz="0" w:space="0" w:color="auto"/>
                  </w:divBdr>
                </w:div>
              </w:divsChild>
            </w:div>
            <w:div w:id="123930867">
              <w:marLeft w:val="240"/>
              <w:marRight w:val="0"/>
              <w:marTop w:val="60"/>
              <w:marBottom w:val="60"/>
              <w:divBdr>
                <w:top w:val="none" w:sz="0" w:space="0" w:color="auto"/>
                <w:left w:val="none" w:sz="0" w:space="0" w:color="auto"/>
                <w:bottom w:val="none" w:sz="0" w:space="0" w:color="auto"/>
                <w:right w:val="none" w:sz="0" w:space="0" w:color="auto"/>
              </w:divBdr>
              <w:divsChild>
                <w:div w:id="487791021">
                  <w:marLeft w:val="0"/>
                  <w:marRight w:val="0"/>
                  <w:marTop w:val="0"/>
                  <w:marBottom w:val="0"/>
                  <w:divBdr>
                    <w:top w:val="none" w:sz="0" w:space="0" w:color="auto"/>
                    <w:left w:val="none" w:sz="0" w:space="0" w:color="auto"/>
                    <w:bottom w:val="none" w:sz="0" w:space="0" w:color="auto"/>
                    <w:right w:val="none" w:sz="0" w:space="0" w:color="auto"/>
                  </w:divBdr>
                </w:div>
              </w:divsChild>
            </w:div>
            <w:div w:id="930236332">
              <w:marLeft w:val="240"/>
              <w:marRight w:val="0"/>
              <w:marTop w:val="60"/>
              <w:marBottom w:val="60"/>
              <w:divBdr>
                <w:top w:val="none" w:sz="0" w:space="0" w:color="auto"/>
                <w:left w:val="none" w:sz="0" w:space="0" w:color="auto"/>
                <w:bottom w:val="none" w:sz="0" w:space="0" w:color="auto"/>
                <w:right w:val="none" w:sz="0" w:space="0" w:color="auto"/>
              </w:divBdr>
              <w:divsChild>
                <w:div w:id="1648971609">
                  <w:marLeft w:val="0"/>
                  <w:marRight w:val="0"/>
                  <w:marTop w:val="0"/>
                  <w:marBottom w:val="0"/>
                  <w:divBdr>
                    <w:top w:val="none" w:sz="0" w:space="0" w:color="auto"/>
                    <w:left w:val="none" w:sz="0" w:space="0" w:color="auto"/>
                    <w:bottom w:val="none" w:sz="0" w:space="0" w:color="auto"/>
                    <w:right w:val="none" w:sz="0" w:space="0" w:color="auto"/>
                  </w:divBdr>
                </w:div>
              </w:divsChild>
            </w:div>
            <w:div w:id="497237060">
              <w:marLeft w:val="538"/>
              <w:marRight w:val="0"/>
              <w:marTop w:val="0"/>
              <w:marBottom w:val="0"/>
              <w:divBdr>
                <w:top w:val="none" w:sz="0" w:space="0" w:color="auto"/>
                <w:left w:val="none" w:sz="0" w:space="0" w:color="auto"/>
                <w:bottom w:val="none" w:sz="0" w:space="0" w:color="auto"/>
                <w:right w:val="none" w:sz="0" w:space="0" w:color="auto"/>
              </w:divBdr>
            </w:div>
          </w:divsChild>
        </w:div>
        <w:div w:id="272979999">
          <w:marLeft w:val="240"/>
          <w:marRight w:val="0"/>
          <w:marTop w:val="60"/>
          <w:marBottom w:val="60"/>
          <w:divBdr>
            <w:top w:val="none" w:sz="0" w:space="0" w:color="auto"/>
            <w:left w:val="none" w:sz="0" w:space="0" w:color="auto"/>
            <w:bottom w:val="none" w:sz="0" w:space="0" w:color="auto"/>
            <w:right w:val="none" w:sz="0" w:space="0" w:color="auto"/>
          </w:divBdr>
          <w:divsChild>
            <w:div w:id="1781948960">
              <w:marLeft w:val="240"/>
              <w:marRight w:val="0"/>
              <w:marTop w:val="60"/>
              <w:marBottom w:val="60"/>
              <w:divBdr>
                <w:top w:val="none" w:sz="0" w:space="0" w:color="auto"/>
                <w:left w:val="none" w:sz="0" w:space="0" w:color="auto"/>
                <w:bottom w:val="none" w:sz="0" w:space="0" w:color="auto"/>
                <w:right w:val="none" w:sz="0" w:space="0" w:color="auto"/>
              </w:divBdr>
              <w:divsChild>
                <w:div w:id="500895798">
                  <w:marLeft w:val="0"/>
                  <w:marRight w:val="0"/>
                  <w:marTop w:val="0"/>
                  <w:marBottom w:val="0"/>
                  <w:divBdr>
                    <w:top w:val="none" w:sz="0" w:space="0" w:color="auto"/>
                    <w:left w:val="none" w:sz="0" w:space="0" w:color="auto"/>
                    <w:bottom w:val="none" w:sz="0" w:space="0" w:color="auto"/>
                    <w:right w:val="none" w:sz="0" w:space="0" w:color="auto"/>
                  </w:divBdr>
                </w:div>
              </w:divsChild>
            </w:div>
            <w:div w:id="1769690285">
              <w:marLeft w:val="240"/>
              <w:marRight w:val="0"/>
              <w:marTop w:val="60"/>
              <w:marBottom w:val="60"/>
              <w:divBdr>
                <w:top w:val="none" w:sz="0" w:space="0" w:color="auto"/>
                <w:left w:val="none" w:sz="0" w:space="0" w:color="auto"/>
                <w:bottom w:val="none" w:sz="0" w:space="0" w:color="auto"/>
                <w:right w:val="none" w:sz="0" w:space="0" w:color="auto"/>
              </w:divBdr>
              <w:divsChild>
                <w:div w:id="1075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8773">
          <w:marLeft w:val="240"/>
          <w:marRight w:val="0"/>
          <w:marTop w:val="60"/>
          <w:marBottom w:val="60"/>
          <w:divBdr>
            <w:top w:val="none" w:sz="0" w:space="0" w:color="auto"/>
            <w:left w:val="none" w:sz="0" w:space="0" w:color="auto"/>
            <w:bottom w:val="none" w:sz="0" w:space="0" w:color="auto"/>
            <w:right w:val="none" w:sz="0" w:space="0" w:color="auto"/>
          </w:divBdr>
          <w:divsChild>
            <w:div w:id="1336692540">
              <w:marLeft w:val="0"/>
              <w:marRight w:val="0"/>
              <w:marTop w:val="0"/>
              <w:marBottom w:val="0"/>
              <w:divBdr>
                <w:top w:val="none" w:sz="0" w:space="0" w:color="auto"/>
                <w:left w:val="none" w:sz="0" w:space="0" w:color="auto"/>
                <w:bottom w:val="none" w:sz="0" w:space="0" w:color="auto"/>
                <w:right w:val="none" w:sz="0" w:space="0" w:color="auto"/>
              </w:divBdr>
            </w:div>
          </w:divsChild>
        </w:div>
        <w:div w:id="1164974270">
          <w:marLeft w:val="0"/>
          <w:marRight w:val="0"/>
          <w:marTop w:val="0"/>
          <w:marBottom w:val="0"/>
          <w:divBdr>
            <w:top w:val="none" w:sz="0" w:space="0" w:color="auto"/>
            <w:left w:val="none" w:sz="0" w:space="0" w:color="auto"/>
            <w:bottom w:val="none" w:sz="0" w:space="0" w:color="auto"/>
            <w:right w:val="none" w:sz="0" w:space="0" w:color="auto"/>
          </w:divBdr>
        </w:div>
      </w:divsChild>
    </w:div>
    <w:div w:id="902911321">
      <w:bodyDiv w:val="1"/>
      <w:marLeft w:val="0"/>
      <w:marRight w:val="0"/>
      <w:marTop w:val="0"/>
      <w:marBottom w:val="0"/>
      <w:divBdr>
        <w:top w:val="none" w:sz="0" w:space="0" w:color="auto"/>
        <w:left w:val="none" w:sz="0" w:space="0" w:color="auto"/>
        <w:bottom w:val="none" w:sz="0" w:space="0" w:color="auto"/>
        <w:right w:val="none" w:sz="0" w:space="0" w:color="auto"/>
      </w:divBdr>
      <w:divsChild>
        <w:div w:id="704646259">
          <w:marLeft w:val="240"/>
          <w:marRight w:val="0"/>
          <w:marTop w:val="60"/>
          <w:marBottom w:val="60"/>
          <w:divBdr>
            <w:top w:val="none" w:sz="0" w:space="0" w:color="auto"/>
            <w:left w:val="none" w:sz="0" w:space="0" w:color="auto"/>
            <w:bottom w:val="none" w:sz="0" w:space="0" w:color="auto"/>
            <w:right w:val="none" w:sz="0" w:space="0" w:color="auto"/>
          </w:divBdr>
          <w:divsChild>
            <w:div w:id="509879344">
              <w:marLeft w:val="240"/>
              <w:marRight w:val="0"/>
              <w:marTop w:val="60"/>
              <w:marBottom w:val="60"/>
              <w:divBdr>
                <w:top w:val="none" w:sz="0" w:space="0" w:color="auto"/>
                <w:left w:val="none" w:sz="0" w:space="0" w:color="auto"/>
                <w:bottom w:val="none" w:sz="0" w:space="0" w:color="auto"/>
                <w:right w:val="none" w:sz="0" w:space="0" w:color="auto"/>
              </w:divBdr>
              <w:divsChild>
                <w:div w:id="664359429">
                  <w:marLeft w:val="0"/>
                  <w:marRight w:val="0"/>
                  <w:marTop w:val="0"/>
                  <w:marBottom w:val="0"/>
                  <w:divBdr>
                    <w:top w:val="none" w:sz="0" w:space="0" w:color="auto"/>
                    <w:left w:val="none" w:sz="0" w:space="0" w:color="auto"/>
                    <w:bottom w:val="none" w:sz="0" w:space="0" w:color="auto"/>
                    <w:right w:val="none" w:sz="0" w:space="0" w:color="auto"/>
                  </w:divBdr>
                </w:div>
              </w:divsChild>
            </w:div>
            <w:div w:id="1710255220">
              <w:marLeft w:val="240"/>
              <w:marRight w:val="0"/>
              <w:marTop w:val="60"/>
              <w:marBottom w:val="60"/>
              <w:divBdr>
                <w:top w:val="none" w:sz="0" w:space="0" w:color="auto"/>
                <w:left w:val="none" w:sz="0" w:space="0" w:color="auto"/>
                <w:bottom w:val="none" w:sz="0" w:space="0" w:color="auto"/>
                <w:right w:val="none" w:sz="0" w:space="0" w:color="auto"/>
              </w:divBdr>
              <w:divsChild>
                <w:div w:id="1179276737">
                  <w:marLeft w:val="0"/>
                  <w:marRight w:val="0"/>
                  <w:marTop w:val="0"/>
                  <w:marBottom w:val="0"/>
                  <w:divBdr>
                    <w:top w:val="none" w:sz="0" w:space="0" w:color="auto"/>
                    <w:left w:val="none" w:sz="0" w:space="0" w:color="auto"/>
                    <w:bottom w:val="none" w:sz="0" w:space="0" w:color="auto"/>
                    <w:right w:val="none" w:sz="0" w:space="0" w:color="auto"/>
                  </w:divBdr>
                </w:div>
              </w:divsChild>
            </w:div>
            <w:div w:id="1751997931">
              <w:marLeft w:val="538"/>
              <w:marRight w:val="0"/>
              <w:marTop w:val="0"/>
              <w:marBottom w:val="0"/>
              <w:divBdr>
                <w:top w:val="none" w:sz="0" w:space="0" w:color="auto"/>
                <w:left w:val="none" w:sz="0" w:space="0" w:color="auto"/>
                <w:bottom w:val="none" w:sz="0" w:space="0" w:color="auto"/>
                <w:right w:val="none" w:sz="0" w:space="0" w:color="auto"/>
              </w:divBdr>
            </w:div>
          </w:divsChild>
        </w:div>
        <w:div w:id="406617088">
          <w:marLeft w:val="240"/>
          <w:marRight w:val="0"/>
          <w:marTop w:val="60"/>
          <w:marBottom w:val="60"/>
          <w:divBdr>
            <w:top w:val="none" w:sz="0" w:space="0" w:color="auto"/>
            <w:left w:val="none" w:sz="0" w:space="0" w:color="auto"/>
            <w:bottom w:val="none" w:sz="0" w:space="0" w:color="auto"/>
            <w:right w:val="none" w:sz="0" w:space="0" w:color="auto"/>
          </w:divBdr>
          <w:divsChild>
            <w:div w:id="1902709611">
              <w:marLeft w:val="0"/>
              <w:marRight w:val="0"/>
              <w:marTop w:val="0"/>
              <w:marBottom w:val="0"/>
              <w:divBdr>
                <w:top w:val="none" w:sz="0" w:space="0" w:color="auto"/>
                <w:left w:val="none" w:sz="0" w:space="0" w:color="auto"/>
                <w:bottom w:val="none" w:sz="0" w:space="0" w:color="auto"/>
                <w:right w:val="none" w:sz="0" w:space="0" w:color="auto"/>
              </w:divBdr>
            </w:div>
          </w:divsChild>
        </w:div>
        <w:div w:id="430663843">
          <w:marLeft w:val="240"/>
          <w:marRight w:val="0"/>
          <w:marTop w:val="60"/>
          <w:marBottom w:val="60"/>
          <w:divBdr>
            <w:top w:val="none" w:sz="0" w:space="0" w:color="auto"/>
            <w:left w:val="none" w:sz="0" w:space="0" w:color="auto"/>
            <w:bottom w:val="none" w:sz="0" w:space="0" w:color="auto"/>
            <w:right w:val="none" w:sz="0" w:space="0" w:color="auto"/>
          </w:divBdr>
          <w:divsChild>
            <w:div w:id="385034997">
              <w:marLeft w:val="0"/>
              <w:marRight w:val="0"/>
              <w:marTop w:val="0"/>
              <w:marBottom w:val="0"/>
              <w:divBdr>
                <w:top w:val="none" w:sz="0" w:space="0" w:color="auto"/>
                <w:left w:val="none" w:sz="0" w:space="0" w:color="auto"/>
                <w:bottom w:val="none" w:sz="0" w:space="0" w:color="auto"/>
                <w:right w:val="none" w:sz="0" w:space="0" w:color="auto"/>
              </w:divBdr>
            </w:div>
          </w:divsChild>
        </w:div>
        <w:div w:id="1432704828">
          <w:marLeft w:val="240"/>
          <w:marRight w:val="0"/>
          <w:marTop w:val="60"/>
          <w:marBottom w:val="60"/>
          <w:divBdr>
            <w:top w:val="none" w:sz="0" w:space="0" w:color="auto"/>
            <w:left w:val="none" w:sz="0" w:space="0" w:color="auto"/>
            <w:bottom w:val="none" w:sz="0" w:space="0" w:color="auto"/>
            <w:right w:val="none" w:sz="0" w:space="0" w:color="auto"/>
          </w:divBdr>
          <w:divsChild>
            <w:div w:id="1871264561">
              <w:marLeft w:val="0"/>
              <w:marRight w:val="0"/>
              <w:marTop w:val="0"/>
              <w:marBottom w:val="0"/>
              <w:divBdr>
                <w:top w:val="none" w:sz="0" w:space="0" w:color="auto"/>
                <w:left w:val="none" w:sz="0" w:space="0" w:color="auto"/>
                <w:bottom w:val="none" w:sz="0" w:space="0" w:color="auto"/>
                <w:right w:val="none" w:sz="0" w:space="0" w:color="auto"/>
              </w:divBdr>
            </w:div>
          </w:divsChild>
        </w:div>
        <w:div w:id="659697107">
          <w:marLeft w:val="240"/>
          <w:marRight w:val="0"/>
          <w:marTop w:val="60"/>
          <w:marBottom w:val="60"/>
          <w:divBdr>
            <w:top w:val="none" w:sz="0" w:space="0" w:color="auto"/>
            <w:left w:val="none" w:sz="0" w:space="0" w:color="auto"/>
            <w:bottom w:val="none" w:sz="0" w:space="0" w:color="auto"/>
            <w:right w:val="none" w:sz="0" w:space="0" w:color="auto"/>
          </w:divBdr>
          <w:divsChild>
            <w:div w:id="1878659546">
              <w:marLeft w:val="240"/>
              <w:marRight w:val="0"/>
              <w:marTop w:val="60"/>
              <w:marBottom w:val="60"/>
              <w:divBdr>
                <w:top w:val="none" w:sz="0" w:space="0" w:color="auto"/>
                <w:left w:val="none" w:sz="0" w:space="0" w:color="auto"/>
                <w:bottom w:val="none" w:sz="0" w:space="0" w:color="auto"/>
                <w:right w:val="none" w:sz="0" w:space="0" w:color="auto"/>
              </w:divBdr>
              <w:divsChild>
                <w:div w:id="882905222">
                  <w:marLeft w:val="0"/>
                  <w:marRight w:val="0"/>
                  <w:marTop w:val="0"/>
                  <w:marBottom w:val="0"/>
                  <w:divBdr>
                    <w:top w:val="none" w:sz="0" w:space="0" w:color="auto"/>
                    <w:left w:val="none" w:sz="0" w:space="0" w:color="auto"/>
                    <w:bottom w:val="none" w:sz="0" w:space="0" w:color="auto"/>
                    <w:right w:val="none" w:sz="0" w:space="0" w:color="auto"/>
                  </w:divBdr>
                </w:div>
              </w:divsChild>
            </w:div>
            <w:div w:id="444232457">
              <w:marLeft w:val="240"/>
              <w:marRight w:val="0"/>
              <w:marTop w:val="60"/>
              <w:marBottom w:val="60"/>
              <w:divBdr>
                <w:top w:val="none" w:sz="0" w:space="0" w:color="auto"/>
                <w:left w:val="none" w:sz="0" w:space="0" w:color="auto"/>
                <w:bottom w:val="none" w:sz="0" w:space="0" w:color="auto"/>
                <w:right w:val="none" w:sz="0" w:space="0" w:color="auto"/>
              </w:divBdr>
              <w:divsChild>
                <w:div w:id="1790777189">
                  <w:marLeft w:val="0"/>
                  <w:marRight w:val="0"/>
                  <w:marTop w:val="0"/>
                  <w:marBottom w:val="0"/>
                  <w:divBdr>
                    <w:top w:val="none" w:sz="0" w:space="0" w:color="auto"/>
                    <w:left w:val="none" w:sz="0" w:space="0" w:color="auto"/>
                    <w:bottom w:val="none" w:sz="0" w:space="0" w:color="auto"/>
                    <w:right w:val="none" w:sz="0" w:space="0" w:color="auto"/>
                  </w:divBdr>
                </w:div>
              </w:divsChild>
            </w:div>
            <w:div w:id="1919945076">
              <w:marLeft w:val="538"/>
              <w:marRight w:val="0"/>
              <w:marTop w:val="0"/>
              <w:marBottom w:val="0"/>
              <w:divBdr>
                <w:top w:val="none" w:sz="0" w:space="0" w:color="auto"/>
                <w:left w:val="none" w:sz="0" w:space="0" w:color="auto"/>
                <w:bottom w:val="none" w:sz="0" w:space="0" w:color="auto"/>
                <w:right w:val="none" w:sz="0" w:space="0" w:color="auto"/>
              </w:divBdr>
            </w:div>
          </w:divsChild>
        </w:div>
        <w:div w:id="1276870056">
          <w:marLeft w:val="240"/>
          <w:marRight w:val="0"/>
          <w:marTop w:val="60"/>
          <w:marBottom w:val="60"/>
          <w:divBdr>
            <w:top w:val="none" w:sz="0" w:space="0" w:color="auto"/>
            <w:left w:val="none" w:sz="0" w:space="0" w:color="auto"/>
            <w:bottom w:val="none" w:sz="0" w:space="0" w:color="auto"/>
            <w:right w:val="none" w:sz="0" w:space="0" w:color="auto"/>
          </w:divBdr>
          <w:divsChild>
            <w:div w:id="661081400">
              <w:marLeft w:val="240"/>
              <w:marRight w:val="0"/>
              <w:marTop w:val="60"/>
              <w:marBottom w:val="60"/>
              <w:divBdr>
                <w:top w:val="none" w:sz="0" w:space="0" w:color="auto"/>
                <w:left w:val="none" w:sz="0" w:space="0" w:color="auto"/>
                <w:bottom w:val="none" w:sz="0" w:space="0" w:color="auto"/>
                <w:right w:val="none" w:sz="0" w:space="0" w:color="auto"/>
              </w:divBdr>
              <w:divsChild>
                <w:div w:id="401029852">
                  <w:marLeft w:val="0"/>
                  <w:marRight w:val="0"/>
                  <w:marTop w:val="0"/>
                  <w:marBottom w:val="0"/>
                  <w:divBdr>
                    <w:top w:val="none" w:sz="0" w:space="0" w:color="auto"/>
                    <w:left w:val="none" w:sz="0" w:space="0" w:color="auto"/>
                    <w:bottom w:val="none" w:sz="0" w:space="0" w:color="auto"/>
                    <w:right w:val="none" w:sz="0" w:space="0" w:color="auto"/>
                  </w:divBdr>
                </w:div>
              </w:divsChild>
            </w:div>
            <w:div w:id="1993560207">
              <w:marLeft w:val="240"/>
              <w:marRight w:val="0"/>
              <w:marTop w:val="60"/>
              <w:marBottom w:val="60"/>
              <w:divBdr>
                <w:top w:val="none" w:sz="0" w:space="0" w:color="auto"/>
                <w:left w:val="none" w:sz="0" w:space="0" w:color="auto"/>
                <w:bottom w:val="none" w:sz="0" w:space="0" w:color="auto"/>
                <w:right w:val="none" w:sz="0" w:space="0" w:color="auto"/>
              </w:divBdr>
              <w:divsChild>
                <w:div w:id="246691731">
                  <w:marLeft w:val="240"/>
                  <w:marRight w:val="0"/>
                  <w:marTop w:val="60"/>
                  <w:marBottom w:val="60"/>
                  <w:divBdr>
                    <w:top w:val="none" w:sz="0" w:space="0" w:color="auto"/>
                    <w:left w:val="none" w:sz="0" w:space="0" w:color="auto"/>
                    <w:bottom w:val="none" w:sz="0" w:space="0" w:color="auto"/>
                    <w:right w:val="none" w:sz="0" w:space="0" w:color="auto"/>
                  </w:divBdr>
                  <w:divsChild>
                    <w:div w:id="1704938108">
                      <w:marLeft w:val="240"/>
                      <w:marRight w:val="0"/>
                      <w:marTop w:val="60"/>
                      <w:marBottom w:val="60"/>
                      <w:divBdr>
                        <w:top w:val="none" w:sz="0" w:space="0" w:color="auto"/>
                        <w:left w:val="none" w:sz="0" w:space="0" w:color="auto"/>
                        <w:bottom w:val="none" w:sz="0" w:space="0" w:color="auto"/>
                        <w:right w:val="none" w:sz="0" w:space="0" w:color="auto"/>
                      </w:divBdr>
                      <w:divsChild>
                        <w:div w:id="17388325">
                          <w:marLeft w:val="0"/>
                          <w:marRight w:val="0"/>
                          <w:marTop w:val="0"/>
                          <w:marBottom w:val="0"/>
                          <w:divBdr>
                            <w:top w:val="none" w:sz="0" w:space="0" w:color="auto"/>
                            <w:left w:val="none" w:sz="0" w:space="0" w:color="auto"/>
                            <w:bottom w:val="none" w:sz="0" w:space="0" w:color="auto"/>
                            <w:right w:val="none" w:sz="0" w:space="0" w:color="auto"/>
                          </w:divBdr>
                        </w:div>
                      </w:divsChild>
                    </w:div>
                    <w:div w:id="212733927">
                      <w:marLeft w:val="240"/>
                      <w:marRight w:val="0"/>
                      <w:marTop w:val="60"/>
                      <w:marBottom w:val="60"/>
                      <w:divBdr>
                        <w:top w:val="none" w:sz="0" w:space="0" w:color="auto"/>
                        <w:left w:val="none" w:sz="0" w:space="0" w:color="auto"/>
                        <w:bottom w:val="none" w:sz="0" w:space="0" w:color="auto"/>
                        <w:right w:val="none" w:sz="0" w:space="0" w:color="auto"/>
                      </w:divBdr>
                      <w:divsChild>
                        <w:div w:id="3130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3265">
                  <w:marLeft w:val="240"/>
                  <w:marRight w:val="0"/>
                  <w:marTop w:val="60"/>
                  <w:marBottom w:val="60"/>
                  <w:divBdr>
                    <w:top w:val="none" w:sz="0" w:space="0" w:color="auto"/>
                    <w:left w:val="none" w:sz="0" w:space="0" w:color="auto"/>
                    <w:bottom w:val="none" w:sz="0" w:space="0" w:color="auto"/>
                    <w:right w:val="none" w:sz="0" w:space="0" w:color="auto"/>
                  </w:divBdr>
                  <w:divsChild>
                    <w:div w:id="207039062">
                      <w:marLeft w:val="0"/>
                      <w:marRight w:val="0"/>
                      <w:marTop w:val="0"/>
                      <w:marBottom w:val="0"/>
                      <w:divBdr>
                        <w:top w:val="none" w:sz="0" w:space="0" w:color="auto"/>
                        <w:left w:val="none" w:sz="0" w:space="0" w:color="auto"/>
                        <w:bottom w:val="none" w:sz="0" w:space="0" w:color="auto"/>
                        <w:right w:val="none" w:sz="0" w:space="0" w:color="auto"/>
                      </w:divBdr>
                    </w:div>
                  </w:divsChild>
                </w:div>
                <w:div w:id="1894392100">
                  <w:marLeft w:val="240"/>
                  <w:marRight w:val="0"/>
                  <w:marTop w:val="60"/>
                  <w:marBottom w:val="60"/>
                  <w:divBdr>
                    <w:top w:val="none" w:sz="0" w:space="0" w:color="auto"/>
                    <w:left w:val="none" w:sz="0" w:space="0" w:color="auto"/>
                    <w:bottom w:val="none" w:sz="0" w:space="0" w:color="auto"/>
                    <w:right w:val="none" w:sz="0" w:space="0" w:color="auto"/>
                  </w:divBdr>
                  <w:divsChild>
                    <w:div w:id="146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1301">
              <w:marLeft w:val="240"/>
              <w:marRight w:val="0"/>
              <w:marTop w:val="60"/>
              <w:marBottom w:val="60"/>
              <w:divBdr>
                <w:top w:val="none" w:sz="0" w:space="0" w:color="auto"/>
                <w:left w:val="none" w:sz="0" w:space="0" w:color="auto"/>
                <w:bottom w:val="none" w:sz="0" w:space="0" w:color="auto"/>
                <w:right w:val="none" w:sz="0" w:space="0" w:color="auto"/>
              </w:divBdr>
              <w:divsChild>
                <w:div w:id="1308895145">
                  <w:marLeft w:val="240"/>
                  <w:marRight w:val="0"/>
                  <w:marTop w:val="60"/>
                  <w:marBottom w:val="60"/>
                  <w:divBdr>
                    <w:top w:val="none" w:sz="0" w:space="0" w:color="auto"/>
                    <w:left w:val="none" w:sz="0" w:space="0" w:color="auto"/>
                    <w:bottom w:val="none" w:sz="0" w:space="0" w:color="auto"/>
                    <w:right w:val="none" w:sz="0" w:space="0" w:color="auto"/>
                  </w:divBdr>
                  <w:divsChild>
                    <w:div w:id="918487550">
                      <w:marLeft w:val="240"/>
                      <w:marRight w:val="0"/>
                      <w:marTop w:val="60"/>
                      <w:marBottom w:val="60"/>
                      <w:divBdr>
                        <w:top w:val="none" w:sz="0" w:space="0" w:color="auto"/>
                        <w:left w:val="none" w:sz="0" w:space="0" w:color="auto"/>
                        <w:bottom w:val="none" w:sz="0" w:space="0" w:color="auto"/>
                        <w:right w:val="none" w:sz="0" w:space="0" w:color="auto"/>
                      </w:divBdr>
                      <w:divsChild>
                        <w:div w:id="619796894">
                          <w:marLeft w:val="0"/>
                          <w:marRight w:val="0"/>
                          <w:marTop w:val="0"/>
                          <w:marBottom w:val="0"/>
                          <w:divBdr>
                            <w:top w:val="none" w:sz="0" w:space="0" w:color="auto"/>
                            <w:left w:val="none" w:sz="0" w:space="0" w:color="auto"/>
                            <w:bottom w:val="none" w:sz="0" w:space="0" w:color="auto"/>
                            <w:right w:val="none" w:sz="0" w:space="0" w:color="auto"/>
                          </w:divBdr>
                        </w:div>
                      </w:divsChild>
                    </w:div>
                    <w:div w:id="1776562028">
                      <w:marLeft w:val="240"/>
                      <w:marRight w:val="0"/>
                      <w:marTop w:val="60"/>
                      <w:marBottom w:val="60"/>
                      <w:divBdr>
                        <w:top w:val="none" w:sz="0" w:space="0" w:color="auto"/>
                        <w:left w:val="none" w:sz="0" w:space="0" w:color="auto"/>
                        <w:bottom w:val="none" w:sz="0" w:space="0" w:color="auto"/>
                        <w:right w:val="none" w:sz="0" w:space="0" w:color="auto"/>
                      </w:divBdr>
                      <w:divsChild>
                        <w:div w:id="1059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65711">
                  <w:marLeft w:val="240"/>
                  <w:marRight w:val="0"/>
                  <w:marTop w:val="60"/>
                  <w:marBottom w:val="60"/>
                  <w:divBdr>
                    <w:top w:val="none" w:sz="0" w:space="0" w:color="auto"/>
                    <w:left w:val="none" w:sz="0" w:space="0" w:color="auto"/>
                    <w:bottom w:val="none" w:sz="0" w:space="0" w:color="auto"/>
                    <w:right w:val="none" w:sz="0" w:space="0" w:color="auto"/>
                  </w:divBdr>
                  <w:divsChild>
                    <w:div w:id="1621573226">
                      <w:marLeft w:val="240"/>
                      <w:marRight w:val="0"/>
                      <w:marTop w:val="60"/>
                      <w:marBottom w:val="60"/>
                      <w:divBdr>
                        <w:top w:val="none" w:sz="0" w:space="0" w:color="auto"/>
                        <w:left w:val="none" w:sz="0" w:space="0" w:color="auto"/>
                        <w:bottom w:val="none" w:sz="0" w:space="0" w:color="auto"/>
                        <w:right w:val="none" w:sz="0" w:space="0" w:color="auto"/>
                      </w:divBdr>
                      <w:divsChild>
                        <w:div w:id="3360278">
                          <w:marLeft w:val="0"/>
                          <w:marRight w:val="0"/>
                          <w:marTop w:val="0"/>
                          <w:marBottom w:val="0"/>
                          <w:divBdr>
                            <w:top w:val="none" w:sz="0" w:space="0" w:color="auto"/>
                            <w:left w:val="none" w:sz="0" w:space="0" w:color="auto"/>
                            <w:bottom w:val="none" w:sz="0" w:space="0" w:color="auto"/>
                            <w:right w:val="none" w:sz="0" w:space="0" w:color="auto"/>
                          </w:divBdr>
                        </w:div>
                      </w:divsChild>
                    </w:div>
                    <w:div w:id="570236413">
                      <w:marLeft w:val="240"/>
                      <w:marRight w:val="0"/>
                      <w:marTop w:val="60"/>
                      <w:marBottom w:val="60"/>
                      <w:divBdr>
                        <w:top w:val="none" w:sz="0" w:space="0" w:color="auto"/>
                        <w:left w:val="none" w:sz="0" w:space="0" w:color="auto"/>
                        <w:bottom w:val="none" w:sz="0" w:space="0" w:color="auto"/>
                        <w:right w:val="none" w:sz="0" w:space="0" w:color="auto"/>
                      </w:divBdr>
                      <w:divsChild>
                        <w:div w:id="21461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04068">
                  <w:marLeft w:val="240"/>
                  <w:marRight w:val="0"/>
                  <w:marTop w:val="60"/>
                  <w:marBottom w:val="60"/>
                  <w:divBdr>
                    <w:top w:val="none" w:sz="0" w:space="0" w:color="auto"/>
                    <w:left w:val="none" w:sz="0" w:space="0" w:color="auto"/>
                    <w:bottom w:val="none" w:sz="0" w:space="0" w:color="auto"/>
                    <w:right w:val="none" w:sz="0" w:space="0" w:color="auto"/>
                  </w:divBdr>
                  <w:divsChild>
                    <w:div w:id="158880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6546">
              <w:marLeft w:val="240"/>
              <w:marRight w:val="0"/>
              <w:marTop w:val="60"/>
              <w:marBottom w:val="60"/>
              <w:divBdr>
                <w:top w:val="none" w:sz="0" w:space="0" w:color="auto"/>
                <w:left w:val="none" w:sz="0" w:space="0" w:color="auto"/>
                <w:bottom w:val="none" w:sz="0" w:space="0" w:color="auto"/>
                <w:right w:val="none" w:sz="0" w:space="0" w:color="auto"/>
              </w:divBdr>
              <w:divsChild>
                <w:div w:id="1965648777">
                  <w:marLeft w:val="0"/>
                  <w:marRight w:val="0"/>
                  <w:marTop w:val="0"/>
                  <w:marBottom w:val="0"/>
                  <w:divBdr>
                    <w:top w:val="none" w:sz="0" w:space="0" w:color="auto"/>
                    <w:left w:val="none" w:sz="0" w:space="0" w:color="auto"/>
                    <w:bottom w:val="none" w:sz="0" w:space="0" w:color="auto"/>
                    <w:right w:val="none" w:sz="0" w:space="0" w:color="auto"/>
                  </w:divBdr>
                </w:div>
              </w:divsChild>
            </w:div>
            <w:div w:id="1340228706">
              <w:marLeft w:val="240"/>
              <w:marRight w:val="0"/>
              <w:marTop w:val="60"/>
              <w:marBottom w:val="60"/>
              <w:divBdr>
                <w:top w:val="none" w:sz="0" w:space="0" w:color="auto"/>
                <w:left w:val="none" w:sz="0" w:space="0" w:color="auto"/>
                <w:bottom w:val="none" w:sz="0" w:space="0" w:color="auto"/>
                <w:right w:val="none" w:sz="0" w:space="0" w:color="auto"/>
              </w:divBdr>
              <w:divsChild>
                <w:div w:id="673000710">
                  <w:marLeft w:val="0"/>
                  <w:marRight w:val="0"/>
                  <w:marTop w:val="0"/>
                  <w:marBottom w:val="0"/>
                  <w:divBdr>
                    <w:top w:val="none" w:sz="0" w:space="0" w:color="auto"/>
                    <w:left w:val="none" w:sz="0" w:space="0" w:color="auto"/>
                    <w:bottom w:val="none" w:sz="0" w:space="0" w:color="auto"/>
                    <w:right w:val="none" w:sz="0" w:space="0" w:color="auto"/>
                  </w:divBdr>
                </w:div>
              </w:divsChild>
            </w:div>
            <w:div w:id="1667707878">
              <w:marLeft w:val="240"/>
              <w:marRight w:val="0"/>
              <w:marTop w:val="60"/>
              <w:marBottom w:val="60"/>
              <w:divBdr>
                <w:top w:val="none" w:sz="0" w:space="0" w:color="auto"/>
                <w:left w:val="none" w:sz="0" w:space="0" w:color="auto"/>
                <w:bottom w:val="none" w:sz="0" w:space="0" w:color="auto"/>
                <w:right w:val="none" w:sz="0" w:space="0" w:color="auto"/>
              </w:divBdr>
              <w:divsChild>
                <w:div w:id="816264805">
                  <w:marLeft w:val="240"/>
                  <w:marRight w:val="0"/>
                  <w:marTop w:val="60"/>
                  <w:marBottom w:val="60"/>
                  <w:divBdr>
                    <w:top w:val="none" w:sz="0" w:space="0" w:color="auto"/>
                    <w:left w:val="none" w:sz="0" w:space="0" w:color="auto"/>
                    <w:bottom w:val="none" w:sz="0" w:space="0" w:color="auto"/>
                    <w:right w:val="none" w:sz="0" w:space="0" w:color="auto"/>
                  </w:divBdr>
                  <w:divsChild>
                    <w:div w:id="15546503">
                      <w:marLeft w:val="0"/>
                      <w:marRight w:val="0"/>
                      <w:marTop w:val="0"/>
                      <w:marBottom w:val="0"/>
                      <w:divBdr>
                        <w:top w:val="none" w:sz="0" w:space="0" w:color="auto"/>
                        <w:left w:val="none" w:sz="0" w:space="0" w:color="auto"/>
                        <w:bottom w:val="none" w:sz="0" w:space="0" w:color="auto"/>
                        <w:right w:val="none" w:sz="0" w:space="0" w:color="auto"/>
                      </w:divBdr>
                    </w:div>
                  </w:divsChild>
                </w:div>
                <w:div w:id="1421297722">
                  <w:marLeft w:val="240"/>
                  <w:marRight w:val="0"/>
                  <w:marTop w:val="60"/>
                  <w:marBottom w:val="60"/>
                  <w:divBdr>
                    <w:top w:val="none" w:sz="0" w:space="0" w:color="auto"/>
                    <w:left w:val="none" w:sz="0" w:space="0" w:color="auto"/>
                    <w:bottom w:val="none" w:sz="0" w:space="0" w:color="auto"/>
                    <w:right w:val="none" w:sz="0" w:space="0" w:color="auto"/>
                  </w:divBdr>
                  <w:divsChild>
                    <w:div w:id="17679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98738">
              <w:marLeft w:val="240"/>
              <w:marRight w:val="0"/>
              <w:marTop w:val="60"/>
              <w:marBottom w:val="60"/>
              <w:divBdr>
                <w:top w:val="none" w:sz="0" w:space="0" w:color="auto"/>
                <w:left w:val="none" w:sz="0" w:space="0" w:color="auto"/>
                <w:bottom w:val="none" w:sz="0" w:space="0" w:color="auto"/>
                <w:right w:val="none" w:sz="0" w:space="0" w:color="auto"/>
              </w:divBdr>
              <w:divsChild>
                <w:div w:id="1611472487">
                  <w:marLeft w:val="240"/>
                  <w:marRight w:val="0"/>
                  <w:marTop w:val="60"/>
                  <w:marBottom w:val="60"/>
                  <w:divBdr>
                    <w:top w:val="none" w:sz="0" w:space="0" w:color="auto"/>
                    <w:left w:val="none" w:sz="0" w:space="0" w:color="auto"/>
                    <w:bottom w:val="none" w:sz="0" w:space="0" w:color="auto"/>
                    <w:right w:val="none" w:sz="0" w:space="0" w:color="auto"/>
                  </w:divBdr>
                  <w:divsChild>
                    <w:div w:id="255138650">
                      <w:marLeft w:val="0"/>
                      <w:marRight w:val="0"/>
                      <w:marTop w:val="0"/>
                      <w:marBottom w:val="0"/>
                      <w:divBdr>
                        <w:top w:val="none" w:sz="0" w:space="0" w:color="auto"/>
                        <w:left w:val="none" w:sz="0" w:space="0" w:color="auto"/>
                        <w:bottom w:val="none" w:sz="0" w:space="0" w:color="auto"/>
                        <w:right w:val="none" w:sz="0" w:space="0" w:color="auto"/>
                      </w:divBdr>
                    </w:div>
                  </w:divsChild>
                </w:div>
                <w:div w:id="2136899303">
                  <w:marLeft w:val="240"/>
                  <w:marRight w:val="0"/>
                  <w:marTop w:val="60"/>
                  <w:marBottom w:val="60"/>
                  <w:divBdr>
                    <w:top w:val="none" w:sz="0" w:space="0" w:color="auto"/>
                    <w:left w:val="none" w:sz="0" w:space="0" w:color="auto"/>
                    <w:bottom w:val="none" w:sz="0" w:space="0" w:color="auto"/>
                    <w:right w:val="none" w:sz="0" w:space="0" w:color="auto"/>
                  </w:divBdr>
                  <w:divsChild>
                    <w:div w:id="150459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2418">
              <w:marLeft w:val="240"/>
              <w:marRight w:val="0"/>
              <w:marTop w:val="60"/>
              <w:marBottom w:val="60"/>
              <w:divBdr>
                <w:top w:val="none" w:sz="0" w:space="0" w:color="auto"/>
                <w:left w:val="none" w:sz="0" w:space="0" w:color="auto"/>
                <w:bottom w:val="none" w:sz="0" w:space="0" w:color="auto"/>
                <w:right w:val="none" w:sz="0" w:space="0" w:color="auto"/>
              </w:divBdr>
              <w:divsChild>
                <w:div w:id="255869286">
                  <w:marLeft w:val="240"/>
                  <w:marRight w:val="0"/>
                  <w:marTop w:val="60"/>
                  <w:marBottom w:val="60"/>
                  <w:divBdr>
                    <w:top w:val="none" w:sz="0" w:space="0" w:color="auto"/>
                    <w:left w:val="none" w:sz="0" w:space="0" w:color="auto"/>
                    <w:bottom w:val="none" w:sz="0" w:space="0" w:color="auto"/>
                    <w:right w:val="none" w:sz="0" w:space="0" w:color="auto"/>
                  </w:divBdr>
                  <w:divsChild>
                    <w:div w:id="1850869704">
                      <w:marLeft w:val="0"/>
                      <w:marRight w:val="0"/>
                      <w:marTop w:val="0"/>
                      <w:marBottom w:val="0"/>
                      <w:divBdr>
                        <w:top w:val="none" w:sz="0" w:space="0" w:color="auto"/>
                        <w:left w:val="none" w:sz="0" w:space="0" w:color="auto"/>
                        <w:bottom w:val="none" w:sz="0" w:space="0" w:color="auto"/>
                        <w:right w:val="none" w:sz="0" w:space="0" w:color="auto"/>
                      </w:divBdr>
                    </w:div>
                  </w:divsChild>
                </w:div>
                <w:div w:id="599030750">
                  <w:marLeft w:val="240"/>
                  <w:marRight w:val="0"/>
                  <w:marTop w:val="60"/>
                  <w:marBottom w:val="60"/>
                  <w:divBdr>
                    <w:top w:val="none" w:sz="0" w:space="0" w:color="auto"/>
                    <w:left w:val="none" w:sz="0" w:space="0" w:color="auto"/>
                    <w:bottom w:val="none" w:sz="0" w:space="0" w:color="auto"/>
                    <w:right w:val="none" w:sz="0" w:space="0" w:color="auto"/>
                  </w:divBdr>
                  <w:divsChild>
                    <w:div w:id="19164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71510">
          <w:marLeft w:val="240"/>
          <w:marRight w:val="0"/>
          <w:marTop w:val="60"/>
          <w:marBottom w:val="60"/>
          <w:divBdr>
            <w:top w:val="none" w:sz="0" w:space="0" w:color="auto"/>
            <w:left w:val="none" w:sz="0" w:space="0" w:color="auto"/>
            <w:bottom w:val="none" w:sz="0" w:space="0" w:color="auto"/>
            <w:right w:val="none" w:sz="0" w:space="0" w:color="auto"/>
          </w:divBdr>
          <w:divsChild>
            <w:div w:id="2031255426">
              <w:marLeft w:val="240"/>
              <w:marRight w:val="0"/>
              <w:marTop w:val="60"/>
              <w:marBottom w:val="60"/>
              <w:divBdr>
                <w:top w:val="none" w:sz="0" w:space="0" w:color="auto"/>
                <w:left w:val="none" w:sz="0" w:space="0" w:color="auto"/>
                <w:bottom w:val="none" w:sz="0" w:space="0" w:color="auto"/>
                <w:right w:val="none" w:sz="0" w:space="0" w:color="auto"/>
              </w:divBdr>
              <w:divsChild>
                <w:div w:id="2141412842">
                  <w:marLeft w:val="240"/>
                  <w:marRight w:val="0"/>
                  <w:marTop w:val="60"/>
                  <w:marBottom w:val="60"/>
                  <w:divBdr>
                    <w:top w:val="none" w:sz="0" w:space="0" w:color="auto"/>
                    <w:left w:val="none" w:sz="0" w:space="0" w:color="auto"/>
                    <w:bottom w:val="none" w:sz="0" w:space="0" w:color="auto"/>
                    <w:right w:val="none" w:sz="0" w:space="0" w:color="auto"/>
                  </w:divBdr>
                  <w:divsChild>
                    <w:div w:id="1392732934">
                      <w:marLeft w:val="0"/>
                      <w:marRight w:val="0"/>
                      <w:marTop w:val="0"/>
                      <w:marBottom w:val="0"/>
                      <w:divBdr>
                        <w:top w:val="none" w:sz="0" w:space="0" w:color="auto"/>
                        <w:left w:val="none" w:sz="0" w:space="0" w:color="auto"/>
                        <w:bottom w:val="none" w:sz="0" w:space="0" w:color="auto"/>
                        <w:right w:val="none" w:sz="0" w:space="0" w:color="auto"/>
                      </w:divBdr>
                    </w:div>
                  </w:divsChild>
                </w:div>
                <w:div w:id="622227003">
                  <w:marLeft w:val="240"/>
                  <w:marRight w:val="0"/>
                  <w:marTop w:val="60"/>
                  <w:marBottom w:val="60"/>
                  <w:divBdr>
                    <w:top w:val="none" w:sz="0" w:space="0" w:color="auto"/>
                    <w:left w:val="none" w:sz="0" w:space="0" w:color="auto"/>
                    <w:bottom w:val="none" w:sz="0" w:space="0" w:color="auto"/>
                    <w:right w:val="none" w:sz="0" w:space="0" w:color="auto"/>
                  </w:divBdr>
                  <w:divsChild>
                    <w:div w:id="2117672559">
                      <w:marLeft w:val="240"/>
                      <w:marRight w:val="0"/>
                      <w:marTop w:val="60"/>
                      <w:marBottom w:val="60"/>
                      <w:divBdr>
                        <w:top w:val="none" w:sz="0" w:space="0" w:color="auto"/>
                        <w:left w:val="none" w:sz="0" w:space="0" w:color="auto"/>
                        <w:bottom w:val="none" w:sz="0" w:space="0" w:color="auto"/>
                        <w:right w:val="none" w:sz="0" w:space="0" w:color="auto"/>
                      </w:divBdr>
                      <w:divsChild>
                        <w:div w:id="110785230">
                          <w:marLeft w:val="0"/>
                          <w:marRight w:val="0"/>
                          <w:marTop w:val="0"/>
                          <w:marBottom w:val="0"/>
                          <w:divBdr>
                            <w:top w:val="none" w:sz="0" w:space="0" w:color="auto"/>
                            <w:left w:val="none" w:sz="0" w:space="0" w:color="auto"/>
                            <w:bottom w:val="none" w:sz="0" w:space="0" w:color="auto"/>
                            <w:right w:val="none" w:sz="0" w:space="0" w:color="auto"/>
                          </w:divBdr>
                        </w:div>
                      </w:divsChild>
                    </w:div>
                    <w:div w:id="1202743845">
                      <w:marLeft w:val="240"/>
                      <w:marRight w:val="0"/>
                      <w:marTop w:val="60"/>
                      <w:marBottom w:val="60"/>
                      <w:divBdr>
                        <w:top w:val="none" w:sz="0" w:space="0" w:color="auto"/>
                        <w:left w:val="none" w:sz="0" w:space="0" w:color="auto"/>
                        <w:bottom w:val="none" w:sz="0" w:space="0" w:color="auto"/>
                        <w:right w:val="none" w:sz="0" w:space="0" w:color="auto"/>
                      </w:divBdr>
                      <w:divsChild>
                        <w:div w:id="5437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2861">
              <w:marLeft w:val="240"/>
              <w:marRight w:val="0"/>
              <w:marTop w:val="60"/>
              <w:marBottom w:val="60"/>
              <w:divBdr>
                <w:top w:val="none" w:sz="0" w:space="0" w:color="auto"/>
                <w:left w:val="none" w:sz="0" w:space="0" w:color="auto"/>
                <w:bottom w:val="none" w:sz="0" w:space="0" w:color="auto"/>
                <w:right w:val="none" w:sz="0" w:space="0" w:color="auto"/>
              </w:divBdr>
              <w:divsChild>
                <w:div w:id="1940989053">
                  <w:marLeft w:val="240"/>
                  <w:marRight w:val="0"/>
                  <w:marTop w:val="60"/>
                  <w:marBottom w:val="60"/>
                  <w:divBdr>
                    <w:top w:val="none" w:sz="0" w:space="0" w:color="auto"/>
                    <w:left w:val="none" w:sz="0" w:space="0" w:color="auto"/>
                    <w:bottom w:val="none" w:sz="0" w:space="0" w:color="auto"/>
                    <w:right w:val="none" w:sz="0" w:space="0" w:color="auto"/>
                  </w:divBdr>
                  <w:divsChild>
                    <w:div w:id="932667225">
                      <w:marLeft w:val="240"/>
                      <w:marRight w:val="0"/>
                      <w:marTop w:val="60"/>
                      <w:marBottom w:val="60"/>
                      <w:divBdr>
                        <w:top w:val="none" w:sz="0" w:space="0" w:color="auto"/>
                        <w:left w:val="none" w:sz="0" w:space="0" w:color="auto"/>
                        <w:bottom w:val="none" w:sz="0" w:space="0" w:color="auto"/>
                        <w:right w:val="none" w:sz="0" w:space="0" w:color="auto"/>
                      </w:divBdr>
                      <w:divsChild>
                        <w:div w:id="1473330038">
                          <w:marLeft w:val="0"/>
                          <w:marRight w:val="0"/>
                          <w:marTop w:val="0"/>
                          <w:marBottom w:val="0"/>
                          <w:divBdr>
                            <w:top w:val="none" w:sz="0" w:space="0" w:color="auto"/>
                            <w:left w:val="none" w:sz="0" w:space="0" w:color="auto"/>
                            <w:bottom w:val="none" w:sz="0" w:space="0" w:color="auto"/>
                            <w:right w:val="none" w:sz="0" w:space="0" w:color="auto"/>
                          </w:divBdr>
                        </w:div>
                      </w:divsChild>
                    </w:div>
                    <w:div w:id="1277326744">
                      <w:marLeft w:val="240"/>
                      <w:marRight w:val="0"/>
                      <w:marTop w:val="60"/>
                      <w:marBottom w:val="60"/>
                      <w:divBdr>
                        <w:top w:val="none" w:sz="0" w:space="0" w:color="auto"/>
                        <w:left w:val="none" w:sz="0" w:space="0" w:color="auto"/>
                        <w:bottom w:val="none" w:sz="0" w:space="0" w:color="auto"/>
                        <w:right w:val="none" w:sz="0" w:space="0" w:color="auto"/>
                      </w:divBdr>
                      <w:divsChild>
                        <w:div w:id="1476219803">
                          <w:marLeft w:val="240"/>
                          <w:marRight w:val="0"/>
                          <w:marTop w:val="60"/>
                          <w:marBottom w:val="60"/>
                          <w:divBdr>
                            <w:top w:val="none" w:sz="0" w:space="0" w:color="auto"/>
                            <w:left w:val="none" w:sz="0" w:space="0" w:color="auto"/>
                            <w:bottom w:val="none" w:sz="0" w:space="0" w:color="auto"/>
                            <w:right w:val="none" w:sz="0" w:space="0" w:color="auto"/>
                          </w:divBdr>
                          <w:divsChild>
                            <w:div w:id="2117751542">
                              <w:marLeft w:val="0"/>
                              <w:marRight w:val="0"/>
                              <w:marTop w:val="0"/>
                              <w:marBottom w:val="0"/>
                              <w:divBdr>
                                <w:top w:val="none" w:sz="0" w:space="0" w:color="auto"/>
                                <w:left w:val="none" w:sz="0" w:space="0" w:color="auto"/>
                                <w:bottom w:val="none" w:sz="0" w:space="0" w:color="auto"/>
                                <w:right w:val="none" w:sz="0" w:space="0" w:color="auto"/>
                              </w:divBdr>
                            </w:div>
                          </w:divsChild>
                        </w:div>
                        <w:div w:id="632103720">
                          <w:marLeft w:val="240"/>
                          <w:marRight w:val="0"/>
                          <w:marTop w:val="60"/>
                          <w:marBottom w:val="60"/>
                          <w:divBdr>
                            <w:top w:val="none" w:sz="0" w:space="0" w:color="auto"/>
                            <w:left w:val="none" w:sz="0" w:space="0" w:color="auto"/>
                            <w:bottom w:val="none" w:sz="0" w:space="0" w:color="auto"/>
                            <w:right w:val="none" w:sz="0" w:space="0" w:color="auto"/>
                          </w:divBdr>
                          <w:divsChild>
                            <w:div w:id="1598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54433">
                  <w:marLeft w:val="240"/>
                  <w:marRight w:val="0"/>
                  <w:marTop w:val="60"/>
                  <w:marBottom w:val="60"/>
                  <w:divBdr>
                    <w:top w:val="none" w:sz="0" w:space="0" w:color="auto"/>
                    <w:left w:val="none" w:sz="0" w:space="0" w:color="auto"/>
                    <w:bottom w:val="none" w:sz="0" w:space="0" w:color="auto"/>
                    <w:right w:val="none" w:sz="0" w:space="0" w:color="auto"/>
                  </w:divBdr>
                  <w:divsChild>
                    <w:div w:id="1913463030">
                      <w:marLeft w:val="0"/>
                      <w:marRight w:val="0"/>
                      <w:marTop w:val="0"/>
                      <w:marBottom w:val="0"/>
                      <w:divBdr>
                        <w:top w:val="none" w:sz="0" w:space="0" w:color="auto"/>
                        <w:left w:val="none" w:sz="0" w:space="0" w:color="auto"/>
                        <w:bottom w:val="none" w:sz="0" w:space="0" w:color="auto"/>
                        <w:right w:val="none" w:sz="0" w:space="0" w:color="auto"/>
                      </w:divBdr>
                    </w:div>
                  </w:divsChild>
                </w:div>
                <w:div w:id="946355549">
                  <w:marLeft w:val="240"/>
                  <w:marRight w:val="0"/>
                  <w:marTop w:val="60"/>
                  <w:marBottom w:val="60"/>
                  <w:divBdr>
                    <w:top w:val="none" w:sz="0" w:space="0" w:color="auto"/>
                    <w:left w:val="none" w:sz="0" w:space="0" w:color="auto"/>
                    <w:bottom w:val="none" w:sz="0" w:space="0" w:color="auto"/>
                    <w:right w:val="none" w:sz="0" w:space="0" w:color="auto"/>
                  </w:divBdr>
                  <w:divsChild>
                    <w:div w:id="19225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88969">
              <w:marLeft w:val="240"/>
              <w:marRight w:val="0"/>
              <w:marTop w:val="60"/>
              <w:marBottom w:val="60"/>
              <w:divBdr>
                <w:top w:val="none" w:sz="0" w:space="0" w:color="auto"/>
                <w:left w:val="none" w:sz="0" w:space="0" w:color="auto"/>
                <w:bottom w:val="none" w:sz="0" w:space="0" w:color="auto"/>
                <w:right w:val="none" w:sz="0" w:space="0" w:color="auto"/>
              </w:divBdr>
              <w:divsChild>
                <w:div w:id="1013991000">
                  <w:marLeft w:val="240"/>
                  <w:marRight w:val="0"/>
                  <w:marTop w:val="60"/>
                  <w:marBottom w:val="60"/>
                  <w:divBdr>
                    <w:top w:val="none" w:sz="0" w:space="0" w:color="auto"/>
                    <w:left w:val="none" w:sz="0" w:space="0" w:color="auto"/>
                    <w:bottom w:val="none" w:sz="0" w:space="0" w:color="auto"/>
                    <w:right w:val="none" w:sz="0" w:space="0" w:color="auto"/>
                  </w:divBdr>
                  <w:divsChild>
                    <w:div w:id="1359742493">
                      <w:marLeft w:val="240"/>
                      <w:marRight w:val="0"/>
                      <w:marTop w:val="60"/>
                      <w:marBottom w:val="60"/>
                      <w:divBdr>
                        <w:top w:val="none" w:sz="0" w:space="0" w:color="auto"/>
                        <w:left w:val="none" w:sz="0" w:space="0" w:color="auto"/>
                        <w:bottom w:val="none" w:sz="0" w:space="0" w:color="auto"/>
                        <w:right w:val="none" w:sz="0" w:space="0" w:color="auto"/>
                      </w:divBdr>
                      <w:divsChild>
                        <w:div w:id="1859394607">
                          <w:marLeft w:val="0"/>
                          <w:marRight w:val="0"/>
                          <w:marTop w:val="0"/>
                          <w:marBottom w:val="0"/>
                          <w:divBdr>
                            <w:top w:val="none" w:sz="0" w:space="0" w:color="auto"/>
                            <w:left w:val="none" w:sz="0" w:space="0" w:color="auto"/>
                            <w:bottom w:val="none" w:sz="0" w:space="0" w:color="auto"/>
                            <w:right w:val="none" w:sz="0" w:space="0" w:color="auto"/>
                          </w:divBdr>
                        </w:div>
                      </w:divsChild>
                    </w:div>
                    <w:div w:id="636373399">
                      <w:marLeft w:val="240"/>
                      <w:marRight w:val="0"/>
                      <w:marTop w:val="60"/>
                      <w:marBottom w:val="60"/>
                      <w:divBdr>
                        <w:top w:val="none" w:sz="0" w:space="0" w:color="auto"/>
                        <w:left w:val="none" w:sz="0" w:space="0" w:color="auto"/>
                        <w:bottom w:val="none" w:sz="0" w:space="0" w:color="auto"/>
                        <w:right w:val="none" w:sz="0" w:space="0" w:color="auto"/>
                      </w:divBdr>
                      <w:divsChild>
                        <w:div w:id="242641615">
                          <w:marLeft w:val="0"/>
                          <w:marRight w:val="0"/>
                          <w:marTop w:val="0"/>
                          <w:marBottom w:val="0"/>
                          <w:divBdr>
                            <w:top w:val="none" w:sz="0" w:space="0" w:color="auto"/>
                            <w:left w:val="none" w:sz="0" w:space="0" w:color="auto"/>
                            <w:bottom w:val="none" w:sz="0" w:space="0" w:color="auto"/>
                            <w:right w:val="none" w:sz="0" w:space="0" w:color="auto"/>
                          </w:divBdr>
                        </w:div>
                      </w:divsChild>
                    </w:div>
                    <w:div w:id="1164323531">
                      <w:marLeft w:val="506"/>
                      <w:marRight w:val="0"/>
                      <w:marTop w:val="0"/>
                      <w:marBottom w:val="0"/>
                      <w:divBdr>
                        <w:top w:val="none" w:sz="0" w:space="0" w:color="auto"/>
                        <w:left w:val="none" w:sz="0" w:space="0" w:color="auto"/>
                        <w:bottom w:val="none" w:sz="0" w:space="0" w:color="auto"/>
                        <w:right w:val="none" w:sz="0" w:space="0" w:color="auto"/>
                      </w:divBdr>
                    </w:div>
                  </w:divsChild>
                </w:div>
                <w:div w:id="1081365008">
                  <w:marLeft w:val="240"/>
                  <w:marRight w:val="0"/>
                  <w:marTop w:val="60"/>
                  <w:marBottom w:val="60"/>
                  <w:divBdr>
                    <w:top w:val="none" w:sz="0" w:space="0" w:color="auto"/>
                    <w:left w:val="none" w:sz="0" w:space="0" w:color="auto"/>
                    <w:bottom w:val="none" w:sz="0" w:space="0" w:color="auto"/>
                    <w:right w:val="none" w:sz="0" w:space="0" w:color="auto"/>
                  </w:divBdr>
                  <w:divsChild>
                    <w:div w:id="808594610">
                      <w:marLeft w:val="0"/>
                      <w:marRight w:val="0"/>
                      <w:marTop w:val="0"/>
                      <w:marBottom w:val="0"/>
                      <w:divBdr>
                        <w:top w:val="none" w:sz="0" w:space="0" w:color="auto"/>
                        <w:left w:val="none" w:sz="0" w:space="0" w:color="auto"/>
                        <w:bottom w:val="none" w:sz="0" w:space="0" w:color="auto"/>
                        <w:right w:val="none" w:sz="0" w:space="0" w:color="auto"/>
                      </w:divBdr>
                    </w:div>
                  </w:divsChild>
                </w:div>
                <w:div w:id="218396503">
                  <w:marLeft w:val="240"/>
                  <w:marRight w:val="0"/>
                  <w:marTop w:val="60"/>
                  <w:marBottom w:val="60"/>
                  <w:divBdr>
                    <w:top w:val="none" w:sz="0" w:space="0" w:color="auto"/>
                    <w:left w:val="none" w:sz="0" w:space="0" w:color="auto"/>
                    <w:bottom w:val="none" w:sz="0" w:space="0" w:color="auto"/>
                    <w:right w:val="none" w:sz="0" w:space="0" w:color="auto"/>
                  </w:divBdr>
                  <w:divsChild>
                    <w:div w:id="15808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7432">
              <w:marLeft w:val="240"/>
              <w:marRight w:val="0"/>
              <w:marTop w:val="60"/>
              <w:marBottom w:val="60"/>
              <w:divBdr>
                <w:top w:val="none" w:sz="0" w:space="0" w:color="auto"/>
                <w:left w:val="none" w:sz="0" w:space="0" w:color="auto"/>
                <w:bottom w:val="none" w:sz="0" w:space="0" w:color="auto"/>
                <w:right w:val="none" w:sz="0" w:space="0" w:color="auto"/>
              </w:divBdr>
              <w:divsChild>
                <w:div w:id="2062510674">
                  <w:marLeft w:val="240"/>
                  <w:marRight w:val="0"/>
                  <w:marTop w:val="60"/>
                  <w:marBottom w:val="60"/>
                  <w:divBdr>
                    <w:top w:val="none" w:sz="0" w:space="0" w:color="auto"/>
                    <w:left w:val="none" w:sz="0" w:space="0" w:color="auto"/>
                    <w:bottom w:val="none" w:sz="0" w:space="0" w:color="auto"/>
                    <w:right w:val="none" w:sz="0" w:space="0" w:color="auto"/>
                  </w:divBdr>
                  <w:divsChild>
                    <w:div w:id="6098932">
                      <w:marLeft w:val="240"/>
                      <w:marRight w:val="0"/>
                      <w:marTop w:val="60"/>
                      <w:marBottom w:val="60"/>
                      <w:divBdr>
                        <w:top w:val="none" w:sz="0" w:space="0" w:color="auto"/>
                        <w:left w:val="none" w:sz="0" w:space="0" w:color="auto"/>
                        <w:bottom w:val="none" w:sz="0" w:space="0" w:color="auto"/>
                        <w:right w:val="none" w:sz="0" w:space="0" w:color="auto"/>
                      </w:divBdr>
                      <w:divsChild>
                        <w:div w:id="1100377059">
                          <w:marLeft w:val="0"/>
                          <w:marRight w:val="0"/>
                          <w:marTop w:val="0"/>
                          <w:marBottom w:val="0"/>
                          <w:divBdr>
                            <w:top w:val="none" w:sz="0" w:space="0" w:color="auto"/>
                            <w:left w:val="none" w:sz="0" w:space="0" w:color="auto"/>
                            <w:bottom w:val="none" w:sz="0" w:space="0" w:color="auto"/>
                            <w:right w:val="none" w:sz="0" w:space="0" w:color="auto"/>
                          </w:divBdr>
                        </w:div>
                      </w:divsChild>
                    </w:div>
                    <w:div w:id="2071229928">
                      <w:marLeft w:val="240"/>
                      <w:marRight w:val="0"/>
                      <w:marTop w:val="60"/>
                      <w:marBottom w:val="60"/>
                      <w:divBdr>
                        <w:top w:val="none" w:sz="0" w:space="0" w:color="auto"/>
                        <w:left w:val="none" w:sz="0" w:space="0" w:color="auto"/>
                        <w:bottom w:val="none" w:sz="0" w:space="0" w:color="auto"/>
                        <w:right w:val="none" w:sz="0" w:space="0" w:color="auto"/>
                      </w:divBdr>
                      <w:divsChild>
                        <w:div w:id="716784849">
                          <w:marLeft w:val="240"/>
                          <w:marRight w:val="0"/>
                          <w:marTop w:val="60"/>
                          <w:marBottom w:val="60"/>
                          <w:divBdr>
                            <w:top w:val="none" w:sz="0" w:space="0" w:color="auto"/>
                            <w:left w:val="none" w:sz="0" w:space="0" w:color="auto"/>
                            <w:bottom w:val="none" w:sz="0" w:space="0" w:color="auto"/>
                            <w:right w:val="none" w:sz="0" w:space="0" w:color="auto"/>
                          </w:divBdr>
                          <w:divsChild>
                            <w:div w:id="426003192">
                              <w:marLeft w:val="0"/>
                              <w:marRight w:val="0"/>
                              <w:marTop w:val="0"/>
                              <w:marBottom w:val="0"/>
                              <w:divBdr>
                                <w:top w:val="none" w:sz="0" w:space="0" w:color="auto"/>
                                <w:left w:val="none" w:sz="0" w:space="0" w:color="auto"/>
                                <w:bottom w:val="none" w:sz="0" w:space="0" w:color="auto"/>
                                <w:right w:val="none" w:sz="0" w:space="0" w:color="auto"/>
                              </w:divBdr>
                            </w:div>
                          </w:divsChild>
                        </w:div>
                        <w:div w:id="409081974">
                          <w:marLeft w:val="240"/>
                          <w:marRight w:val="0"/>
                          <w:marTop w:val="60"/>
                          <w:marBottom w:val="60"/>
                          <w:divBdr>
                            <w:top w:val="none" w:sz="0" w:space="0" w:color="auto"/>
                            <w:left w:val="none" w:sz="0" w:space="0" w:color="auto"/>
                            <w:bottom w:val="none" w:sz="0" w:space="0" w:color="auto"/>
                            <w:right w:val="none" w:sz="0" w:space="0" w:color="auto"/>
                          </w:divBdr>
                          <w:divsChild>
                            <w:div w:id="5775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5601">
                  <w:marLeft w:val="240"/>
                  <w:marRight w:val="0"/>
                  <w:marTop w:val="60"/>
                  <w:marBottom w:val="60"/>
                  <w:divBdr>
                    <w:top w:val="none" w:sz="0" w:space="0" w:color="auto"/>
                    <w:left w:val="none" w:sz="0" w:space="0" w:color="auto"/>
                    <w:bottom w:val="none" w:sz="0" w:space="0" w:color="auto"/>
                    <w:right w:val="none" w:sz="0" w:space="0" w:color="auto"/>
                  </w:divBdr>
                  <w:divsChild>
                    <w:div w:id="1780293489">
                      <w:marLeft w:val="0"/>
                      <w:marRight w:val="0"/>
                      <w:marTop w:val="0"/>
                      <w:marBottom w:val="0"/>
                      <w:divBdr>
                        <w:top w:val="none" w:sz="0" w:space="0" w:color="auto"/>
                        <w:left w:val="none" w:sz="0" w:space="0" w:color="auto"/>
                        <w:bottom w:val="none" w:sz="0" w:space="0" w:color="auto"/>
                        <w:right w:val="none" w:sz="0" w:space="0" w:color="auto"/>
                      </w:divBdr>
                    </w:div>
                  </w:divsChild>
                </w:div>
                <w:div w:id="1195577862">
                  <w:marLeft w:val="240"/>
                  <w:marRight w:val="0"/>
                  <w:marTop w:val="60"/>
                  <w:marBottom w:val="60"/>
                  <w:divBdr>
                    <w:top w:val="none" w:sz="0" w:space="0" w:color="auto"/>
                    <w:left w:val="none" w:sz="0" w:space="0" w:color="auto"/>
                    <w:bottom w:val="none" w:sz="0" w:space="0" w:color="auto"/>
                    <w:right w:val="none" w:sz="0" w:space="0" w:color="auto"/>
                  </w:divBdr>
                  <w:divsChild>
                    <w:div w:id="203222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3522">
              <w:marLeft w:val="240"/>
              <w:marRight w:val="0"/>
              <w:marTop w:val="60"/>
              <w:marBottom w:val="60"/>
              <w:divBdr>
                <w:top w:val="none" w:sz="0" w:space="0" w:color="auto"/>
                <w:left w:val="none" w:sz="0" w:space="0" w:color="auto"/>
                <w:bottom w:val="none" w:sz="0" w:space="0" w:color="auto"/>
                <w:right w:val="none" w:sz="0" w:space="0" w:color="auto"/>
              </w:divBdr>
              <w:divsChild>
                <w:div w:id="480542684">
                  <w:marLeft w:val="240"/>
                  <w:marRight w:val="0"/>
                  <w:marTop w:val="60"/>
                  <w:marBottom w:val="60"/>
                  <w:divBdr>
                    <w:top w:val="none" w:sz="0" w:space="0" w:color="auto"/>
                    <w:left w:val="none" w:sz="0" w:space="0" w:color="auto"/>
                    <w:bottom w:val="none" w:sz="0" w:space="0" w:color="auto"/>
                    <w:right w:val="none" w:sz="0" w:space="0" w:color="auto"/>
                  </w:divBdr>
                  <w:divsChild>
                    <w:div w:id="1928072137">
                      <w:marLeft w:val="0"/>
                      <w:marRight w:val="0"/>
                      <w:marTop w:val="0"/>
                      <w:marBottom w:val="0"/>
                      <w:divBdr>
                        <w:top w:val="none" w:sz="0" w:space="0" w:color="auto"/>
                        <w:left w:val="none" w:sz="0" w:space="0" w:color="auto"/>
                        <w:bottom w:val="none" w:sz="0" w:space="0" w:color="auto"/>
                        <w:right w:val="none" w:sz="0" w:space="0" w:color="auto"/>
                      </w:divBdr>
                    </w:div>
                  </w:divsChild>
                </w:div>
                <w:div w:id="923685005">
                  <w:marLeft w:val="240"/>
                  <w:marRight w:val="0"/>
                  <w:marTop w:val="60"/>
                  <w:marBottom w:val="60"/>
                  <w:divBdr>
                    <w:top w:val="none" w:sz="0" w:space="0" w:color="auto"/>
                    <w:left w:val="none" w:sz="0" w:space="0" w:color="auto"/>
                    <w:bottom w:val="none" w:sz="0" w:space="0" w:color="auto"/>
                    <w:right w:val="none" w:sz="0" w:space="0" w:color="auto"/>
                  </w:divBdr>
                  <w:divsChild>
                    <w:div w:id="13763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92246">
              <w:marLeft w:val="240"/>
              <w:marRight w:val="0"/>
              <w:marTop w:val="60"/>
              <w:marBottom w:val="60"/>
              <w:divBdr>
                <w:top w:val="none" w:sz="0" w:space="0" w:color="auto"/>
                <w:left w:val="none" w:sz="0" w:space="0" w:color="auto"/>
                <w:bottom w:val="none" w:sz="0" w:space="0" w:color="auto"/>
                <w:right w:val="none" w:sz="0" w:space="0" w:color="auto"/>
              </w:divBdr>
              <w:divsChild>
                <w:div w:id="591596857">
                  <w:marLeft w:val="0"/>
                  <w:marRight w:val="0"/>
                  <w:marTop w:val="0"/>
                  <w:marBottom w:val="0"/>
                  <w:divBdr>
                    <w:top w:val="none" w:sz="0" w:space="0" w:color="auto"/>
                    <w:left w:val="none" w:sz="0" w:space="0" w:color="auto"/>
                    <w:bottom w:val="none" w:sz="0" w:space="0" w:color="auto"/>
                    <w:right w:val="none" w:sz="0" w:space="0" w:color="auto"/>
                  </w:divBdr>
                </w:div>
              </w:divsChild>
            </w:div>
            <w:div w:id="907036337">
              <w:marLeft w:val="240"/>
              <w:marRight w:val="0"/>
              <w:marTop w:val="60"/>
              <w:marBottom w:val="60"/>
              <w:divBdr>
                <w:top w:val="none" w:sz="0" w:space="0" w:color="auto"/>
                <w:left w:val="none" w:sz="0" w:space="0" w:color="auto"/>
                <w:bottom w:val="none" w:sz="0" w:space="0" w:color="auto"/>
                <w:right w:val="none" w:sz="0" w:space="0" w:color="auto"/>
              </w:divBdr>
              <w:divsChild>
                <w:div w:id="1583680061">
                  <w:marLeft w:val="240"/>
                  <w:marRight w:val="0"/>
                  <w:marTop w:val="60"/>
                  <w:marBottom w:val="60"/>
                  <w:divBdr>
                    <w:top w:val="none" w:sz="0" w:space="0" w:color="auto"/>
                    <w:left w:val="none" w:sz="0" w:space="0" w:color="auto"/>
                    <w:bottom w:val="none" w:sz="0" w:space="0" w:color="auto"/>
                    <w:right w:val="none" w:sz="0" w:space="0" w:color="auto"/>
                  </w:divBdr>
                  <w:divsChild>
                    <w:div w:id="431703450">
                      <w:marLeft w:val="240"/>
                      <w:marRight w:val="0"/>
                      <w:marTop w:val="60"/>
                      <w:marBottom w:val="60"/>
                      <w:divBdr>
                        <w:top w:val="none" w:sz="0" w:space="0" w:color="auto"/>
                        <w:left w:val="none" w:sz="0" w:space="0" w:color="auto"/>
                        <w:bottom w:val="none" w:sz="0" w:space="0" w:color="auto"/>
                        <w:right w:val="none" w:sz="0" w:space="0" w:color="auto"/>
                      </w:divBdr>
                      <w:divsChild>
                        <w:div w:id="1463115863">
                          <w:marLeft w:val="0"/>
                          <w:marRight w:val="0"/>
                          <w:marTop w:val="0"/>
                          <w:marBottom w:val="0"/>
                          <w:divBdr>
                            <w:top w:val="none" w:sz="0" w:space="0" w:color="auto"/>
                            <w:left w:val="none" w:sz="0" w:space="0" w:color="auto"/>
                            <w:bottom w:val="none" w:sz="0" w:space="0" w:color="auto"/>
                            <w:right w:val="none" w:sz="0" w:space="0" w:color="auto"/>
                          </w:divBdr>
                        </w:div>
                      </w:divsChild>
                    </w:div>
                    <w:div w:id="199100305">
                      <w:marLeft w:val="240"/>
                      <w:marRight w:val="0"/>
                      <w:marTop w:val="60"/>
                      <w:marBottom w:val="60"/>
                      <w:divBdr>
                        <w:top w:val="none" w:sz="0" w:space="0" w:color="auto"/>
                        <w:left w:val="none" w:sz="0" w:space="0" w:color="auto"/>
                        <w:bottom w:val="none" w:sz="0" w:space="0" w:color="auto"/>
                        <w:right w:val="none" w:sz="0" w:space="0" w:color="auto"/>
                      </w:divBdr>
                      <w:divsChild>
                        <w:div w:id="938834663">
                          <w:marLeft w:val="0"/>
                          <w:marRight w:val="0"/>
                          <w:marTop w:val="0"/>
                          <w:marBottom w:val="0"/>
                          <w:divBdr>
                            <w:top w:val="none" w:sz="0" w:space="0" w:color="auto"/>
                            <w:left w:val="none" w:sz="0" w:space="0" w:color="auto"/>
                            <w:bottom w:val="none" w:sz="0" w:space="0" w:color="auto"/>
                            <w:right w:val="none" w:sz="0" w:space="0" w:color="auto"/>
                          </w:divBdr>
                        </w:div>
                      </w:divsChild>
                    </w:div>
                    <w:div w:id="1102453797">
                      <w:marLeft w:val="240"/>
                      <w:marRight w:val="0"/>
                      <w:marTop w:val="60"/>
                      <w:marBottom w:val="60"/>
                      <w:divBdr>
                        <w:top w:val="none" w:sz="0" w:space="0" w:color="auto"/>
                        <w:left w:val="none" w:sz="0" w:space="0" w:color="auto"/>
                        <w:bottom w:val="none" w:sz="0" w:space="0" w:color="auto"/>
                        <w:right w:val="none" w:sz="0" w:space="0" w:color="auto"/>
                      </w:divBdr>
                      <w:divsChild>
                        <w:div w:id="1571846444">
                          <w:marLeft w:val="0"/>
                          <w:marRight w:val="0"/>
                          <w:marTop w:val="0"/>
                          <w:marBottom w:val="0"/>
                          <w:divBdr>
                            <w:top w:val="none" w:sz="0" w:space="0" w:color="auto"/>
                            <w:left w:val="none" w:sz="0" w:space="0" w:color="auto"/>
                            <w:bottom w:val="none" w:sz="0" w:space="0" w:color="auto"/>
                            <w:right w:val="none" w:sz="0" w:space="0" w:color="auto"/>
                          </w:divBdr>
                        </w:div>
                      </w:divsChild>
                    </w:div>
                    <w:div w:id="2129739139">
                      <w:marLeft w:val="240"/>
                      <w:marRight w:val="0"/>
                      <w:marTop w:val="60"/>
                      <w:marBottom w:val="60"/>
                      <w:divBdr>
                        <w:top w:val="none" w:sz="0" w:space="0" w:color="auto"/>
                        <w:left w:val="none" w:sz="0" w:space="0" w:color="auto"/>
                        <w:bottom w:val="none" w:sz="0" w:space="0" w:color="auto"/>
                        <w:right w:val="none" w:sz="0" w:space="0" w:color="auto"/>
                      </w:divBdr>
                      <w:divsChild>
                        <w:div w:id="1172841905">
                          <w:marLeft w:val="0"/>
                          <w:marRight w:val="0"/>
                          <w:marTop w:val="0"/>
                          <w:marBottom w:val="0"/>
                          <w:divBdr>
                            <w:top w:val="none" w:sz="0" w:space="0" w:color="auto"/>
                            <w:left w:val="none" w:sz="0" w:space="0" w:color="auto"/>
                            <w:bottom w:val="none" w:sz="0" w:space="0" w:color="auto"/>
                            <w:right w:val="none" w:sz="0" w:space="0" w:color="auto"/>
                          </w:divBdr>
                        </w:div>
                      </w:divsChild>
                    </w:div>
                    <w:div w:id="1787696155">
                      <w:marLeft w:val="506"/>
                      <w:marRight w:val="0"/>
                      <w:marTop w:val="0"/>
                      <w:marBottom w:val="0"/>
                      <w:divBdr>
                        <w:top w:val="none" w:sz="0" w:space="0" w:color="auto"/>
                        <w:left w:val="none" w:sz="0" w:space="0" w:color="auto"/>
                        <w:bottom w:val="none" w:sz="0" w:space="0" w:color="auto"/>
                        <w:right w:val="none" w:sz="0" w:space="0" w:color="auto"/>
                      </w:divBdr>
                    </w:div>
                  </w:divsChild>
                </w:div>
                <w:div w:id="1289749136">
                  <w:marLeft w:val="240"/>
                  <w:marRight w:val="0"/>
                  <w:marTop w:val="60"/>
                  <w:marBottom w:val="60"/>
                  <w:divBdr>
                    <w:top w:val="none" w:sz="0" w:space="0" w:color="auto"/>
                    <w:left w:val="none" w:sz="0" w:space="0" w:color="auto"/>
                    <w:bottom w:val="none" w:sz="0" w:space="0" w:color="auto"/>
                    <w:right w:val="none" w:sz="0" w:space="0" w:color="auto"/>
                  </w:divBdr>
                  <w:divsChild>
                    <w:div w:id="744691423">
                      <w:marLeft w:val="240"/>
                      <w:marRight w:val="0"/>
                      <w:marTop w:val="60"/>
                      <w:marBottom w:val="60"/>
                      <w:divBdr>
                        <w:top w:val="none" w:sz="0" w:space="0" w:color="auto"/>
                        <w:left w:val="none" w:sz="0" w:space="0" w:color="auto"/>
                        <w:bottom w:val="none" w:sz="0" w:space="0" w:color="auto"/>
                        <w:right w:val="none" w:sz="0" w:space="0" w:color="auto"/>
                      </w:divBdr>
                      <w:divsChild>
                        <w:div w:id="1490558669">
                          <w:marLeft w:val="0"/>
                          <w:marRight w:val="0"/>
                          <w:marTop w:val="0"/>
                          <w:marBottom w:val="0"/>
                          <w:divBdr>
                            <w:top w:val="none" w:sz="0" w:space="0" w:color="auto"/>
                            <w:left w:val="none" w:sz="0" w:space="0" w:color="auto"/>
                            <w:bottom w:val="none" w:sz="0" w:space="0" w:color="auto"/>
                            <w:right w:val="none" w:sz="0" w:space="0" w:color="auto"/>
                          </w:divBdr>
                        </w:div>
                      </w:divsChild>
                    </w:div>
                    <w:div w:id="1501458075">
                      <w:marLeft w:val="240"/>
                      <w:marRight w:val="0"/>
                      <w:marTop w:val="60"/>
                      <w:marBottom w:val="60"/>
                      <w:divBdr>
                        <w:top w:val="none" w:sz="0" w:space="0" w:color="auto"/>
                        <w:left w:val="none" w:sz="0" w:space="0" w:color="auto"/>
                        <w:bottom w:val="none" w:sz="0" w:space="0" w:color="auto"/>
                        <w:right w:val="none" w:sz="0" w:space="0" w:color="auto"/>
                      </w:divBdr>
                      <w:divsChild>
                        <w:div w:id="527917557">
                          <w:marLeft w:val="240"/>
                          <w:marRight w:val="0"/>
                          <w:marTop w:val="60"/>
                          <w:marBottom w:val="60"/>
                          <w:divBdr>
                            <w:top w:val="none" w:sz="0" w:space="0" w:color="auto"/>
                            <w:left w:val="none" w:sz="0" w:space="0" w:color="auto"/>
                            <w:bottom w:val="none" w:sz="0" w:space="0" w:color="auto"/>
                            <w:right w:val="none" w:sz="0" w:space="0" w:color="auto"/>
                          </w:divBdr>
                          <w:divsChild>
                            <w:div w:id="69431808">
                              <w:marLeft w:val="0"/>
                              <w:marRight w:val="0"/>
                              <w:marTop w:val="0"/>
                              <w:marBottom w:val="0"/>
                              <w:divBdr>
                                <w:top w:val="none" w:sz="0" w:space="0" w:color="auto"/>
                                <w:left w:val="none" w:sz="0" w:space="0" w:color="auto"/>
                                <w:bottom w:val="none" w:sz="0" w:space="0" w:color="auto"/>
                                <w:right w:val="none" w:sz="0" w:space="0" w:color="auto"/>
                              </w:divBdr>
                            </w:div>
                          </w:divsChild>
                        </w:div>
                        <w:div w:id="1461142608">
                          <w:marLeft w:val="240"/>
                          <w:marRight w:val="0"/>
                          <w:marTop w:val="60"/>
                          <w:marBottom w:val="60"/>
                          <w:divBdr>
                            <w:top w:val="none" w:sz="0" w:space="0" w:color="auto"/>
                            <w:left w:val="none" w:sz="0" w:space="0" w:color="auto"/>
                            <w:bottom w:val="none" w:sz="0" w:space="0" w:color="auto"/>
                            <w:right w:val="none" w:sz="0" w:space="0" w:color="auto"/>
                          </w:divBdr>
                          <w:divsChild>
                            <w:div w:id="6276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30290">
                      <w:marLeft w:val="240"/>
                      <w:marRight w:val="0"/>
                      <w:marTop w:val="60"/>
                      <w:marBottom w:val="60"/>
                      <w:divBdr>
                        <w:top w:val="none" w:sz="0" w:space="0" w:color="auto"/>
                        <w:left w:val="none" w:sz="0" w:space="0" w:color="auto"/>
                        <w:bottom w:val="none" w:sz="0" w:space="0" w:color="auto"/>
                        <w:right w:val="none" w:sz="0" w:space="0" w:color="auto"/>
                      </w:divBdr>
                      <w:divsChild>
                        <w:div w:id="168836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90424">
                  <w:marLeft w:val="240"/>
                  <w:marRight w:val="0"/>
                  <w:marTop w:val="60"/>
                  <w:marBottom w:val="60"/>
                  <w:divBdr>
                    <w:top w:val="none" w:sz="0" w:space="0" w:color="auto"/>
                    <w:left w:val="none" w:sz="0" w:space="0" w:color="auto"/>
                    <w:bottom w:val="none" w:sz="0" w:space="0" w:color="auto"/>
                    <w:right w:val="none" w:sz="0" w:space="0" w:color="auto"/>
                  </w:divBdr>
                  <w:divsChild>
                    <w:div w:id="15935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1934">
          <w:marLeft w:val="240"/>
          <w:marRight w:val="0"/>
          <w:marTop w:val="60"/>
          <w:marBottom w:val="60"/>
          <w:divBdr>
            <w:top w:val="none" w:sz="0" w:space="0" w:color="auto"/>
            <w:left w:val="none" w:sz="0" w:space="0" w:color="auto"/>
            <w:bottom w:val="none" w:sz="0" w:space="0" w:color="auto"/>
            <w:right w:val="none" w:sz="0" w:space="0" w:color="auto"/>
          </w:divBdr>
          <w:divsChild>
            <w:div w:id="1977488881">
              <w:marLeft w:val="240"/>
              <w:marRight w:val="0"/>
              <w:marTop w:val="60"/>
              <w:marBottom w:val="60"/>
              <w:divBdr>
                <w:top w:val="none" w:sz="0" w:space="0" w:color="auto"/>
                <w:left w:val="none" w:sz="0" w:space="0" w:color="auto"/>
                <w:bottom w:val="none" w:sz="0" w:space="0" w:color="auto"/>
                <w:right w:val="none" w:sz="0" w:space="0" w:color="auto"/>
              </w:divBdr>
              <w:divsChild>
                <w:div w:id="907154949">
                  <w:marLeft w:val="240"/>
                  <w:marRight w:val="0"/>
                  <w:marTop w:val="60"/>
                  <w:marBottom w:val="60"/>
                  <w:divBdr>
                    <w:top w:val="none" w:sz="0" w:space="0" w:color="auto"/>
                    <w:left w:val="none" w:sz="0" w:space="0" w:color="auto"/>
                    <w:bottom w:val="none" w:sz="0" w:space="0" w:color="auto"/>
                    <w:right w:val="none" w:sz="0" w:space="0" w:color="auto"/>
                  </w:divBdr>
                  <w:divsChild>
                    <w:div w:id="1018576781">
                      <w:marLeft w:val="240"/>
                      <w:marRight w:val="0"/>
                      <w:marTop w:val="60"/>
                      <w:marBottom w:val="60"/>
                      <w:divBdr>
                        <w:top w:val="none" w:sz="0" w:space="0" w:color="auto"/>
                        <w:left w:val="none" w:sz="0" w:space="0" w:color="auto"/>
                        <w:bottom w:val="none" w:sz="0" w:space="0" w:color="auto"/>
                        <w:right w:val="none" w:sz="0" w:space="0" w:color="auto"/>
                      </w:divBdr>
                      <w:divsChild>
                        <w:div w:id="809786843">
                          <w:marLeft w:val="0"/>
                          <w:marRight w:val="0"/>
                          <w:marTop w:val="0"/>
                          <w:marBottom w:val="0"/>
                          <w:divBdr>
                            <w:top w:val="none" w:sz="0" w:space="0" w:color="auto"/>
                            <w:left w:val="none" w:sz="0" w:space="0" w:color="auto"/>
                            <w:bottom w:val="none" w:sz="0" w:space="0" w:color="auto"/>
                            <w:right w:val="none" w:sz="0" w:space="0" w:color="auto"/>
                          </w:divBdr>
                        </w:div>
                      </w:divsChild>
                    </w:div>
                    <w:div w:id="1512909004">
                      <w:marLeft w:val="240"/>
                      <w:marRight w:val="0"/>
                      <w:marTop w:val="60"/>
                      <w:marBottom w:val="60"/>
                      <w:divBdr>
                        <w:top w:val="none" w:sz="0" w:space="0" w:color="auto"/>
                        <w:left w:val="none" w:sz="0" w:space="0" w:color="auto"/>
                        <w:bottom w:val="none" w:sz="0" w:space="0" w:color="auto"/>
                        <w:right w:val="none" w:sz="0" w:space="0" w:color="auto"/>
                      </w:divBdr>
                      <w:divsChild>
                        <w:div w:id="1822967546">
                          <w:marLeft w:val="240"/>
                          <w:marRight w:val="0"/>
                          <w:marTop w:val="60"/>
                          <w:marBottom w:val="60"/>
                          <w:divBdr>
                            <w:top w:val="none" w:sz="0" w:space="0" w:color="auto"/>
                            <w:left w:val="none" w:sz="0" w:space="0" w:color="auto"/>
                            <w:bottom w:val="none" w:sz="0" w:space="0" w:color="auto"/>
                            <w:right w:val="none" w:sz="0" w:space="0" w:color="auto"/>
                          </w:divBdr>
                          <w:divsChild>
                            <w:div w:id="638147390">
                              <w:marLeft w:val="0"/>
                              <w:marRight w:val="0"/>
                              <w:marTop w:val="0"/>
                              <w:marBottom w:val="0"/>
                              <w:divBdr>
                                <w:top w:val="none" w:sz="0" w:space="0" w:color="auto"/>
                                <w:left w:val="none" w:sz="0" w:space="0" w:color="auto"/>
                                <w:bottom w:val="none" w:sz="0" w:space="0" w:color="auto"/>
                                <w:right w:val="none" w:sz="0" w:space="0" w:color="auto"/>
                              </w:divBdr>
                            </w:div>
                          </w:divsChild>
                        </w:div>
                        <w:div w:id="785928930">
                          <w:marLeft w:val="240"/>
                          <w:marRight w:val="0"/>
                          <w:marTop w:val="60"/>
                          <w:marBottom w:val="60"/>
                          <w:divBdr>
                            <w:top w:val="none" w:sz="0" w:space="0" w:color="auto"/>
                            <w:left w:val="none" w:sz="0" w:space="0" w:color="auto"/>
                            <w:bottom w:val="none" w:sz="0" w:space="0" w:color="auto"/>
                            <w:right w:val="none" w:sz="0" w:space="0" w:color="auto"/>
                          </w:divBdr>
                          <w:divsChild>
                            <w:div w:id="21103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76758">
                  <w:marLeft w:val="240"/>
                  <w:marRight w:val="0"/>
                  <w:marTop w:val="60"/>
                  <w:marBottom w:val="60"/>
                  <w:divBdr>
                    <w:top w:val="none" w:sz="0" w:space="0" w:color="auto"/>
                    <w:left w:val="none" w:sz="0" w:space="0" w:color="auto"/>
                    <w:bottom w:val="none" w:sz="0" w:space="0" w:color="auto"/>
                    <w:right w:val="none" w:sz="0" w:space="0" w:color="auto"/>
                  </w:divBdr>
                  <w:divsChild>
                    <w:div w:id="1633826873">
                      <w:marLeft w:val="240"/>
                      <w:marRight w:val="0"/>
                      <w:marTop w:val="60"/>
                      <w:marBottom w:val="60"/>
                      <w:divBdr>
                        <w:top w:val="none" w:sz="0" w:space="0" w:color="auto"/>
                        <w:left w:val="none" w:sz="0" w:space="0" w:color="auto"/>
                        <w:bottom w:val="none" w:sz="0" w:space="0" w:color="auto"/>
                        <w:right w:val="none" w:sz="0" w:space="0" w:color="auto"/>
                      </w:divBdr>
                      <w:divsChild>
                        <w:div w:id="1521160072">
                          <w:marLeft w:val="0"/>
                          <w:marRight w:val="0"/>
                          <w:marTop w:val="0"/>
                          <w:marBottom w:val="0"/>
                          <w:divBdr>
                            <w:top w:val="none" w:sz="0" w:space="0" w:color="auto"/>
                            <w:left w:val="none" w:sz="0" w:space="0" w:color="auto"/>
                            <w:bottom w:val="none" w:sz="0" w:space="0" w:color="auto"/>
                            <w:right w:val="none" w:sz="0" w:space="0" w:color="auto"/>
                          </w:divBdr>
                        </w:div>
                      </w:divsChild>
                    </w:div>
                    <w:div w:id="2073851287">
                      <w:marLeft w:val="240"/>
                      <w:marRight w:val="0"/>
                      <w:marTop w:val="60"/>
                      <w:marBottom w:val="60"/>
                      <w:divBdr>
                        <w:top w:val="none" w:sz="0" w:space="0" w:color="auto"/>
                        <w:left w:val="none" w:sz="0" w:space="0" w:color="auto"/>
                        <w:bottom w:val="none" w:sz="0" w:space="0" w:color="auto"/>
                        <w:right w:val="none" w:sz="0" w:space="0" w:color="auto"/>
                      </w:divBdr>
                      <w:divsChild>
                        <w:div w:id="838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5910">
                  <w:marLeft w:val="240"/>
                  <w:marRight w:val="0"/>
                  <w:marTop w:val="60"/>
                  <w:marBottom w:val="60"/>
                  <w:divBdr>
                    <w:top w:val="none" w:sz="0" w:space="0" w:color="auto"/>
                    <w:left w:val="none" w:sz="0" w:space="0" w:color="auto"/>
                    <w:bottom w:val="none" w:sz="0" w:space="0" w:color="auto"/>
                    <w:right w:val="none" w:sz="0" w:space="0" w:color="auto"/>
                  </w:divBdr>
                  <w:divsChild>
                    <w:div w:id="1237979661">
                      <w:marLeft w:val="240"/>
                      <w:marRight w:val="0"/>
                      <w:marTop w:val="60"/>
                      <w:marBottom w:val="60"/>
                      <w:divBdr>
                        <w:top w:val="none" w:sz="0" w:space="0" w:color="auto"/>
                        <w:left w:val="none" w:sz="0" w:space="0" w:color="auto"/>
                        <w:bottom w:val="none" w:sz="0" w:space="0" w:color="auto"/>
                        <w:right w:val="none" w:sz="0" w:space="0" w:color="auto"/>
                      </w:divBdr>
                      <w:divsChild>
                        <w:div w:id="1471243933">
                          <w:marLeft w:val="0"/>
                          <w:marRight w:val="0"/>
                          <w:marTop w:val="0"/>
                          <w:marBottom w:val="0"/>
                          <w:divBdr>
                            <w:top w:val="none" w:sz="0" w:space="0" w:color="auto"/>
                            <w:left w:val="none" w:sz="0" w:space="0" w:color="auto"/>
                            <w:bottom w:val="none" w:sz="0" w:space="0" w:color="auto"/>
                            <w:right w:val="none" w:sz="0" w:space="0" w:color="auto"/>
                          </w:divBdr>
                        </w:div>
                      </w:divsChild>
                    </w:div>
                    <w:div w:id="666596617">
                      <w:marLeft w:val="240"/>
                      <w:marRight w:val="0"/>
                      <w:marTop w:val="60"/>
                      <w:marBottom w:val="60"/>
                      <w:divBdr>
                        <w:top w:val="none" w:sz="0" w:space="0" w:color="auto"/>
                        <w:left w:val="none" w:sz="0" w:space="0" w:color="auto"/>
                        <w:bottom w:val="none" w:sz="0" w:space="0" w:color="auto"/>
                        <w:right w:val="none" w:sz="0" w:space="0" w:color="auto"/>
                      </w:divBdr>
                      <w:divsChild>
                        <w:div w:id="1240479716">
                          <w:marLeft w:val="240"/>
                          <w:marRight w:val="0"/>
                          <w:marTop w:val="60"/>
                          <w:marBottom w:val="60"/>
                          <w:divBdr>
                            <w:top w:val="none" w:sz="0" w:space="0" w:color="auto"/>
                            <w:left w:val="none" w:sz="0" w:space="0" w:color="auto"/>
                            <w:bottom w:val="none" w:sz="0" w:space="0" w:color="auto"/>
                            <w:right w:val="none" w:sz="0" w:space="0" w:color="auto"/>
                          </w:divBdr>
                          <w:divsChild>
                            <w:div w:id="32923646">
                              <w:marLeft w:val="0"/>
                              <w:marRight w:val="0"/>
                              <w:marTop w:val="0"/>
                              <w:marBottom w:val="0"/>
                              <w:divBdr>
                                <w:top w:val="none" w:sz="0" w:space="0" w:color="auto"/>
                                <w:left w:val="none" w:sz="0" w:space="0" w:color="auto"/>
                                <w:bottom w:val="none" w:sz="0" w:space="0" w:color="auto"/>
                                <w:right w:val="none" w:sz="0" w:space="0" w:color="auto"/>
                              </w:divBdr>
                            </w:div>
                          </w:divsChild>
                        </w:div>
                        <w:div w:id="212812232">
                          <w:marLeft w:val="240"/>
                          <w:marRight w:val="0"/>
                          <w:marTop w:val="60"/>
                          <w:marBottom w:val="60"/>
                          <w:divBdr>
                            <w:top w:val="none" w:sz="0" w:space="0" w:color="auto"/>
                            <w:left w:val="none" w:sz="0" w:space="0" w:color="auto"/>
                            <w:bottom w:val="none" w:sz="0" w:space="0" w:color="auto"/>
                            <w:right w:val="none" w:sz="0" w:space="0" w:color="auto"/>
                          </w:divBdr>
                          <w:divsChild>
                            <w:div w:id="7974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1216">
                  <w:marLeft w:val="240"/>
                  <w:marRight w:val="0"/>
                  <w:marTop w:val="60"/>
                  <w:marBottom w:val="60"/>
                  <w:divBdr>
                    <w:top w:val="none" w:sz="0" w:space="0" w:color="auto"/>
                    <w:left w:val="none" w:sz="0" w:space="0" w:color="auto"/>
                    <w:bottom w:val="none" w:sz="0" w:space="0" w:color="auto"/>
                    <w:right w:val="none" w:sz="0" w:space="0" w:color="auto"/>
                  </w:divBdr>
                  <w:divsChild>
                    <w:div w:id="1028410193">
                      <w:marLeft w:val="0"/>
                      <w:marRight w:val="0"/>
                      <w:marTop w:val="0"/>
                      <w:marBottom w:val="0"/>
                      <w:divBdr>
                        <w:top w:val="none" w:sz="0" w:space="0" w:color="auto"/>
                        <w:left w:val="none" w:sz="0" w:space="0" w:color="auto"/>
                        <w:bottom w:val="none" w:sz="0" w:space="0" w:color="auto"/>
                        <w:right w:val="none" w:sz="0" w:space="0" w:color="auto"/>
                      </w:divBdr>
                    </w:div>
                  </w:divsChild>
                </w:div>
                <w:div w:id="1603760186">
                  <w:marLeft w:val="240"/>
                  <w:marRight w:val="0"/>
                  <w:marTop w:val="60"/>
                  <w:marBottom w:val="60"/>
                  <w:divBdr>
                    <w:top w:val="none" w:sz="0" w:space="0" w:color="auto"/>
                    <w:left w:val="none" w:sz="0" w:space="0" w:color="auto"/>
                    <w:bottom w:val="none" w:sz="0" w:space="0" w:color="auto"/>
                    <w:right w:val="none" w:sz="0" w:space="0" w:color="auto"/>
                  </w:divBdr>
                  <w:divsChild>
                    <w:div w:id="1803770265">
                      <w:marLeft w:val="240"/>
                      <w:marRight w:val="0"/>
                      <w:marTop w:val="60"/>
                      <w:marBottom w:val="60"/>
                      <w:divBdr>
                        <w:top w:val="none" w:sz="0" w:space="0" w:color="auto"/>
                        <w:left w:val="none" w:sz="0" w:space="0" w:color="auto"/>
                        <w:bottom w:val="none" w:sz="0" w:space="0" w:color="auto"/>
                        <w:right w:val="none" w:sz="0" w:space="0" w:color="auto"/>
                      </w:divBdr>
                      <w:divsChild>
                        <w:div w:id="2014062280">
                          <w:marLeft w:val="0"/>
                          <w:marRight w:val="0"/>
                          <w:marTop w:val="0"/>
                          <w:marBottom w:val="0"/>
                          <w:divBdr>
                            <w:top w:val="none" w:sz="0" w:space="0" w:color="auto"/>
                            <w:left w:val="none" w:sz="0" w:space="0" w:color="auto"/>
                            <w:bottom w:val="none" w:sz="0" w:space="0" w:color="auto"/>
                            <w:right w:val="none" w:sz="0" w:space="0" w:color="auto"/>
                          </w:divBdr>
                        </w:div>
                      </w:divsChild>
                    </w:div>
                    <w:div w:id="1642733970">
                      <w:marLeft w:val="240"/>
                      <w:marRight w:val="0"/>
                      <w:marTop w:val="60"/>
                      <w:marBottom w:val="60"/>
                      <w:divBdr>
                        <w:top w:val="none" w:sz="0" w:space="0" w:color="auto"/>
                        <w:left w:val="none" w:sz="0" w:space="0" w:color="auto"/>
                        <w:bottom w:val="none" w:sz="0" w:space="0" w:color="auto"/>
                        <w:right w:val="none" w:sz="0" w:space="0" w:color="auto"/>
                      </w:divBdr>
                      <w:divsChild>
                        <w:div w:id="2072147647">
                          <w:marLeft w:val="240"/>
                          <w:marRight w:val="0"/>
                          <w:marTop w:val="60"/>
                          <w:marBottom w:val="60"/>
                          <w:divBdr>
                            <w:top w:val="none" w:sz="0" w:space="0" w:color="auto"/>
                            <w:left w:val="none" w:sz="0" w:space="0" w:color="auto"/>
                            <w:bottom w:val="none" w:sz="0" w:space="0" w:color="auto"/>
                            <w:right w:val="none" w:sz="0" w:space="0" w:color="auto"/>
                          </w:divBdr>
                          <w:divsChild>
                            <w:div w:id="1459639235">
                              <w:marLeft w:val="0"/>
                              <w:marRight w:val="0"/>
                              <w:marTop w:val="0"/>
                              <w:marBottom w:val="0"/>
                              <w:divBdr>
                                <w:top w:val="none" w:sz="0" w:space="0" w:color="auto"/>
                                <w:left w:val="none" w:sz="0" w:space="0" w:color="auto"/>
                                <w:bottom w:val="none" w:sz="0" w:space="0" w:color="auto"/>
                                <w:right w:val="none" w:sz="0" w:space="0" w:color="auto"/>
                              </w:divBdr>
                            </w:div>
                          </w:divsChild>
                        </w:div>
                        <w:div w:id="650714076">
                          <w:marLeft w:val="240"/>
                          <w:marRight w:val="0"/>
                          <w:marTop w:val="60"/>
                          <w:marBottom w:val="60"/>
                          <w:divBdr>
                            <w:top w:val="none" w:sz="0" w:space="0" w:color="auto"/>
                            <w:left w:val="none" w:sz="0" w:space="0" w:color="auto"/>
                            <w:bottom w:val="none" w:sz="0" w:space="0" w:color="auto"/>
                            <w:right w:val="none" w:sz="0" w:space="0" w:color="auto"/>
                          </w:divBdr>
                          <w:divsChild>
                            <w:div w:id="6866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16596">
                  <w:marLeft w:val="240"/>
                  <w:marRight w:val="0"/>
                  <w:marTop w:val="60"/>
                  <w:marBottom w:val="60"/>
                  <w:divBdr>
                    <w:top w:val="none" w:sz="0" w:space="0" w:color="auto"/>
                    <w:left w:val="none" w:sz="0" w:space="0" w:color="auto"/>
                    <w:bottom w:val="none" w:sz="0" w:space="0" w:color="auto"/>
                    <w:right w:val="none" w:sz="0" w:space="0" w:color="auto"/>
                  </w:divBdr>
                  <w:divsChild>
                    <w:div w:id="4601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92145">
              <w:marLeft w:val="240"/>
              <w:marRight w:val="0"/>
              <w:marTop w:val="60"/>
              <w:marBottom w:val="60"/>
              <w:divBdr>
                <w:top w:val="none" w:sz="0" w:space="0" w:color="auto"/>
                <w:left w:val="none" w:sz="0" w:space="0" w:color="auto"/>
                <w:bottom w:val="none" w:sz="0" w:space="0" w:color="auto"/>
                <w:right w:val="none" w:sz="0" w:space="0" w:color="auto"/>
              </w:divBdr>
              <w:divsChild>
                <w:div w:id="1314797864">
                  <w:marLeft w:val="0"/>
                  <w:marRight w:val="0"/>
                  <w:marTop w:val="0"/>
                  <w:marBottom w:val="0"/>
                  <w:divBdr>
                    <w:top w:val="none" w:sz="0" w:space="0" w:color="auto"/>
                    <w:left w:val="none" w:sz="0" w:space="0" w:color="auto"/>
                    <w:bottom w:val="none" w:sz="0" w:space="0" w:color="auto"/>
                    <w:right w:val="none" w:sz="0" w:space="0" w:color="auto"/>
                  </w:divBdr>
                </w:div>
              </w:divsChild>
            </w:div>
            <w:div w:id="1328555292">
              <w:marLeft w:val="240"/>
              <w:marRight w:val="0"/>
              <w:marTop w:val="60"/>
              <w:marBottom w:val="60"/>
              <w:divBdr>
                <w:top w:val="none" w:sz="0" w:space="0" w:color="auto"/>
                <w:left w:val="none" w:sz="0" w:space="0" w:color="auto"/>
                <w:bottom w:val="none" w:sz="0" w:space="0" w:color="auto"/>
                <w:right w:val="none" w:sz="0" w:space="0" w:color="auto"/>
              </w:divBdr>
              <w:divsChild>
                <w:div w:id="788007248">
                  <w:marLeft w:val="240"/>
                  <w:marRight w:val="0"/>
                  <w:marTop w:val="60"/>
                  <w:marBottom w:val="60"/>
                  <w:divBdr>
                    <w:top w:val="none" w:sz="0" w:space="0" w:color="auto"/>
                    <w:left w:val="none" w:sz="0" w:space="0" w:color="auto"/>
                    <w:bottom w:val="none" w:sz="0" w:space="0" w:color="auto"/>
                    <w:right w:val="none" w:sz="0" w:space="0" w:color="auto"/>
                  </w:divBdr>
                  <w:divsChild>
                    <w:div w:id="1097099810">
                      <w:marLeft w:val="240"/>
                      <w:marRight w:val="0"/>
                      <w:marTop w:val="60"/>
                      <w:marBottom w:val="60"/>
                      <w:divBdr>
                        <w:top w:val="none" w:sz="0" w:space="0" w:color="auto"/>
                        <w:left w:val="none" w:sz="0" w:space="0" w:color="auto"/>
                        <w:bottom w:val="none" w:sz="0" w:space="0" w:color="auto"/>
                        <w:right w:val="none" w:sz="0" w:space="0" w:color="auto"/>
                      </w:divBdr>
                      <w:divsChild>
                        <w:div w:id="1759715672">
                          <w:marLeft w:val="0"/>
                          <w:marRight w:val="0"/>
                          <w:marTop w:val="0"/>
                          <w:marBottom w:val="0"/>
                          <w:divBdr>
                            <w:top w:val="none" w:sz="0" w:space="0" w:color="auto"/>
                            <w:left w:val="none" w:sz="0" w:space="0" w:color="auto"/>
                            <w:bottom w:val="none" w:sz="0" w:space="0" w:color="auto"/>
                            <w:right w:val="none" w:sz="0" w:space="0" w:color="auto"/>
                          </w:divBdr>
                        </w:div>
                      </w:divsChild>
                    </w:div>
                    <w:div w:id="1086612635">
                      <w:marLeft w:val="240"/>
                      <w:marRight w:val="0"/>
                      <w:marTop w:val="60"/>
                      <w:marBottom w:val="60"/>
                      <w:divBdr>
                        <w:top w:val="none" w:sz="0" w:space="0" w:color="auto"/>
                        <w:left w:val="none" w:sz="0" w:space="0" w:color="auto"/>
                        <w:bottom w:val="none" w:sz="0" w:space="0" w:color="auto"/>
                        <w:right w:val="none" w:sz="0" w:space="0" w:color="auto"/>
                      </w:divBdr>
                      <w:divsChild>
                        <w:div w:id="11909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2251">
                  <w:marLeft w:val="240"/>
                  <w:marRight w:val="0"/>
                  <w:marTop w:val="60"/>
                  <w:marBottom w:val="60"/>
                  <w:divBdr>
                    <w:top w:val="none" w:sz="0" w:space="0" w:color="auto"/>
                    <w:left w:val="none" w:sz="0" w:space="0" w:color="auto"/>
                    <w:bottom w:val="none" w:sz="0" w:space="0" w:color="auto"/>
                    <w:right w:val="none" w:sz="0" w:space="0" w:color="auto"/>
                  </w:divBdr>
                  <w:divsChild>
                    <w:div w:id="11253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6845">
              <w:marLeft w:val="240"/>
              <w:marRight w:val="0"/>
              <w:marTop w:val="60"/>
              <w:marBottom w:val="60"/>
              <w:divBdr>
                <w:top w:val="none" w:sz="0" w:space="0" w:color="auto"/>
                <w:left w:val="none" w:sz="0" w:space="0" w:color="auto"/>
                <w:bottom w:val="none" w:sz="0" w:space="0" w:color="auto"/>
                <w:right w:val="none" w:sz="0" w:space="0" w:color="auto"/>
              </w:divBdr>
              <w:divsChild>
                <w:div w:id="1323781028">
                  <w:marLeft w:val="240"/>
                  <w:marRight w:val="0"/>
                  <w:marTop w:val="60"/>
                  <w:marBottom w:val="60"/>
                  <w:divBdr>
                    <w:top w:val="none" w:sz="0" w:space="0" w:color="auto"/>
                    <w:left w:val="none" w:sz="0" w:space="0" w:color="auto"/>
                    <w:bottom w:val="none" w:sz="0" w:space="0" w:color="auto"/>
                    <w:right w:val="none" w:sz="0" w:space="0" w:color="auto"/>
                  </w:divBdr>
                  <w:divsChild>
                    <w:div w:id="2077896140">
                      <w:marLeft w:val="240"/>
                      <w:marRight w:val="0"/>
                      <w:marTop w:val="60"/>
                      <w:marBottom w:val="60"/>
                      <w:divBdr>
                        <w:top w:val="none" w:sz="0" w:space="0" w:color="auto"/>
                        <w:left w:val="none" w:sz="0" w:space="0" w:color="auto"/>
                        <w:bottom w:val="none" w:sz="0" w:space="0" w:color="auto"/>
                        <w:right w:val="none" w:sz="0" w:space="0" w:color="auto"/>
                      </w:divBdr>
                      <w:divsChild>
                        <w:div w:id="783690328">
                          <w:marLeft w:val="0"/>
                          <w:marRight w:val="0"/>
                          <w:marTop w:val="0"/>
                          <w:marBottom w:val="0"/>
                          <w:divBdr>
                            <w:top w:val="none" w:sz="0" w:space="0" w:color="auto"/>
                            <w:left w:val="none" w:sz="0" w:space="0" w:color="auto"/>
                            <w:bottom w:val="none" w:sz="0" w:space="0" w:color="auto"/>
                            <w:right w:val="none" w:sz="0" w:space="0" w:color="auto"/>
                          </w:divBdr>
                        </w:div>
                      </w:divsChild>
                    </w:div>
                    <w:div w:id="791705991">
                      <w:marLeft w:val="240"/>
                      <w:marRight w:val="0"/>
                      <w:marTop w:val="60"/>
                      <w:marBottom w:val="60"/>
                      <w:divBdr>
                        <w:top w:val="none" w:sz="0" w:space="0" w:color="auto"/>
                        <w:left w:val="none" w:sz="0" w:space="0" w:color="auto"/>
                        <w:bottom w:val="none" w:sz="0" w:space="0" w:color="auto"/>
                        <w:right w:val="none" w:sz="0" w:space="0" w:color="auto"/>
                      </w:divBdr>
                      <w:divsChild>
                        <w:div w:id="18923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1192">
                  <w:marLeft w:val="240"/>
                  <w:marRight w:val="0"/>
                  <w:marTop w:val="60"/>
                  <w:marBottom w:val="60"/>
                  <w:divBdr>
                    <w:top w:val="none" w:sz="0" w:space="0" w:color="auto"/>
                    <w:left w:val="none" w:sz="0" w:space="0" w:color="auto"/>
                    <w:bottom w:val="none" w:sz="0" w:space="0" w:color="auto"/>
                    <w:right w:val="none" w:sz="0" w:space="0" w:color="auto"/>
                  </w:divBdr>
                  <w:divsChild>
                    <w:div w:id="569969675">
                      <w:marLeft w:val="240"/>
                      <w:marRight w:val="0"/>
                      <w:marTop w:val="60"/>
                      <w:marBottom w:val="60"/>
                      <w:divBdr>
                        <w:top w:val="none" w:sz="0" w:space="0" w:color="auto"/>
                        <w:left w:val="none" w:sz="0" w:space="0" w:color="auto"/>
                        <w:bottom w:val="none" w:sz="0" w:space="0" w:color="auto"/>
                        <w:right w:val="none" w:sz="0" w:space="0" w:color="auto"/>
                      </w:divBdr>
                      <w:divsChild>
                        <w:div w:id="1702853942">
                          <w:marLeft w:val="0"/>
                          <w:marRight w:val="0"/>
                          <w:marTop w:val="0"/>
                          <w:marBottom w:val="0"/>
                          <w:divBdr>
                            <w:top w:val="none" w:sz="0" w:space="0" w:color="auto"/>
                            <w:left w:val="none" w:sz="0" w:space="0" w:color="auto"/>
                            <w:bottom w:val="none" w:sz="0" w:space="0" w:color="auto"/>
                            <w:right w:val="none" w:sz="0" w:space="0" w:color="auto"/>
                          </w:divBdr>
                        </w:div>
                      </w:divsChild>
                    </w:div>
                    <w:div w:id="690572588">
                      <w:marLeft w:val="240"/>
                      <w:marRight w:val="0"/>
                      <w:marTop w:val="60"/>
                      <w:marBottom w:val="60"/>
                      <w:divBdr>
                        <w:top w:val="none" w:sz="0" w:space="0" w:color="auto"/>
                        <w:left w:val="none" w:sz="0" w:space="0" w:color="auto"/>
                        <w:bottom w:val="none" w:sz="0" w:space="0" w:color="auto"/>
                        <w:right w:val="none" w:sz="0" w:space="0" w:color="auto"/>
                      </w:divBdr>
                      <w:divsChild>
                        <w:div w:id="412168600">
                          <w:marLeft w:val="0"/>
                          <w:marRight w:val="0"/>
                          <w:marTop w:val="0"/>
                          <w:marBottom w:val="0"/>
                          <w:divBdr>
                            <w:top w:val="none" w:sz="0" w:space="0" w:color="auto"/>
                            <w:left w:val="none" w:sz="0" w:space="0" w:color="auto"/>
                            <w:bottom w:val="none" w:sz="0" w:space="0" w:color="auto"/>
                            <w:right w:val="none" w:sz="0" w:space="0" w:color="auto"/>
                          </w:divBdr>
                        </w:div>
                      </w:divsChild>
                    </w:div>
                    <w:div w:id="54427291">
                      <w:marLeft w:val="240"/>
                      <w:marRight w:val="0"/>
                      <w:marTop w:val="60"/>
                      <w:marBottom w:val="60"/>
                      <w:divBdr>
                        <w:top w:val="none" w:sz="0" w:space="0" w:color="auto"/>
                        <w:left w:val="none" w:sz="0" w:space="0" w:color="auto"/>
                        <w:bottom w:val="none" w:sz="0" w:space="0" w:color="auto"/>
                        <w:right w:val="none" w:sz="0" w:space="0" w:color="auto"/>
                      </w:divBdr>
                      <w:divsChild>
                        <w:div w:id="82543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6939">
              <w:marLeft w:val="240"/>
              <w:marRight w:val="0"/>
              <w:marTop w:val="60"/>
              <w:marBottom w:val="60"/>
              <w:divBdr>
                <w:top w:val="none" w:sz="0" w:space="0" w:color="auto"/>
                <w:left w:val="none" w:sz="0" w:space="0" w:color="auto"/>
                <w:bottom w:val="none" w:sz="0" w:space="0" w:color="auto"/>
                <w:right w:val="none" w:sz="0" w:space="0" w:color="auto"/>
              </w:divBdr>
              <w:divsChild>
                <w:div w:id="690498340">
                  <w:marLeft w:val="240"/>
                  <w:marRight w:val="0"/>
                  <w:marTop w:val="60"/>
                  <w:marBottom w:val="60"/>
                  <w:divBdr>
                    <w:top w:val="none" w:sz="0" w:space="0" w:color="auto"/>
                    <w:left w:val="none" w:sz="0" w:space="0" w:color="auto"/>
                    <w:bottom w:val="none" w:sz="0" w:space="0" w:color="auto"/>
                    <w:right w:val="none" w:sz="0" w:space="0" w:color="auto"/>
                  </w:divBdr>
                  <w:divsChild>
                    <w:div w:id="330719547">
                      <w:marLeft w:val="0"/>
                      <w:marRight w:val="0"/>
                      <w:marTop w:val="0"/>
                      <w:marBottom w:val="0"/>
                      <w:divBdr>
                        <w:top w:val="none" w:sz="0" w:space="0" w:color="auto"/>
                        <w:left w:val="none" w:sz="0" w:space="0" w:color="auto"/>
                        <w:bottom w:val="none" w:sz="0" w:space="0" w:color="auto"/>
                        <w:right w:val="none" w:sz="0" w:space="0" w:color="auto"/>
                      </w:divBdr>
                    </w:div>
                  </w:divsChild>
                </w:div>
                <w:div w:id="1906647895">
                  <w:marLeft w:val="240"/>
                  <w:marRight w:val="0"/>
                  <w:marTop w:val="60"/>
                  <w:marBottom w:val="60"/>
                  <w:divBdr>
                    <w:top w:val="none" w:sz="0" w:space="0" w:color="auto"/>
                    <w:left w:val="none" w:sz="0" w:space="0" w:color="auto"/>
                    <w:bottom w:val="none" w:sz="0" w:space="0" w:color="auto"/>
                    <w:right w:val="none" w:sz="0" w:space="0" w:color="auto"/>
                  </w:divBdr>
                  <w:divsChild>
                    <w:div w:id="26196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16312">
              <w:marLeft w:val="240"/>
              <w:marRight w:val="0"/>
              <w:marTop w:val="60"/>
              <w:marBottom w:val="60"/>
              <w:divBdr>
                <w:top w:val="none" w:sz="0" w:space="0" w:color="auto"/>
                <w:left w:val="none" w:sz="0" w:space="0" w:color="auto"/>
                <w:bottom w:val="none" w:sz="0" w:space="0" w:color="auto"/>
                <w:right w:val="none" w:sz="0" w:space="0" w:color="auto"/>
              </w:divBdr>
              <w:divsChild>
                <w:div w:id="1933389046">
                  <w:marLeft w:val="240"/>
                  <w:marRight w:val="0"/>
                  <w:marTop w:val="60"/>
                  <w:marBottom w:val="60"/>
                  <w:divBdr>
                    <w:top w:val="none" w:sz="0" w:space="0" w:color="auto"/>
                    <w:left w:val="none" w:sz="0" w:space="0" w:color="auto"/>
                    <w:bottom w:val="none" w:sz="0" w:space="0" w:color="auto"/>
                    <w:right w:val="none" w:sz="0" w:space="0" w:color="auto"/>
                  </w:divBdr>
                  <w:divsChild>
                    <w:div w:id="857886540">
                      <w:marLeft w:val="240"/>
                      <w:marRight w:val="0"/>
                      <w:marTop w:val="60"/>
                      <w:marBottom w:val="60"/>
                      <w:divBdr>
                        <w:top w:val="none" w:sz="0" w:space="0" w:color="auto"/>
                        <w:left w:val="none" w:sz="0" w:space="0" w:color="auto"/>
                        <w:bottom w:val="none" w:sz="0" w:space="0" w:color="auto"/>
                        <w:right w:val="none" w:sz="0" w:space="0" w:color="auto"/>
                      </w:divBdr>
                      <w:divsChild>
                        <w:div w:id="818960732">
                          <w:marLeft w:val="0"/>
                          <w:marRight w:val="0"/>
                          <w:marTop w:val="0"/>
                          <w:marBottom w:val="0"/>
                          <w:divBdr>
                            <w:top w:val="none" w:sz="0" w:space="0" w:color="auto"/>
                            <w:left w:val="none" w:sz="0" w:space="0" w:color="auto"/>
                            <w:bottom w:val="none" w:sz="0" w:space="0" w:color="auto"/>
                            <w:right w:val="none" w:sz="0" w:space="0" w:color="auto"/>
                          </w:divBdr>
                        </w:div>
                      </w:divsChild>
                    </w:div>
                    <w:div w:id="1263685754">
                      <w:marLeft w:val="240"/>
                      <w:marRight w:val="0"/>
                      <w:marTop w:val="60"/>
                      <w:marBottom w:val="60"/>
                      <w:divBdr>
                        <w:top w:val="none" w:sz="0" w:space="0" w:color="auto"/>
                        <w:left w:val="none" w:sz="0" w:space="0" w:color="auto"/>
                        <w:bottom w:val="none" w:sz="0" w:space="0" w:color="auto"/>
                        <w:right w:val="none" w:sz="0" w:space="0" w:color="auto"/>
                      </w:divBdr>
                      <w:divsChild>
                        <w:div w:id="1920433779">
                          <w:marLeft w:val="240"/>
                          <w:marRight w:val="0"/>
                          <w:marTop w:val="60"/>
                          <w:marBottom w:val="60"/>
                          <w:divBdr>
                            <w:top w:val="none" w:sz="0" w:space="0" w:color="auto"/>
                            <w:left w:val="none" w:sz="0" w:space="0" w:color="auto"/>
                            <w:bottom w:val="none" w:sz="0" w:space="0" w:color="auto"/>
                            <w:right w:val="none" w:sz="0" w:space="0" w:color="auto"/>
                          </w:divBdr>
                          <w:divsChild>
                            <w:div w:id="1131241028">
                              <w:marLeft w:val="0"/>
                              <w:marRight w:val="0"/>
                              <w:marTop w:val="0"/>
                              <w:marBottom w:val="0"/>
                              <w:divBdr>
                                <w:top w:val="none" w:sz="0" w:space="0" w:color="auto"/>
                                <w:left w:val="none" w:sz="0" w:space="0" w:color="auto"/>
                                <w:bottom w:val="none" w:sz="0" w:space="0" w:color="auto"/>
                                <w:right w:val="none" w:sz="0" w:space="0" w:color="auto"/>
                              </w:divBdr>
                            </w:div>
                          </w:divsChild>
                        </w:div>
                        <w:div w:id="1662386915">
                          <w:marLeft w:val="240"/>
                          <w:marRight w:val="0"/>
                          <w:marTop w:val="60"/>
                          <w:marBottom w:val="60"/>
                          <w:divBdr>
                            <w:top w:val="none" w:sz="0" w:space="0" w:color="auto"/>
                            <w:left w:val="none" w:sz="0" w:space="0" w:color="auto"/>
                            <w:bottom w:val="none" w:sz="0" w:space="0" w:color="auto"/>
                            <w:right w:val="none" w:sz="0" w:space="0" w:color="auto"/>
                          </w:divBdr>
                          <w:divsChild>
                            <w:div w:id="10335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3745">
                  <w:marLeft w:val="240"/>
                  <w:marRight w:val="0"/>
                  <w:marTop w:val="60"/>
                  <w:marBottom w:val="60"/>
                  <w:divBdr>
                    <w:top w:val="none" w:sz="0" w:space="0" w:color="auto"/>
                    <w:left w:val="none" w:sz="0" w:space="0" w:color="auto"/>
                    <w:bottom w:val="none" w:sz="0" w:space="0" w:color="auto"/>
                    <w:right w:val="none" w:sz="0" w:space="0" w:color="auto"/>
                  </w:divBdr>
                  <w:divsChild>
                    <w:div w:id="19873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0718">
              <w:marLeft w:val="240"/>
              <w:marRight w:val="0"/>
              <w:marTop w:val="60"/>
              <w:marBottom w:val="60"/>
              <w:divBdr>
                <w:top w:val="none" w:sz="0" w:space="0" w:color="auto"/>
                <w:left w:val="none" w:sz="0" w:space="0" w:color="auto"/>
                <w:bottom w:val="none" w:sz="0" w:space="0" w:color="auto"/>
                <w:right w:val="none" w:sz="0" w:space="0" w:color="auto"/>
              </w:divBdr>
              <w:divsChild>
                <w:div w:id="1989746369">
                  <w:marLeft w:val="240"/>
                  <w:marRight w:val="0"/>
                  <w:marTop w:val="60"/>
                  <w:marBottom w:val="60"/>
                  <w:divBdr>
                    <w:top w:val="none" w:sz="0" w:space="0" w:color="auto"/>
                    <w:left w:val="none" w:sz="0" w:space="0" w:color="auto"/>
                    <w:bottom w:val="none" w:sz="0" w:space="0" w:color="auto"/>
                    <w:right w:val="none" w:sz="0" w:space="0" w:color="auto"/>
                  </w:divBdr>
                  <w:divsChild>
                    <w:div w:id="2088069551">
                      <w:marLeft w:val="0"/>
                      <w:marRight w:val="0"/>
                      <w:marTop w:val="0"/>
                      <w:marBottom w:val="0"/>
                      <w:divBdr>
                        <w:top w:val="none" w:sz="0" w:space="0" w:color="auto"/>
                        <w:left w:val="none" w:sz="0" w:space="0" w:color="auto"/>
                        <w:bottom w:val="none" w:sz="0" w:space="0" w:color="auto"/>
                        <w:right w:val="none" w:sz="0" w:space="0" w:color="auto"/>
                      </w:divBdr>
                    </w:div>
                  </w:divsChild>
                </w:div>
                <w:div w:id="1234778452">
                  <w:marLeft w:val="240"/>
                  <w:marRight w:val="0"/>
                  <w:marTop w:val="60"/>
                  <w:marBottom w:val="60"/>
                  <w:divBdr>
                    <w:top w:val="none" w:sz="0" w:space="0" w:color="auto"/>
                    <w:left w:val="none" w:sz="0" w:space="0" w:color="auto"/>
                    <w:bottom w:val="none" w:sz="0" w:space="0" w:color="auto"/>
                    <w:right w:val="none" w:sz="0" w:space="0" w:color="auto"/>
                  </w:divBdr>
                  <w:divsChild>
                    <w:div w:id="14995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26864">
              <w:marLeft w:val="240"/>
              <w:marRight w:val="0"/>
              <w:marTop w:val="60"/>
              <w:marBottom w:val="60"/>
              <w:divBdr>
                <w:top w:val="none" w:sz="0" w:space="0" w:color="auto"/>
                <w:left w:val="none" w:sz="0" w:space="0" w:color="auto"/>
                <w:bottom w:val="none" w:sz="0" w:space="0" w:color="auto"/>
                <w:right w:val="none" w:sz="0" w:space="0" w:color="auto"/>
              </w:divBdr>
              <w:divsChild>
                <w:div w:id="1903368711">
                  <w:marLeft w:val="0"/>
                  <w:marRight w:val="0"/>
                  <w:marTop w:val="0"/>
                  <w:marBottom w:val="0"/>
                  <w:divBdr>
                    <w:top w:val="none" w:sz="0" w:space="0" w:color="auto"/>
                    <w:left w:val="none" w:sz="0" w:space="0" w:color="auto"/>
                    <w:bottom w:val="none" w:sz="0" w:space="0" w:color="auto"/>
                    <w:right w:val="none" w:sz="0" w:space="0" w:color="auto"/>
                  </w:divBdr>
                </w:div>
              </w:divsChild>
            </w:div>
            <w:div w:id="2110851793">
              <w:marLeft w:val="240"/>
              <w:marRight w:val="0"/>
              <w:marTop w:val="60"/>
              <w:marBottom w:val="60"/>
              <w:divBdr>
                <w:top w:val="none" w:sz="0" w:space="0" w:color="auto"/>
                <w:left w:val="none" w:sz="0" w:space="0" w:color="auto"/>
                <w:bottom w:val="none" w:sz="0" w:space="0" w:color="auto"/>
                <w:right w:val="none" w:sz="0" w:space="0" w:color="auto"/>
              </w:divBdr>
              <w:divsChild>
                <w:div w:id="1181235120">
                  <w:marLeft w:val="0"/>
                  <w:marRight w:val="0"/>
                  <w:marTop w:val="0"/>
                  <w:marBottom w:val="0"/>
                  <w:divBdr>
                    <w:top w:val="none" w:sz="0" w:space="0" w:color="auto"/>
                    <w:left w:val="none" w:sz="0" w:space="0" w:color="auto"/>
                    <w:bottom w:val="none" w:sz="0" w:space="0" w:color="auto"/>
                    <w:right w:val="none" w:sz="0" w:space="0" w:color="auto"/>
                  </w:divBdr>
                </w:div>
              </w:divsChild>
            </w:div>
            <w:div w:id="81220329">
              <w:marLeft w:val="240"/>
              <w:marRight w:val="0"/>
              <w:marTop w:val="60"/>
              <w:marBottom w:val="60"/>
              <w:divBdr>
                <w:top w:val="none" w:sz="0" w:space="0" w:color="auto"/>
                <w:left w:val="none" w:sz="0" w:space="0" w:color="auto"/>
                <w:bottom w:val="none" w:sz="0" w:space="0" w:color="auto"/>
                <w:right w:val="none" w:sz="0" w:space="0" w:color="auto"/>
              </w:divBdr>
              <w:divsChild>
                <w:div w:id="1456562525">
                  <w:marLeft w:val="240"/>
                  <w:marRight w:val="0"/>
                  <w:marTop w:val="60"/>
                  <w:marBottom w:val="60"/>
                  <w:divBdr>
                    <w:top w:val="none" w:sz="0" w:space="0" w:color="auto"/>
                    <w:left w:val="none" w:sz="0" w:space="0" w:color="auto"/>
                    <w:bottom w:val="none" w:sz="0" w:space="0" w:color="auto"/>
                    <w:right w:val="none" w:sz="0" w:space="0" w:color="auto"/>
                  </w:divBdr>
                  <w:divsChild>
                    <w:div w:id="1813711338">
                      <w:marLeft w:val="0"/>
                      <w:marRight w:val="0"/>
                      <w:marTop w:val="0"/>
                      <w:marBottom w:val="0"/>
                      <w:divBdr>
                        <w:top w:val="none" w:sz="0" w:space="0" w:color="auto"/>
                        <w:left w:val="none" w:sz="0" w:space="0" w:color="auto"/>
                        <w:bottom w:val="none" w:sz="0" w:space="0" w:color="auto"/>
                        <w:right w:val="none" w:sz="0" w:space="0" w:color="auto"/>
                      </w:divBdr>
                    </w:div>
                  </w:divsChild>
                </w:div>
                <w:div w:id="1496915982">
                  <w:marLeft w:val="240"/>
                  <w:marRight w:val="0"/>
                  <w:marTop w:val="60"/>
                  <w:marBottom w:val="60"/>
                  <w:divBdr>
                    <w:top w:val="none" w:sz="0" w:space="0" w:color="auto"/>
                    <w:left w:val="none" w:sz="0" w:space="0" w:color="auto"/>
                    <w:bottom w:val="none" w:sz="0" w:space="0" w:color="auto"/>
                    <w:right w:val="none" w:sz="0" w:space="0" w:color="auto"/>
                  </w:divBdr>
                  <w:divsChild>
                    <w:div w:id="1464157968">
                      <w:marLeft w:val="0"/>
                      <w:marRight w:val="0"/>
                      <w:marTop w:val="0"/>
                      <w:marBottom w:val="0"/>
                      <w:divBdr>
                        <w:top w:val="none" w:sz="0" w:space="0" w:color="auto"/>
                        <w:left w:val="none" w:sz="0" w:space="0" w:color="auto"/>
                        <w:bottom w:val="none" w:sz="0" w:space="0" w:color="auto"/>
                        <w:right w:val="none" w:sz="0" w:space="0" w:color="auto"/>
                      </w:divBdr>
                    </w:div>
                  </w:divsChild>
                </w:div>
                <w:div w:id="252708637">
                  <w:marLeft w:val="240"/>
                  <w:marRight w:val="0"/>
                  <w:marTop w:val="60"/>
                  <w:marBottom w:val="60"/>
                  <w:divBdr>
                    <w:top w:val="none" w:sz="0" w:space="0" w:color="auto"/>
                    <w:left w:val="none" w:sz="0" w:space="0" w:color="auto"/>
                    <w:bottom w:val="none" w:sz="0" w:space="0" w:color="auto"/>
                    <w:right w:val="none" w:sz="0" w:space="0" w:color="auto"/>
                  </w:divBdr>
                  <w:divsChild>
                    <w:div w:id="1109661358">
                      <w:marLeft w:val="0"/>
                      <w:marRight w:val="0"/>
                      <w:marTop w:val="0"/>
                      <w:marBottom w:val="0"/>
                      <w:divBdr>
                        <w:top w:val="none" w:sz="0" w:space="0" w:color="auto"/>
                        <w:left w:val="none" w:sz="0" w:space="0" w:color="auto"/>
                        <w:bottom w:val="none" w:sz="0" w:space="0" w:color="auto"/>
                        <w:right w:val="none" w:sz="0" w:space="0" w:color="auto"/>
                      </w:divBdr>
                    </w:div>
                  </w:divsChild>
                </w:div>
                <w:div w:id="166019900">
                  <w:marLeft w:val="240"/>
                  <w:marRight w:val="0"/>
                  <w:marTop w:val="60"/>
                  <w:marBottom w:val="60"/>
                  <w:divBdr>
                    <w:top w:val="none" w:sz="0" w:space="0" w:color="auto"/>
                    <w:left w:val="none" w:sz="0" w:space="0" w:color="auto"/>
                    <w:bottom w:val="none" w:sz="0" w:space="0" w:color="auto"/>
                    <w:right w:val="none" w:sz="0" w:space="0" w:color="auto"/>
                  </w:divBdr>
                  <w:divsChild>
                    <w:div w:id="1841697136">
                      <w:marLeft w:val="0"/>
                      <w:marRight w:val="0"/>
                      <w:marTop w:val="0"/>
                      <w:marBottom w:val="0"/>
                      <w:divBdr>
                        <w:top w:val="none" w:sz="0" w:space="0" w:color="auto"/>
                        <w:left w:val="none" w:sz="0" w:space="0" w:color="auto"/>
                        <w:bottom w:val="none" w:sz="0" w:space="0" w:color="auto"/>
                        <w:right w:val="none" w:sz="0" w:space="0" w:color="auto"/>
                      </w:divBdr>
                    </w:div>
                  </w:divsChild>
                </w:div>
                <w:div w:id="1253857087">
                  <w:marLeft w:val="240"/>
                  <w:marRight w:val="0"/>
                  <w:marTop w:val="60"/>
                  <w:marBottom w:val="60"/>
                  <w:divBdr>
                    <w:top w:val="none" w:sz="0" w:space="0" w:color="auto"/>
                    <w:left w:val="none" w:sz="0" w:space="0" w:color="auto"/>
                    <w:bottom w:val="none" w:sz="0" w:space="0" w:color="auto"/>
                    <w:right w:val="none" w:sz="0" w:space="0" w:color="auto"/>
                  </w:divBdr>
                  <w:divsChild>
                    <w:div w:id="2035496198">
                      <w:marLeft w:val="0"/>
                      <w:marRight w:val="0"/>
                      <w:marTop w:val="0"/>
                      <w:marBottom w:val="0"/>
                      <w:divBdr>
                        <w:top w:val="none" w:sz="0" w:space="0" w:color="auto"/>
                        <w:left w:val="none" w:sz="0" w:space="0" w:color="auto"/>
                        <w:bottom w:val="none" w:sz="0" w:space="0" w:color="auto"/>
                        <w:right w:val="none" w:sz="0" w:space="0" w:color="auto"/>
                      </w:divBdr>
                    </w:div>
                  </w:divsChild>
                </w:div>
                <w:div w:id="1771242639">
                  <w:marLeft w:val="240"/>
                  <w:marRight w:val="0"/>
                  <w:marTop w:val="60"/>
                  <w:marBottom w:val="60"/>
                  <w:divBdr>
                    <w:top w:val="none" w:sz="0" w:space="0" w:color="auto"/>
                    <w:left w:val="none" w:sz="0" w:space="0" w:color="auto"/>
                    <w:bottom w:val="none" w:sz="0" w:space="0" w:color="auto"/>
                    <w:right w:val="none" w:sz="0" w:space="0" w:color="auto"/>
                  </w:divBdr>
                  <w:divsChild>
                    <w:div w:id="689333952">
                      <w:marLeft w:val="0"/>
                      <w:marRight w:val="0"/>
                      <w:marTop w:val="0"/>
                      <w:marBottom w:val="0"/>
                      <w:divBdr>
                        <w:top w:val="none" w:sz="0" w:space="0" w:color="auto"/>
                        <w:left w:val="none" w:sz="0" w:space="0" w:color="auto"/>
                        <w:bottom w:val="none" w:sz="0" w:space="0" w:color="auto"/>
                        <w:right w:val="none" w:sz="0" w:space="0" w:color="auto"/>
                      </w:divBdr>
                    </w:div>
                  </w:divsChild>
                </w:div>
                <w:div w:id="398526648">
                  <w:marLeft w:val="240"/>
                  <w:marRight w:val="0"/>
                  <w:marTop w:val="60"/>
                  <w:marBottom w:val="60"/>
                  <w:divBdr>
                    <w:top w:val="none" w:sz="0" w:space="0" w:color="auto"/>
                    <w:left w:val="none" w:sz="0" w:space="0" w:color="auto"/>
                    <w:bottom w:val="none" w:sz="0" w:space="0" w:color="auto"/>
                    <w:right w:val="none" w:sz="0" w:space="0" w:color="auto"/>
                  </w:divBdr>
                  <w:divsChild>
                    <w:div w:id="19332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2027">
              <w:marLeft w:val="240"/>
              <w:marRight w:val="0"/>
              <w:marTop w:val="60"/>
              <w:marBottom w:val="60"/>
              <w:divBdr>
                <w:top w:val="none" w:sz="0" w:space="0" w:color="auto"/>
                <w:left w:val="none" w:sz="0" w:space="0" w:color="auto"/>
                <w:bottom w:val="none" w:sz="0" w:space="0" w:color="auto"/>
                <w:right w:val="none" w:sz="0" w:space="0" w:color="auto"/>
              </w:divBdr>
              <w:divsChild>
                <w:div w:id="952708840">
                  <w:marLeft w:val="240"/>
                  <w:marRight w:val="0"/>
                  <w:marTop w:val="60"/>
                  <w:marBottom w:val="60"/>
                  <w:divBdr>
                    <w:top w:val="none" w:sz="0" w:space="0" w:color="auto"/>
                    <w:left w:val="none" w:sz="0" w:space="0" w:color="auto"/>
                    <w:bottom w:val="none" w:sz="0" w:space="0" w:color="auto"/>
                    <w:right w:val="none" w:sz="0" w:space="0" w:color="auto"/>
                  </w:divBdr>
                  <w:divsChild>
                    <w:div w:id="1275601867">
                      <w:marLeft w:val="0"/>
                      <w:marRight w:val="0"/>
                      <w:marTop w:val="0"/>
                      <w:marBottom w:val="0"/>
                      <w:divBdr>
                        <w:top w:val="none" w:sz="0" w:space="0" w:color="auto"/>
                        <w:left w:val="none" w:sz="0" w:space="0" w:color="auto"/>
                        <w:bottom w:val="none" w:sz="0" w:space="0" w:color="auto"/>
                        <w:right w:val="none" w:sz="0" w:space="0" w:color="auto"/>
                      </w:divBdr>
                    </w:div>
                  </w:divsChild>
                </w:div>
                <w:div w:id="210727470">
                  <w:marLeft w:val="240"/>
                  <w:marRight w:val="0"/>
                  <w:marTop w:val="60"/>
                  <w:marBottom w:val="60"/>
                  <w:divBdr>
                    <w:top w:val="none" w:sz="0" w:space="0" w:color="auto"/>
                    <w:left w:val="none" w:sz="0" w:space="0" w:color="auto"/>
                    <w:bottom w:val="none" w:sz="0" w:space="0" w:color="auto"/>
                    <w:right w:val="none" w:sz="0" w:space="0" w:color="auto"/>
                  </w:divBdr>
                  <w:divsChild>
                    <w:div w:id="1654411267">
                      <w:marLeft w:val="240"/>
                      <w:marRight w:val="0"/>
                      <w:marTop w:val="60"/>
                      <w:marBottom w:val="60"/>
                      <w:divBdr>
                        <w:top w:val="none" w:sz="0" w:space="0" w:color="auto"/>
                        <w:left w:val="none" w:sz="0" w:space="0" w:color="auto"/>
                        <w:bottom w:val="none" w:sz="0" w:space="0" w:color="auto"/>
                        <w:right w:val="none" w:sz="0" w:space="0" w:color="auto"/>
                      </w:divBdr>
                      <w:divsChild>
                        <w:div w:id="711418416">
                          <w:marLeft w:val="240"/>
                          <w:marRight w:val="0"/>
                          <w:marTop w:val="60"/>
                          <w:marBottom w:val="60"/>
                          <w:divBdr>
                            <w:top w:val="none" w:sz="0" w:space="0" w:color="auto"/>
                            <w:left w:val="none" w:sz="0" w:space="0" w:color="auto"/>
                            <w:bottom w:val="none" w:sz="0" w:space="0" w:color="auto"/>
                            <w:right w:val="none" w:sz="0" w:space="0" w:color="auto"/>
                          </w:divBdr>
                          <w:divsChild>
                            <w:div w:id="2114394195">
                              <w:marLeft w:val="0"/>
                              <w:marRight w:val="0"/>
                              <w:marTop w:val="0"/>
                              <w:marBottom w:val="0"/>
                              <w:divBdr>
                                <w:top w:val="none" w:sz="0" w:space="0" w:color="auto"/>
                                <w:left w:val="none" w:sz="0" w:space="0" w:color="auto"/>
                                <w:bottom w:val="none" w:sz="0" w:space="0" w:color="auto"/>
                                <w:right w:val="none" w:sz="0" w:space="0" w:color="auto"/>
                              </w:divBdr>
                            </w:div>
                          </w:divsChild>
                        </w:div>
                        <w:div w:id="1492403581">
                          <w:marLeft w:val="240"/>
                          <w:marRight w:val="0"/>
                          <w:marTop w:val="60"/>
                          <w:marBottom w:val="60"/>
                          <w:divBdr>
                            <w:top w:val="none" w:sz="0" w:space="0" w:color="auto"/>
                            <w:left w:val="none" w:sz="0" w:space="0" w:color="auto"/>
                            <w:bottom w:val="none" w:sz="0" w:space="0" w:color="auto"/>
                            <w:right w:val="none" w:sz="0" w:space="0" w:color="auto"/>
                          </w:divBdr>
                          <w:divsChild>
                            <w:div w:id="17065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20034">
                      <w:marLeft w:val="240"/>
                      <w:marRight w:val="0"/>
                      <w:marTop w:val="60"/>
                      <w:marBottom w:val="60"/>
                      <w:divBdr>
                        <w:top w:val="none" w:sz="0" w:space="0" w:color="auto"/>
                        <w:left w:val="none" w:sz="0" w:space="0" w:color="auto"/>
                        <w:bottom w:val="none" w:sz="0" w:space="0" w:color="auto"/>
                        <w:right w:val="none" w:sz="0" w:space="0" w:color="auto"/>
                      </w:divBdr>
                      <w:divsChild>
                        <w:div w:id="1864857823">
                          <w:marLeft w:val="240"/>
                          <w:marRight w:val="0"/>
                          <w:marTop w:val="60"/>
                          <w:marBottom w:val="60"/>
                          <w:divBdr>
                            <w:top w:val="none" w:sz="0" w:space="0" w:color="auto"/>
                            <w:left w:val="none" w:sz="0" w:space="0" w:color="auto"/>
                            <w:bottom w:val="none" w:sz="0" w:space="0" w:color="auto"/>
                            <w:right w:val="none" w:sz="0" w:space="0" w:color="auto"/>
                          </w:divBdr>
                          <w:divsChild>
                            <w:div w:id="699741320">
                              <w:marLeft w:val="0"/>
                              <w:marRight w:val="0"/>
                              <w:marTop w:val="0"/>
                              <w:marBottom w:val="0"/>
                              <w:divBdr>
                                <w:top w:val="none" w:sz="0" w:space="0" w:color="auto"/>
                                <w:left w:val="none" w:sz="0" w:space="0" w:color="auto"/>
                                <w:bottom w:val="none" w:sz="0" w:space="0" w:color="auto"/>
                                <w:right w:val="none" w:sz="0" w:space="0" w:color="auto"/>
                              </w:divBdr>
                            </w:div>
                          </w:divsChild>
                        </w:div>
                        <w:div w:id="757605050">
                          <w:marLeft w:val="240"/>
                          <w:marRight w:val="0"/>
                          <w:marTop w:val="60"/>
                          <w:marBottom w:val="60"/>
                          <w:divBdr>
                            <w:top w:val="none" w:sz="0" w:space="0" w:color="auto"/>
                            <w:left w:val="none" w:sz="0" w:space="0" w:color="auto"/>
                            <w:bottom w:val="none" w:sz="0" w:space="0" w:color="auto"/>
                            <w:right w:val="none" w:sz="0" w:space="0" w:color="auto"/>
                          </w:divBdr>
                          <w:divsChild>
                            <w:div w:id="674646779">
                              <w:marLeft w:val="0"/>
                              <w:marRight w:val="0"/>
                              <w:marTop w:val="0"/>
                              <w:marBottom w:val="0"/>
                              <w:divBdr>
                                <w:top w:val="none" w:sz="0" w:space="0" w:color="auto"/>
                                <w:left w:val="none" w:sz="0" w:space="0" w:color="auto"/>
                                <w:bottom w:val="none" w:sz="0" w:space="0" w:color="auto"/>
                                <w:right w:val="none" w:sz="0" w:space="0" w:color="auto"/>
                              </w:divBdr>
                            </w:div>
                          </w:divsChild>
                        </w:div>
                        <w:div w:id="1265117076">
                          <w:marLeft w:val="240"/>
                          <w:marRight w:val="0"/>
                          <w:marTop w:val="60"/>
                          <w:marBottom w:val="60"/>
                          <w:divBdr>
                            <w:top w:val="none" w:sz="0" w:space="0" w:color="auto"/>
                            <w:left w:val="none" w:sz="0" w:space="0" w:color="auto"/>
                            <w:bottom w:val="none" w:sz="0" w:space="0" w:color="auto"/>
                            <w:right w:val="none" w:sz="0" w:space="0" w:color="auto"/>
                          </w:divBdr>
                          <w:divsChild>
                            <w:div w:id="11625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34444">
                      <w:marLeft w:val="240"/>
                      <w:marRight w:val="0"/>
                      <w:marTop w:val="60"/>
                      <w:marBottom w:val="60"/>
                      <w:divBdr>
                        <w:top w:val="none" w:sz="0" w:space="0" w:color="auto"/>
                        <w:left w:val="none" w:sz="0" w:space="0" w:color="auto"/>
                        <w:bottom w:val="none" w:sz="0" w:space="0" w:color="auto"/>
                        <w:right w:val="none" w:sz="0" w:space="0" w:color="auto"/>
                      </w:divBdr>
                      <w:divsChild>
                        <w:div w:id="1422066367">
                          <w:marLeft w:val="240"/>
                          <w:marRight w:val="0"/>
                          <w:marTop w:val="60"/>
                          <w:marBottom w:val="60"/>
                          <w:divBdr>
                            <w:top w:val="none" w:sz="0" w:space="0" w:color="auto"/>
                            <w:left w:val="none" w:sz="0" w:space="0" w:color="auto"/>
                            <w:bottom w:val="none" w:sz="0" w:space="0" w:color="auto"/>
                            <w:right w:val="none" w:sz="0" w:space="0" w:color="auto"/>
                          </w:divBdr>
                          <w:divsChild>
                            <w:div w:id="320502715">
                              <w:marLeft w:val="0"/>
                              <w:marRight w:val="0"/>
                              <w:marTop w:val="0"/>
                              <w:marBottom w:val="0"/>
                              <w:divBdr>
                                <w:top w:val="none" w:sz="0" w:space="0" w:color="auto"/>
                                <w:left w:val="none" w:sz="0" w:space="0" w:color="auto"/>
                                <w:bottom w:val="none" w:sz="0" w:space="0" w:color="auto"/>
                                <w:right w:val="none" w:sz="0" w:space="0" w:color="auto"/>
                              </w:divBdr>
                            </w:div>
                          </w:divsChild>
                        </w:div>
                        <w:div w:id="1219051656">
                          <w:marLeft w:val="240"/>
                          <w:marRight w:val="0"/>
                          <w:marTop w:val="60"/>
                          <w:marBottom w:val="60"/>
                          <w:divBdr>
                            <w:top w:val="none" w:sz="0" w:space="0" w:color="auto"/>
                            <w:left w:val="none" w:sz="0" w:space="0" w:color="auto"/>
                            <w:bottom w:val="none" w:sz="0" w:space="0" w:color="auto"/>
                            <w:right w:val="none" w:sz="0" w:space="0" w:color="auto"/>
                          </w:divBdr>
                          <w:divsChild>
                            <w:div w:id="14983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6099">
                  <w:marLeft w:val="240"/>
                  <w:marRight w:val="0"/>
                  <w:marTop w:val="60"/>
                  <w:marBottom w:val="60"/>
                  <w:divBdr>
                    <w:top w:val="none" w:sz="0" w:space="0" w:color="auto"/>
                    <w:left w:val="none" w:sz="0" w:space="0" w:color="auto"/>
                    <w:bottom w:val="none" w:sz="0" w:space="0" w:color="auto"/>
                    <w:right w:val="none" w:sz="0" w:space="0" w:color="auto"/>
                  </w:divBdr>
                  <w:divsChild>
                    <w:div w:id="1036659680">
                      <w:marLeft w:val="240"/>
                      <w:marRight w:val="0"/>
                      <w:marTop w:val="60"/>
                      <w:marBottom w:val="60"/>
                      <w:divBdr>
                        <w:top w:val="none" w:sz="0" w:space="0" w:color="auto"/>
                        <w:left w:val="none" w:sz="0" w:space="0" w:color="auto"/>
                        <w:bottom w:val="none" w:sz="0" w:space="0" w:color="auto"/>
                        <w:right w:val="none" w:sz="0" w:space="0" w:color="auto"/>
                      </w:divBdr>
                      <w:divsChild>
                        <w:div w:id="1453356666">
                          <w:marLeft w:val="240"/>
                          <w:marRight w:val="0"/>
                          <w:marTop w:val="60"/>
                          <w:marBottom w:val="60"/>
                          <w:divBdr>
                            <w:top w:val="none" w:sz="0" w:space="0" w:color="auto"/>
                            <w:left w:val="none" w:sz="0" w:space="0" w:color="auto"/>
                            <w:bottom w:val="none" w:sz="0" w:space="0" w:color="auto"/>
                            <w:right w:val="none" w:sz="0" w:space="0" w:color="auto"/>
                          </w:divBdr>
                          <w:divsChild>
                            <w:div w:id="2007901893">
                              <w:marLeft w:val="0"/>
                              <w:marRight w:val="0"/>
                              <w:marTop w:val="0"/>
                              <w:marBottom w:val="0"/>
                              <w:divBdr>
                                <w:top w:val="none" w:sz="0" w:space="0" w:color="auto"/>
                                <w:left w:val="none" w:sz="0" w:space="0" w:color="auto"/>
                                <w:bottom w:val="none" w:sz="0" w:space="0" w:color="auto"/>
                                <w:right w:val="none" w:sz="0" w:space="0" w:color="auto"/>
                              </w:divBdr>
                            </w:div>
                          </w:divsChild>
                        </w:div>
                        <w:div w:id="1466310556">
                          <w:marLeft w:val="240"/>
                          <w:marRight w:val="0"/>
                          <w:marTop w:val="60"/>
                          <w:marBottom w:val="60"/>
                          <w:divBdr>
                            <w:top w:val="none" w:sz="0" w:space="0" w:color="auto"/>
                            <w:left w:val="none" w:sz="0" w:space="0" w:color="auto"/>
                            <w:bottom w:val="none" w:sz="0" w:space="0" w:color="auto"/>
                            <w:right w:val="none" w:sz="0" w:space="0" w:color="auto"/>
                          </w:divBdr>
                          <w:divsChild>
                            <w:div w:id="13141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7810">
                      <w:marLeft w:val="240"/>
                      <w:marRight w:val="0"/>
                      <w:marTop w:val="60"/>
                      <w:marBottom w:val="60"/>
                      <w:divBdr>
                        <w:top w:val="none" w:sz="0" w:space="0" w:color="auto"/>
                        <w:left w:val="none" w:sz="0" w:space="0" w:color="auto"/>
                        <w:bottom w:val="none" w:sz="0" w:space="0" w:color="auto"/>
                        <w:right w:val="none" w:sz="0" w:space="0" w:color="auto"/>
                      </w:divBdr>
                      <w:divsChild>
                        <w:div w:id="912272779">
                          <w:marLeft w:val="0"/>
                          <w:marRight w:val="0"/>
                          <w:marTop w:val="0"/>
                          <w:marBottom w:val="0"/>
                          <w:divBdr>
                            <w:top w:val="none" w:sz="0" w:space="0" w:color="auto"/>
                            <w:left w:val="none" w:sz="0" w:space="0" w:color="auto"/>
                            <w:bottom w:val="none" w:sz="0" w:space="0" w:color="auto"/>
                            <w:right w:val="none" w:sz="0" w:space="0" w:color="auto"/>
                          </w:divBdr>
                        </w:div>
                      </w:divsChild>
                    </w:div>
                    <w:div w:id="2079085864">
                      <w:marLeft w:val="240"/>
                      <w:marRight w:val="0"/>
                      <w:marTop w:val="60"/>
                      <w:marBottom w:val="60"/>
                      <w:divBdr>
                        <w:top w:val="none" w:sz="0" w:space="0" w:color="auto"/>
                        <w:left w:val="none" w:sz="0" w:space="0" w:color="auto"/>
                        <w:bottom w:val="none" w:sz="0" w:space="0" w:color="auto"/>
                        <w:right w:val="none" w:sz="0" w:space="0" w:color="auto"/>
                      </w:divBdr>
                      <w:divsChild>
                        <w:div w:id="1233151550">
                          <w:marLeft w:val="240"/>
                          <w:marRight w:val="0"/>
                          <w:marTop w:val="60"/>
                          <w:marBottom w:val="60"/>
                          <w:divBdr>
                            <w:top w:val="none" w:sz="0" w:space="0" w:color="auto"/>
                            <w:left w:val="none" w:sz="0" w:space="0" w:color="auto"/>
                            <w:bottom w:val="none" w:sz="0" w:space="0" w:color="auto"/>
                            <w:right w:val="none" w:sz="0" w:space="0" w:color="auto"/>
                          </w:divBdr>
                          <w:divsChild>
                            <w:div w:id="1307277946">
                              <w:marLeft w:val="0"/>
                              <w:marRight w:val="0"/>
                              <w:marTop w:val="0"/>
                              <w:marBottom w:val="0"/>
                              <w:divBdr>
                                <w:top w:val="none" w:sz="0" w:space="0" w:color="auto"/>
                                <w:left w:val="none" w:sz="0" w:space="0" w:color="auto"/>
                                <w:bottom w:val="none" w:sz="0" w:space="0" w:color="auto"/>
                                <w:right w:val="none" w:sz="0" w:space="0" w:color="auto"/>
                              </w:divBdr>
                            </w:div>
                          </w:divsChild>
                        </w:div>
                        <w:div w:id="1413311792">
                          <w:marLeft w:val="240"/>
                          <w:marRight w:val="0"/>
                          <w:marTop w:val="60"/>
                          <w:marBottom w:val="60"/>
                          <w:divBdr>
                            <w:top w:val="none" w:sz="0" w:space="0" w:color="auto"/>
                            <w:left w:val="none" w:sz="0" w:space="0" w:color="auto"/>
                            <w:bottom w:val="none" w:sz="0" w:space="0" w:color="auto"/>
                            <w:right w:val="none" w:sz="0" w:space="0" w:color="auto"/>
                          </w:divBdr>
                          <w:divsChild>
                            <w:div w:id="2838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613">
                      <w:marLeft w:val="240"/>
                      <w:marRight w:val="0"/>
                      <w:marTop w:val="60"/>
                      <w:marBottom w:val="60"/>
                      <w:divBdr>
                        <w:top w:val="none" w:sz="0" w:space="0" w:color="auto"/>
                        <w:left w:val="none" w:sz="0" w:space="0" w:color="auto"/>
                        <w:bottom w:val="none" w:sz="0" w:space="0" w:color="auto"/>
                        <w:right w:val="none" w:sz="0" w:space="0" w:color="auto"/>
                      </w:divBdr>
                      <w:divsChild>
                        <w:div w:id="18633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7948">
                  <w:marLeft w:val="240"/>
                  <w:marRight w:val="0"/>
                  <w:marTop w:val="60"/>
                  <w:marBottom w:val="60"/>
                  <w:divBdr>
                    <w:top w:val="none" w:sz="0" w:space="0" w:color="auto"/>
                    <w:left w:val="none" w:sz="0" w:space="0" w:color="auto"/>
                    <w:bottom w:val="none" w:sz="0" w:space="0" w:color="auto"/>
                    <w:right w:val="none" w:sz="0" w:space="0" w:color="auto"/>
                  </w:divBdr>
                  <w:divsChild>
                    <w:div w:id="1770202084">
                      <w:marLeft w:val="240"/>
                      <w:marRight w:val="0"/>
                      <w:marTop w:val="60"/>
                      <w:marBottom w:val="60"/>
                      <w:divBdr>
                        <w:top w:val="none" w:sz="0" w:space="0" w:color="auto"/>
                        <w:left w:val="none" w:sz="0" w:space="0" w:color="auto"/>
                        <w:bottom w:val="none" w:sz="0" w:space="0" w:color="auto"/>
                        <w:right w:val="none" w:sz="0" w:space="0" w:color="auto"/>
                      </w:divBdr>
                      <w:divsChild>
                        <w:div w:id="1250427113">
                          <w:marLeft w:val="0"/>
                          <w:marRight w:val="0"/>
                          <w:marTop w:val="0"/>
                          <w:marBottom w:val="0"/>
                          <w:divBdr>
                            <w:top w:val="none" w:sz="0" w:space="0" w:color="auto"/>
                            <w:left w:val="none" w:sz="0" w:space="0" w:color="auto"/>
                            <w:bottom w:val="none" w:sz="0" w:space="0" w:color="auto"/>
                            <w:right w:val="none" w:sz="0" w:space="0" w:color="auto"/>
                          </w:divBdr>
                        </w:div>
                      </w:divsChild>
                    </w:div>
                    <w:div w:id="224026892">
                      <w:marLeft w:val="240"/>
                      <w:marRight w:val="0"/>
                      <w:marTop w:val="60"/>
                      <w:marBottom w:val="60"/>
                      <w:divBdr>
                        <w:top w:val="none" w:sz="0" w:space="0" w:color="auto"/>
                        <w:left w:val="none" w:sz="0" w:space="0" w:color="auto"/>
                        <w:bottom w:val="none" w:sz="0" w:space="0" w:color="auto"/>
                        <w:right w:val="none" w:sz="0" w:space="0" w:color="auto"/>
                      </w:divBdr>
                      <w:divsChild>
                        <w:div w:id="2055426584">
                          <w:marLeft w:val="0"/>
                          <w:marRight w:val="0"/>
                          <w:marTop w:val="0"/>
                          <w:marBottom w:val="0"/>
                          <w:divBdr>
                            <w:top w:val="none" w:sz="0" w:space="0" w:color="auto"/>
                            <w:left w:val="none" w:sz="0" w:space="0" w:color="auto"/>
                            <w:bottom w:val="none" w:sz="0" w:space="0" w:color="auto"/>
                            <w:right w:val="none" w:sz="0" w:space="0" w:color="auto"/>
                          </w:divBdr>
                        </w:div>
                      </w:divsChild>
                    </w:div>
                    <w:div w:id="2012947823">
                      <w:marLeft w:val="240"/>
                      <w:marRight w:val="0"/>
                      <w:marTop w:val="60"/>
                      <w:marBottom w:val="60"/>
                      <w:divBdr>
                        <w:top w:val="none" w:sz="0" w:space="0" w:color="auto"/>
                        <w:left w:val="none" w:sz="0" w:space="0" w:color="auto"/>
                        <w:bottom w:val="none" w:sz="0" w:space="0" w:color="auto"/>
                        <w:right w:val="none" w:sz="0" w:space="0" w:color="auto"/>
                      </w:divBdr>
                      <w:divsChild>
                        <w:div w:id="8580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353995">
          <w:marLeft w:val="240"/>
          <w:marRight w:val="0"/>
          <w:marTop w:val="60"/>
          <w:marBottom w:val="60"/>
          <w:divBdr>
            <w:top w:val="none" w:sz="0" w:space="0" w:color="auto"/>
            <w:left w:val="none" w:sz="0" w:space="0" w:color="auto"/>
            <w:bottom w:val="none" w:sz="0" w:space="0" w:color="auto"/>
            <w:right w:val="none" w:sz="0" w:space="0" w:color="auto"/>
          </w:divBdr>
          <w:divsChild>
            <w:div w:id="1522089750">
              <w:marLeft w:val="240"/>
              <w:marRight w:val="0"/>
              <w:marTop w:val="60"/>
              <w:marBottom w:val="60"/>
              <w:divBdr>
                <w:top w:val="none" w:sz="0" w:space="0" w:color="auto"/>
                <w:left w:val="none" w:sz="0" w:space="0" w:color="auto"/>
                <w:bottom w:val="none" w:sz="0" w:space="0" w:color="auto"/>
                <w:right w:val="none" w:sz="0" w:space="0" w:color="auto"/>
              </w:divBdr>
              <w:divsChild>
                <w:div w:id="1999184639">
                  <w:marLeft w:val="240"/>
                  <w:marRight w:val="0"/>
                  <w:marTop w:val="60"/>
                  <w:marBottom w:val="60"/>
                  <w:divBdr>
                    <w:top w:val="none" w:sz="0" w:space="0" w:color="auto"/>
                    <w:left w:val="none" w:sz="0" w:space="0" w:color="auto"/>
                    <w:bottom w:val="none" w:sz="0" w:space="0" w:color="auto"/>
                    <w:right w:val="none" w:sz="0" w:space="0" w:color="auto"/>
                  </w:divBdr>
                  <w:divsChild>
                    <w:div w:id="1412846727">
                      <w:marLeft w:val="240"/>
                      <w:marRight w:val="0"/>
                      <w:marTop w:val="60"/>
                      <w:marBottom w:val="60"/>
                      <w:divBdr>
                        <w:top w:val="none" w:sz="0" w:space="0" w:color="auto"/>
                        <w:left w:val="none" w:sz="0" w:space="0" w:color="auto"/>
                        <w:bottom w:val="none" w:sz="0" w:space="0" w:color="auto"/>
                        <w:right w:val="none" w:sz="0" w:space="0" w:color="auto"/>
                      </w:divBdr>
                      <w:divsChild>
                        <w:div w:id="995691213">
                          <w:marLeft w:val="0"/>
                          <w:marRight w:val="0"/>
                          <w:marTop w:val="0"/>
                          <w:marBottom w:val="0"/>
                          <w:divBdr>
                            <w:top w:val="none" w:sz="0" w:space="0" w:color="auto"/>
                            <w:left w:val="none" w:sz="0" w:space="0" w:color="auto"/>
                            <w:bottom w:val="none" w:sz="0" w:space="0" w:color="auto"/>
                            <w:right w:val="none" w:sz="0" w:space="0" w:color="auto"/>
                          </w:divBdr>
                        </w:div>
                      </w:divsChild>
                    </w:div>
                    <w:div w:id="291522615">
                      <w:marLeft w:val="240"/>
                      <w:marRight w:val="0"/>
                      <w:marTop w:val="60"/>
                      <w:marBottom w:val="60"/>
                      <w:divBdr>
                        <w:top w:val="none" w:sz="0" w:space="0" w:color="auto"/>
                        <w:left w:val="none" w:sz="0" w:space="0" w:color="auto"/>
                        <w:bottom w:val="none" w:sz="0" w:space="0" w:color="auto"/>
                        <w:right w:val="none" w:sz="0" w:space="0" w:color="auto"/>
                      </w:divBdr>
                      <w:divsChild>
                        <w:div w:id="17898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4851">
                  <w:marLeft w:val="240"/>
                  <w:marRight w:val="0"/>
                  <w:marTop w:val="60"/>
                  <w:marBottom w:val="60"/>
                  <w:divBdr>
                    <w:top w:val="none" w:sz="0" w:space="0" w:color="auto"/>
                    <w:left w:val="none" w:sz="0" w:space="0" w:color="auto"/>
                    <w:bottom w:val="none" w:sz="0" w:space="0" w:color="auto"/>
                    <w:right w:val="none" w:sz="0" w:space="0" w:color="auto"/>
                  </w:divBdr>
                  <w:divsChild>
                    <w:div w:id="368647314">
                      <w:marLeft w:val="240"/>
                      <w:marRight w:val="0"/>
                      <w:marTop w:val="60"/>
                      <w:marBottom w:val="60"/>
                      <w:divBdr>
                        <w:top w:val="none" w:sz="0" w:space="0" w:color="auto"/>
                        <w:left w:val="none" w:sz="0" w:space="0" w:color="auto"/>
                        <w:bottom w:val="none" w:sz="0" w:space="0" w:color="auto"/>
                        <w:right w:val="none" w:sz="0" w:space="0" w:color="auto"/>
                      </w:divBdr>
                      <w:divsChild>
                        <w:div w:id="427971480">
                          <w:marLeft w:val="0"/>
                          <w:marRight w:val="0"/>
                          <w:marTop w:val="0"/>
                          <w:marBottom w:val="0"/>
                          <w:divBdr>
                            <w:top w:val="none" w:sz="0" w:space="0" w:color="auto"/>
                            <w:left w:val="none" w:sz="0" w:space="0" w:color="auto"/>
                            <w:bottom w:val="none" w:sz="0" w:space="0" w:color="auto"/>
                            <w:right w:val="none" w:sz="0" w:space="0" w:color="auto"/>
                          </w:divBdr>
                        </w:div>
                      </w:divsChild>
                    </w:div>
                    <w:div w:id="2138597448">
                      <w:marLeft w:val="240"/>
                      <w:marRight w:val="0"/>
                      <w:marTop w:val="60"/>
                      <w:marBottom w:val="60"/>
                      <w:divBdr>
                        <w:top w:val="none" w:sz="0" w:space="0" w:color="auto"/>
                        <w:left w:val="none" w:sz="0" w:space="0" w:color="auto"/>
                        <w:bottom w:val="none" w:sz="0" w:space="0" w:color="auto"/>
                        <w:right w:val="none" w:sz="0" w:space="0" w:color="auto"/>
                      </w:divBdr>
                      <w:divsChild>
                        <w:div w:id="320887954">
                          <w:marLeft w:val="0"/>
                          <w:marRight w:val="0"/>
                          <w:marTop w:val="0"/>
                          <w:marBottom w:val="0"/>
                          <w:divBdr>
                            <w:top w:val="none" w:sz="0" w:space="0" w:color="auto"/>
                            <w:left w:val="none" w:sz="0" w:space="0" w:color="auto"/>
                            <w:bottom w:val="none" w:sz="0" w:space="0" w:color="auto"/>
                            <w:right w:val="none" w:sz="0" w:space="0" w:color="auto"/>
                          </w:divBdr>
                        </w:div>
                      </w:divsChild>
                    </w:div>
                    <w:div w:id="883949952">
                      <w:marLeft w:val="240"/>
                      <w:marRight w:val="0"/>
                      <w:marTop w:val="60"/>
                      <w:marBottom w:val="60"/>
                      <w:divBdr>
                        <w:top w:val="none" w:sz="0" w:space="0" w:color="auto"/>
                        <w:left w:val="none" w:sz="0" w:space="0" w:color="auto"/>
                        <w:bottom w:val="none" w:sz="0" w:space="0" w:color="auto"/>
                        <w:right w:val="none" w:sz="0" w:space="0" w:color="auto"/>
                      </w:divBdr>
                      <w:divsChild>
                        <w:div w:id="10368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1145">
                  <w:marLeft w:val="240"/>
                  <w:marRight w:val="0"/>
                  <w:marTop w:val="60"/>
                  <w:marBottom w:val="60"/>
                  <w:divBdr>
                    <w:top w:val="none" w:sz="0" w:space="0" w:color="auto"/>
                    <w:left w:val="none" w:sz="0" w:space="0" w:color="auto"/>
                    <w:bottom w:val="none" w:sz="0" w:space="0" w:color="auto"/>
                    <w:right w:val="none" w:sz="0" w:space="0" w:color="auto"/>
                  </w:divBdr>
                  <w:divsChild>
                    <w:div w:id="1040059187">
                      <w:marLeft w:val="240"/>
                      <w:marRight w:val="0"/>
                      <w:marTop w:val="60"/>
                      <w:marBottom w:val="60"/>
                      <w:divBdr>
                        <w:top w:val="none" w:sz="0" w:space="0" w:color="auto"/>
                        <w:left w:val="none" w:sz="0" w:space="0" w:color="auto"/>
                        <w:bottom w:val="none" w:sz="0" w:space="0" w:color="auto"/>
                        <w:right w:val="none" w:sz="0" w:space="0" w:color="auto"/>
                      </w:divBdr>
                      <w:divsChild>
                        <w:div w:id="1794320732">
                          <w:marLeft w:val="0"/>
                          <w:marRight w:val="0"/>
                          <w:marTop w:val="0"/>
                          <w:marBottom w:val="0"/>
                          <w:divBdr>
                            <w:top w:val="none" w:sz="0" w:space="0" w:color="auto"/>
                            <w:left w:val="none" w:sz="0" w:space="0" w:color="auto"/>
                            <w:bottom w:val="none" w:sz="0" w:space="0" w:color="auto"/>
                            <w:right w:val="none" w:sz="0" w:space="0" w:color="auto"/>
                          </w:divBdr>
                        </w:div>
                      </w:divsChild>
                    </w:div>
                    <w:div w:id="906495982">
                      <w:marLeft w:val="240"/>
                      <w:marRight w:val="0"/>
                      <w:marTop w:val="60"/>
                      <w:marBottom w:val="60"/>
                      <w:divBdr>
                        <w:top w:val="none" w:sz="0" w:space="0" w:color="auto"/>
                        <w:left w:val="none" w:sz="0" w:space="0" w:color="auto"/>
                        <w:bottom w:val="none" w:sz="0" w:space="0" w:color="auto"/>
                        <w:right w:val="none" w:sz="0" w:space="0" w:color="auto"/>
                      </w:divBdr>
                      <w:divsChild>
                        <w:div w:id="949625546">
                          <w:marLeft w:val="0"/>
                          <w:marRight w:val="0"/>
                          <w:marTop w:val="0"/>
                          <w:marBottom w:val="0"/>
                          <w:divBdr>
                            <w:top w:val="none" w:sz="0" w:space="0" w:color="auto"/>
                            <w:left w:val="none" w:sz="0" w:space="0" w:color="auto"/>
                            <w:bottom w:val="none" w:sz="0" w:space="0" w:color="auto"/>
                            <w:right w:val="none" w:sz="0" w:space="0" w:color="auto"/>
                          </w:divBdr>
                        </w:div>
                      </w:divsChild>
                    </w:div>
                    <w:div w:id="1383628602">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 w:id="1224096467">
              <w:marLeft w:val="240"/>
              <w:marRight w:val="0"/>
              <w:marTop w:val="60"/>
              <w:marBottom w:val="60"/>
              <w:divBdr>
                <w:top w:val="none" w:sz="0" w:space="0" w:color="auto"/>
                <w:left w:val="none" w:sz="0" w:space="0" w:color="auto"/>
                <w:bottom w:val="none" w:sz="0" w:space="0" w:color="auto"/>
                <w:right w:val="none" w:sz="0" w:space="0" w:color="auto"/>
              </w:divBdr>
              <w:divsChild>
                <w:div w:id="147672520">
                  <w:marLeft w:val="240"/>
                  <w:marRight w:val="0"/>
                  <w:marTop w:val="60"/>
                  <w:marBottom w:val="60"/>
                  <w:divBdr>
                    <w:top w:val="none" w:sz="0" w:space="0" w:color="auto"/>
                    <w:left w:val="none" w:sz="0" w:space="0" w:color="auto"/>
                    <w:bottom w:val="none" w:sz="0" w:space="0" w:color="auto"/>
                    <w:right w:val="none" w:sz="0" w:space="0" w:color="auto"/>
                  </w:divBdr>
                  <w:divsChild>
                    <w:div w:id="1079978864">
                      <w:marLeft w:val="0"/>
                      <w:marRight w:val="0"/>
                      <w:marTop w:val="0"/>
                      <w:marBottom w:val="0"/>
                      <w:divBdr>
                        <w:top w:val="none" w:sz="0" w:space="0" w:color="auto"/>
                        <w:left w:val="none" w:sz="0" w:space="0" w:color="auto"/>
                        <w:bottom w:val="none" w:sz="0" w:space="0" w:color="auto"/>
                        <w:right w:val="none" w:sz="0" w:space="0" w:color="auto"/>
                      </w:divBdr>
                    </w:div>
                  </w:divsChild>
                </w:div>
                <w:div w:id="236139504">
                  <w:marLeft w:val="240"/>
                  <w:marRight w:val="0"/>
                  <w:marTop w:val="60"/>
                  <w:marBottom w:val="60"/>
                  <w:divBdr>
                    <w:top w:val="none" w:sz="0" w:space="0" w:color="auto"/>
                    <w:left w:val="none" w:sz="0" w:space="0" w:color="auto"/>
                    <w:bottom w:val="none" w:sz="0" w:space="0" w:color="auto"/>
                    <w:right w:val="none" w:sz="0" w:space="0" w:color="auto"/>
                  </w:divBdr>
                  <w:divsChild>
                    <w:div w:id="1903527">
                      <w:marLeft w:val="0"/>
                      <w:marRight w:val="0"/>
                      <w:marTop w:val="0"/>
                      <w:marBottom w:val="0"/>
                      <w:divBdr>
                        <w:top w:val="none" w:sz="0" w:space="0" w:color="auto"/>
                        <w:left w:val="none" w:sz="0" w:space="0" w:color="auto"/>
                        <w:bottom w:val="none" w:sz="0" w:space="0" w:color="auto"/>
                        <w:right w:val="none" w:sz="0" w:space="0" w:color="auto"/>
                      </w:divBdr>
                    </w:div>
                  </w:divsChild>
                </w:div>
                <w:div w:id="1925265027">
                  <w:marLeft w:val="240"/>
                  <w:marRight w:val="0"/>
                  <w:marTop w:val="60"/>
                  <w:marBottom w:val="60"/>
                  <w:divBdr>
                    <w:top w:val="none" w:sz="0" w:space="0" w:color="auto"/>
                    <w:left w:val="none" w:sz="0" w:space="0" w:color="auto"/>
                    <w:bottom w:val="none" w:sz="0" w:space="0" w:color="auto"/>
                    <w:right w:val="none" w:sz="0" w:space="0" w:color="auto"/>
                  </w:divBdr>
                  <w:divsChild>
                    <w:div w:id="4754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23905">
              <w:marLeft w:val="240"/>
              <w:marRight w:val="0"/>
              <w:marTop w:val="60"/>
              <w:marBottom w:val="60"/>
              <w:divBdr>
                <w:top w:val="none" w:sz="0" w:space="0" w:color="auto"/>
                <w:left w:val="none" w:sz="0" w:space="0" w:color="auto"/>
                <w:bottom w:val="none" w:sz="0" w:space="0" w:color="auto"/>
                <w:right w:val="none" w:sz="0" w:space="0" w:color="auto"/>
              </w:divBdr>
              <w:divsChild>
                <w:div w:id="1732078072">
                  <w:marLeft w:val="240"/>
                  <w:marRight w:val="0"/>
                  <w:marTop w:val="60"/>
                  <w:marBottom w:val="60"/>
                  <w:divBdr>
                    <w:top w:val="none" w:sz="0" w:space="0" w:color="auto"/>
                    <w:left w:val="none" w:sz="0" w:space="0" w:color="auto"/>
                    <w:bottom w:val="none" w:sz="0" w:space="0" w:color="auto"/>
                    <w:right w:val="none" w:sz="0" w:space="0" w:color="auto"/>
                  </w:divBdr>
                  <w:divsChild>
                    <w:div w:id="1560170053">
                      <w:marLeft w:val="240"/>
                      <w:marRight w:val="0"/>
                      <w:marTop w:val="60"/>
                      <w:marBottom w:val="60"/>
                      <w:divBdr>
                        <w:top w:val="none" w:sz="0" w:space="0" w:color="auto"/>
                        <w:left w:val="none" w:sz="0" w:space="0" w:color="auto"/>
                        <w:bottom w:val="none" w:sz="0" w:space="0" w:color="auto"/>
                        <w:right w:val="none" w:sz="0" w:space="0" w:color="auto"/>
                      </w:divBdr>
                      <w:divsChild>
                        <w:div w:id="455879343">
                          <w:marLeft w:val="240"/>
                          <w:marRight w:val="0"/>
                          <w:marTop w:val="60"/>
                          <w:marBottom w:val="60"/>
                          <w:divBdr>
                            <w:top w:val="none" w:sz="0" w:space="0" w:color="auto"/>
                            <w:left w:val="none" w:sz="0" w:space="0" w:color="auto"/>
                            <w:bottom w:val="none" w:sz="0" w:space="0" w:color="auto"/>
                            <w:right w:val="none" w:sz="0" w:space="0" w:color="auto"/>
                          </w:divBdr>
                          <w:divsChild>
                            <w:div w:id="1450006028">
                              <w:marLeft w:val="0"/>
                              <w:marRight w:val="0"/>
                              <w:marTop w:val="0"/>
                              <w:marBottom w:val="0"/>
                              <w:divBdr>
                                <w:top w:val="none" w:sz="0" w:space="0" w:color="auto"/>
                                <w:left w:val="none" w:sz="0" w:space="0" w:color="auto"/>
                                <w:bottom w:val="none" w:sz="0" w:space="0" w:color="auto"/>
                                <w:right w:val="none" w:sz="0" w:space="0" w:color="auto"/>
                              </w:divBdr>
                            </w:div>
                          </w:divsChild>
                        </w:div>
                        <w:div w:id="1556356654">
                          <w:marLeft w:val="240"/>
                          <w:marRight w:val="0"/>
                          <w:marTop w:val="60"/>
                          <w:marBottom w:val="60"/>
                          <w:divBdr>
                            <w:top w:val="none" w:sz="0" w:space="0" w:color="auto"/>
                            <w:left w:val="none" w:sz="0" w:space="0" w:color="auto"/>
                            <w:bottom w:val="none" w:sz="0" w:space="0" w:color="auto"/>
                            <w:right w:val="none" w:sz="0" w:space="0" w:color="auto"/>
                          </w:divBdr>
                          <w:divsChild>
                            <w:div w:id="4553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824">
                      <w:marLeft w:val="240"/>
                      <w:marRight w:val="0"/>
                      <w:marTop w:val="60"/>
                      <w:marBottom w:val="60"/>
                      <w:divBdr>
                        <w:top w:val="none" w:sz="0" w:space="0" w:color="auto"/>
                        <w:left w:val="none" w:sz="0" w:space="0" w:color="auto"/>
                        <w:bottom w:val="none" w:sz="0" w:space="0" w:color="auto"/>
                        <w:right w:val="none" w:sz="0" w:space="0" w:color="auto"/>
                      </w:divBdr>
                      <w:divsChild>
                        <w:div w:id="12905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4728">
                  <w:marLeft w:val="240"/>
                  <w:marRight w:val="0"/>
                  <w:marTop w:val="60"/>
                  <w:marBottom w:val="60"/>
                  <w:divBdr>
                    <w:top w:val="none" w:sz="0" w:space="0" w:color="auto"/>
                    <w:left w:val="none" w:sz="0" w:space="0" w:color="auto"/>
                    <w:bottom w:val="none" w:sz="0" w:space="0" w:color="auto"/>
                    <w:right w:val="none" w:sz="0" w:space="0" w:color="auto"/>
                  </w:divBdr>
                  <w:divsChild>
                    <w:div w:id="1565489316">
                      <w:marLeft w:val="240"/>
                      <w:marRight w:val="0"/>
                      <w:marTop w:val="60"/>
                      <w:marBottom w:val="60"/>
                      <w:divBdr>
                        <w:top w:val="none" w:sz="0" w:space="0" w:color="auto"/>
                        <w:left w:val="none" w:sz="0" w:space="0" w:color="auto"/>
                        <w:bottom w:val="none" w:sz="0" w:space="0" w:color="auto"/>
                        <w:right w:val="none" w:sz="0" w:space="0" w:color="auto"/>
                      </w:divBdr>
                      <w:divsChild>
                        <w:div w:id="82379231">
                          <w:marLeft w:val="0"/>
                          <w:marRight w:val="0"/>
                          <w:marTop w:val="0"/>
                          <w:marBottom w:val="0"/>
                          <w:divBdr>
                            <w:top w:val="none" w:sz="0" w:space="0" w:color="auto"/>
                            <w:left w:val="none" w:sz="0" w:space="0" w:color="auto"/>
                            <w:bottom w:val="none" w:sz="0" w:space="0" w:color="auto"/>
                            <w:right w:val="none" w:sz="0" w:space="0" w:color="auto"/>
                          </w:divBdr>
                        </w:div>
                      </w:divsChild>
                    </w:div>
                    <w:div w:id="813715174">
                      <w:marLeft w:val="240"/>
                      <w:marRight w:val="0"/>
                      <w:marTop w:val="60"/>
                      <w:marBottom w:val="60"/>
                      <w:divBdr>
                        <w:top w:val="none" w:sz="0" w:space="0" w:color="auto"/>
                        <w:left w:val="none" w:sz="0" w:space="0" w:color="auto"/>
                        <w:bottom w:val="none" w:sz="0" w:space="0" w:color="auto"/>
                        <w:right w:val="none" w:sz="0" w:space="0" w:color="auto"/>
                      </w:divBdr>
                      <w:divsChild>
                        <w:div w:id="1245722028">
                          <w:marLeft w:val="0"/>
                          <w:marRight w:val="0"/>
                          <w:marTop w:val="0"/>
                          <w:marBottom w:val="0"/>
                          <w:divBdr>
                            <w:top w:val="none" w:sz="0" w:space="0" w:color="auto"/>
                            <w:left w:val="none" w:sz="0" w:space="0" w:color="auto"/>
                            <w:bottom w:val="none" w:sz="0" w:space="0" w:color="auto"/>
                            <w:right w:val="none" w:sz="0" w:space="0" w:color="auto"/>
                          </w:divBdr>
                        </w:div>
                      </w:divsChild>
                    </w:div>
                    <w:div w:id="1388526468">
                      <w:marLeft w:val="240"/>
                      <w:marRight w:val="0"/>
                      <w:marTop w:val="60"/>
                      <w:marBottom w:val="60"/>
                      <w:divBdr>
                        <w:top w:val="none" w:sz="0" w:space="0" w:color="auto"/>
                        <w:left w:val="none" w:sz="0" w:space="0" w:color="auto"/>
                        <w:bottom w:val="none" w:sz="0" w:space="0" w:color="auto"/>
                        <w:right w:val="none" w:sz="0" w:space="0" w:color="auto"/>
                      </w:divBdr>
                      <w:divsChild>
                        <w:div w:id="2137289935">
                          <w:marLeft w:val="0"/>
                          <w:marRight w:val="0"/>
                          <w:marTop w:val="0"/>
                          <w:marBottom w:val="0"/>
                          <w:divBdr>
                            <w:top w:val="none" w:sz="0" w:space="0" w:color="auto"/>
                            <w:left w:val="none" w:sz="0" w:space="0" w:color="auto"/>
                            <w:bottom w:val="none" w:sz="0" w:space="0" w:color="auto"/>
                            <w:right w:val="none" w:sz="0" w:space="0" w:color="auto"/>
                          </w:divBdr>
                        </w:div>
                      </w:divsChild>
                    </w:div>
                    <w:div w:id="921258367">
                      <w:marLeft w:val="240"/>
                      <w:marRight w:val="0"/>
                      <w:marTop w:val="60"/>
                      <w:marBottom w:val="60"/>
                      <w:divBdr>
                        <w:top w:val="none" w:sz="0" w:space="0" w:color="auto"/>
                        <w:left w:val="none" w:sz="0" w:space="0" w:color="auto"/>
                        <w:bottom w:val="none" w:sz="0" w:space="0" w:color="auto"/>
                        <w:right w:val="none" w:sz="0" w:space="0" w:color="auto"/>
                      </w:divBdr>
                      <w:divsChild>
                        <w:div w:id="13485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11259">
                  <w:marLeft w:val="240"/>
                  <w:marRight w:val="0"/>
                  <w:marTop w:val="60"/>
                  <w:marBottom w:val="60"/>
                  <w:divBdr>
                    <w:top w:val="none" w:sz="0" w:space="0" w:color="auto"/>
                    <w:left w:val="none" w:sz="0" w:space="0" w:color="auto"/>
                    <w:bottom w:val="none" w:sz="0" w:space="0" w:color="auto"/>
                    <w:right w:val="none" w:sz="0" w:space="0" w:color="auto"/>
                  </w:divBdr>
                  <w:divsChild>
                    <w:div w:id="5113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291">
              <w:marLeft w:val="240"/>
              <w:marRight w:val="0"/>
              <w:marTop w:val="60"/>
              <w:marBottom w:val="60"/>
              <w:divBdr>
                <w:top w:val="none" w:sz="0" w:space="0" w:color="auto"/>
                <w:left w:val="none" w:sz="0" w:space="0" w:color="auto"/>
                <w:bottom w:val="none" w:sz="0" w:space="0" w:color="auto"/>
                <w:right w:val="none" w:sz="0" w:space="0" w:color="auto"/>
              </w:divBdr>
              <w:divsChild>
                <w:div w:id="10519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04313">
          <w:marLeft w:val="240"/>
          <w:marRight w:val="0"/>
          <w:marTop w:val="60"/>
          <w:marBottom w:val="60"/>
          <w:divBdr>
            <w:top w:val="none" w:sz="0" w:space="0" w:color="auto"/>
            <w:left w:val="none" w:sz="0" w:space="0" w:color="auto"/>
            <w:bottom w:val="none" w:sz="0" w:space="0" w:color="auto"/>
            <w:right w:val="none" w:sz="0" w:space="0" w:color="auto"/>
          </w:divBdr>
          <w:divsChild>
            <w:div w:id="1336420187">
              <w:marLeft w:val="240"/>
              <w:marRight w:val="0"/>
              <w:marTop w:val="60"/>
              <w:marBottom w:val="60"/>
              <w:divBdr>
                <w:top w:val="none" w:sz="0" w:space="0" w:color="auto"/>
                <w:left w:val="none" w:sz="0" w:space="0" w:color="auto"/>
                <w:bottom w:val="none" w:sz="0" w:space="0" w:color="auto"/>
                <w:right w:val="none" w:sz="0" w:space="0" w:color="auto"/>
              </w:divBdr>
              <w:divsChild>
                <w:div w:id="1715084842">
                  <w:marLeft w:val="240"/>
                  <w:marRight w:val="0"/>
                  <w:marTop w:val="60"/>
                  <w:marBottom w:val="60"/>
                  <w:divBdr>
                    <w:top w:val="none" w:sz="0" w:space="0" w:color="auto"/>
                    <w:left w:val="none" w:sz="0" w:space="0" w:color="auto"/>
                    <w:bottom w:val="none" w:sz="0" w:space="0" w:color="auto"/>
                    <w:right w:val="none" w:sz="0" w:space="0" w:color="auto"/>
                  </w:divBdr>
                  <w:divsChild>
                    <w:div w:id="1501966532">
                      <w:marLeft w:val="0"/>
                      <w:marRight w:val="0"/>
                      <w:marTop w:val="0"/>
                      <w:marBottom w:val="0"/>
                      <w:divBdr>
                        <w:top w:val="none" w:sz="0" w:space="0" w:color="auto"/>
                        <w:left w:val="none" w:sz="0" w:space="0" w:color="auto"/>
                        <w:bottom w:val="none" w:sz="0" w:space="0" w:color="auto"/>
                        <w:right w:val="none" w:sz="0" w:space="0" w:color="auto"/>
                      </w:divBdr>
                    </w:div>
                  </w:divsChild>
                </w:div>
                <w:div w:id="1286699085">
                  <w:marLeft w:val="240"/>
                  <w:marRight w:val="0"/>
                  <w:marTop w:val="60"/>
                  <w:marBottom w:val="60"/>
                  <w:divBdr>
                    <w:top w:val="none" w:sz="0" w:space="0" w:color="auto"/>
                    <w:left w:val="none" w:sz="0" w:space="0" w:color="auto"/>
                    <w:bottom w:val="none" w:sz="0" w:space="0" w:color="auto"/>
                    <w:right w:val="none" w:sz="0" w:space="0" w:color="auto"/>
                  </w:divBdr>
                  <w:divsChild>
                    <w:div w:id="8315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3520">
              <w:marLeft w:val="240"/>
              <w:marRight w:val="0"/>
              <w:marTop w:val="60"/>
              <w:marBottom w:val="60"/>
              <w:divBdr>
                <w:top w:val="none" w:sz="0" w:space="0" w:color="auto"/>
                <w:left w:val="none" w:sz="0" w:space="0" w:color="auto"/>
                <w:bottom w:val="none" w:sz="0" w:space="0" w:color="auto"/>
                <w:right w:val="none" w:sz="0" w:space="0" w:color="auto"/>
              </w:divBdr>
              <w:divsChild>
                <w:div w:id="517163985">
                  <w:marLeft w:val="240"/>
                  <w:marRight w:val="0"/>
                  <w:marTop w:val="60"/>
                  <w:marBottom w:val="60"/>
                  <w:divBdr>
                    <w:top w:val="none" w:sz="0" w:space="0" w:color="auto"/>
                    <w:left w:val="none" w:sz="0" w:space="0" w:color="auto"/>
                    <w:bottom w:val="none" w:sz="0" w:space="0" w:color="auto"/>
                    <w:right w:val="none" w:sz="0" w:space="0" w:color="auto"/>
                  </w:divBdr>
                  <w:divsChild>
                    <w:div w:id="1486969349">
                      <w:marLeft w:val="0"/>
                      <w:marRight w:val="0"/>
                      <w:marTop w:val="0"/>
                      <w:marBottom w:val="0"/>
                      <w:divBdr>
                        <w:top w:val="none" w:sz="0" w:space="0" w:color="auto"/>
                        <w:left w:val="none" w:sz="0" w:space="0" w:color="auto"/>
                        <w:bottom w:val="none" w:sz="0" w:space="0" w:color="auto"/>
                        <w:right w:val="none" w:sz="0" w:space="0" w:color="auto"/>
                      </w:divBdr>
                    </w:div>
                  </w:divsChild>
                </w:div>
                <w:div w:id="1997147232">
                  <w:marLeft w:val="240"/>
                  <w:marRight w:val="0"/>
                  <w:marTop w:val="60"/>
                  <w:marBottom w:val="60"/>
                  <w:divBdr>
                    <w:top w:val="none" w:sz="0" w:space="0" w:color="auto"/>
                    <w:left w:val="none" w:sz="0" w:space="0" w:color="auto"/>
                    <w:bottom w:val="none" w:sz="0" w:space="0" w:color="auto"/>
                    <w:right w:val="none" w:sz="0" w:space="0" w:color="auto"/>
                  </w:divBdr>
                  <w:divsChild>
                    <w:div w:id="2108037238">
                      <w:marLeft w:val="0"/>
                      <w:marRight w:val="0"/>
                      <w:marTop w:val="0"/>
                      <w:marBottom w:val="0"/>
                      <w:divBdr>
                        <w:top w:val="none" w:sz="0" w:space="0" w:color="auto"/>
                        <w:left w:val="none" w:sz="0" w:space="0" w:color="auto"/>
                        <w:bottom w:val="none" w:sz="0" w:space="0" w:color="auto"/>
                        <w:right w:val="none" w:sz="0" w:space="0" w:color="auto"/>
                      </w:divBdr>
                    </w:div>
                  </w:divsChild>
                </w:div>
                <w:div w:id="1624775782">
                  <w:marLeft w:val="240"/>
                  <w:marRight w:val="0"/>
                  <w:marTop w:val="60"/>
                  <w:marBottom w:val="60"/>
                  <w:divBdr>
                    <w:top w:val="none" w:sz="0" w:space="0" w:color="auto"/>
                    <w:left w:val="none" w:sz="0" w:space="0" w:color="auto"/>
                    <w:bottom w:val="none" w:sz="0" w:space="0" w:color="auto"/>
                    <w:right w:val="none" w:sz="0" w:space="0" w:color="auto"/>
                  </w:divBdr>
                  <w:divsChild>
                    <w:div w:id="608467722">
                      <w:marLeft w:val="0"/>
                      <w:marRight w:val="0"/>
                      <w:marTop w:val="0"/>
                      <w:marBottom w:val="0"/>
                      <w:divBdr>
                        <w:top w:val="none" w:sz="0" w:space="0" w:color="auto"/>
                        <w:left w:val="none" w:sz="0" w:space="0" w:color="auto"/>
                        <w:bottom w:val="none" w:sz="0" w:space="0" w:color="auto"/>
                        <w:right w:val="none" w:sz="0" w:space="0" w:color="auto"/>
                      </w:divBdr>
                    </w:div>
                  </w:divsChild>
                </w:div>
                <w:div w:id="1357998311">
                  <w:marLeft w:val="240"/>
                  <w:marRight w:val="0"/>
                  <w:marTop w:val="60"/>
                  <w:marBottom w:val="60"/>
                  <w:divBdr>
                    <w:top w:val="none" w:sz="0" w:space="0" w:color="auto"/>
                    <w:left w:val="none" w:sz="0" w:space="0" w:color="auto"/>
                    <w:bottom w:val="none" w:sz="0" w:space="0" w:color="auto"/>
                    <w:right w:val="none" w:sz="0" w:space="0" w:color="auto"/>
                  </w:divBdr>
                  <w:divsChild>
                    <w:div w:id="129785311">
                      <w:marLeft w:val="0"/>
                      <w:marRight w:val="0"/>
                      <w:marTop w:val="0"/>
                      <w:marBottom w:val="0"/>
                      <w:divBdr>
                        <w:top w:val="none" w:sz="0" w:space="0" w:color="auto"/>
                        <w:left w:val="none" w:sz="0" w:space="0" w:color="auto"/>
                        <w:bottom w:val="none" w:sz="0" w:space="0" w:color="auto"/>
                        <w:right w:val="none" w:sz="0" w:space="0" w:color="auto"/>
                      </w:divBdr>
                    </w:div>
                  </w:divsChild>
                </w:div>
                <w:div w:id="1389454273">
                  <w:marLeft w:val="240"/>
                  <w:marRight w:val="0"/>
                  <w:marTop w:val="60"/>
                  <w:marBottom w:val="60"/>
                  <w:divBdr>
                    <w:top w:val="none" w:sz="0" w:space="0" w:color="auto"/>
                    <w:left w:val="none" w:sz="0" w:space="0" w:color="auto"/>
                    <w:bottom w:val="none" w:sz="0" w:space="0" w:color="auto"/>
                    <w:right w:val="none" w:sz="0" w:space="0" w:color="auto"/>
                  </w:divBdr>
                  <w:divsChild>
                    <w:div w:id="1771856431">
                      <w:marLeft w:val="0"/>
                      <w:marRight w:val="0"/>
                      <w:marTop w:val="0"/>
                      <w:marBottom w:val="0"/>
                      <w:divBdr>
                        <w:top w:val="none" w:sz="0" w:space="0" w:color="auto"/>
                        <w:left w:val="none" w:sz="0" w:space="0" w:color="auto"/>
                        <w:bottom w:val="none" w:sz="0" w:space="0" w:color="auto"/>
                        <w:right w:val="none" w:sz="0" w:space="0" w:color="auto"/>
                      </w:divBdr>
                    </w:div>
                  </w:divsChild>
                </w:div>
                <w:div w:id="1992175973">
                  <w:marLeft w:val="240"/>
                  <w:marRight w:val="0"/>
                  <w:marTop w:val="60"/>
                  <w:marBottom w:val="60"/>
                  <w:divBdr>
                    <w:top w:val="none" w:sz="0" w:space="0" w:color="auto"/>
                    <w:left w:val="none" w:sz="0" w:space="0" w:color="auto"/>
                    <w:bottom w:val="none" w:sz="0" w:space="0" w:color="auto"/>
                    <w:right w:val="none" w:sz="0" w:space="0" w:color="auto"/>
                  </w:divBdr>
                  <w:divsChild>
                    <w:div w:id="265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45260">
              <w:marLeft w:val="240"/>
              <w:marRight w:val="0"/>
              <w:marTop w:val="60"/>
              <w:marBottom w:val="60"/>
              <w:divBdr>
                <w:top w:val="none" w:sz="0" w:space="0" w:color="auto"/>
                <w:left w:val="none" w:sz="0" w:space="0" w:color="auto"/>
                <w:bottom w:val="none" w:sz="0" w:space="0" w:color="auto"/>
                <w:right w:val="none" w:sz="0" w:space="0" w:color="auto"/>
              </w:divBdr>
              <w:divsChild>
                <w:div w:id="206332421">
                  <w:marLeft w:val="240"/>
                  <w:marRight w:val="0"/>
                  <w:marTop w:val="60"/>
                  <w:marBottom w:val="60"/>
                  <w:divBdr>
                    <w:top w:val="none" w:sz="0" w:space="0" w:color="auto"/>
                    <w:left w:val="none" w:sz="0" w:space="0" w:color="auto"/>
                    <w:bottom w:val="none" w:sz="0" w:space="0" w:color="auto"/>
                    <w:right w:val="none" w:sz="0" w:space="0" w:color="auto"/>
                  </w:divBdr>
                  <w:divsChild>
                    <w:div w:id="1968776198">
                      <w:marLeft w:val="0"/>
                      <w:marRight w:val="0"/>
                      <w:marTop w:val="0"/>
                      <w:marBottom w:val="0"/>
                      <w:divBdr>
                        <w:top w:val="none" w:sz="0" w:space="0" w:color="auto"/>
                        <w:left w:val="none" w:sz="0" w:space="0" w:color="auto"/>
                        <w:bottom w:val="none" w:sz="0" w:space="0" w:color="auto"/>
                        <w:right w:val="none" w:sz="0" w:space="0" w:color="auto"/>
                      </w:divBdr>
                    </w:div>
                  </w:divsChild>
                </w:div>
                <w:div w:id="1990816847">
                  <w:marLeft w:val="240"/>
                  <w:marRight w:val="0"/>
                  <w:marTop w:val="60"/>
                  <w:marBottom w:val="60"/>
                  <w:divBdr>
                    <w:top w:val="none" w:sz="0" w:space="0" w:color="auto"/>
                    <w:left w:val="none" w:sz="0" w:space="0" w:color="auto"/>
                    <w:bottom w:val="none" w:sz="0" w:space="0" w:color="auto"/>
                    <w:right w:val="none" w:sz="0" w:space="0" w:color="auto"/>
                  </w:divBdr>
                  <w:divsChild>
                    <w:div w:id="471169834">
                      <w:marLeft w:val="240"/>
                      <w:marRight w:val="0"/>
                      <w:marTop w:val="60"/>
                      <w:marBottom w:val="60"/>
                      <w:divBdr>
                        <w:top w:val="none" w:sz="0" w:space="0" w:color="auto"/>
                        <w:left w:val="none" w:sz="0" w:space="0" w:color="auto"/>
                        <w:bottom w:val="none" w:sz="0" w:space="0" w:color="auto"/>
                        <w:right w:val="none" w:sz="0" w:space="0" w:color="auto"/>
                      </w:divBdr>
                      <w:divsChild>
                        <w:div w:id="220599311">
                          <w:marLeft w:val="0"/>
                          <w:marRight w:val="0"/>
                          <w:marTop w:val="0"/>
                          <w:marBottom w:val="0"/>
                          <w:divBdr>
                            <w:top w:val="none" w:sz="0" w:space="0" w:color="auto"/>
                            <w:left w:val="none" w:sz="0" w:space="0" w:color="auto"/>
                            <w:bottom w:val="none" w:sz="0" w:space="0" w:color="auto"/>
                            <w:right w:val="none" w:sz="0" w:space="0" w:color="auto"/>
                          </w:divBdr>
                        </w:div>
                      </w:divsChild>
                    </w:div>
                    <w:div w:id="219757856">
                      <w:marLeft w:val="240"/>
                      <w:marRight w:val="0"/>
                      <w:marTop w:val="60"/>
                      <w:marBottom w:val="60"/>
                      <w:divBdr>
                        <w:top w:val="none" w:sz="0" w:space="0" w:color="auto"/>
                        <w:left w:val="none" w:sz="0" w:space="0" w:color="auto"/>
                        <w:bottom w:val="none" w:sz="0" w:space="0" w:color="auto"/>
                        <w:right w:val="none" w:sz="0" w:space="0" w:color="auto"/>
                      </w:divBdr>
                      <w:divsChild>
                        <w:div w:id="905921448">
                          <w:marLeft w:val="0"/>
                          <w:marRight w:val="0"/>
                          <w:marTop w:val="0"/>
                          <w:marBottom w:val="0"/>
                          <w:divBdr>
                            <w:top w:val="none" w:sz="0" w:space="0" w:color="auto"/>
                            <w:left w:val="none" w:sz="0" w:space="0" w:color="auto"/>
                            <w:bottom w:val="none" w:sz="0" w:space="0" w:color="auto"/>
                            <w:right w:val="none" w:sz="0" w:space="0" w:color="auto"/>
                          </w:divBdr>
                        </w:div>
                      </w:divsChild>
                    </w:div>
                    <w:div w:id="1565917207">
                      <w:marLeft w:val="240"/>
                      <w:marRight w:val="0"/>
                      <w:marTop w:val="60"/>
                      <w:marBottom w:val="60"/>
                      <w:divBdr>
                        <w:top w:val="none" w:sz="0" w:space="0" w:color="auto"/>
                        <w:left w:val="none" w:sz="0" w:space="0" w:color="auto"/>
                        <w:bottom w:val="none" w:sz="0" w:space="0" w:color="auto"/>
                        <w:right w:val="none" w:sz="0" w:space="0" w:color="auto"/>
                      </w:divBdr>
                      <w:divsChild>
                        <w:div w:id="21408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0788">
              <w:marLeft w:val="240"/>
              <w:marRight w:val="0"/>
              <w:marTop w:val="60"/>
              <w:marBottom w:val="60"/>
              <w:divBdr>
                <w:top w:val="none" w:sz="0" w:space="0" w:color="auto"/>
                <w:left w:val="none" w:sz="0" w:space="0" w:color="auto"/>
                <w:bottom w:val="none" w:sz="0" w:space="0" w:color="auto"/>
                <w:right w:val="none" w:sz="0" w:space="0" w:color="auto"/>
              </w:divBdr>
              <w:divsChild>
                <w:div w:id="1707558322">
                  <w:marLeft w:val="240"/>
                  <w:marRight w:val="0"/>
                  <w:marTop w:val="60"/>
                  <w:marBottom w:val="60"/>
                  <w:divBdr>
                    <w:top w:val="none" w:sz="0" w:space="0" w:color="auto"/>
                    <w:left w:val="none" w:sz="0" w:space="0" w:color="auto"/>
                    <w:bottom w:val="none" w:sz="0" w:space="0" w:color="auto"/>
                    <w:right w:val="none" w:sz="0" w:space="0" w:color="auto"/>
                  </w:divBdr>
                  <w:divsChild>
                    <w:div w:id="1421021638">
                      <w:marLeft w:val="0"/>
                      <w:marRight w:val="0"/>
                      <w:marTop w:val="0"/>
                      <w:marBottom w:val="0"/>
                      <w:divBdr>
                        <w:top w:val="none" w:sz="0" w:space="0" w:color="auto"/>
                        <w:left w:val="none" w:sz="0" w:space="0" w:color="auto"/>
                        <w:bottom w:val="none" w:sz="0" w:space="0" w:color="auto"/>
                        <w:right w:val="none" w:sz="0" w:space="0" w:color="auto"/>
                      </w:divBdr>
                    </w:div>
                  </w:divsChild>
                </w:div>
                <w:div w:id="331103181">
                  <w:marLeft w:val="240"/>
                  <w:marRight w:val="0"/>
                  <w:marTop w:val="60"/>
                  <w:marBottom w:val="60"/>
                  <w:divBdr>
                    <w:top w:val="none" w:sz="0" w:space="0" w:color="auto"/>
                    <w:left w:val="none" w:sz="0" w:space="0" w:color="auto"/>
                    <w:bottom w:val="none" w:sz="0" w:space="0" w:color="auto"/>
                    <w:right w:val="none" w:sz="0" w:space="0" w:color="auto"/>
                  </w:divBdr>
                  <w:divsChild>
                    <w:div w:id="1138844645">
                      <w:marLeft w:val="240"/>
                      <w:marRight w:val="0"/>
                      <w:marTop w:val="60"/>
                      <w:marBottom w:val="60"/>
                      <w:divBdr>
                        <w:top w:val="none" w:sz="0" w:space="0" w:color="auto"/>
                        <w:left w:val="none" w:sz="0" w:space="0" w:color="auto"/>
                        <w:bottom w:val="none" w:sz="0" w:space="0" w:color="auto"/>
                        <w:right w:val="none" w:sz="0" w:space="0" w:color="auto"/>
                      </w:divBdr>
                      <w:divsChild>
                        <w:div w:id="388697998">
                          <w:marLeft w:val="240"/>
                          <w:marRight w:val="0"/>
                          <w:marTop w:val="60"/>
                          <w:marBottom w:val="60"/>
                          <w:divBdr>
                            <w:top w:val="none" w:sz="0" w:space="0" w:color="auto"/>
                            <w:left w:val="none" w:sz="0" w:space="0" w:color="auto"/>
                            <w:bottom w:val="none" w:sz="0" w:space="0" w:color="auto"/>
                            <w:right w:val="none" w:sz="0" w:space="0" w:color="auto"/>
                          </w:divBdr>
                          <w:divsChild>
                            <w:div w:id="1286540423">
                              <w:marLeft w:val="0"/>
                              <w:marRight w:val="0"/>
                              <w:marTop w:val="0"/>
                              <w:marBottom w:val="0"/>
                              <w:divBdr>
                                <w:top w:val="none" w:sz="0" w:space="0" w:color="auto"/>
                                <w:left w:val="none" w:sz="0" w:space="0" w:color="auto"/>
                                <w:bottom w:val="none" w:sz="0" w:space="0" w:color="auto"/>
                                <w:right w:val="none" w:sz="0" w:space="0" w:color="auto"/>
                              </w:divBdr>
                            </w:div>
                          </w:divsChild>
                        </w:div>
                        <w:div w:id="1330794266">
                          <w:marLeft w:val="240"/>
                          <w:marRight w:val="0"/>
                          <w:marTop w:val="60"/>
                          <w:marBottom w:val="60"/>
                          <w:divBdr>
                            <w:top w:val="none" w:sz="0" w:space="0" w:color="auto"/>
                            <w:left w:val="none" w:sz="0" w:space="0" w:color="auto"/>
                            <w:bottom w:val="none" w:sz="0" w:space="0" w:color="auto"/>
                            <w:right w:val="none" w:sz="0" w:space="0" w:color="auto"/>
                          </w:divBdr>
                          <w:divsChild>
                            <w:div w:id="12624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9942">
                      <w:marLeft w:val="240"/>
                      <w:marRight w:val="0"/>
                      <w:marTop w:val="60"/>
                      <w:marBottom w:val="60"/>
                      <w:divBdr>
                        <w:top w:val="none" w:sz="0" w:space="0" w:color="auto"/>
                        <w:left w:val="none" w:sz="0" w:space="0" w:color="auto"/>
                        <w:bottom w:val="none" w:sz="0" w:space="0" w:color="auto"/>
                        <w:right w:val="none" w:sz="0" w:space="0" w:color="auto"/>
                      </w:divBdr>
                      <w:divsChild>
                        <w:div w:id="931667887">
                          <w:marLeft w:val="240"/>
                          <w:marRight w:val="0"/>
                          <w:marTop w:val="60"/>
                          <w:marBottom w:val="60"/>
                          <w:divBdr>
                            <w:top w:val="none" w:sz="0" w:space="0" w:color="auto"/>
                            <w:left w:val="none" w:sz="0" w:space="0" w:color="auto"/>
                            <w:bottom w:val="none" w:sz="0" w:space="0" w:color="auto"/>
                            <w:right w:val="none" w:sz="0" w:space="0" w:color="auto"/>
                          </w:divBdr>
                          <w:divsChild>
                            <w:div w:id="1616249417">
                              <w:marLeft w:val="0"/>
                              <w:marRight w:val="0"/>
                              <w:marTop w:val="0"/>
                              <w:marBottom w:val="0"/>
                              <w:divBdr>
                                <w:top w:val="none" w:sz="0" w:space="0" w:color="auto"/>
                                <w:left w:val="none" w:sz="0" w:space="0" w:color="auto"/>
                                <w:bottom w:val="none" w:sz="0" w:space="0" w:color="auto"/>
                                <w:right w:val="none" w:sz="0" w:space="0" w:color="auto"/>
                              </w:divBdr>
                            </w:div>
                          </w:divsChild>
                        </w:div>
                        <w:div w:id="454521117">
                          <w:marLeft w:val="240"/>
                          <w:marRight w:val="0"/>
                          <w:marTop w:val="60"/>
                          <w:marBottom w:val="60"/>
                          <w:divBdr>
                            <w:top w:val="none" w:sz="0" w:space="0" w:color="auto"/>
                            <w:left w:val="none" w:sz="0" w:space="0" w:color="auto"/>
                            <w:bottom w:val="none" w:sz="0" w:space="0" w:color="auto"/>
                            <w:right w:val="none" w:sz="0" w:space="0" w:color="auto"/>
                          </w:divBdr>
                          <w:divsChild>
                            <w:div w:id="2080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74068">
                      <w:marLeft w:val="240"/>
                      <w:marRight w:val="0"/>
                      <w:marTop w:val="60"/>
                      <w:marBottom w:val="60"/>
                      <w:divBdr>
                        <w:top w:val="none" w:sz="0" w:space="0" w:color="auto"/>
                        <w:left w:val="none" w:sz="0" w:space="0" w:color="auto"/>
                        <w:bottom w:val="none" w:sz="0" w:space="0" w:color="auto"/>
                        <w:right w:val="none" w:sz="0" w:space="0" w:color="auto"/>
                      </w:divBdr>
                      <w:divsChild>
                        <w:div w:id="74665162">
                          <w:marLeft w:val="240"/>
                          <w:marRight w:val="0"/>
                          <w:marTop w:val="60"/>
                          <w:marBottom w:val="60"/>
                          <w:divBdr>
                            <w:top w:val="none" w:sz="0" w:space="0" w:color="auto"/>
                            <w:left w:val="none" w:sz="0" w:space="0" w:color="auto"/>
                            <w:bottom w:val="none" w:sz="0" w:space="0" w:color="auto"/>
                            <w:right w:val="none" w:sz="0" w:space="0" w:color="auto"/>
                          </w:divBdr>
                          <w:divsChild>
                            <w:div w:id="1417901361">
                              <w:marLeft w:val="0"/>
                              <w:marRight w:val="0"/>
                              <w:marTop w:val="0"/>
                              <w:marBottom w:val="0"/>
                              <w:divBdr>
                                <w:top w:val="none" w:sz="0" w:space="0" w:color="auto"/>
                                <w:left w:val="none" w:sz="0" w:space="0" w:color="auto"/>
                                <w:bottom w:val="none" w:sz="0" w:space="0" w:color="auto"/>
                                <w:right w:val="none" w:sz="0" w:space="0" w:color="auto"/>
                              </w:divBdr>
                            </w:div>
                          </w:divsChild>
                        </w:div>
                        <w:div w:id="1428506450">
                          <w:marLeft w:val="240"/>
                          <w:marRight w:val="0"/>
                          <w:marTop w:val="60"/>
                          <w:marBottom w:val="60"/>
                          <w:divBdr>
                            <w:top w:val="none" w:sz="0" w:space="0" w:color="auto"/>
                            <w:left w:val="none" w:sz="0" w:space="0" w:color="auto"/>
                            <w:bottom w:val="none" w:sz="0" w:space="0" w:color="auto"/>
                            <w:right w:val="none" w:sz="0" w:space="0" w:color="auto"/>
                          </w:divBdr>
                          <w:divsChild>
                            <w:div w:id="19504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1941">
                  <w:marLeft w:val="240"/>
                  <w:marRight w:val="0"/>
                  <w:marTop w:val="60"/>
                  <w:marBottom w:val="60"/>
                  <w:divBdr>
                    <w:top w:val="none" w:sz="0" w:space="0" w:color="auto"/>
                    <w:left w:val="none" w:sz="0" w:space="0" w:color="auto"/>
                    <w:bottom w:val="none" w:sz="0" w:space="0" w:color="auto"/>
                    <w:right w:val="none" w:sz="0" w:space="0" w:color="auto"/>
                  </w:divBdr>
                  <w:divsChild>
                    <w:div w:id="301662844">
                      <w:marLeft w:val="240"/>
                      <w:marRight w:val="0"/>
                      <w:marTop w:val="60"/>
                      <w:marBottom w:val="60"/>
                      <w:divBdr>
                        <w:top w:val="none" w:sz="0" w:space="0" w:color="auto"/>
                        <w:left w:val="none" w:sz="0" w:space="0" w:color="auto"/>
                        <w:bottom w:val="none" w:sz="0" w:space="0" w:color="auto"/>
                        <w:right w:val="none" w:sz="0" w:space="0" w:color="auto"/>
                      </w:divBdr>
                      <w:divsChild>
                        <w:div w:id="1187866784">
                          <w:marLeft w:val="240"/>
                          <w:marRight w:val="0"/>
                          <w:marTop w:val="60"/>
                          <w:marBottom w:val="60"/>
                          <w:divBdr>
                            <w:top w:val="none" w:sz="0" w:space="0" w:color="auto"/>
                            <w:left w:val="none" w:sz="0" w:space="0" w:color="auto"/>
                            <w:bottom w:val="none" w:sz="0" w:space="0" w:color="auto"/>
                            <w:right w:val="none" w:sz="0" w:space="0" w:color="auto"/>
                          </w:divBdr>
                          <w:divsChild>
                            <w:div w:id="988483497">
                              <w:marLeft w:val="0"/>
                              <w:marRight w:val="0"/>
                              <w:marTop w:val="0"/>
                              <w:marBottom w:val="0"/>
                              <w:divBdr>
                                <w:top w:val="none" w:sz="0" w:space="0" w:color="auto"/>
                                <w:left w:val="none" w:sz="0" w:space="0" w:color="auto"/>
                                <w:bottom w:val="none" w:sz="0" w:space="0" w:color="auto"/>
                                <w:right w:val="none" w:sz="0" w:space="0" w:color="auto"/>
                              </w:divBdr>
                            </w:div>
                          </w:divsChild>
                        </w:div>
                        <w:div w:id="565914277">
                          <w:marLeft w:val="240"/>
                          <w:marRight w:val="0"/>
                          <w:marTop w:val="60"/>
                          <w:marBottom w:val="60"/>
                          <w:divBdr>
                            <w:top w:val="none" w:sz="0" w:space="0" w:color="auto"/>
                            <w:left w:val="none" w:sz="0" w:space="0" w:color="auto"/>
                            <w:bottom w:val="none" w:sz="0" w:space="0" w:color="auto"/>
                            <w:right w:val="none" w:sz="0" w:space="0" w:color="auto"/>
                          </w:divBdr>
                          <w:divsChild>
                            <w:div w:id="20411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7626">
                      <w:marLeft w:val="240"/>
                      <w:marRight w:val="0"/>
                      <w:marTop w:val="60"/>
                      <w:marBottom w:val="60"/>
                      <w:divBdr>
                        <w:top w:val="none" w:sz="0" w:space="0" w:color="auto"/>
                        <w:left w:val="none" w:sz="0" w:space="0" w:color="auto"/>
                        <w:bottom w:val="none" w:sz="0" w:space="0" w:color="auto"/>
                        <w:right w:val="none" w:sz="0" w:space="0" w:color="auto"/>
                      </w:divBdr>
                      <w:divsChild>
                        <w:div w:id="259532721">
                          <w:marLeft w:val="240"/>
                          <w:marRight w:val="0"/>
                          <w:marTop w:val="60"/>
                          <w:marBottom w:val="60"/>
                          <w:divBdr>
                            <w:top w:val="none" w:sz="0" w:space="0" w:color="auto"/>
                            <w:left w:val="none" w:sz="0" w:space="0" w:color="auto"/>
                            <w:bottom w:val="none" w:sz="0" w:space="0" w:color="auto"/>
                            <w:right w:val="none" w:sz="0" w:space="0" w:color="auto"/>
                          </w:divBdr>
                          <w:divsChild>
                            <w:div w:id="1618370644">
                              <w:marLeft w:val="0"/>
                              <w:marRight w:val="0"/>
                              <w:marTop w:val="0"/>
                              <w:marBottom w:val="0"/>
                              <w:divBdr>
                                <w:top w:val="none" w:sz="0" w:space="0" w:color="auto"/>
                                <w:left w:val="none" w:sz="0" w:space="0" w:color="auto"/>
                                <w:bottom w:val="none" w:sz="0" w:space="0" w:color="auto"/>
                                <w:right w:val="none" w:sz="0" w:space="0" w:color="auto"/>
                              </w:divBdr>
                            </w:div>
                          </w:divsChild>
                        </w:div>
                        <w:div w:id="320158695">
                          <w:marLeft w:val="240"/>
                          <w:marRight w:val="0"/>
                          <w:marTop w:val="60"/>
                          <w:marBottom w:val="60"/>
                          <w:divBdr>
                            <w:top w:val="none" w:sz="0" w:space="0" w:color="auto"/>
                            <w:left w:val="none" w:sz="0" w:space="0" w:color="auto"/>
                            <w:bottom w:val="none" w:sz="0" w:space="0" w:color="auto"/>
                            <w:right w:val="none" w:sz="0" w:space="0" w:color="auto"/>
                          </w:divBdr>
                          <w:divsChild>
                            <w:div w:id="143890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2864">
                  <w:marLeft w:val="240"/>
                  <w:marRight w:val="0"/>
                  <w:marTop w:val="60"/>
                  <w:marBottom w:val="60"/>
                  <w:divBdr>
                    <w:top w:val="none" w:sz="0" w:space="0" w:color="auto"/>
                    <w:left w:val="none" w:sz="0" w:space="0" w:color="auto"/>
                    <w:bottom w:val="none" w:sz="0" w:space="0" w:color="auto"/>
                    <w:right w:val="none" w:sz="0" w:space="0" w:color="auto"/>
                  </w:divBdr>
                  <w:divsChild>
                    <w:div w:id="38784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70800">
              <w:marLeft w:val="240"/>
              <w:marRight w:val="0"/>
              <w:marTop w:val="60"/>
              <w:marBottom w:val="60"/>
              <w:divBdr>
                <w:top w:val="none" w:sz="0" w:space="0" w:color="auto"/>
                <w:left w:val="none" w:sz="0" w:space="0" w:color="auto"/>
                <w:bottom w:val="none" w:sz="0" w:space="0" w:color="auto"/>
                <w:right w:val="none" w:sz="0" w:space="0" w:color="auto"/>
              </w:divBdr>
              <w:divsChild>
                <w:div w:id="1739596452">
                  <w:marLeft w:val="240"/>
                  <w:marRight w:val="0"/>
                  <w:marTop w:val="60"/>
                  <w:marBottom w:val="60"/>
                  <w:divBdr>
                    <w:top w:val="none" w:sz="0" w:space="0" w:color="auto"/>
                    <w:left w:val="none" w:sz="0" w:space="0" w:color="auto"/>
                    <w:bottom w:val="none" w:sz="0" w:space="0" w:color="auto"/>
                    <w:right w:val="none" w:sz="0" w:space="0" w:color="auto"/>
                  </w:divBdr>
                  <w:divsChild>
                    <w:div w:id="1623031592">
                      <w:marLeft w:val="240"/>
                      <w:marRight w:val="0"/>
                      <w:marTop w:val="60"/>
                      <w:marBottom w:val="60"/>
                      <w:divBdr>
                        <w:top w:val="none" w:sz="0" w:space="0" w:color="auto"/>
                        <w:left w:val="none" w:sz="0" w:space="0" w:color="auto"/>
                        <w:bottom w:val="none" w:sz="0" w:space="0" w:color="auto"/>
                        <w:right w:val="none" w:sz="0" w:space="0" w:color="auto"/>
                      </w:divBdr>
                      <w:divsChild>
                        <w:div w:id="1345280379">
                          <w:marLeft w:val="0"/>
                          <w:marRight w:val="0"/>
                          <w:marTop w:val="0"/>
                          <w:marBottom w:val="0"/>
                          <w:divBdr>
                            <w:top w:val="none" w:sz="0" w:space="0" w:color="auto"/>
                            <w:left w:val="none" w:sz="0" w:space="0" w:color="auto"/>
                            <w:bottom w:val="none" w:sz="0" w:space="0" w:color="auto"/>
                            <w:right w:val="none" w:sz="0" w:space="0" w:color="auto"/>
                          </w:divBdr>
                        </w:div>
                      </w:divsChild>
                    </w:div>
                    <w:div w:id="1860584605">
                      <w:marLeft w:val="240"/>
                      <w:marRight w:val="0"/>
                      <w:marTop w:val="60"/>
                      <w:marBottom w:val="60"/>
                      <w:divBdr>
                        <w:top w:val="none" w:sz="0" w:space="0" w:color="auto"/>
                        <w:left w:val="none" w:sz="0" w:space="0" w:color="auto"/>
                        <w:bottom w:val="none" w:sz="0" w:space="0" w:color="auto"/>
                        <w:right w:val="none" w:sz="0" w:space="0" w:color="auto"/>
                      </w:divBdr>
                      <w:divsChild>
                        <w:div w:id="122725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0628">
                  <w:marLeft w:val="240"/>
                  <w:marRight w:val="0"/>
                  <w:marTop w:val="60"/>
                  <w:marBottom w:val="60"/>
                  <w:divBdr>
                    <w:top w:val="none" w:sz="0" w:space="0" w:color="auto"/>
                    <w:left w:val="none" w:sz="0" w:space="0" w:color="auto"/>
                    <w:bottom w:val="none" w:sz="0" w:space="0" w:color="auto"/>
                    <w:right w:val="none" w:sz="0" w:space="0" w:color="auto"/>
                  </w:divBdr>
                  <w:divsChild>
                    <w:div w:id="1392312913">
                      <w:marLeft w:val="240"/>
                      <w:marRight w:val="0"/>
                      <w:marTop w:val="60"/>
                      <w:marBottom w:val="60"/>
                      <w:divBdr>
                        <w:top w:val="none" w:sz="0" w:space="0" w:color="auto"/>
                        <w:left w:val="none" w:sz="0" w:space="0" w:color="auto"/>
                        <w:bottom w:val="none" w:sz="0" w:space="0" w:color="auto"/>
                        <w:right w:val="none" w:sz="0" w:space="0" w:color="auto"/>
                      </w:divBdr>
                      <w:divsChild>
                        <w:div w:id="610740846">
                          <w:marLeft w:val="240"/>
                          <w:marRight w:val="0"/>
                          <w:marTop w:val="60"/>
                          <w:marBottom w:val="60"/>
                          <w:divBdr>
                            <w:top w:val="none" w:sz="0" w:space="0" w:color="auto"/>
                            <w:left w:val="none" w:sz="0" w:space="0" w:color="auto"/>
                            <w:bottom w:val="none" w:sz="0" w:space="0" w:color="auto"/>
                            <w:right w:val="none" w:sz="0" w:space="0" w:color="auto"/>
                          </w:divBdr>
                          <w:divsChild>
                            <w:div w:id="2002078709">
                              <w:marLeft w:val="0"/>
                              <w:marRight w:val="0"/>
                              <w:marTop w:val="0"/>
                              <w:marBottom w:val="0"/>
                              <w:divBdr>
                                <w:top w:val="none" w:sz="0" w:space="0" w:color="auto"/>
                                <w:left w:val="none" w:sz="0" w:space="0" w:color="auto"/>
                                <w:bottom w:val="none" w:sz="0" w:space="0" w:color="auto"/>
                                <w:right w:val="none" w:sz="0" w:space="0" w:color="auto"/>
                              </w:divBdr>
                            </w:div>
                          </w:divsChild>
                        </w:div>
                        <w:div w:id="804932312">
                          <w:marLeft w:val="240"/>
                          <w:marRight w:val="0"/>
                          <w:marTop w:val="60"/>
                          <w:marBottom w:val="60"/>
                          <w:divBdr>
                            <w:top w:val="none" w:sz="0" w:space="0" w:color="auto"/>
                            <w:left w:val="none" w:sz="0" w:space="0" w:color="auto"/>
                            <w:bottom w:val="none" w:sz="0" w:space="0" w:color="auto"/>
                            <w:right w:val="none" w:sz="0" w:space="0" w:color="auto"/>
                          </w:divBdr>
                          <w:divsChild>
                            <w:div w:id="1313099953">
                              <w:marLeft w:val="0"/>
                              <w:marRight w:val="0"/>
                              <w:marTop w:val="0"/>
                              <w:marBottom w:val="0"/>
                              <w:divBdr>
                                <w:top w:val="none" w:sz="0" w:space="0" w:color="auto"/>
                                <w:left w:val="none" w:sz="0" w:space="0" w:color="auto"/>
                                <w:bottom w:val="none" w:sz="0" w:space="0" w:color="auto"/>
                                <w:right w:val="none" w:sz="0" w:space="0" w:color="auto"/>
                              </w:divBdr>
                            </w:div>
                          </w:divsChild>
                        </w:div>
                        <w:div w:id="407383317">
                          <w:marLeft w:val="240"/>
                          <w:marRight w:val="0"/>
                          <w:marTop w:val="60"/>
                          <w:marBottom w:val="60"/>
                          <w:divBdr>
                            <w:top w:val="none" w:sz="0" w:space="0" w:color="auto"/>
                            <w:left w:val="none" w:sz="0" w:space="0" w:color="auto"/>
                            <w:bottom w:val="none" w:sz="0" w:space="0" w:color="auto"/>
                            <w:right w:val="none" w:sz="0" w:space="0" w:color="auto"/>
                          </w:divBdr>
                          <w:divsChild>
                            <w:div w:id="1828084940">
                              <w:marLeft w:val="0"/>
                              <w:marRight w:val="0"/>
                              <w:marTop w:val="0"/>
                              <w:marBottom w:val="0"/>
                              <w:divBdr>
                                <w:top w:val="none" w:sz="0" w:space="0" w:color="auto"/>
                                <w:left w:val="none" w:sz="0" w:space="0" w:color="auto"/>
                                <w:bottom w:val="none" w:sz="0" w:space="0" w:color="auto"/>
                                <w:right w:val="none" w:sz="0" w:space="0" w:color="auto"/>
                              </w:divBdr>
                            </w:div>
                          </w:divsChild>
                        </w:div>
                        <w:div w:id="1329555912">
                          <w:marLeft w:val="240"/>
                          <w:marRight w:val="0"/>
                          <w:marTop w:val="60"/>
                          <w:marBottom w:val="60"/>
                          <w:divBdr>
                            <w:top w:val="none" w:sz="0" w:space="0" w:color="auto"/>
                            <w:left w:val="none" w:sz="0" w:space="0" w:color="auto"/>
                            <w:bottom w:val="none" w:sz="0" w:space="0" w:color="auto"/>
                            <w:right w:val="none" w:sz="0" w:space="0" w:color="auto"/>
                          </w:divBdr>
                          <w:divsChild>
                            <w:div w:id="2683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63501">
                      <w:marLeft w:val="240"/>
                      <w:marRight w:val="0"/>
                      <w:marTop w:val="60"/>
                      <w:marBottom w:val="60"/>
                      <w:divBdr>
                        <w:top w:val="none" w:sz="0" w:space="0" w:color="auto"/>
                        <w:left w:val="none" w:sz="0" w:space="0" w:color="auto"/>
                        <w:bottom w:val="none" w:sz="0" w:space="0" w:color="auto"/>
                        <w:right w:val="none" w:sz="0" w:space="0" w:color="auto"/>
                      </w:divBdr>
                      <w:divsChild>
                        <w:div w:id="756168487">
                          <w:marLeft w:val="240"/>
                          <w:marRight w:val="0"/>
                          <w:marTop w:val="60"/>
                          <w:marBottom w:val="60"/>
                          <w:divBdr>
                            <w:top w:val="none" w:sz="0" w:space="0" w:color="auto"/>
                            <w:left w:val="none" w:sz="0" w:space="0" w:color="auto"/>
                            <w:bottom w:val="none" w:sz="0" w:space="0" w:color="auto"/>
                            <w:right w:val="none" w:sz="0" w:space="0" w:color="auto"/>
                          </w:divBdr>
                          <w:divsChild>
                            <w:div w:id="1735424180">
                              <w:marLeft w:val="0"/>
                              <w:marRight w:val="0"/>
                              <w:marTop w:val="0"/>
                              <w:marBottom w:val="0"/>
                              <w:divBdr>
                                <w:top w:val="none" w:sz="0" w:space="0" w:color="auto"/>
                                <w:left w:val="none" w:sz="0" w:space="0" w:color="auto"/>
                                <w:bottom w:val="none" w:sz="0" w:space="0" w:color="auto"/>
                                <w:right w:val="none" w:sz="0" w:space="0" w:color="auto"/>
                              </w:divBdr>
                            </w:div>
                          </w:divsChild>
                        </w:div>
                        <w:div w:id="1448115393">
                          <w:marLeft w:val="240"/>
                          <w:marRight w:val="0"/>
                          <w:marTop w:val="60"/>
                          <w:marBottom w:val="60"/>
                          <w:divBdr>
                            <w:top w:val="none" w:sz="0" w:space="0" w:color="auto"/>
                            <w:left w:val="none" w:sz="0" w:space="0" w:color="auto"/>
                            <w:bottom w:val="none" w:sz="0" w:space="0" w:color="auto"/>
                            <w:right w:val="none" w:sz="0" w:space="0" w:color="auto"/>
                          </w:divBdr>
                          <w:divsChild>
                            <w:div w:id="1757364558">
                              <w:marLeft w:val="0"/>
                              <w:marRight w:val="0"/>
                              <w:marTop w:val="0"/>
                              <w:marBottom w:val="0"/>
                              <w:divBdr>
                                <w:top w:val="none" w:sz="0" w:space="0" w:color="auto"/>
                                <w:left w:val="none" w:sz="0" w:space="0" w:color="auto"/>
                                <w:bottom w:val="none" w:sz="0" w:space="0" w:color="auto"/>
                                <w:right w:val="none" w:sz="0" w:space="0" w:color="auto"/>
                              </w:divBdr>
                            </w:div>
                          </w:divsChild>
                        </w:div>
                        <w:div w:id="1087532174">
                          <w:marLeft w:val="240"/>
                          <w:marRight w:val="0"/>
                          <w:marTop w:val="60"/>
                          <w:marBottom w:val="60"/>
                          <w:divBdr>
                            <w:top w:val="none" w:sz="0" w:space="0" w:color="auto"/>
                            <w:left w:val="none" w:sz="0" w:space="0" w:color="auto"/>
                            <w:bottom w:val="none" w:sz="0" w:space="0" w:color="auto"/>
                            <w:right w:val="none" w:sz="0" w:space="0" w:color="auto"/>
                          </w:divBdr>
                          <w:divsChild>
                            <w:div w:id="598027178">
                              <w:marLeft w:val="0"/>
                              <w:marRight w:val="0"/>
                              <w:marTop w:val="0"/>
                              <w:marBottom w:val="0"/>
                              <w:divBdr>
                                <w:top w:val="none" w:sz="0" w:space="0" w:color="auto"/>
                                <w:left w:val="none" w:sz="0" w:space="0" w:color="auto"/>
                                <w:bottom w:val="none" w:sz="0" w:space="0" w:color="auto"/>
                                <w:right w:val="none" w:sz="0" w:space="0" w:color="auto"/>
                              </w:divBdr>
                            </w:div>
                          </w:divsChild>
                        </w:div>
                        <w:div w:id="1479608888">
                          <w:marLeft w:val="240"/>
                          <w:marRight w:val="0"/>
                          <w:marTop w:val="60"/>
                          <w:marBottom w:val="60"/>
                          <w:divBdr>
                            <w:top w:val="none" w:sz="0" w:space="0" w:color="auto"/>
                            <w:left w:val="none" w:sz="0" w:space="0" w:color="auto"/>
                            <w:bottom w:val="none" w:sz="0" w:space="0" w:color="auto"/>
                            <w:right w:val="none" w:sz="0" w:space="0" w:color="auto"/>
                          </w:divBdr>
                          <w:divsChild>
                            <w:div w:id="10371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6045">
                  <w:marLeft w:val="240"/>
                  <w:marRight w:val="0"/>
                  <w:marTop w:val="60"/>
                  <w:marBottom w:val="60"/>
                  <w:divBdr>
                    <w:top w:val="none" w:sz="0" w:space="0" w:color="auto"/>
                    <w:left w:val="none" w:sz="0" w:space="0" w:color="auto"/>
                    <w:bottom w:val="none" w:sz="0" w:space="0" w:color="auto"/>
                    <w:right w:val="none" w:sz="0" w:space="0" w:color="auto"/>
                  </w:divBdr>
                  <w:divsChild>
                    <w:div w:id="1534420254">
                      <w:marLeft w:val="240"/>
                      <w:marRight w:val="0"/>
                      <w:marTop w:val="60"/>
                      <w:marBottom w:val="60"/>
                      <w:divBdr>
                        <w:top w:val="none" w:sz="0" w:space="0" w:color="auto"/>
                        <w:left w:val="none" w:sz="0" w:space="0" w:color="auto"/>
                        <w:bottom w:val="none" w:sz="0" w:space="0" w:color="auto"/>
                        <w:right w:val="none" w:sz="0" w:space="0" w:color="auto"/>
                      </w:divBdr>
                      <w:divsChild>
                        <w:div w:id="335111184">
                          <w:marLeft w:val="0"/>
                          <w:marRight w:val="0"/>
                          <w:marTop w:val="0"/>
                          <w:marBottom w:val="0"/>
                          <w:divBdr>
                            <w:top w:val="none" w:sz="0" w:space="0" w:color="auto"/>
                            <w:left w:val="none" w:sz="0" w:space="0" w:color="auto"/>
                            <w:bottom w:val="none" w:sz="0" w:space="0" w:color="auto"/>
                            <w:right w:val="none" w:sz="0" w:space="0" w:color="auto"/>
                          </w:divBdr>
                        </w:div>
                      </w:divsChild>
                    </w:div>
                    <w:div w:id="1174764633">
                      <w:marLeft w:val="240"/>
                      <w:marRight w:val="0"/>
                      <w:marTop w:val="60"/>
                      <w:marBottom w:val="60"/>
                      <w:divBdr>
                        <w:top w:val="none" w:sz="0" w:space="0" w:color="auto"/>
                        <w:left w:val="none" w:sz="0" w:space="0" w:color="auto"/>
                        <w:bottom w:val="none" w:sz="0" w:space="0" w:color="auto"/>
                        <w:right w:val="none" w:sz="0" w:space="0" w:color="auto"/>
                      </w:divBdr>
                      <w:divsChild>
                        <w:div w:id="1648590565">
                          <w:marLeft w:val="0"/>
                          <w:marRight w:val="0"/>
                          <w:marTop w:val="0"/>
                          <w:marBottom w:val="0"/>
                          <w:divBdr>
                            <w:top w:val="none" w:sz="0" w:space="0" w:color="auto"/>
                            <w:left w:val="none" w:sz="0" w:space="0" w:color="auto"/>
                            <w:bottom w:val="none" w:sz="0" w:space="0" w:color="auto"/>
                            <w:right w:val="none" w:sz="0" w:space="0" w:color="auto"/>
                          </w:divBdr>
                        </w:div>
                      </w:divsChild>
                    </w:div>
                    <w:div w:id="491918718">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 w:id="81486466">
              <w:marLeft w:val="240"/>
              <w:marRight w:val="0"/>
              <w:marTop w:val="60"/>
              <w:marBottom w:val="60"/>
              <w:divBdr>
                <w:top w:val="none" w:sz="0" w:space="0" w:color="auto"/>
                <w:left w:val="none" w:sz="0" w:space="0" w:color="auto"/>
                <w:bottom w:val="none" w:sz="0" w:space="0" w:color="auto"/>
                <w:right w:val="none" w:sz="0" w:space="0" w:color="auto"/>
              </w:divBdr>
              <w:divsChild>
                <w:div w:id="7407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986">
          <w:marLeft w:val="0"/>
          <w:marRight w:val="0"/>
          <w:marTop w:val="0"/>
          <w:marBottom w:val="0"/>
          <w:divBdr>
            <w:top w:val="none" w:sz="0" w:space="0" w:color="auto"/>
            <w:left w:val="none" w:sz="0" w:space="0" w:color="auto"/>
            <w:bottom w:val="none" w:sz="0" w:space="0" w:color="auto"/>
            <w:right w:val="none" w:sz="0" w:space="0" w:color="auto"/>
          </w:divBdr>
        </w:div>
      </w:divsChild>
    </w:div>
    <w:div w:id="922102734">
      <w:bodyDiv w:val="1"/>
      <w:marLeft w:val="0"/>
      <w:marRight w:val="0"/>
      <w:marTop w:val="0"/>
      <w:marBottom w:val="0"/>
      <w:divBdr>
        <w:top w:val="none" w:sz="0" w:space="0" w:color="auto"/>
        <w:left w:val="none" w:sz="0" w:space="0" w:color="auto"/>
        <w:bottom w:val="none" w:sz="0" w:space="0" w:color="auto"/>
        <w:right w:val="none" w:sz="0" w:space="0" w:color="auto"/>
      </w:divBdr>
    </w:div>
    <w:div w:id="930432547">
      <w:bodyDiv w:val="1"/>
      <w:marLeft w:val="0"/>
      <w:marRight w:val="0"/>
      <w:marTop w:val="0"/>
      <w:marBottom w:val="0"/>
      <w:divBdr>
        <w:top w:val="none" w:sz="0" w:space="0" w:color="auto"/>
        <w:left w:val="none" w:sz="0" w:space="0" w:color="auto"/>
        <w:bottom w:val="none" w:sz="0" w:space="0" w:color="auto"/>
        <w:right w:val="none" w:sz="0" w:space="0" w:color="auto"/>
      </w:divBdr>
    </w:div>
    <w:div w:id="933365094">
      <w:bodyDiv w:val="1"/>
      <w:marLeft w:val="0"/>
      <w:marRight w:val="0"/>
      <w:marTop w:val="0"/>
      <w:marBottom w:val="0"/>
      <w:divBdr>
        <w:top w:val="none" w:sz="0" w:space="0" w:color="auto"/>
        <w:left w:val="none" w:sz="0" w:space="0" w:color="auto"/>
        <w:bottom w:val="none" w:sz="0" w:space="0" w:color="auto"/>
        <w:right w:val="none" w:sz="0" w:space="0" w:color="auto"/>
      </w:divBdr>
      <w:divsChild>
        <w:div w:id="331956344">
          <w:marLeft w:val="0"/>
          <w:marRight w:val="0"/>
          <w:marTop w:val="0"/>
          <w:marBottom w:val="0"/>
          <w:divBdr>
            <w:top w:val="none" w:sz="0" w:space="0" w:color="auto"/>
            <w:left w:val="none" w:sz="0" w:space="0" w:color="auto"/>
            <w:bottom w:val="none" w:sz="0" w:space="0" w:color="auto"/>
            <w:right w:val="none" w:sz="0" w:space="0" w:color="auto"/>
          </w:divBdr>
        </w:div>
        <w:div w:id="1881432151">
          <w:marLeft w:val="0"/>
          <w:marRight w:val="0"/>
          <w:marTop w:val="0"/>
          <w:marBottom w:val="0"/>
          <w:divBdr>
            <w:top w:val="none" w:sz="0" w:space="0" w:color="auto"/>
            <w:left w:val="none" w:sz="0" w:space="0" w:color="auto"/>
            <w:bottom w:val="none" w:sz="0" w:space="0" w:color="auto"/>
            <w:right w:val="none" w:sz="0" w:space="0" w:color="auto"/>
          </w:divBdr>
          <w:divsChild>
            <w:div w:id="1589072371">
              <w:marLeft w:val="0"/>
              <w:marRight w:val="0"/>
              <w:marTop w:val="0"/>
              <w:marBottom w:val="0"/>
              <w:divBdr>
                <w:top w:val="none" w:sz="0" w:space="0" w:color="auto"/>
                <w:left w:val="none" w:sz="0" w:space="0" w:color="auto"/>
                <w:bottom w:val="none" w:sz="0" w:space="0" w:color="auto"/>
                <w:right w:val="none" w:sz="0" w:space="0" w:color="auto"/>
              </w:divBdr>
            </w:div>
          </w:divsChild>
        </w:div>
        <w:div w:id="481048001">
          <w:marLeft w:val="0"/>
          <w:marRight w:val="0"/>
          <w:marTop w:val="0"/>
          <w:marBottom w:val="0"/>
          <w:divBdr>
            <w:top w:val="none" w:sz="0" w:space="0" w:color="auto"/>
            <w:left w:val="none" w:sz="0" w:space="0" w:color="auto"/>
            <w:bottom w:val="none" w:sz="0" w:space="0" w:color="auto"/>
            <w:right w:val="none" w:sz="0" w:space="0" w:color="auto"/>
          </w:divBdr>
        </w:div>
        <w:div w:id="1988587887">
          <w:marLeft w:val="0"/>
          <w:marRight w:val="0"/>
          <w:marTop w:val="0"/>
          <w:marBottom w:val="0"/>
          <w:divBdr>
            <w:top w:val="none" w:sz="0" w:space="0" w:color="auto"/>
            <w:left w:val="none" w:sz="0" w:space="0" w:color="auto"/>
            <w:bottom w:val="none" w:sz="0" w:space="0" w:color="auto"/>
            <w:right w:val="none" w:sz="0" w:space="0" w:color="auto"/>
          </w:divBdr>
          <w:divsChild>
            <w:div w:id="975261648">
              <w:marLeft w:val="0"/>
              <w:marRight w:val="0"/>
              <w:marTop w:val="0"/>
              <w:marBottom w:val="0"/>
              <w:divBdr>
                <w:top w:val="none" w:sz="0" w:space="0" w:color="auto"/>
                <w:left w:val="none" w:sz="0" w:space="0" w:color="auto"/>
                <w:bottom w:val="none" w:sz="0" w:space="0" w:color="auto"/>
                <w:right w:val="none" w:sz="0" w:space="0" w:color="auto"/>
              </w:divBdr>
            </w:div>
          </w:divsChild>
        </w:div>
        <w:div w:id="793064123">
          <w:marLeft w:val="0"/>
          <w:marRight w:val="0"/>
          <w:marTop w:val="0"/>
          <w:marBottom w:val="0"/>
          <w:divBdr>
            <w:top w:val="none" w:sz="0" w:space="0" w:color="auto"/>
            <w:left w:val="none" w:sz="0" w:space="0" w:color="auto"/>
            <w:bottom w:val="none" w:sz="0" w:space="0" w:color="auto"/>
            <w:right w:val="none" w:sz="0" w:space="0" w:color="auto"/>
          </w:divBdr>
          <w:divsChild>
            <w:div w:id="1337464895">
              <w:marLeft w:val="0"/>
              <w:marRight w:val="0"/>
              <w:marTop w:val="0"/>
              <w:marBottom w:val="0"/>
              <w:divBdr>
                <w:top w:val="none" w:sz="0" w:space="0" w:color="auto"/>
                <w:left w:val="none" w:sz="0" w:space="0" w:color="auto"/>
                <w:bottom w:val="none" w:sz="0" w:space="0" w:color="auto"/>
                <w:right w:val="none" w:sz="0" w:space="0" w:color="auto"/>
              </w:divBdr>
            </w:div>
          </w:divsChild>
        </w:div>
        <w:div w:id="862279953">
          <w:marLeft w:val="0"/>
          <w:marRight w:val="0"/>
          <w:marTop w:val="0"/>
          <w:marBottom w:val="0"/>
          <w:divBdr>
            <w:top w:val="none" w:sz="0" w:space="0" w:color="auto"/>
            <w:left w:val="none" w:sz="0" w:space="0" w:color="auto"/>
            <w:bottom w:val="none" w:sz="0" w:space="0" w:color="auto"/>
            <w:right w:val="none" w:sz="0" w:space="0" w:color="auto"/>
          </w:divBdr>
          <w:divsChild>
            <w:div w:id="889224896">
              <w:marLeft w:val="0"/>
              <w:marRight w:val="0"/>
              <w:marTop w:val="0"/>
              <w:marBottom w:val="0"/>
              <w:divBdr>
                <w:top w:val="none" w:sz="0" w:space="0" w:color="auto"/>
                <w:left w:val="none" w:sz="0" w:space="0" w:color="auto"/>
                <w:bottom w:val="none" w:sz="0" w:space="0" w:color="auto"/>
                <w:right w:val="none" w:sz="0" w:space="0" w:color="auto"/>
              </w:divBdr>
            </w:div>
          </w:divsChild>
        </w:div>
        <w:div w:id="75135343">
          <w:marLeft w:val="0"/>
          <w:marRight w:val="0"/>
          <w:marTop w:val="0"/>
          <w:marBottom w:val="0"/>
          <w:divBdr>
            <w:top w:val="none" w:sz="0" w:space="0" w:color="auto"/>
            <w:left w:val="none" w:sz="0" w:space="0" w:color="auto"/>
            <w:bottom w:val="none" w:sz="0" w:space="0" w:color="auto"/>
            <w:right w:val="none" w:sz="0" w:space="0" w:color="auto"/>
          </w:divBdr>
        </w:div>
        <w:div w:id="1104614925">
          <w:marLeft w:val="0"/>
          <w:marRight w:val="0"/>
          <w:marTop w:val="0"/>
          <w:marBottom w:val="0"/>
          <w:divBdr>
            <w:top w:val="none" w:sz="0" w:space="0" w:color="auto"/>
            <w:left w:val="none" w:sz="0" w:space="0" w:color="auto"/>
            <w:bottom w:val="none" w:sz="0" w:space="0" w:color="auto"/>
            <w:right w:val="none" w:sz="0" w:space="0" w:color="auto"/>
          </w:divBdr>
        </w:div>
        <w:div w:id="240985415">
          <w:marLeft w:val="0"/>
          <w:marRight w:val="0"/>
          <w:marTop w:val="0"/>
          <w:marBottom w:val="0"/>
          <w:divBdr>
            <w:top w:val="none" w:sz="0" w:space="0" w:color="auto"/>
            <w:left w:val="none" w:sz="0" w:space="0" w:color="auto"/>
            <w:bottom w:val="none" w:sz="0" w:space="0" w:color="auto"/>
            <w:right w:val="none" w:sz="0" w:space="0" w:color="auto"/>
          </w:divBdr>
        </w:div>
      </w:divsChild>
    </w:div>
    <w:div w:id="936670704">
      <w:bodyDiv w:val="1"/>
      <w:marLeft w:val="0"/>
      <w:marRight w:val="0"/>
      <w:marTop w:val="0"/>
      <w:marBottom w:val="0"/>
      <w:divBdr>
        <w:top w:val="none" w:sz="0" w:space="0" w:color="auto"/>
        <w:left w:val="none" w:sz="0" w:space="0" w:color="auto"/>
        <w:bottom w:val="none" w:sz="0" w:space="0" w:color="auto"/>
        <w:right w:val="none" w:sz="0" w:space="0" w:color="auto"/>
      </w:divBdr>
    </w:div>
    <w:div w:id="939606635">
      <w:bodyDiv w:val="1"/>
      <w:marLeft w:val="0"/>
      <w:marRight w:val="0"/>
      <w:marTop w:val="0"/>
      <w:marBottom w:val="0"/>
      <w:divBdr>
        <w:top w:val="none" w:sz="0" w:space="0" w:color="auto"/>
        <w:left w:val="none" w:sz="0" w:space="0" w:color="auto"/>
        <w:bottom w:val="none" w:sz="0" w:space="0" w:color="auto"/>
        <w:right w:val="none" w:sz="0" w:space="0" w:color="auto"/>
      </w:divBdr>
    </w:div>
    <w:div w:id="940258926">
      <w:bodyDiv w:val="1"/>
      <w:marLeft w:val="0"/>
      <w:marRight w:val="0"/>
      <w:marTop w:val="0"/>
      <w:marBottom w:val="0"/>
      <w:divBdr>
        <w:top w:val="none" w:sz="0" w:space="0" w:color="auto"/>
        <w:left w:val="none" w:sz="0" w:space="0" w:color="auto"/>
        <w:bottom w:val="none" w:sz="0" w:space="0" w:color="auto"/>
        <w:right w:val="none" w:sz="0" w:space="0" w:color="auto"/>
      </w:divBdr>
    </w:div>
    <w:div w:id="947007208">
      <w:bodyDiv w:val="1"/>
      <w:marLeft w:val="0"/>
      <w:marRight w:val="0"/>
      <w:marTop w:val="0"/>
      <w:marBottom w:val="0"/>
      <w:divBdr>
        <w:top w:val="none" w:sz="0" w:space="0" w:color="auto"/>
        <w:left w:val="none" w:sz="0" w:space="0" w:color="auto"/>
        <w:bottom w:val="none" w:sz="0" w:space="0" w:color="auto"/>
        <w:right w:val="none" w:sz="0" w:space="0" w:color="auto"/>
      </w:divBdr>
      <w:divsChild>
        <w:div w:id="475606204">
          <w:marLeft w:val="240"/>
          <w:marRight w:val="0"/>
          <w:marTop w:val="60"/>
          <w:marBottom w:val="60"/>
          <w:divBdr>
            <w:top w:val="none" w:sz="0" w:space="0" w:color="auto"/>
            <w:left w:val="none" w:sz="0" w:space="0" w:color="auto"/>
            <w:bottom w:val="none" w:sz="0" w:space="0" w:color="auto"/>
            <w:right w:val="none" w:sz="0" w:space="0" w:color="auto"/>
          </w:divBdr>
          <w:divsChild>
            <w:div w:id="2131778344">
              <w:marLeft w:val="240"/>
              <w:marRight w:val="0"/>
              <w:marTop w:val="60"/>
              <w:marBottom w:val="60"/>
              <w:divBdr>
                <w:top w:val="none" w:sz="0" w:space="0" w:color="auto"/>
                <w:left w:val="none" w:sz="0" w:space="0" w:color="auto"/>
                <w:bottom w:val="none" w:sz="0" w:space="0" w:color="auto"/>
                <w:right w:val="none" w:sz="0" w:space="0" w:color="auto"/>
              </w:divBdr>
              <w:divsChild>
                <w:div w:id="748692766">
                  <w:marLeft w:val="0"/>
                  <w:marRight w:val="0"/>
                  <w:marTop w:val="0"/>
                  <w:marBottom w:val="0"/>
                  <w:divBdr>
                    <w:top w:val="none" w:sz="0" w:space="0" w:color="auto"/>
                    <w:left w:val="none" w:sz="0" w:space="0" w:color="auto"/>
                    <w:bottom w:val="none" w:sz="0" w:space="0" w:color="auto"/>
                    <w:right w:val="none" w:sz="0" w:space="0" w:color="auto"/>
                  </w:divBdr>
                </w:div>
              </w:divsChild>
            </w:div>
            <w:div w:id="565532158">
              <w:marLeft w:val="240"/>
              <w:marRight w:val="0"/>
              <w:marTop w:val="60"/>
              <w:marBottom w:val="60"/>
              <w:divBdr>
                <w:top w:val="none" w:sz="0" w:space="0" w:color="auto"/>
                <w:left w:val="none" w:sz="0" w:space="0" w:color="auto"/>
                <w:bottom w:val="none" w:sz="0" w:space="0" w:color="auto"/>
                <w:right w:val="none" w:sz="0" w:space="0" w:color="auto"/>
              </w:divBdr>
              <w:divsChild>
                <w:div w:id="9729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7109">
          <w:marLeft w:val="240"/>
          <w:marRight w:val="0"/>
          <w:marTop w:val="60"/>
          <w:marBottom w:val="60"/>
          <w:divBdr>
            <w:top w:val="none" w:sz="0" w:space="0" w:color="auto"/>
            <w:left w:val="none" w:sz="0" w:space="0" w:color="auto"/>
            <w:bottom w:val="none" w:sz="0" w:space="0" w:color="auto"/>
            <w:right w:val="none" w:sz="0" w:space="0" w:color="auto"/>
          </w:divBdr>
          <w:divsChild>
            <w:div w:id="1137796561">
              <w:marLeft w:val="240"/>
              <w:marRight w:val="0"/>
              <w:marTop w:val="60"/>
              <w:marBottom w:val="60"/>
              <w:divBdr>
                <w:top w:val="none" w:sz="0" w:space="0" w:color="auto"/>
                <w:left w:val="none" w:sz="0" w:space="0" w:color="auto"/>
                <w:bottom w:val="none" w:sz="0" w:space="0" w:color="auto"/>
                <w:right w:val="none" w:sz="0" w:space="0" w:color="auto"/>
              </w:divBdr>
              <w:divsChild>
                <w:div w:id="1992370751">
                  <w:marLeft w:val="240"/>
                  <w:marRight w:val="0"/>
                  <w:marTop w:val="60"/>
                  <w:marBottom w:val="60"/>
                  <w:divBdr>
                    <w:top w:val="none" w:sz="0" w:space="0" w:color="auto"/>
                    <w:left w:val="none" w:sz="0" w:space="0" w:color="auto"/>
                    <w:bottom w:val="none" w:sz="0" w:space="0" w:color="auto"/>
                    <w:right w:val="none" w:sz="0" w:space="0" w:color="auto"/>
                  </w:divBdr>
                  <w:divsChild>
                    <w:div w:id="817382851">
                      <w:marLeft w:val="0"/>
                      <w:marRight w:val="0"/>
                      <w:marTop w:val="0"/>
                      <w:marBottom w:val="0"/>
                      <w:divBdr>
                        <w:top w:val="none" w:sz="0" w:space="0" w:color="auto"/>
                        <w:left w:val="none" w:sz="0" w:space="0" w:color="auto"/>
                        <w:bottom w:val="none" w:sz="0" w:space="0" w:color="auto"/>
                        <w:right w:val="none" w:sz="0" w:space="0" w:color="auto"/>
                      </w:divBdr>
                    </w:div>
                  </w:divsChild>
                </w:div>
                <w:div w:id="1794522945">
                  <w:marLeft w:val="240"/>
                  <w:marRight w:val="0"/>
                  <w:marTop w:val="60"/>
                  <w:marBottom w:val="60"/>
                  <w:divBdr>
                    <w:top w:val="none" w:sz="0" w:space="0" w:color="auto"/>
                    <w:left w:val="none" w:sz="0" w:space="0" w:color="auto"/>
                    <w:bottom w:val="none" w:sz="0" w:space="0" w:color="auto"/>
                    <w:right w:val="none" w:sz="0" w:space="0" w:color="auto"/>
                  </w:divBdr>
                  <w:divsChild>
                    <w:div w:id="10843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61464">
              <w:marLeft w:val="240"/>
              <w:marRight w:val="0"/>
              <w:marTop w:val="60"/>
              <w:marBottom w:val="60"/>
              <w:divBdr>
                <w:top w:val="none" w:sz="0" w:space="0" w:color="auto"/>
                <w:left w:val="none" w:sz="0" w:space="0" w:color="auto"/>
                <w:bottom w:val="none" w:sz="0" w:space="0" w:color="auto"/>
                <w:right w:val="none" w:sz="0" w:space="0" w:color="auto"/>
              </w:divBdr>
              <w:divsChild>
                <w:div w:id="1495873597">
                  <w:marLeft w:val="240"/>
                  <w:marRight w:val="0"/>
                  <w:marTop w:val="60"/>
                  <w:marBottom w:val="60"/>
                  <w:divBdr>
                    <w:top w:val="none" w:sz="0" w:space="0" w:color="auto"/>
                    <w:left w:val="none" w:sz="0" w:space="0" w:color="auto"/>
                    <w:bottom w:val="none" w:sz="0" w:space="0" w:color="auto"/>
                    <w:right w:val="none" w:sz="0" w:space="0" w:color="auto"/>
                  </w:divBdr>
                  <w:divsChild>
                    <w:div w:id="463087147">
                      <w:marLeft w:val="0"/>
                      <w:marRight w:val="0"/>
                      <w:marTop w:val="0"/>
                      <w:marBottom w:val="0"/>
                      <w:divBdr>
                        <w:top w:val="none" w:sz="0" w:space="0" w:color="auto"/>
                        <w:left w:val="none" w:sz="0" w:space="0" w:color="auto"/>
                        <w:bottom w:val="none" w:sz="0" w:space="0" w:color="auto"/>
                        <w:right w:val="none" w:sz="0" w:space="0" w:color="auto"/>
                      </w:divBdr>
                    </w:div>
                  </w:divsChild>
                </w:div>
                <w:div w:id="2029407971">
                  <w:marLeft w:val="240"/>
                  <w:marRight w:val="0"/>
                  <w:marTop w:val="60"/>
                  <w:marBottom w:val="60"/>
                  <w:divBdr>
                    <w:top w:val="none" w:sz="0" w:space="0" w:color="auto"/>
                    <w:left w:val="none" w:sz="0" w:space="0" w:color="auto"/>
                    <w:bottom w:val="none" w:sz="0" w:space="0" w:color="auto"/>
                    <w:right w:val="none" w:sz="0" w:space="0" w:color="auto"/>
                  </w:divBdr>
                  <w:divsChild>
                    <w:div w:id="58134836">
                      <w:marLeft w:val="0"/>
                      <w:marRight w:val="0"/>
                      <w:marTop w:val="0"/>
                      <w:marBottom w:val="0"/>
                      <w:divBdr>
                        <w:top w:val="none" w:sz="0" w:space="0" w:color="auto"/>
                        <w:left w:val="none" w:sz="0" w:space="0" w:color="auto"/>
                        <w:bottom w:val="none" w:sz="0" w:space="0" w:color="auto"/>
                        <w:right w:val="none" w:sz="0" w:space="0" w:color="auto"/>
                      </w:divBdr>
                    </w:div>
                  </w:divsChild>
                </w:div>
                <w:div w:id="1609190735">
                  <w:marLeft w:val="240"/>
                  <w:marRight w:val="0"/>
                  <w:marTop w:val="60"/>
                  <w:marBottom w:val="60"/>
                  <w:divBdr>
                    <w:top w:val="none" w:sz="0" w:space="0" w:color="auto"/>
                    <w:left w:val="none" w:sz="0" w:space="0" w:color="auto"/>
                    <w:bottom w:val="none" w:sz="0" w:space="0" w:color="auto"/>
                    <w:right w:val="none" w:sz="0" w:space="0" w:color="auto"/>
                  </w:divBdr>
                  <w:divsChild>
                    <w:div w:id="79717766">
                      <w:marLeft w:val="0"/>
                      <w:marRight w:val="0"/>
                      <w:marTop w:val="0"/>
                      <w:marBottom w:val="0"/>
                      <w:divBdr>
                        <w:top w:val="none" w:sz="0" w:space="0" w:color="auto"/>
                        <w:left w:val="none" w:sz="0" w:space="0" w:color="auto"/>
                        <w:bottom w:val="none" w:sz="0" w:space="0" w:color="auto"/>
                        <w:right w:val="none" w:sz="0" w:space="0" w:color="auto"/>
                      </w:divBdr>
                    </w:div>
                  </w:divsChild>
                </w:div>
                <w:div w:id="93061139">
                  <w:marLeft w:val="240"/>
                  <w:marRight w:val="0"/>
                  <w:marTop w:val="60"/>
                  <w:marBottom w:val="60"/>
                  <w:divBdr>
                    <w:top w:val="none" w:sz="0" w:space="0" w:color="auto"/>
                    <w:left w:val="none" w:sz="0" w:space="0" w:color="auto"/>
                    <w:bottom w:val="none" w:sz="0" w:space="0" w:color="auto"/>
                    <w:right w:val="none" w:sz="0" w:space="0" w:color="auto"/>
                  </w:divBdr>
                  <w:divsChild>
                    <w:div w:id="19421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57555">
              <w:marLeft w:val="240"/>
              <w:marRight w:val="0"/>
              <w:marTop w:val="60"/>
              <w:marBottom w:val="60"/>
              <w:divBdr>
                <w:top w:val="none" w:sz="0" w:space="0" w:color="auto"/>
                <w:left w:val="none" w:sz="0" w:space="0" w:color="auto"/>
                <w:bottom w:val="none" w:sz="0" w:space="0" w:color="auto"/>
                <w:right w:val="none" w:sz="0" w:space="0" w:color="auto"/>
              </w:divBdr>
              <w:divsChild>
                <w:div w:id="1436904798">
                  <w:marLeft w:val="240"/>
                  <w:marRight w:val="0"/>
                  <w:marTop w:val="60"/>
                  <w:marBottom w:val="60"/>
                  <w:divBdr>
                    <w:top w:val="none" w:sz="0" w:space="0" w:color="auto"/>
                    <w:left w:val="none" w:sz="0" w:space="0" w:color="auto"/>
                    <w:bottom w:val="none" w:sz="0" w:space="0" w:color="auto"/>
                    <w:right w:val="none" w:sz="0" w:space="0" w:color="auto"/>
                  </w:divBdr>
                  <w:divsChild>
                    <w:div w:id="1699163762">
                      <w:marLeft w:val="0"/>
                      <w:marRight w:val="0"/>
                      <w:marTop w:val="0"/>
                      <w:marBottom w:val="0"/>
                      <w:divBdr>
                        <w:top w:val="none" w:sz="0" w:space="0" w:color="auto"/>
                        <w:left w:val="none" w:sz="0" w:space="0" w:color="auto"/>
                        <w:bottom w:val="none" w:sz="0" w:space="0" w:color="auto"/>
                        <w:right w:val="none" w:sz="0" w:space="0" w:color="auto"/>
                      </w:divBdr>
                    </w:div>
                  </w:divsChild>
                </w:div>
                <w:div w:id="151987102">
                  <w:marLeft w:val="240"/>
                  <w:marRight w:val="0"/>
                  <w:marTop w:val="60"/>
                  <w:marBottom w:val="60"/>
                  <w:divBdr>
                    <w:top w:val="none" w:sz="0" w:space="0" w:color="auto"/>
                    <w:left w:val="none" w:sz="0" w:space="0" w:color="auto"/>
                    <w:bottom w:val="none" w:sz="0" w:space="0" w:color="auto"/>
                    <w:right w:val="none" w:sz="0" w:space="0" w:color="auto"/>
                  </w:divBdr>
                  <w:divsChild>
                    <w:div w:id="14104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5703">
              <w:marLeft w:val="240"/>
              <w:marRight w:val="0"/>
              <w:marTop w:val="60"/>
              <w:marBottom w:val="60"/>
              <w:divBdr>
                <w:top w:val="none" w:sz="0" w:space="0" w:color="auto"/>
                <w:left w:val="none" w:sz="0" w:space="0" w:color="auto"/>
                <w:bottom w:val="none" w:sz="0" w:space="0" w:color="auto"/>
                <w:right w:val="none" w:sz="0" w:space="0" w:color="auto"/>
              </w:divBdr>
              <w:divsChild>
                <w:div w:id="21081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21649">
          <w:marLeft w:val="240"/>
          <w:marRight w:val="0"/>
          <w:marTop w:val="60"/>
          <w:marBottom w:val="60"/>
          <w:divBdr>
            <w:top w:val="none" w:sz="0" w:space="0" w:color="auto"/>
            <w:left w:val="none" w:sz="0" w:space="0" w:color="auto"/>
            <w:bottom w:val="none" w:sz="0" w:space="0" w:color="auto"/>
            <w:right w:val="none" w:sz="0" w:space="0" w:color="auto"/>
          </w:divBdr>
          <w:divsChild>
            <w:div w:id="1543637316">
              <w:marLeft w:val="240"/>
              <w:marRight w:val="0"/>
              <w:marTop w:val="60"/>
              <w:marBottom w:val="60"/>
              <w:divBdr>
                <w:top w:val="none" w:sz="0" w:space="0" w:color="auto"/>
                <w:left w:val="none" w:sz="0" w:space="0" w:color="auto"/>
                <w:bottom w:val="none" w:sz="0" w:space="0" w:color="auto"/>
                <w:right w:val="none" w:sz="0" w:space="0" w:color="auto"/>
              </w:divBdr>
              <w:divsChild>
                <w:div w:id="309867609">
                  <w:marLeft w:val="0"/>
                  <w:marRight w:val="0"/>
                  <w:marTop w:val="0"/>
                  <w:marBottom w:val="0"/>
                  <w:divBdr>
                    <w:top w:val="none" w:sz="0" w:space="0" w:color="auto"/>
                    <w:left w:val="none" w:sz="0" w:space="0" w:color="auto"/>
                    <w:bottom w:val="none" w:sz="0" w:space="0" w:color="auto"/>
                    <w:right w:val="none" w:sz="0" w:space="0" w:color="auto"/>
                  </w:divBdr>
                </w:div>
              </w:divsChild>
            </w:div>
            <w:div w:id="1534532344">
              <w:marLeft w:val="240"/>
              <w:marRight w:val="0"/>
              <w:marTop w:val="60"/>
              <w:marBottom w:val="60"/>
              <w:divBdr>
                <w:top w:val="none" w:sz="0" w:space="0" w:color="auto"/>
                <w:left w:val="none" w:sz="0" w:space="0" w:color="auto"/>
                <w:bottom w:val="none" w:sz="0" w:space="0" w:color="auto"/>
                <w:right w:val="none" w:sz="0" w:space="0" w:color="auto"/>
              </w:divBdr>
              <w:divsChild>
                <w:div w:id="602421695">
                  <w:marLeft w:val="240"/>
                  <w:marRight w:val="0"/>
                  <w:marTop w:val="60"/>
                  <w:marBottom w:val="60"/>
                  <w:divBdr>
                    <w:top w:val="none" w:sz="0" w:space="0" w:color="auto"/>
                    <w:left w:val="none" w:sz="0" w:space="0" w:color="auto"/>
                    <w:bottom w:val="none" w:sz="0" w:space="0" w:color="auto"/>
                    <w:right w:val="none" w:sz="0" w:space="0" w:color="auto"/>
                  </w:divBdr>
                  <w:divsChild>
                    <w:div w:id="2134664687">
                      <w:marLeft w:val="0"/>
                      <w:marRight w:val="0"/>
                      <w:marTop w:val="0"/>
                      <w:marBottom w:val="0"/>
                      <w:divBdr>
                        <w:top w:val="none" w:sz="0" w:space="0" w:color="auto"/>
                        <w:left w:val="none" w:sz="0" w:space="0" w:color="auto"/>
                        <w:bottom w:val="none" w:sz="0" w:space="0" w:color="auto"/>
                        <w:right w:val="none" w:sz="0" w:space="0" w:color="auto"/>
                      </w:divBdr>
                    </w:div>
                  </w:divsChild>
                </w:div>
                <w:div w:id="223299741">
                  <w:marLeft w:val="240"/>
                  <w:marRight w:val="0"/>
                  <w:marTop w:val="60"/>
                  <w:marBottom w:val="60"/>
                  <w:divBdr>
                    <w:top w:val="none" w:sz="0" w:space="0" w:color="auto"/>
                    <w:left w:val="none" w:sz="0" w:space="0" w:color="auto"/>
                    <w:bottom w:val="none" w:sz="0" w:space="0" w:color="auto"/>
                    <w:right w:val="none" w:sz="0" w:space="0" w:color="auto"/>
                  </w:divBdr>
                  <w:divsChild>
                    <w:div w:id="2016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551">
          <w:marLeft w:val="240"/>
          <w:marRight w:val="0"/>
          <w:marTop w:val="60"/>
          <w:marBottom w:val="60"/>
          <w:divBdr>
            <w:top w:val="none" w:sz="0" w:space="0" w:color="auto"/>
            <w:left w:val="none" w:sz="0" w:space="0" w:color="auto"/>
            <w:bottom w:val="none" w:sz="0" w:space="0" w:color="auto"/>
            <w:right w:val="none" w:sz="0" w:space="0" w:color="auto"/>
          </w:divBdr>
          <w:divsChild>
            <w:div w:id="79717928">
              <w:marLeft w:val="240"/>
              <w:marRight w:val="0"/>
              <w:marTop w:val="60"/>
              <w:marBottom w:val="60"/>
              <w:divBdr>
                <w:top w:val="none" w:sz="0" w:space="0" w:color="auto"/>
                <w:left w:val="none" w:sz="0" w:space="0" w:color="auto"/>
                <w:bottom w:val="none" w:sz="0" w:space="0" w:color="auto"/>
                <w:right w:val="none" w:sz="0" w:space="0" w:color="auto"/>
              </w:divBdr>
              <w:divsChild>
                <w:div w:id="58984625">
                  <w:marLeft w:val="0"/>
                  <w:marRight w:val="0"/>
                  <w:marTop w:val="0"/>
                  <w:marBottom w:val="0"/>
                  <w:divBdr>
                    <w:top w:val="none" w:sz="0" w:space="0" w:color="auto"/>
                    <w:left w:val="none" w:sz="0" w:space="0" w:color="auto"/>
                    <w:bottom w:val="none" w:sz="0" w:space="0" w:color="auto"/>
                    <w:right w:val="none" w:sz="0" w:space="0" w:color="auto"/>
                  </w:divBdr>
                </w:div>
              </w:divsChild>
            </w:div>
            <w:div w:id="491680478">
              <w:marLeft w:val="240"/>
              <w:marRight w:val="0"/>
              <w:marTop w:val="60"/>
              <w:marBottom w:val="60"/>
              <w:divBdr>
                <w:top w:val="none" w:sz="0" w:space="0" w:color="auto"/>
                <w:left w:val="none" w:sz="0" w:space="0" w:color="auto"/>
                <w:bottom w:val="none" w:sz="0" w:space="0" w:color="auto"/>
                <w:right w:val="none" w:sz="0" w:space="0" w:color="auto"/>
              </w:divBdr>
              <w:divsChild>
                <w:div w:id="2095973724">
                  <w:marLeft w:val="240"/>
                  <w:marRight w:val="0"/>
                  <w:marTop w:val="60"/>
                  <w:marBottom w:val="60"/>
                  <w:divBdr>
                    <w:top w:val="none" w:sz="0" w:space="0" w:color="auto"/>
                    <w:left w:val="none" w:sz="0" w:space="0" w:color="auto"/>
                    <w:bottom w:val="none" w:sz="0" w:space="0" w:color="auto"/>
                    <w:right w:val="none" w:sz="0" w:space="0" w:color="auto"/>
                  </w:divBdr>
                  <w:divsChild>
                    <w:div w:id="8803149">
                      <w:marLeft w:val="240"/>
                      <w:marRight w:val="0"/>
                      <w:marTop w:val="60"/>
                      <w:marBottom w:val="60"/>
                      <w:divBdr>
                        <w:top w:val="none" w:sz="0" w:space="0" w:color="auto"/>
                        <w:left w:val="none" w:sz="0" w:space="0" w:color="auto"/>
                        <w:bottom w:val="none" w:sz="0" w:space="0" w:color="auto"/>
                        <w:right w:val="none" w:sz="0" w:space="0" w:color="auto"/>
                      </w:divBdr>
                      <w:divsChild>
                        <w:div w:id="1020860748">
                          <w:marLeft w:val="0"/>
                          <w:marRight w:val="0"/>
                          <w:marTop w:val="0"/>
                          <w:marBottom w:val="0"/>
                          <w:divBdr>
                            <w:top w:val="none" w:sz="0" w:space="0" w:color="auto"/>
                            <w:left w:val="none" w:sz="0" w:space="0" w:color="auto"/>
                            <w:bottom w:val="none" w:sz="0" w:space="0" w:color="auto"/>
                            <w:right w:val="none" w:sz="0" w:space="0" w:color="auto"/>
                          </w:divBdr>
                        </w:div>
                      </w:divsChild>
                    </w:div>
                    <w:div w:id="313066433">
                      <w:marLeft w:val="240"/>
                      <w:marRight w:val="0"/>
                      <w:marTop w:val="60"/>
                      <w:marBottom w:val="60"/>
                      <w:divBdr>
                        <w:top w:val="none" w:sz="0" w:space="0" w:color="auto"/>
                        <w:left w:val="none" w:sz="0" w:space="0" w:color="auto"/>
                        <w:bottom w:val="none" w:sz="0" w:space="0" w:color="auto"/>
                        <w:right w:val="none" w:sz="0" w:space="0" w:color="auto"/>
                      </w:divBdr>
                      <w:divsChild>
                        <w:div w:id="10589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9638">
                  <w:marLeft w:val="240"/>
                  <w:marRight w:val="0"/>
                  <w:marTop w:val="60"/>
                  <w:marBottom w:val="60"/>
                  <w:divBdr>
                    <w:top w:val="none" w:sz="0" w:space="0" w:color="auto"/>
                    <w:left w:val="none" w:sz="0" w:space="0" w:color="auto"/>
                    <w:bottom w:val="none" w:sz="0" w:space="0" w:color="auto"/>
                    <w:right w:val="none" w:sz="0" w:space="0" w:color="auto"/>
                  </w:divBdr>
                  <w:divsChild>
                    <w:div w:id="6869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69250">
              <w:marLeft w:val="240"/>
              <w:marRight w:val="0"/>
              <w:marTop w:val="60"/>
              <w:marBottom w:val="60"/>
              <w:divBdr>
                <w:top w:val="none" w:sz="0" w:space="0" w:color="auto"/>
                <w:left w:val="none" w:sz="0" w:space="0" w:color="auto"/>
                <w:bottom w:val="none" w:sz="0" w:space="0" w:color="auto"/>
                <w:right w:val="none" w:sz="0" w:space="0" w:color="auto"/>
              </w:divBdr>
              <w:divsChild>
                <w:div w:id="14539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234">
          <w:marLeft w:val="240"/>
          <w:marRight w:val="0"/>
          <w:marTop w:val="60"/>
          <w:marBottom w:val="60"/>
          <w:divBdr>
            <w:top w:val="none" w:sz="0" w:space="0" w:color="auto"/>
            <w:left w:val="none" w:sz="0" w:space="0" w:color="auto"/>
            <w:bottom w:val="none" w:sz="0" w:space="0" w:color="auto"/>
            <w:right w:val="none" w:sz="0" w:space="0" w:color="auto"/>
          </w:divBdr>
          <w:divsChild>
            <w:div w:id="756436450">
              <w:marLeft w:val="0"/>
              <w:marRight w:val="0"/>
              <w:marTop w:val="0"/>
              <w:marBottom w:val="0"/>
              <w:divBdr>
                <w:top w:val="none" w:sz="0" w:space="0" w:color="auto"/>
                <w:left w:val="none" w:sz="0" w:space="0" w:color="auto"/>
                <w:bottom w:val="none" w:sz="0" w:space="0" w:color="auto"/>
                <w:right w:val="none" w:sz="0" w:space="0" w:color="auto"/>
              </w:divBdr>
            </w:div>
          </w:divsChild>
        </w:div>
        <w:div w:id="236208192">
          <w:marLeft w:val="240"/>
          <w:marRight w:val="0"/>
          <w:marTop w:val="60"/>
          <w:marBottom w:val="60"/>
          <w:divBdr>
            <w:top w:val="none" w:sz="0" w:space="0" w:color="auto"/>
            <w:left w:val="none" w:sz="0" w:space="0" w:color="auto"/>
            <w:bottom w:val="none" w:sz="0" w:space="0" w:color="auto"/>
            <w:right w:val="none" w:sz="0" w:space="0" w:color="auto"/>
          </w:divBdr>
          <w:divsChild>
            <w:div w:id="1586724320">
              <w:marLeft w:val="240"/>
              <w:marRight w:val="0"/>
              <w:marTop w:val="60"/>
              <w:marBottom w:val="60"/>
              <w:divBdr>
                <w:top w:val="none" w:sz="0" w:space="0" w:color="auto"/>
                <w:left w:val="none" w:sz="0" w:space="0" w:color="auto"/>
                <w:bottom w:val="none" w:sz="0" w:space="0" w:color="auto"/>
                <w:right w:val="none" w:sz="0" w:space="0" w:color="auto"/>
              </w:divBdr>
              <w:divsChild>
                <w:div w:id="1875580675">
                  <w:marLeft w:val="240"/>
                  <w:marRight w:val="0"/>
                  <w:marTop w:val="60"/>
                  <w:marBottom w:val="60"/>
                  <w:divBdr>
                    <w:top w:val="none" w:sz="0" w:space="0" w:color="auto"/>
                    <w:left w:val="none" w:sz="0" w:space="0" w:color="auto"/>
                    <w:bottom w:val="none" w:sz="0" w:space="0" w:color="auto"/>
                    <w:right w:val="none" w:sz="0" w:space="0" w:color="auto"/>
                  </w:divBdr>
                  <w:divsChild>
                    <w:div w:id="418409823">
                      <w:marLeft w:val="240"/>
                      <w:marRight w:val="0"/>
                      <w:marTop w:val="60"/>
                      <w:marBottom w:val="60"/>
                      <w:divBdr>
                        <w:top w:val="none" w:sz="0" w:space="0" w:color="auto"/>
                        <w:left w:val="none" w:sz="0" w:space="0" w:color="auto"/>
                        <w:bottom w:val="none" w:sz="0" w:space="0" w:color="auto"/>
                        <w:right w:val="none" w:sz="0" w:space="0" w:color="auto"/>
                      </w:divBdr>
                      <w:divsChild>
                        <w:div w:id="1977299438">
                          <w:marLeft w:val="0"/>
                          <w:marRight w:val="0"/>
                          <w:marTop w:val="0"/>
                          <w:marBottom w:val="0"/>
                          <w:divBdr>
                            <w:top w:val="none" w:sz="0" w:space="0" w:color="auto"/>
                            <w:left w:val="none" w:sz="0" w:space="0" w:color="auto"/>
                            <w:bottom w:val="none" w:sz="0" w:space="0" w:color="auto"/>
                            <w:right w:val="none" w:sz="0" w:space="0" w:color="auto"/>
                          </w:divBdr>
                        </w:div>
                      </w:divsChild>
                    </w:div>
                    <w:div w:id="1966932587">
                      <w:marLeft w:val="240"/>
                      <w:marRight w:val="0"/>
                      <w:marTop w:val="60"/>
                      <w:marBottom w:val="60"/>
                      <w:divBdr>
                        <w:top w:val="none" w:sz="0" w:space="0" w:color="auto"/>
                        <w:left w:val="none" w:sz="0" w:space="0" w:color="auto"/>
                        <w:bottom w:val="none" w:sz="0" w:space="0" w:color="auto"/>
                        <w:right w:val="none" w:sz="0" w:space="0" w:color="auto"/>
                      </w:divBdr>
                      <w:divsChild>
                        <w:div w:id="75593386">
                          <w:marLeft w:val="0"/>
                          <w:marRight w:val="0"/>
                          <w:marTop w:val="0"/>
                          <w:marBottom w:val="0"/>
                          <w:divBdr>
                            <w:top w:val="none" w:sz="0" w:space="0" w:color="auto"/>
                            <w:left w:val="none" w:sz="0" w:space="0" w:color="auto"/>
                            <w:bottom w:val="none" w:sz="0" w:space="0" w:color="auto"/>
                            <w:right w:val="none" w:sz="0" w:space="0" w:color="auto"/>
                          </w:divBdr>
                        </w:div>
                      </w:divsChild>
                    </w:div>
                    <w:div w:id="1707172852">
                      <w:marLeft w:val="240"/>
                      <w:marRight w:val="0"/>
                      <w:marTop w:val="60"/>
                      <w:marBottom w:val="60"/>
                      <w:divBdr>
                        <w:top w:val="none" w:sz="0" w:space="0" w:color="auto"/>
                        <w:left w:val="none" w:sz="0" w:space="0" w:color="auto"/>
                        <w:bottom w:val="none" w:sz="0" w:space="0" w:color="auto"/>
                        <w:right w:val="none" w:sz="0" w:space="0" w:color="auto"/>
                      </w:divBdr>
                      <w:divsChild>
                        <w:div w:id="1376656128">
                          <w:marLeft w:val="0"/>
                          <w:marRight w:val="0"/>
                          <w:marTop w:val="0"/>
                          <w:marBottom w:val="0"/>
                          <w:divBdr>
                            <w:top w:val="none" w:sz="0" w:space="0" w:color="auto"/>
                            <w:left w:val="none" w:sz="0" w:space="0" w:color="auto"/>
                            <w:bottom w:val="none" w:sz="0" w:space="0" w:color="auto"/>
                            <w:right w:val="none" w:sz="0" w:space="0" w:color="auto"/>
                          </w:divBdr>
                        </w:div>
                      </w:divsChild>
                    </w:div>
                    <w:div w:id="976254810">
                      <w:marLeft w:val="506"/>
                      <w:marRight w:val="0"/>
                      <w:marTop w:val="0"/>
                      <w:marBottom w:val="0"/>
                      <w:divBdr>
                        <w:top w:val="none" w:sz="0" w:space="0" w:color="auto"/>
                        <w:left w:val="none" w:sz="0" w:space="0" w:color="auto"/>
                        <w:bottom w:val="none" w:sz="0" w:space="0" w:color="auto"/>
                        <w:right w:val="none" w:sz="0" w:space="0" w:color="auto"/>
                      </w:divBdr>
                    </w:div>
                  </w:divsChild>
                </w:div>
                <w:div w:id="135921692">
                  <w:marLeft w:val="240"/>
                  <w:marRight w:val="0"/>
                  <w:marTop w:val="60"/>
                  <w:marBottom w:val="60"/>
                  <w:divBdr>
                    <w:top w:val="none" w:sz="0" w:space="0" w:color="auto"/>
                    <w:left w:val="none" w:sz="0" w:space="0" w:color="auto"/>
                    <w:bottom w:val="none" w:sz="0" w:space="0" w:color="auto"/>
                    <w:right w:val="none" w:sz="0" w:space="0" w:color="auto"/>
                  </w:divBdr>
                  <w:divsChild>
                    <w:div w:id="1270117534">
                      <w:marLeft w:val="0"/>
                      <w:marRight w:val="0"/>
                      <w:marTop w:val="0"/>
                      <w:marBottom w:val="0"/>
                      <w:divBdr>
                        <w:top w:val="none" w:sz="0" w:space="0" w:color="auto"/>
                        <w:left w:val="none" w:sz="0" w:space="0" w:color="auto"/>
                        <w:bottom w:val="none" w:sz="0" w:space="0" w:color="auto"/>
                        <w:right w:val="none" w:sz="0" w:space="0" w:color="auto"/>
                      </w:divBdr>
                    </w:div>
                  </w:divsChild>
                </w:div>
                <w:div w:id="2044211619">
                  <w:marLeft w:val="240"/>
                  <w:marRight w:val="0"/>
                  <w:marTop w:val="60"/>
                  <w:marBottom w:val="60"/>
                  <w:divBdr>
                    <w:top w:val="none" w:sz="0" w:space="0" w:color="auto"/>
                    <w:left w:val="none" w:sz="0" w:space="0" w:color="auto"/>
                    <w:bottom w:val="none" w:sz="0" w:space="0" w:color="auto"/>
                    <w:right w:val="none" w:sz="0" w:space="0" w:color="auto"/>
                  </w:divBdr>
                  <w:divsChild>
                    <w:div w:id="9609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46062">
              <w:marLeft w:val="240"/>
              <w:marRight w:val="0"/>
              <w:marTop w:val="60"/>
              <w:marBottom w:val="60"/>
              <w:divBdr>
                <w:top w:val="none" w:sz="0" w:space="0" w:color="auto"/>
                <w:left w:val="none" w:sz="0" w:space="0" w:color="auto"/>
                <w:bottom w:val="none" w:sz="0" w:space="0" w:color="auto"/>
                <w:right w:val="none" w:sz="0" w:space="0" w:color="auto"/>
              </w:divBdr>
              <w:divsChild>
                <w:div w:id="206914719">
                  <w:marLeft w:val="240"/>
                  <w:marRight w:val="0"/>
                  <w:marTop w:val="60"/>
                  <w:marBottom w:val="60"/>
                  <w:divBdr>
                    <w:top w:val="none" w:sz="0" w:space="0" w:color="auto"/>
                    <w:left w:val="none" w:sz="0" w:space="0" w:color="auto"/>
                    <w:bottom w:val="none" w:sz="0" w:space="0" w:color="auto"/>
                    <w:right w:val="none" w:sz="0" w:space="0" w:color="auto"/>
                  </w:divBdr>
                  <w:divsChild>
                    <w:div w:id="946693004">
                      <w:marLeft w:val="0"/>
                      <w:marRight w:val="0"/>
                      <w:marTop w:val="0"/>
                      <w:marBottom w:val="0"/>
                      <w:divBdr>
                        <w:top w:val="none" w:sz="0" w:space="0" w:color="auto"/>
                        <w:left w:val="none" w:sz="0" w:space="0" w:color="auto"/>
                        <w:bottom w:val="none" w:sz="0" w:space="0" w:color="auto"/>
                        <w:right w:val="none" w:sz="0" w:space="0" w:color="auto"/>
                      </w:divBdr>
                    </w:div>
                  </w:divsChild>
                </w:div>
                <w:div w:id="2133354602">
                  <w:marLeft w:val="240"/>
                  <w:marRight w:val="0"/>
                  <w:marTop w:val="60"/>
                  <w:marBottom w:val="60"/>
                  <w:divBdr>
                    <w:top w:val="none" w:sz="0" w:space="0" w:color="auto"/>
                    <w:left w:val="none" w:sz="0" w:space="0" w:color="auto"/>
                    <w:bottom w:val="none" w:sz="0" w:space="0" w:color="auto"/>
                    <w:right w:val="none" w:sz="0" w:space="0" w:color="auto"/>
                  </w:divBdr>
                  <w:divsChild>
                    <w:div w:id="5417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3327">
          <w:marLeft w:val="240"/>
          <w:marRight w:val="0"/>
          <w:marTop w:val="60"/>
          <w:marBottom w:val="60"/>
          <w:divBdr>
            <w:top w:val="none" w:sz="0" w:space="0" w:color="auto"/>
            <w:left w:val="none" w:sz="0" w:space="0" w:color="auto"/>
            <w:bottom w:val="none" w:sz="0" w:space="0" w:color="auto"/>
            <w:right w:val="none" w:sz="0" w:space="0" w:color="auto"/>
          </w:divBdr>
          <w:divsChild>
            <w:div w:id="1057776693">
              <w:marLeft w:val="240"/>
              <w:marRight w:val="0"/>
              <w:marTop w:val="60"/>
              <w:marBottom w:val="60"/>
              <w:divBdr>
                <w:top w:val="none" w:sz="0" w:space="0" w:color="auto"/>
                <w:left w:val="none" w:sz="0" w:space="0" w:color="auto"/>
                <w:bottom w:val="none" w:sz="0" w:space="0" w:color="auto"/>
                <w:right w:val="none" w:sz="0" w:space="0" w:color="auto"/>
              </w:divBdr>
              <w:divsChild>
                <w:div w:id="74713007">
                  <w:marLeft w:val="0"/>
                  <w:marRight w:val="0"/>
                  <w:marTop w:val="0"/>
                  <w:marBottom w:val="0"/>
                  <w:divBdr>
                    <w:top w:val="none" w:sz="0" w:space="0" w:color="auto"/>
                    <w:left w:val="none" w:sz="0" w:space="0" w:color="auto"/>
                    <w:bottom w:val="none" w:sz="0" w:space="0" w:color="auto"/>
                    <w:right w:val="none" w:sz="0" w:space="0" w:color="auto"/>
                  </w:divBdr>
                </w:div>
              </w:divsChild>
            </w:div>
            <w:div w:id="1775516833">
              <w:marLeft w:val="240"/>
              <w:marRight w:val="0"/>
              <w:marTop w:val="60"/>
              <w:marBottom w:val="60"/>
              <w:divBdr>
                <w:top w:val="none" w:sz="0" w:space="0" w:color="auto"/>
                <w:left w:val="none" w:sz="0" w:space="0" w:color="auto"/>
                <w:bottom w:val="none" w:sz="0" w:space="0" w:color="auto"/>
                <w:right w:val="none" w:sz="0" w:space="0" w:color="auto"/>
              </w:divBdr>
              <w:divsChild>
                <w:div w:id="379668021">
                  <w:marLeft w:val="240"/>
                  <w:marRight w:val="0"/>
                  <w:marTop w:val="60"/>
                  <w:marBottom w:val="60"/>
                  <w:divBdr>
                    <w:top w:val="none" w:sz="0" w:space="0" w:color="auto"/>
                    <w:left w:val="none" w:sz="0" w:space="0" w:color="auto"/>
                    <w:bottom w:val="none" w:sz="0" w:space="0" w:color="auto"/>
                    <w:right w:val="none" w:sz="0" w:space="0" w:color="auto"/>
                  </w:divBdr>
                  <w:divsChild>
                    <w:div w:id="1778598677">
                      <w:marLeft w:val="0"/>
                      <w:marRight w:val="0"/>
                      <w:marTop w:val="0"/>
                      <w:marBottom w:val="0"/>
                      <w:divBdr>
                        <w:top w:val="none" w:sz="0" w:space="0" w:color="auto"/>
                        <w:left w:val="none" w:sz="0" w:space="0" w:color="auto"/>
                        <w:bottom w:val="none" w:sz="0" w:space="0" w:color="auto"/>
                        <w:right w:val="none" w:sz="0" w:space="0" w:color="auto"/>
                      </w:divBdr>
                    </w:div>
                  </w:divsChild>
                </w:div>
                <w:div w:id="1725788693">
                  <w:marLeft w:val="240"/>
                  <w:marRight w:val="0"/>
                  <w:marTop w:val="60"/>
                  <w:marBottom w:val="60"/>
                  <w:divBdr>
                    <w:top w:val="none" w:sz="0" w:space="0" w:color="auto"/>
                    <w:left w:val="none" w:sz="0" w:space="0" w:color="auto"/>
                    <w:bottom w:val="none" w:sz="0" w:space="0" w:color="auto"/>
                    <w:right w:val="none" w:sz="0" w:space="0" w:color="auto"/>
                  </w:divBdr>
                  <w:divsChild>
                    <w:div w:id="1946113736">
                      <w:marLeft w:val="0"/>
                      <w:marRight w:val="0"/>
                      <w:marTop w:val="0"/>
                      <w:marBottom w:val="0"/>
                      <w:divBdr>
                        <w:top w:val="none" w:sz="0" w:space="0" w:color="auto"/>
                        <w:left w:val="none" w:sz="0" w:space="0" w:color="auto"/>
                        <w:bottom w:val="none" w:sz="0" w:space="0" w:color="auto"/>
                        <w:right w:val="none" w:sz="0" w:space="0" w:color="auto"/>
                      </w:divBdr>
                    </w:div>
                  </w:divsChild>
                </w:div>
                <w:div w:id="1901557941">
                  <w:marLeft w:val="240"/>
                  <w:marRight w:val="0"/>
                  <w:marTop w:val="60"/>
                  <w:marBottom w:val="60"/>
                  <w:divBdr>
                    <w:top w:val="none" w:sz="0" w:space="0" w:color="auto"/>
                    <w:left w:val="none" w:sz="0" w:space="0" w:color="auto"/>
                    <w:bottom w:val="none" w:sz="0" w:space="0" w:color="auto"/>
                    <w:right w:val="none" w:sz="0" w:space="0" w:color="auto"/>
                  </w:divBdr>
                  <w:divsChild>
                    <w:div w:id="11658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337">
              <w:marLeft w:val="240"/>
              <w:marRight w:val="0"/>
              <w:marTop w:val="60"/>
              <w:marBottom w:val="60"/>
              <w:divBdr>
                <w:top w:val="none" w:sz="0" w:space="0" w:color="auto"/>
                <w:left w:val="none" w:sz="0" w:space="0" w:color="auto"/>
                <w:bottom w:val="none" w:sz="0" w:space="0" w:color="auto"/>
                <w:right w:val="none" w:sz="0" w:space="0" w:color="auto"/>
              </w:divBdr>
              <w:divsChild>
                <w:div w:id="708258435">
                  <w:marLeft w:val="240"/>
                  <w:marRight w:val="0"/>
                  <w:marTop w:val="60"/>
                  <w:marBottom w:val="60"/>
                  <w:divBdr>
                    <w:top w:val="none" w:sz="0" w:space="0" w:color="auto"/>
                    <w:left w:val="none" w:sz="0" w:space="0" w:color="auto"/>
                    <w:bottom w:val="none" w:sz="0" w:space="0" w:color="auto"/>
                    <w:right w:val="none" w:sz="0" w:space="0" w:color="auto"/>
                  </w:divBdr>
                  <w:divsChild>
                    <w:div w:id="2014531360">
                      <w:marLeft w:val="0"/>
                      <w:marRight w:val="0"/>
                      <w:marTop w:val="0"/>
                      <w:marBottom w:val="0"/>
                      <w:divBdr>
                        <w:top w:val="none" w:sz="0" w:space="0" w:color="auto"/>
                        <w:left w:val="none" w:sz="0" w:space="0" w:color="auto"/>
                        <w:bottom w:val="none" w:sz="0" w:space="0" w:color="auto"/>
                        <w:right w:val="none" w:sz="0" w:space="0" w:color="auto"/>
                      </w:divBdr>
                    </w:div>
                  </w:divsChild>
                </w:div>
                <w:div w:id="1413116801">
                  <w:marLeft w:val="240"/>
                  <w:marRight w:val="0"/>
                  <w:marTop w:val="60"/>
                  <w:marBottom w:val="60"/>
                  <w:divBdr>
                    <w:top w:val="none" w:sz="0" w:space="0" w:color="auto"/>
                    <w:left w:val="none" w:sz="0" w:space="0" w:color="auto"/>
                    <w:bottom w:val="none" w:sz="0" w:space="0" w:color="auto"/>
                    <w:right w:val="none" w:sz="0" w:space="0" w:color="auto"/>
                  </w:divBdr>
                  <w:divsChild>
                    <w:div w:id="171652345">
                      <w:marLeft w:val="0"/>
                      <w:marRight w:val="0"/>
                      <w:marTop w:val="0"/>
                      <w:marBottom w:val="0"/>
                      <w:divBdr>
                        <w:top w:val="none" w:sz="0" w:space="0" w:color="auto"/>
                        <w:left w:val="none" w:sz="0" w:space="0" w:color="auto"/>
                        <w:bottom w:val="none" w:sz="0" w:space="0" w:color="auto"/>
                        <w:right w:val="none" w:sz="0" w:space="0" w:color="auto"/>
                      </w:divBdr>
                    </w:div>
                  </w:divsChild>
                </w:div>
                <w:div w:id="652954189">
                  <w:marLeft w:val="240"/>
                  <w:marRight w:val="0"/>
                  <w:marTop w:val="60"/>
                  <w:marBottom w:val="60"/>
                  <w:divBdr>
                    <w:top w:val="none" w:sz="0" w:space="0" w:color="auto"/>
                    <w:left w:val="none" w:sz="0" w:space="0" w:color="auto"/>
                    <w:bottom w:val="none" w:sz="0" w:space="0" w:color="auto"/>
                    <w:right w:val="none" w:sz="0" w:space="0" w:color="auto"/>
                  </w:divBdr>
                  <w:divsChild>
                    <w:div w:id="14158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11314">
              <w:marLeft w:val="240"/>
              <w:marRight w:val="0"/>
              <w:marTop w:val="60"/>
              <w:marBottom w:val="60"/>
              <w:divBdr>
                <w:top w:val="none" w:sz="0" w:space="0" w:color="auto"/>
                <w:left w:val="none" w:sz="0" w:space="0" w:color="auto"/>
                <w:bottom w:val="none" w:sz="0" w:space="0" w:color="auto"/>
                <w:right w:val="none" w:sz="0" w:space="0" w:color="auto"/>
              </w:divBdr>
              <w:divsChild>
                <w:div w:id="1403526123">
                  <w:marLeft w:val="0"/>
                  <w:marRight w:val="0"/>
                  <w:marTop w:val="0"/>
                  <w:marBottom w:val="0"/>
                  <w:divBdr>
                    <w:top w:val="none" w:sz="0" w:space="0" w:color="auto"/>
                    <w:left w:val="none" w:sz="0" w:space="0" w:color="auto"/>
                    <w:bottom w:val="none" w:sz="0" w:space="0" w:color="auto"/>
                    <w:right w:val="none" w:sz="0" w:space="0" w:color="auto"/>
                  </w:divBdr>
                </w:div>
              </w:divsChild>
            </w:div>
            <w:div w:id="1017658839">
              <w:marLeft w:val="240"/>
              <w:marRight w:val="0"/>
              <w:marTop w:val="60"/>
              <w:marBottom w:val="60"/>
              <w:divBdr>
                <w:top w:val="none" w:sz="0" w:space="0" w:color="auto"/>
                <w:left w:val="none" w:sz="0" w:space="0" w:color="auto"/>
                <w:bottom w:val="none" w:sz="0" w:space="0" w:color="auto"/>
                <w:right w:val="none" w:sz="0" w:space="0" w:color="auto"/>
              </w:divBdr>
              <w:divsChild>
                <w:div w:id="590965949">
                  <w:marLeft w:val="0"/>
                  <w:marRight w:val="0"/>
                  <w:marTop w:val="0"/>
                  <w:marBottom w:val="0"/>
                  <w:divBdr>
                    <w:top w:val="none" w:sz="0" w:space="0" w:color="auto"/>
                    <w:left w:val="none" w:sz="0" w:space="0" w:color="auto"/>
                    <w:bottom w:val="none" w:sz="0" w:space="0" w:color="auto"/>
                    <w:right w:val="none" w:sz="0" w:space="0" w:color="auto"/>
                  </w:divBdr>
                </w:div>
              </w:divsChild>
            </w:div>
            <w:div w:id="330255298">
              <w:marLeft w:val="240"/>
              <w:marRight w:val="0"/>
              <w:marTop w:val="60"/>
              <w:marBottom w:val="60"/>
              <w:divBdr>
                <w:top w:val="none" w:sz="0" w:space="0" w:color="auto"/>
                <w:left w:val="none" w:sz="0" w:space="0" w:color="auto"/>
                <w:bottom w:val="none" w:sz="0" w:space="0" w:color="auto"/>
                <w:right w:val="none" w:sz="0" w:space="0" w:color="auto"/>
              </w:divBdr>
              <w:divsChild>
                <w:div w:id="36663668">
                  <w:marLeft w:val="0"/>
                  <w:marRight w:val="0"/>
                  <w:marTop w:val="0"/>
                  <w:marBottom w:val="0"/>
                  <w:divBdr>
                    <w:top w:val="none" w:sz="0" w:space="0" w:color="auto"/>
                    <w:left w:val="none" w:sz="0" w:space="0" w:color="auto"/>
                    <w:bottom w:val="none" w:sz="0" w:space="0" w:color="auto"/>
                    <w:right w:val="none" w:sz="0" w:space="0" w:color="auto"/>
                  </w:divBdr>
                </w:div>
              </w:divsChild>
            </w:div>
            <w:div w:id="1246451125">
              <w:marLeft w:val="240"/>
              <w:marRight w:val="0"/>
              <w:marTop w:val="60"/>
              <w:marBottom w:val="60"/>
              <w:divBdr>
                <w:top w:val="none" w:sz="0" w:space="0" w:color="auto"/>
                <w:left w:val="none" w:sz="0" w:space="0" w:color="auto"/>
                <w:bottom w:val="none" w:sz="0" w:space="0" w:color="auto"/>
                <w:right w:val="none" w:sz="0" w:space="0" w:color="auto"/>
              </w:divBdr>
              <w:divsChild>
                <w:div w:id="1938899100">
                  <w:marLeft w:val="0"/>
                  <w:marRight w:val="0"/>
                  <w:marTop w:val="0"/>
                  <w:marBottom w:val="0"/>
                  <w:divBdr>
                    <w:top w:val="none" w:sz="0" w:space="0" w:color="auto"/>
                    <w:left w:val="none" w:sz="0" w:space="0" w:color="auto"/>
                    <w:bottom w:val="none" w:sz="0" w:space="0" w:color="auto"/>
                    <w:right w:val="none" w:sz="0" w:space="0" w:color="auto"/>
                  </w:divBdr>
                </w:div>
              </w:divsChild>
            </w:div>
            <w:div w:id="1068188426">
              <w:marLeft w:val="240"/>
              <w:marRight w:val="0"/>
              <w:marTop w:val="60"/>
              <w:marBottom w:val="60"/>
              <w:divBdr>
                <w:top w:val="none" w:sz="0" w:space="0" w:color="auto"/>
                <w:left w:val="none" w:sz="0" w:space="0" w:color="auto"/>
                <w:bottom w:val="none" w:sz="0" w:space="0" w:color="auto"/>
                <w:right w:val="none" w:sz="0" w:space="0" w:color="auto"/>
              </w:divBdr>
              <w:divsChild>
                <w:div w:id="895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1977">
          <w:marLeft w:val="240"/>
          <w:marRight w:val="0"/>
          <w:marTop w:val="60"/>
          <w:marBottom w:val="60"/>
          <w:divBdr>
            <w:top w:val="none" w:sz="0" w:space="0" w:color="auto"/>
            <w:left w:val="none" w:sz="0" w:space="0" w:color="auto"/>
            <w:bottom w:val="none" w:sz="0" w:space="0" w:color="auto"/>
            <w:right w:val="none" w:sz="0" w:space="0" w:color="auto"/>
          </w:divBdr>
          <w:divsChild>
            <w:div w:id="2092316405">
              <w:marLeft w:val="240"/>
              <w:marRight w:val="0"/>
              <w:marTop w:val="60"/>
              <w:marBottom w:val="60"/>
              <w:divBdr>
                <w:top w:val="none" w:sz="0" w:space="0" w:color="auto"/>
                <w:left w:val="none" w:sz="0" w:space="0" w:color="auto"/>
                <w:bottom w:val="none" w:sz="0" w:space="0" w:color="auto"/>
                <w:right w:val="none" w:sz="0" w:space="0" w:color="auto"/>
              </w:divBdr>
              <w:divsChild>
                <w:div w:id="1775662319">
                  <w:marLeft w:val="240"/>
                  <w:marRight w:val="0"/>
                  <w:marTop w:val="60"/>
                  <w:marBottom w:val="60"/>
                  <w:divBdr>
                    <w:top w:val="none" w:sz="0" w:space="0" w:color="auto"/>
                    <w:left w:val="none" w:sz="0" w:space="0" w:color="auto"/>
                    <w:bottom w:val="none" w:sz="0" w:space="0" w:color="auto"/>
                    <w:right w:val="none" w:sz="0" w:space="0" w:color="auto"/>
                  </w:divBdr>
                  <w:divsChild>
                    <w:div w:id="1122771446">
                      <w:marLeft w:val="240"/>
                      <w:marRight w:val="0"/>
                      <w:marTop w:val="60"/>
                      <w:marBottom w:val="60"/>
                      <w:divBdr>
                        <w:top w:val="none" w:sz="0" w:space="0" w:color="auto"/>
                        <w:left w:val="none" w:sz="0" w:space="0" w:color="auto"/>
                        <w:bottom w:val="none" w:sz="0" w:space="0" w:color="auto"/>
                        <w:right w:val="none" w:sz="0" w:space="0" w:color="auto"/>
                      </w:divBdr>
                      <w:divsChild>
                        <w:div w:id="262348193">
                          <w:marLeft w:val="0"/>
                          <w:marRight w:val="0"/>
                          <w:marTop w:val="0"/>
                          <w:marBottom w:val="0"/>
                          <w:divBdr>
                            <w:top w:val="none" w:sz="0" w:space="0" w:color="auto"/>
                            <w:left w:val="none" w:sz="0" w:space="0" w:color="auto"/>
                            <w:bottom w:val="none" w:sz="0" w:space="0" w:color="auto"/>
                            <w:right w:val="none" w:sz="0" w:space="0" w:color="auto"/>
                          </w:divBdr>
                        </w:div>
                      </w:divsChild>
                    </w:div>
                    <w:div w:id="667442892">
                      <w:marLeft w:val="240"/>
                      <w:marRight w:val="0"/>
                      <w:marTop w:val="60"/>
                      <w:marBottom w:val="60"/>
                      <w:divBdr>
                        <w:top w:val="none" w:sz="0" w:space="0" w:color="auto"/>
                        <w:left w:val="none" w:sz="0" w:space="0" w:color="auto"/>
                        <w:bottom w:val="none" w:sz="0" w:space="0" w:color="auto"/>
                        <w:right w:val="none" w:sz="0" w:space="0" w:color="auto"/>
                      </w:divBdr>
                      <w:divsChild>
                        <w:div w:id="152104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68042">
                  <w:marLeft w:val="240"/>
                  <w:marRight w:val="0"/>
                  <w:marTop w:val="60"/>
                  <w:marBottom w:val="60"/>
                  <w:divBdr>
                    <w:top w:val="none" w:sz="0" w:space="0" w:color="auto"/>
                    <w:left w:val="none" w:sz="0" w:space="0" w:color="auto"/>
                    <w:bottom w:val="none" w:sz="0" w:space="0" w:color="auto"/>
                    <w:right w:val="none" w:sz="0" w:space="0" w:color="auto"/>
                  </w:divBdr>
                  <w:divsChild>
                    <w:div w:id="3493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67378">
              <w:marLeft w:val="240"/>
              <w:marRight w:val="0"/>
              <w:marTop w:val="60"/>
              <w:marBottom w:val="60"/>
              <w:divBdr>
                <w:top w:val="none" w:sz="0" w:space="0" w:color="auto"/>
                <w:left w:val="none" w:sz="0" w:space="0" w:color="auto"/>
                <w:bottom w:val="none" w:sz="0" w:space="0" w:color="auto"/>
                <w:right w:val="none" w:sz="0" w:space="0" w:color="auto"/>
              </w:divBdr>
              <w:divsChild>
                <w:div w:id="1644698455">
                  <w:marLeft w:val="240"/>
                  <w:marRight w:val="0"/>
                  <w:marTop w:val="60"/>
                  <w:marBottom w:val="60"/>
                  <w:divBdr>
                    <w:top w:val="none" w:sz="0" w:space="0" w:color="auto"/>
                    <w:left w:val="none" w:sz="0" w:space="0" w:color="auto"/>
                    <w:bottom w:val="none" w:sz="0" w:space="0" w:color="auto"/>
                    <w:right w:val="none" w:sz="0" w:space="0" w:color="auto"/>
                  </w:divBdr>
                  <w:divsChild>
                    <w:div w:id="1903366039">
                      <w:marLeft w:val="240"/>
                      <w:marRight w:val="0"/>
                      <w:marTop w:val="60"/>
                      <w:marBottom w:val="60"/>
                      <w:divBdr>
                        <w:top w:val="none" w:sz="0" w:space="0" w:color="auto"/>
                        <w:left w:val="none" w:sz="0" w:space="0" w:color="auto"/>
                        <w:bottom w:val="none" w:sz="0" w:space="0" w:color="auto"/>
                        <w:right w:val="none" w:sz="0" w:space="0" w:color="auto"/>
                      </w:divBdr>
                      <w:divsChild>
                        <w:div w:id="1882135397">
                          <w:marLeft w:val="0"/>
                          <w:marRight w:val="0"/>
                          <w:marTop w:val="0"/>
                          <w:marBottom w:val="0"/>
                          <w:divBdr>
                            <w:top w:val="none" w:sz="0" w:space="0" w:color="auto"/>
                            <w:left w:val="none" w:sz="0" w:space="0" w:color="auto"/>
                            <w:bottom w:val="none" w:sz="0" w:space="0" w:color="auto"/>
                            <w:right w:val="none" w:sz="0" w:space="0" w:color="auto"/>
                          </w:divBdr>
                        </w:div>
                      </w:divsChild>
                    </w:div>
                    <w:div w:id="29186337">
                      <w:marLeft w:val="240"/>
                      <w:marRight w:val="0"/>
                      <w:marTop w:val="60"/>
                      <w:marBottom w:val="60"/>
                      <w:divBdr>
                        <w:top w:val="none" w:sz="0" w:space="0" w:color="auto"/>
                        <w:left w:val="none" w:sz="0" w:space="0" w:color="auto"/>
                        <w:bottom w:val="none" w:sz="0" w:space="0" w:color="auto"/>
                        <w:right w:val="none" w:sz="0" w:space="0" w:color="auto"/>
                      </w:divBdr>
                      <w:divsChild>
                        <w:div w:id="5766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6472">
                  <w:marLeft w:val="240"/>
                  <w:marRight w:val="0"/>
                  <w:marTop w:val="60"/>
                  <w:marBottom w:val="60"/>
                  <w:divBdr>
                    <w:top w:val="none" w:sz="0" w:space="0" w:color="auto"/>
                    <w:left w:val="none" w:sz="0" w:space="0" w:color="auto"/>
                    <w:bottom w:val="none" w:sz="0" w:space="0" w:color="auto"/>
                    <w:right w:val="none" w:sz="0" w:space="0" w:color="auto"/>
                  </w:divBdr>
                  <w:divsChild>
                    <w:div w:id="15175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16513">
          <w:marLeft w:val="240"/>
          <w:marRight w:val="0"/>
          <w:marTop w:val="60"/>
          <w:marBottom w:val="60"/>
          <w:divBdr>
            <w:top w:val="none" w:sz="0" w:space="0" w:color="auto"/>
            <w:left w:val="none" w:sz="0" w:space="0" w:color="auto"/>
            <w:bottom w:val="none" w:sz="0" w:space="0" w:color="auto"/>
            <w:right w:val="none" w:sz="0" w:space="0" w:color="auto"/>
          </w:divBdr>
          <w:divsChild>
            <w:div w:id="468397547">
              <w:marLeft w:val="240"/>
              <w:marRight w:val="0"/>
              <w:marTop w:val="60"/>
              <w:marBottom w:val="60"/>
              <w:divBdr>
                <w:top w:val="none" w:sz="0" w:space="0" w:color="auto"/>
                <w:left w:val="none" w:sz="0" w:space="0" w:color="auto"/>
                <w:bottom w:val="none" w:sz="0" w:space="0" w:color="auto"/>
                <w:right w:val="none" w:sz="0" w:space="0" w:color="auto"/>
              </w:divBdr>
              <w:divsChild>
                <w:div w:id="357314932">
                  <w:marLeft w:val="240"/>
                  <w:marRight w:val="0"/>
                  <w:marTop w:val="60"/>
                  <w:marBottom w:val="60"/>
                  <w:divBdr>
                    <w:top w:val="none" w:sz="0" w:space="0" w:color="auto"/>
                    <w:left w:val="none" w:sz="0" w:space="0" w:color="auto"/>
                    <w:bottom w:val="none" w:sz="0" w:space="0" w:color="auto"/>
                    <w:right w:val="none" w:sz="0" w:space="0" w:color="auto"/>
                  </w:divBdr>
                  <w:divsChild>
                    <w:div w:id="1259754402">
                      <w:marLeft w:val="0"/>
                      <w:marRight w:val="0"/>
                      <w:marTop w:val="0"/>
                      <w:marBottom w:val="0"/>
                      <w:divBdr>
                        <w:top w:val="none" w:sz="0" w:space="0" w:color="auto"/>
                        <w:left w:val="none" w:sz="0" w:space="0" w:color="auto"/>
                        <w:bottom w:val="none" w:sz="0" w:space="0" w:color="auto"/>
                        <w:right w:val="none" w:sz="0" w:space="0" w:color="auto"/>
                      </w:divBdr>
                    </w:div>
                  </w:divsChild>
                </w:div>
                <w:div w:id="1713075342">
                  <w:marLeft w:val="240"/>
                  <w:marRight w:val="0"/>
                  <w:marTop w:val="60"/>
                  <w:marBottom w:val="60"/>
                  <w:divBdr>
                    <w:top w:val="none" w:sz="0" w:space="0" w:color="auto"/>
                    <w:left w:val="none" w:sz="0" w:space="0" w:color="auto"/>
                    <w:bottom w:val="none" w:sz="0" w:space="0" w:color="auto"/>
                    <w:right w:val="none" w:sz="0" w:space="0" w:color="auto"/>
                  </w:divBdr>
                  <w:divsChild>
                    <w:div w:id="14725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0625">
              <w:marLeft w:val="240"/>
              <w:marRight w:val="0"/>
              <w:marTop w:val="60"/>
              <w:marBottom w:val="60"/>
              <w:divBdr>
                <w:top w:val="none" w:sz="0" w:space="0" w:color="auto"/>
                <w:left w:val="none" w:sz="0" w:space="0" w:color="auto"/>
                <w:bottom w:val="none" w:sz="0" w:space="0" w:color="auto"/>
                <w:right w:val="none" w:sz="0" w:space="0" w:color="auto"/>
              </w:divBdr>
              <w:divsChild>
                <w:div w:id="859204522">
                  <w:marLeft w:val="0"/>
                  <w:marRight w:val="0"/>
                  <w:marTop w:val="0"/>
                  <w:marBottom w:val="0"/>
                  <w:divBdr>
                    <w:top w:val="none" w:sz="0" w:space="0" w:color="auto"/>
                    <w:left w:val="none" w:sz="0" w:space="0" w:color="auto"/>
                    <w:bottom w:val="none" w:sz="0" w:space="0" w:color="auto"/>
                    <w:right w:val="none" w:sz="0" w:space="0" w:color="auto"/>
                  </w:divBdr>
                </w:div>
              </w:divsChild>
            </w:div>
            <w:div w:id="703560278">
              <w:marLeft w:val="240"/>
              <w:marRight w:val="0"/>
              <w:marTop w:val="60"/>
              <w:marBottom w:val="60"/>
              <w:divBdr>
                <w:top w:val="none" w:sz="0" w:space="0" w:color="auto"/>
                <w:left w:val="none" w:sz="0" w:space="0" w:color="auto"/>
                <w:bottom w:val="none" w:sz="0" w:space="0" w:color="auto"/>
                <w:right w:val="none" w:sz="0" w:space="0" w:color="auto"/>
              </w:divBdr>
              <w:divsChild>
                <w:div w:id="1953779752">
                  <w:marLeft w:val="0"/>
                  <w:marRight w:val="0"/>
                  <w:marTop w:val="0"/>
                  <w:marBottom w:val="0"/>
                  <w:divBdr>
                    <w:top w:val="none" w:sz="0" w:space="0" w:color="auto"/>
                    <w:left w:val="none" w:sz="0" w:space="0" w:color="auto"/>
                    <w:bottom w:val="none" w:sz="0" w:space="0" w:color="auto"/>
                    <w:right w:val="none" w:sz="0" w:space="0" w:color="auto"/>
                  </w:divBdr>
                </w:div>
              </w:divsChild>
            </w:div>
            <w:div w:id="532304235">
              <w:marLeft w:val="240"/>
              <w:marRight w:val="0"/>
              <w:marTop w:val="60"/>
              <w:marBottom w:val="60"/>
              <w:divBdr>
                <w:top w:val="none" w:sz="0" w:space="0" w:color="auto"/>
                <w:left w:val="none" w:sz="0" w:space="0" w:color="auto"/>
                <w:bottom w:val="none" w:sz="0" w:space="0" w:color="auto"/>
                <w:right w:val="none" w:sz="0" w:space="0" w:color="auto"/>
              </w:divBdr>
              <w:divsChild>
                <w:div w:id="808519388">
                  <w:marLeft w:val="240"/>
                  <w:marRight w:val="0"/>
                  <w:marTop w:val="60"/>
                  <w:marBottom w:val="60"/>
                  <w:divBdr>
                    <w:top w:val="none" w:sz="0" w:space="0" w:color="auto"/>
                    <w:left w:val="none" w:sz="0" w:space="0" w:color="auto"/>
                    <w:bottom w:val="none" w:sz="0" w:space="0" w:color="auto"/>
                    <w:right w:val="none" w:sz="0" w:space="0" w:color="auto"/>
                  </w:divBdr>
                  <w:divsChild>
                    <w:div w:id="523444003">
                      <w:marLeft w:val="240"/>
                      <w:marRight w:val="0"/>
                      <w:marTop w:val="60"/>
                      <w:marBottom w:val="60"/>
                      <w:divBdr>
                        <w:top w:val="none" w:sz="0" w:space="0" w:color="auto"/>
                        <w:left w:val="none" w:sz="0" w:space="0" w:color="auto"/>
                        <w:bottom w:val="none" w:sz="0" w:space="0" w:color="auto"/>
                        <w:right w:val="none" w:sz="0" w:space="0" w:color="auto"/>
                      </w:divBdr>
                      <w:divsChild>
                        <w:div w:id="1609577646">
                          <w:marLeft w:val="0"/>
                          <w:marRight w:val="0"/>
                          <w:marTop w:val="0"/>
                          <w:marBottom w:val="0"/>
                          <w:divBdr>
                            <w:top w:val="none" w:sz="0" w:space="0" w:color="auto"/>
                            <w:left w:val="none" w:sz="0" w:space="0" w:color="auto"/>
                            <w:bottom w:val="none" w:sz="0" w:space="0" w:color="auto"/>
                            <w:right w:val="none" w:sz="0" w:space="0" w:color="auto"/>
                          </w:divBdr>
                        </w:div>
                      </w:divsChild>
                    </w:div>
                    <w:div w:id="239798120">
                      <w:marLeft w:val="240"/>
                      <w:marRight w:val="0"/>
                      <w:marTop w:val="60"/>
                      <w:marBottom w:val="60"/>
                      <w:divBdr>
                        <w:top w:val="none" w:sz="0" w:space="0" w:color="auto"/>
                        <w:left w:val="none" w:sz="0" w:space="0" w:color="auto"/>
                        <w:bottom w:val="none" w:sz="0" w:space="0" w:color="auto"/>
                        <w:right w:val="none" w:sz="0" w:space="0" w:color="auto"/>
                      </w:divBdr>
                      <w:divsChild>
                        <w:div w:id="29375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10330">
                  <w:marLeft w:val="240"/>
                  <w:marRight w:val="0"/>
                  <w:marTop w:val="60"/>
                  <w:marBottom w:val="60"/>
                  <w:divBdr>
                    <w:top w:val="none" w:sz="0" w:space="0" w:color="auto"/>
                    <w:left w:val="none" w:sz="0" w:space="0" w:color="auto"/>
                    <w:bottom w:val="none" w:sz="0" w:space="0" w:color="auto"/>
                    <w:right w:val="none" w:sz="0" w:space="0" w:color="auto"/>
                  </w:divBdr>
                  <w:divsChild>
                    <w:div w:id="82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22568">
              <w:marLeft w:val="240"/>
              <w:marRight w:val="0"/>
              <w:marTop w:val="60"/>
              <w:marBottom w:val="60"/>
              <w:divBdr>
                <w:top w:val="none" w:sz="0" w:space="0" w:color="auto"/>
                <w:left w:val="none" w:sz="0" w:space="0" w:color="auto"/>
                <w:bottom w:val="none" w:sz="0" w:space="0" w:color="auto"/>
                <w:right w:val="none" w:sz="0" w:space="0" w:color="auto"/>
              </w:divBdr>
              <w:divsChild>
                <w:div w:id="231894828">
                  <w:marLeft w:val="0"/>
                  <w:marRight w:val="0"/>
                  <w:marTop w:val="0"/>
                  <w:marBottom w:val="0"/>
                  <w:divBdr>
                    <w:top w:val="none" w:sz="0" w:space="0" w:color="auto"/>
                    <w:left w:val="none" w:sz="0" w:space="0" w:color="auto"/>
                    <w:bottom w:val="none" w:sz="0" w:space="0" w:color="auto"/>
                    <w:right w:val="none" w:sz="0" w:space="0" w:color="auto"/>
                  </w:divBdr>
                </w:div>
              </w:divsChild>
            </w:div>
            <w:div w:id="954484488">
              <w:marLeft w:val="240"/>
              <w:marRight w:val="0"/>
              <w:marTop w:val="60"/>
              <w:marBottom w:val="60"/>
              <w:divBdr>
                <w:top w:val="none" w:sz="0" w:space="0" w:color="auto"/>
                <w:left w:val="none" w:sz="0" w:space="0" w:color="auto"/>
                <w:bottom w:val="none" w:sz="0" w:space="0" w:color="auto"/>
                <w:right w:val="none" w:sz="0" w:space="0" w:color="auto"/>
              </w:divBdr>
              <w:divsChild>
                <w:div w:id="475071548">
                  <w:marLeft w:val="240"/>
                  <w:marRight w:val="0"/>
                  <w:marTop w:val="60"/>
                  <w:marBottom w:val="60"/>
                  <w:divBdr>
                    <w:top w:val="none" w:sz="0" w:space="0" w:color="auto"/>
                    <w:left w:val="none" w:sz="0" w:space="0" w:color="auto"/>
                    <w:bottom w:val="none" w:sz="0" w:space="0" w:color="auto"/>
                    <w:right w:val="none" w:sz="0" w:space="0" w:color="auto"/>
                  </w:divBdr>
                  <w:divsChild>
                    <w:div w:id="137773688">
                      <w:marLeft w:val="0"/>
                      <w:marRight w:val="0"/>
                      <w:marTop w:val="0"/>
                      <w:marBottom w:val="0"/>
                      <w:divBdr>
                        <w:top w:val="none" w:sz="0" w:space="0" w:color="auto"/>
                        <w:left w:val="none" w:sz="0" w:space="0" w:color="auto"/>
                        <w:bottom w:val="none" w:sz="0" w:space="0" w:color="auto"/>
                        <w:right w:val="none" w:sz="0" w:space="0" w:color="auto"/>
                      </w:divBdr>
                    </w:div>
                  </w:divsChild>
                </w:div>
                <w:div w:id="438725787">
                  <w:marLeft w:val="240"/>
                  <w:marRight w:val="0"/>
                  <w:marTop w:val="60"/>
                  <w:marBottom w:val="60"/>
                  <w:divBdr>
                    <w:top w:val="none" w:sz="0" w:space="0" w:color="auto"/>
                    <w:left w:val="none" w:sz="0" w:space="0" w:color="auto"/>
                    <w:bottom w:val="none" w:sz="0" w:space="0" w:color="auto"/>
                    <w:right w:val="none" w:sz="0" w:space="0" w:color="auto"/>
                  </w:divBdr>
                  <w:divsChild>
                    <w:div w:id="2076587509">
                      <w:marLeft w:val="0"/>
                      <w:marRight w:val="0"/>
                      <w:marTop w:val="0"/>
                      <w:marBottom w:val="0"/>
                      <w:divBdr>
                        <w:top w:val="none" w:sz="0" w:space="0" w:color="auto"/>
                        <w:left w:val="none" w:sz="0" w:space="0" w:color="auto"/>
                        <w:bottom w:val="none" w:sz="0" w:space="0" w:color="auto"/>
                        <w:right w:val="none" w:sz="0" w:space="0" w:color="auto"/>
                      </w:divBdr>
                    </w:div>
                  </w:divsChild>
                </w:div>
                <w:div w:id="1120613318">
                  <w:marLeft w:val="240"/>
                  <w:marRight w:val="0"/>
                  <w:marTop w:val="60"/>
                  <w:marBottom w:val="60"/>
                  <w:divBdr>
                    <w:top w:val="none" w:sz="0" w:space="0" w:color="auto"/>
                    <w:left w:val="none" w:sz="0" w:space="0" w:color="auto"/>
                    <w:bottom w:val="none" w:sz="0" w:space="0" w:color="auto"/>
                    <w:right w:val="none" w:sz="0" w:space="0" w:color="auto"/>
                  </w:divBdr>
                  <w:divsChild>
                    <w:div w:id="2249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72147">
              <w:marLeft w:val="240"/>
              <w:marRight w:val="0"/>
              <w:marTop w:val="60"/>
              <w:marBottom w:val="60"/>
              <w:divBdr>
                <w:top w:val="none" w:sz="0" w:space="0" w:color="auto"/>
                <w:left w:val="none" w:sz="0" w:space="0" w:color="auto"/>
                <w:bottom w:val="none" w:sz="0" w:space="0" w:color="auto"/>
                <w:right w:val="none" w:sz="0" w:space="0" w:color="auto"/>
              </w:divBdr>
              <w:divsChild>
                <w:div w:id="954215859">
                  <w:marLeft w:val="240"/>
                  <w:marRight w:val="0"/>
                  <w:marTop w:val="60"/>
                  <w:marBottom w:val="60"/>
                  <w:divBdr>
                    <w:top w:val="none" w:sz="0" w:space="0" w:color="auto"/>
                    <w:left w:val="none" w:sz="0" w:space="0" w:color="auto"/>
                    <w:bottom w:val="none" w:sz="0" w:space="0" w:color="auto"/>
                    <w:right w:val="none" w:sz="0" w:space="0" w:color="auto"/>
                  </w:divBdr>
                  <w:divsChild>
                    <w:div w:id="750085455">
                      <w:marLeft w:val="240"/>
                      <w:marRight w:val="0"/>
                      <w:marTop w:val="60"/>
                      <w:marBottom w:val="60"/>
                      <w:divBdr>
                        <w:top w:val="none" w:sz="0" w:space="0" w:color="auto"/>
                        <w:left w:val="none" w:sz="0" w:space="0" w:color="auto"/>
                        <w:bottom w:val="none" w:sz="0" w:space="0" w:color="auto"/>
                        <w:right w:val="none" w:sz="0" w:space="0" w:color="auto"/>
                      </w:divBdr>
                      <w:divsChild>
                        <w:div w:id="280386624">
                          <w:marLeft w:val="0"/>
                          <w:marRight w:val="0"/>
                          <w:marTop w:val="0"/>
                          <w:marBottom w:val="0"/>
                          <w:divBdr>
                            <w:top w:val="none" w:sz="0" w:space="0" w:color="auto"/>
                            <w:left w:val="none" w:sz="0" w:space="0" w:color="auto"/>
                            <w:bottom w:val="none" w:sz="0" w:space="0" w:color="auto"/>
                            <w:right w:val="none" w:sz="0" w:space="0" w:color="auto"/>
                          </w:divBdr>
                        </w:div>
                      </w:divsChild>
                    </w:div>
                    <w:div w:id="2059431391">
                      <w:marLeft w:val="240"/>
                      <w:marRight w:val="0"/>
                      <w:marTop w:val="60"/>
                      <w:marBottom w:val="60"/>
                      <w:divBdr>
                        <w:top w:val="none" w:sz="0" w:space="0" w:color="auto"/>
                        <w:left w:val="none" w:sz="0" w:space="0" w:color="auto"/>
                        <w:bottom w:val="none" w:sz="0" w:space="0" w:color="auto"/>
                        <w:right w:val="none" w:sz="0" w:space="0" w:color="auto"/>
                      </w:divBdr>
                      <w:divsChild>
                        <w:div w:id="1734544397">
                          <w:marLeft w:val="240"/>
                          <w:marRight w:val="0"/>
                          <w:marTop w:val="60"/>
                          <w:marBottom w:val="60"/>
                          <w:divBdr>
                            <w:top w:val="none" w:sz="0" w:space="0" w:color="auto"/>
                            <w:left w:val="none" w:sz="0" w:space="0" w:color="auto"/>
                            <w:bottom w:val="none" w:sz="0" w:space="0" w:color="auto"/>
                            <w:right w:val="none" w:sz="0" w:space="0" w:color="auto"/>
                          </w:divBdr>
                          <w:divsChild>
                            <w:div w:id="534659116">
                              <w:marLeft w:val="0"/>
                              <w:marRight w:val="0"/>
                              <w:marTop w:val="0"/>
                              <w:marBottom w:val="0"/>
                              <w:divBdr>
                                <w:top w:val="none" w:sz="0" w:space="0" w:color="auto"/>
                                <w:left w:val="none" w:sz="0" w:space="0" w:color="auto"/>
                                <w:bottom w:val="none" w:sz="0" w:space="0" w:color="auto"/>
                                <w:right w:val="none" w:sz="0" w:space="0" w:color="auto"/>
                              </w:divBdr>
                            </w:div>
                          </w:divsChild>
                        </w:div>
                        <w:div w:id="1944729840">
                          <w:marLeft w:val="240"/>
                          <w:marRight w:val="0"/>
                          <w:marTop w:val="60"/>
                          <w:marBottom w:val="60"/>
                          <w:divBdr>
                            <w:top w:val="none" w:sz="0" w:space="0" w:color="auto"/>
                            <w:left w:val="none" w:sz="0" w:space="0" w:color="auto"/>
                            <w:bottom w:val="none" w:sz="0" w:space="0" w:color="auto"/>
                            <w:right w:val="none" w:sz="0" w:space="0" w:color="auto"/>
                          </w:divBdr>
                          <w:divsChild>
                            <w:div w:id="161030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6317">
                  <w:marLeft w:val="240"/>
                  <w:marRight w:val="0"/>
                  <w:marTop w:val="60"/>
                  <w:marBottom w:val="60"/>
                  <w:divBdr>
                    <w:top w:val="none" w:sz="0" w:space="0" w:color="auto"/>
                    <w:left w:val="none" w:sz="0" w:space="0" w:color="auto"/>
                    <w:bottom w:val="none" w:sz="0" w:space="0" w:color="auto"/>
                    <w:right w:val="none" w:sz="0" w:space="0" w:color="auto"/>
                  </w:divBdr>
                  <w:divsChild>
                    <w:div w:id="7929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50915">
          <w:marLeft w:val="240"/>
          <w:marRight w:val="0"/>
          <w:marTop w:val="60"/>
          <w:marBottom w:val="60"/>
          <w:divBdr>
            <w:top w:val="none" w:sz="0" w:space="0" w:color="auto"/>
            <w:left w:val="none" w:sz="0" w:space="0" w:color="auto"/>
            <w:bottom w:val="none" w:sz="0" w:space="0" w:color="auto"/>
            <w:right w:val="none" w:sz="0" w:space="0" w:color="auto"/>
          </w:divBdr>
          <w:divsChild>
            <w:div w:id="53505482">
              <w:marLeft w:val="0"/>
              <w:marRight w:val="0"/>
              <w:marTop w:val="0"/>
              <w:marBottom w:val="0"/>
              <w:divBdr>
                <w:top w:val="none" w:sz="0" w:space="0" w:color="auto"/>
                <w:left w:val="none" w:sz="0" w:space="0" w:color="auto"/>
                <w:bottom w:val="none" w:sz="0" w:space="0" w:color="auto"/>
                <w:right w:val="none" w:sz="0" w:space="0" w:color="auto"/>
              </w:divBdr>
            </w:div>
          </w:divsChild>
        </w:div>
        <w:div w:id="36662635">
          <w:marLeft w:val="0"/>
          <w:marRight w:val="0"/>
          <w:marTop w:val="0"/>
          <w:marBottom w:val="0"/>
          <w:divBdr>
            <w:top w:val="none" w:sz="0" w:space="0" w:color="auto"/>
            <w:left w:val="none" w:sz="0" w:space="0" w:color="auto"/>
            <w:bottom w:val="none" w:sz="0" w:space="0" w:color="auto"/>
            <w:right w:val="none" w:sz="0" w:space="0" w:color="auto"/>
          </w:divBdr>
        </w:div>
      </w:divsChild>
    </w:div>
    <w:div w:id="952325827">
      <w:bodyDiv w:val="1"/>
      <w:marLeft w:val="0"/>
      <w:marRight w:val="0"/>
      <w:marTop w:val="0"/>
      <w:marBottom w:val="0"/>
      <w:divBdr>
        <w:top w:val="none" w:sz="0" w:space="0" w:color="auto"/>
        <w:left w:val="none" w:sz="0" w:space="0" w:color="auto"/>
        <w:bottom w:val="none" w:sz="0" w:space="0" w:color="auto"/>
        <w:right w:val="none" w:sz="0" w:space="0" w:color="auto"/>
      </w:divBdr>
    </w:div>
    <w:div w:id="956258711">
      <w:bodyDiv w:val="1"/>
      <w:marLeft w:val="0"/>
      <w:marRight w:val="0"/>
      <w:marTop w:val="0"/>
      <w:marBottom w:val="0"/>
      <w:divBdr>
        <w:top w:val="none" w:sz="0" w:space="0" w:color="auto"/>
        <w:left w:val="none" w:sz="0" w:space="0" w:color="auto"/>
        <w:bottom w:val="none" w:sz="0" w:space="0" w:color="auto"/>
        <w:right w:val="none" w:sz="0" w:space="0" w:color="auto"/>
      </w:divBdr>
    </w:div>
    <w:div w:id="957613303">
      <w:bodyDiv w:val="1"/>
      <w:marLeft w:val="0"/>
      <w:marRight w:val="0"/>
      <w:marTop w:val="0"/>
      <w:marBottom w:val="0"/>
      <w:divBdr>
        <w:top w:val="none" w:sz="0" w:space="0" w:color="auto"/>
        <w:left w:val="none" w:sz="0" w:space="0" w:color="auto"/>
        <w:bottom w:val="none" w:sz="0" w:space="0" w:color="auto"/>
        <w:right w:val="none" w:sz="0" w:space="0" w:color="auto"/>
      </w:divBdr>
    </w:div>
    <w:div w:id="958222432">
      <w:bodyDiv w:val="1"/>
      <w:marLeft w:val="0"/>
      <w:marRight w:val="0"/>
      <w:marTop w:val="0"/>
      <w:marBottom w:val="0"/>
      <w:divBdr>
        <w:top w:val="none" w:sz="0" w:space="0" w:color="auto"/>
        <w:left w:val="none" w:sz="0" w:space="0" w:color="auto"/>
        <w:bottom w:val="none" w:sz="0" w:space="0" w:color="auto"/>
        <w:right w:val="none" w:sz="0" w:space="0" w:color="auto"/>
      </w:divBdr>
    </w:div>
    <w:div w:id="966280251">
      <w:bodyDiv w:val="1"/>
      <w:marLeft w:val="0"/>
      <w:marRight w:val="0"/>
      <w:marTop w:val="0"/>
      <w:marBottom w:val="0"/>
      <w:divBdr>
        <w:top w:val="none" w:sz="0" w:space="0" w:color="auto"/>
        <w:left w:val="none" w:sz="0" w:space="0" w:color="auto"/>
        <w:bottom w:val="none" w:sz="0" w:space="0" w:color="auto"/>
        <w:right w:val="none" w:sz="0" w:space="0" w:color="auto"/>
      </w:divBdr>
    </w:div>
    <w:div w:id="969742847">
      <w:bodyDiv w:val="1"/>
      <w:marLeft w:val="0"/>
      <w:marRight w:val="0"/>
      <w:marTop w:val="0"/>
      <w:marBottom w:val="0"/>
      <w:divBdr>
        <w:top w:val="none" w:sz="0" w:space="0" w:color="auto"/>
        <w:left w:val="none" w:sz="0" w:space="0" w:color="auto"/>
        <w:bottom w:val="none" w:sz="0" w:space="0" w:color="auto"/>
        <w:right w:val="none" w:sz="0" w:space="0" w:color="auto"/>
      </w:divBdr>
    </w:div>
    <w:div w:id="988629723">
      <w:bodyDiv w:val="1"/>
      <w:marLeft w:val="0"/>
      <w:marRight w:val="0"/>
      <w:marTop w:val="0"/>
      <w:marBottom w:val="0"/>
      <w:divBdr>
        <w:top w:val="none" w:sz="0" w:space="0" w:color="auto"/>
        <w:left w:val="none" w:sz="0" w:space="0" w:color="auto"/>
        <w:bottom w:val="none" w:sz="0" w:space="0" w:color="auto"/>
        <w:right w:val="none" w:sz="0" w:space="0" w:color="auto"/>
      </w:divBdr>
    </w:div>
    <w:div w:id="991525445">
      <w:bodyDiv w:val="1"/>
      <w:marLeft w:val="0"/>
      <w:marRight w:val="0"/>
      <w:marTop w:val="0"/>
      <w:marBottom w:val="0"/>
      <w:divBdr>
        <w:top w:val="none" w:sz="0" w:space="0" w:color="auto"/>
        <w:left w:val="none" w:sz="0" w:space="0" w:color="auto"/>
        <w:bottom w:val="none" w:sz="0" w:space="0" w:color="auto"/>
        <w:right w:val="none" w:sz="0" w:space="0" w:color="auto"/>
      </w:divBdr>
    </w:div>
    <w:div w:id="1023171851">
      <w:bodyDiv w:val="1"/>
      <w:marLeft w:val="0"/>
      <w:marRight w:val="0"/>
      <w:marTop w:val="0"/>
      <w:marBottom w:val="0"/>
      <w:divBdr>
        <w:top w:val="none" w:sz="0" w:space="0" w:color="auto"/>
        <w:left w:val="none" w:sz="0" w:space="0" w:color="auto"/>
        <w:bottom w:val="none" w:sz="0" w:space="0" w:color="auto"/>
        <w:right w:val="none" w:sz="0" w:space="0" w:color="auto"/>
      </w:divBdr>
    </w:div>
    <w:div w:id="1043137329">
      <w:bodyDiv w:val="1"/>
      <w:marLeft w:val="0"/>
      <w:marRight w:val="0"/>
      <w:marTop w:val="0"/>
      <w:marBottom w:val="0"/>
      <w:divBdr>
        <w:top w:val="none" w:sz="0" w:space="0" w:color="auto"/>
        <w:left w:val="none" w:sz="0" w:space="0" w:color="auto"/>
        <w:bottom w:val="none" w:sz="0" w:space="0" w:color="auto"/>
        <w:right w:val="none" w:sz="0" w:space="0" w:color="auto"/>
      </w:divBdr>
    </w:div>
    <w:div w:id="1070153273">
      <w:bodyDiv w:val="1"/>
      <w:marLeft w:val="0"/>
      <w:marRight w:val="0"/>
      <w:marTop w:val="0"/>
      <w:marBottom w:val="0"/>
      <w:divBdr>
        <w:top w:val="none" w:sz="0" w:space="0" w:color="auto"/>
        <w:left w:val="none" w:sz="0" w:space="0" w:color="auto"/>
        <w:bottom w:val="none" w:sz="0" w:space="0" w:color="auto"/>
        <w:right w:val="none" w:sz="0" w:space="0" w:color="auto"/>
      </w:divBdr>
    </w:div>
    <w:div w:id="1071123943">
      <w:bodyDiv w:val="1"/>
      <w:marLeft w:val="0"/>
      <w:marRight w:val="0"/>
      <w:marTop w:val="0"/>
      <w:marBottom w:val="0"/>
      <w:divBdr>
        <w:top w:val="none" w:sz="0" w:space="0" w:color="auto"/>
        <w:left w:val="none" w:sz="0" w:space="0" w:color="auto"/>
        <w:bottom w:val="none" w:sz="0" w:space="0" w:color="auto"/>
        <w:right w:val="none" w:sz="0" w:space="0" w:color="auto"/>
      </w:divBdr>
    </w:div>
    <w:div w:id="1072315267">
      <w:bodyDiv w:val="1"/>
      <w:marLeft w:val="0"/>
      <w:marRight w:val="0"/>
      <w:marTop w:val="0"/>
      <w:marBottom w:val="0"/>
      <w:divBdr>
        <w:top w:val="none" w:sz="0" w:space="0" w:color="auto"/>
        <w:left w:val="none" w:sz="0" w:space="0" w:color="auto"/>
        <w:bottom w:val="none" w:sz="0" w:space="0" w:color="auto"/>
        <w:right w:val="none" w:sz="0" w:space="0" w:color="auto"/>
      </w:divBdr>
    </w:div>
    <w:div w:id="1074551011">
      <w:bodyDiv w:val="1"/>
      <w:marLeft w:val="0"/>
      <w:marRight w:val="0"/>
      <w:marTop w:val="0"/>
      <w:marBottom w:val="0"/>
      <w:divBdr>
        <w:top w:val="none" w:sz="0" w:space="0" w:color="auto"/>
        <w:left w:val="none" w:sz="0" w:space="0" w:color="auto"/>
        <w:bottom w:val="none" w:sz="0" w:space="0" w:color="auto"/>
        <w:right w:val="none" w:sz="0" w:space="0" w:color="auto"/>
      </w:divBdr>
    </w:div>
    <w:div w:id="1076706885">
      <w:bodyDiv w:val="1"/>
      <w:marLeft w:val="0"/>
      <w:marRight w:val="0"/>
      <w:marTop w:val="0"/>
      <w:marBottom w:val="0"/>
      <w:divBdr>
        <w:top w:val="none" w:sz="0" w:space="0" w:color="auto"/>
        <w:left w:val="none" w:sz="0" w:space="0" w:color="auto"/>
        <w:bottom w:val="none" w:sz="0" w:space="0" w:color="auto"/>
        <w:right w:val="none" w:sz="0" w:space="0" w:color="auto"/>
      </w:divBdr>
    </w:div>
    <w:div w:id="1079867505">
      <w:bodyDiv w:val="1"/>
      <w:marLeft w:val="0"/>
      <w:marRight w:val="0"/>
      <w:marTop w:val="0"/>
      <w:marBottom w:val="0"/>
      <w:divBdr>
        <w:top w:val="none" w:sz="0" w:space="0" w:color="auto"/>
        <w:left w:val="none" w:sz="0" w:space="0" w:color="auto"/>
        <w:bottom w:val="none" w:sz="0" w:space="0" w:color="auto"/>
        <w:right w:val="none" w:sz="0" w:space="0" w:color="auto"/>
      </w:divBdr>
    </w:div>
    <w:div w:id="1080637108">
      <w:bodyDiv w:val="1"/>
      <w:marLeft w:val="0"/>
      <w:marRight w:val="0"/>
      <w:marTop w:val="0"/>
      <w:marBottom w:val="0"/>
      <w:divBdr>
        <w:top w:val="none" w:sz="0" w:space="0" w:color="auto"/>
        <w:left w:val="none" w:sz="0" w:space="0" w:color="auto"/>
        <w:bottom w:val="none" w:sz="0" w:space="0" w:color="auto"/>
        <w:right w:val="none" w:sz="0" w:space="0" w:color="auto"/>
      </w:divBdr>
    </w:div>
    <w:div w:id="1084644611">
      <w:bodyDiv w:val="1"/>
      <w:marLeft w:val="0"/>
      <w:marRight w:val="0"/>
      <w:marTop w:val="0"/>
      <w:marBottom w:val="0"/>
      <w:divBdr>
        <w:top w:val="none" w:sz="0" w:space="0" w:color="auto"/>
        <w:left w:val="none" w:sz="0" w:space="0" w:color="auto"/>
        <w:bottom w:val="none" w:sz="0" w:space="0" w:color="auto"/>
        <w:right w:val="none" w:sz="0" w:space="0" w:color="auto"/>
      </w:divBdr>
    </w:div>
    <w:div w:id="1095708051">
      <w:bodyDiv w:val="1"/>
      <w:marLeft w:val="0"/>
      <w:marRight w:val="0"/>
      <w:marTop w:val="0"/>
      <w:marBottom w:val="0"/>
      <w:divBdr>
        <w:top w:val="none" w:sz="0" w:space="0" w:color="auto"/>
        <w:left w:val="none" w:sz="0" w:space="0" w:color="auto"/>
        <w:bottom w:val="none" w:sz="0" w:space="0" w:color="auto"/>
        <w:right w:val="none" w:sz="0" w:space="0" w:color="auto"/>
      </w:divBdr>
    </w:div>
    <w:div w:id="1106075931">
      <w:bodyDiv w:val="1"/>
      <w:marLeft w:val="0"/>
      <w:marRight w:val="0"/>
      <w:marTop w:val="0"/>
      <w:marBottom w:val="0"/>
      <w:divBdr>
        <w:top w:val="none" w:sz="0" w:space="0" w:color="auto"/>
        <w:left w:val="none" w:sz="0" w:space="0" w:color="auto"/>
        <w:bottom w:val="none" w:sz="0" w:space="0" w:color="auto"/>
        <w:right w:val="none" w:sz="0" w:space="0" w:color="auto"/>
      </w:divBdr>
    </w:div>
    <w:div w:id="1130854726">
      <w:bodyDiv w:val="1"/>
      <w:marLeft w:val="0"/>
      <w:marRight w:val="0"/>
      <w:marTop w:val="0"/>
      <w:marBottom w:val="0"/>
      <w:divBdr>
        <w:top w:val="none" w:sz="0" w:space="0" w:color="auto"/>
        <w:left w:val="none" w:sz="0" w:space="0" w:color="auto"/>
        <w:bottom w:val="none" w:sz="0" w:space="0" w:color="auto"/>
        <w:right w:val="none" w:sz="0" w:space="0" w:color="auto"/>
      </w:divBdr>
    </w:div>
    <w:div w:id="113124403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63">
          <w:marLeft w:val="240"/>
          <w:marRight w:val="0"/>
          <w:marTop w:val="60"/>
          <w:marBottom w:val="60"/>
          <w:divBdr>
            <w:top w:val="none" w:sz="0" w:space="0" w:color="auto"/>
            <w:left w:val="none" w:sz="0" w:space="0" w:color="auto"/>
            <w:bottom w:val="none" w:sz="0" w:space="0" w:color="auto"/>
            <w:right w:val="none" w:sz="0" w:space="0" w:color="auto"/>
          </w:divBdr>
          <w:divsChild>
            <w:div w:id="649360586">
              <w:marLeft w:val="240"/>
              <w:marRight w:val="0"/>
              <w:marTop w:val="60"/>
              <w:marBottom w:val="60"/>
              <w:divBdr>
                <w:top w:val="none" w:sz="0" w:space="0" w:color="auto"/>
                <w:left w:val="none" w:sz="0" w:space="0" w:color="auto"/>
                <w:bottom w:val="none" w:sz="0" w:space="0" w:color="auto"/>
                <w:right w:val="none" w:sz="0" w:space="0" w:color="auto"/>
              </w:divBdr>
              <w:divsChild>
                <w:div w:id="993726342">
                  <w:marLeft w:val="0"/>
                  <w:marRight w:val="0"/>
                  <w:marTop w:val="0"/>
                  <w:marBottom w:val="0"/>
                  <w:divBdr>
                    <w:top w:val="none" w:sz="0" w:space="0" w:color="auto"/>
                    <w:left w:val="none" w:sz="0" w:space="0" w:color="auto"/>
                    <w:bottom w:val="none" w:sz="0" w:space="0" w:color="auto"/>
                    <w:right w:val="none" w:sz="0" w:space="0" w:color="auto"/>
                  </w:divBdr>
                </w:div>
              </w:divsChild>
            </w:div>
            <w:div w:id="217207070">
              <w:marLeft w:val="240"/>
              <w:marRight w:val="0"/>
              <w:marTop w:val="60"/>
              <w:marBottom w:val="60"/>
              <w:divBdr>
                <w:top w:val="none" w:sz="0" w:space="0" w:color="auto"/>
                <w:left w:val="none" w:sz="0" w:space="0" w:color="auto"/>
                <w:bottom w:val="none" w:sz="0" w:space="0" w:color="auto"/>
                <w:right w:val="none" w:sz="0" w:space="0" w:color="auto"/>
              </w:divBdr>
              <w:divsChild>
                <w:div w:id="203178462">
                  <w:marLeft w:val="0"/>
                  <w:marRight w:val="0"/>
                  <w:marTop w:val="0"/>
                  <w:marBottom w:val="0"/>
                  <w:divBdr>
                    <w:top w:val="none" w:sz="0" w:space="0" w:color="auto"/>
                    <w:left w:val="none" w:sz="0" w:space="0" w:color="auto"/>
                    <w:bottom w:val="none" w:sz="0" w:space="0" w:color="auto"/>
                    <w:right w:val="none" w:sz="0" w:space="0" w:color="auto"/>
                  </w:divBdr>
                </w:div>
              </w:divsChild>
            </w:div>
            <w:div w:id="1273629313">
              <w:marLeft w:val="538"/>
              <w:marRight w:val="0"/>
              <w:marTop w:val="0"/>
              <w:marBottom w:val="0"/>
              <w:divBdr>
                <w:top w:val="none" w:sz="0" w:space="0" w:color="auto"/>
                <w:left w:val="none" w:sz="0" w:space="0" w:color="auto"/>
                <w:bottom w:val="none" w:sz="0" w:space="0" w:color="auto"/>
                <w:right w:val="none" w:sz="0" w:space="0" w:color="auto"/>
              </w:divBdr>
            </w:div>
          </w:divsChild>
        </w:div>
        <w:div w:id="1106928714">
          <w:marLeft w:val="240"/>
          <w:marRight w:val="0"/>
          <w:marTop w:val="60"/>
          <w:marBottom w:val="60"/>
          <w:divBdr>
            <w:top w:val="none" w:sz="0" w:space="0" w:color="auto"/>
            <w:left w:val="none" w:sz="0" w:space="0" w:color="auto"/>
            <w:bottom w:val="none" w:sz="0" w:space="0" w:color="auto"/>
            <w:right w:val="none" w:sz="0" w:space="0" w:color="auto"/>
          </w:divBdr>
          <w:divsChild>
            <w:div w:id="357852822">
              <w:marLeft w:val="0"/>
              <w:marRight w:val="0"/>
              <w:marTop w:val="0"/>
              <w:marBottom w:val="0"/>
              <w:divBdr>
                <w:top w:val="none" w:sz="0" w:space="0" w:color="auto"/>
                <w:left w:val="none" w:sz="0" w:space="0" w:color="auto"/>
                <w:bottom w:val="none" w:sz="0" w:space="0" w:color="auto"/>
                <w:right w:val="none" w:sz="0" w:space="0" w:color="auto"/>
              </w:divBdr>
            </w:div>
          </w:divsChild>
        </w:div>
        <w:div w:id="1153646524">
          <w:marLeft w:val="240"/>
          <w:marRight w:val="0"/>
          <w:marTop w:val="60"/>
          <w:marBottom w:val="60"/>
          <w:divBdr>
            <w:top w:val="none" w:sz="0" w:space="0" w:color="auto"/>
            <w:left w:val="none" w:sz="0" w:space="0" w:color="auto"/>
            <w:bottom w:val="none" w:sz="0" w:space="0" w:color="auto"/>
            <w:right w:val="none" w:sz="0" w:space="0" w:color="auto"/>
          </w:divBdr>
          <w:divsChild>
            <w:div w:id="1615287010">
              <w:marLeft w:val="0"/>
              <w:marRight w:val="0"/>
              <w:marTop w:val="0"/>
              <w:marBottom w:val="0"/>
              <w:divBdr>
                <w:top w:val="none" w:sz="0" w:space="0" w:color="auto"/>
                <w:left w:val="none" w:sz="0" w:space="0" w:color="auto"/>
                <w:bottom w:val="none" w:sz="0" w:space="0" w:color="auto"/>
                <w:right w:val="none" w:sz="0" w:space="0" w:color="auto"/>
              </w:divBdr>
            </w:div>
          </w:divsChild>
        </w:div>
        <w:div w:id="1318654279">
          <w:marLeft w:val="240"/>
          <w:marRight w:val="0"/>
          <w:marTop w:val="60"/>
          <w:marBottom w:val="60"/>
          <w:divBdr>
            <w:top w:val="none" w:sz="0" w:space="0" w:color="auto"/>
            <w:left w:val="none" w:sz="0" w:space="0" w:color="auto"/>
            <w:bottom w:val="none" w:sz="0" w:space="0" w:color="auto"/>
            <w:right w:val="none" w:sz="0" w:space="0" w:color="auto"/>
          </w:divBdr>
          <w:divsChild>
            <w:div w:id="29578915">
              <w:marLeft w:val="0"/>
              <w:marRight w:val="0"/>
              <w:marTop w:val="0"/>
              <w:marBottom w:val="0"/>
              <w:divBdr>
                <w:top w:val="none" w:sz="0" w:space="0" w:color="auto"/>
                <w:left w:val="none" w:sz="0" w:space="0" w:color="auto"/>
                <w:bottom w:val="none" w:sz="0" w:space="0" w:color="auto"/>
                <w:right w:val="none" w:sz="0" w:space="0" w:color="auto"/>
              </w:divBdr>
            </w:div>
          </w:divsChild>
        </w:div>
        <w:div w:id="409741724">
          <w:marLeft w:val="240"/>
          <w:marRight w:val="0"/>
          <w:marTop w:val="60"/>
          <w:marBottom w:val="60"/>
          <w:divBdr>
            <w:top w:val="none" w:sz="0" w:space="0" w:color="auto"/>
            <w:left w:val="none" w:sz="0" w:space="0" w:color="auto"/>
            <w:bottom w:val="none" w:sz="0" w:space="0" w:color="auto"/>
            <w:right w:val="none" w:sz="0" w:space="0" w:color="auto"/>
          </w:divBdr>
          <w:divsChild>
            <w:div w:id="1733117379">
              <w:marLeft w:val="240"/>
              <w:marRight w:val="0"/>
              <w:marTop w:val="60"/>
              <w:marBottom w:val="60"/>
              <w:divBdr>
                <w:top w:val="none" w:sz="0" w:space="0" w:color="auto"/>
                <w:left w:val="none" w:sz="0" w:space="0" w:color="auto"/>
                <w:bottom w:val="none" w:sz="0" w:space="0" w:color="auto"/>
                <w:right w:val="none" w:sz="0" w:space="0" w:color="auto"/>
              </w:divBdr>
              <w:divsChild>
                <w:div w:id="1407874552">
                  <w:marLeft w:val="0"/>
                  <w:marRight w:val="0"/>
                  <w:marTop w:val="0"/>
                  <w:marBottom w:val="0"/>
                  <w:divBdr>
                    <w:top w:val="none" w:sz="0" w:space="0" w:color="auto"/>
                    <w:left w:val="none" w:sz="0" w:space="0" w:color="auto"/>
                    <w:bottom w:val="none" w:sz="0" w:space="0" w:color="auto"/>
                    <w:right w:val="none" w:sz="0" w:space="0" w:color="auto"/>
                  </w:divBdr>
                </w:div>
              </w:divsChild>
            </w:div>
            <w:div w:id="1694112882">
              <w:marLeft w:val="240"/>
              <w:marRight w:val="0"/>
              <w:marTop w:val="60"/>
              <w:marBottom w:val="60"/>
              <w:divBdr>
                <w:top w:val="none" w:sz="0" w:space="0" w:color="auto"/>
                <w:left w:val="none" w:sz="0" w:space="0" w:color="auto"/>
                <w:bottom w:val="none" w:sz="0" w:space="0" w:color="auto"/>
                <w:right w:val="none" w:sz="0" w:space="0" w:color="auto"/>
              </w:divBdr>
              <w:divsChild>
                <w:div w:id="1739279204">
                  <w:marLeft w:val="0"/>
                  <w:marRight w:val="0"/>
                  <w:marTop w:val="0"/>
                  <w:marBottom w:val="0"/>
                  <w:divBdr>
                    <w:top w:val="none" w:sz="0" w:space="0" w:color="auto"/>
                    <w:left w:val="none" w:sz="0" w:space="0" w:color="auto"/>
                    <w:bottom w:val="none" w:sz="0" w:space="0" w:color="auto"/>
                    <w:right w:val="none" w:sz="0" w:space="0" w:color="auto"/>
                  </w:divBdr>
                </w:div>
              </w:divsChild>
            </w:div>
            <w:div w:id="985738817">
              <w:marLeft w:val="538"/>
              <w:marRight w:val="0"/>
              <w:marTop w:val="0"/>
              <w:marBottom w:val="0"/>
              <w:divBdr>
                <w:top w:val="none" w:sz="0" w:space="0" w:color="auto"/>
                <w:left w:val="none" w:sz="0" w:space="0" w:color="auto"/>
                <w:bottom w:val="none" w:sz="0" w:space="0" w:color="auto"/>
                <w:right w:val="none" w:sz="0" w:space="0" w:color="auto"/>
              </w:divBdr>
            </w:div>
          </w:divsChild>
        </w:div>
        <w:div w:id="220019284">
          <w:marLeft w:val="240"/>
          <w:marRight w:val="0"/>
          <w:marTop w:val="60"/>
          <w:marBottom w:val="60"/>
          <w:divBdr>
            <w:top w:val="none" w:sz="0" w:space="0" w:color="auto"/>
            <w:left w:val="none" w:sz="0" w:space="0" w:color="auto"/>
            <w:bottom w:val="none" w:sz="0" w:space="0" w:color="auto"/>
            <w:right w:val="none" w:sz="0" w:space="0" w:color="auto"/>
          </w:divBdr>
          <w:divsChild>
            <w:div w:id="114059996">
              <w:marLeft w:val="240"/>
              <w:marRight w:val="0"/>
              <w:marTop w:val="60"/>
              <w:marBottom w:val="60"/>
              <w:divBdr>
                <w:top w:val="none" w:sz="0" w:space="0" w:color="auto"/>
                <w:left w:val="none" w:sz="0" w:space="0" w:color="auto"/>
                <w:bottom w:val="none" w:sz="0" w:space="0" w:color="auto"/>
                <w:right w:val="none" w:sz="0" w:space="0" w:color="auto"/>
              </w:divBdr>
              <w:divsChild>
                <w:div w:id="1257402579">
                  <w:marLeft w:val="0"/>
                  <w:marRight w:val="0"/>
                  <w:marTop w:val="0"/>
                  <w:marBottom w:val="0"/>
                  <w:divBdr>
                    <w:top w:val="none" w:sz="0" w:space="0" w:color="auto"/>
                    <w:left w:val="none" w:sz="0" w:space="0" w:color="auto"/>
                    <w:bottom w:val="none" w:sz="0" w:space="0" w:color="auto"/>
                    <w:right w:val="none" w:sz="0" w:space="0" w:color="auto"/>
                  </w:divBdr>
                </w:div>
              </w:divsChild>
            </w:div>
            <w:div w:id="1731492248">
              <w:marLeft w:val="240"/>
              <w:marRight w:val="0"/>
              <w:marTop w:val="60"/>
              <w:marBottom w:val="60"/>
              <w:divBdr>
                <w:top w:val="none" w:sz="0" w:space="0" w:color="auto"/>
                <w:left w:val="none" w:sz="0" w:space="0" w:color="auto"/>
                <w:bottom w:val="none" w:sz="0" w:space="0" w:color="auto"/>
                <w:right w:val="none" w:sz="0" w:space="0" w:color="auto"/>
              </w:divBdr>
              <w:divsChild>
                <w:div w:id="282686961">
                  <w:marLeft w:val="240"/>
                  <w:marRight w:val="0"/>
                  <w:marTop w:val="60"/>
                  <w:marBottom w:val="60"/>
                  <w:divBdr>
                    <w:top w:val="none" w:sz="0" w:space="0" w:color="auto"/>
                    <w:left w:val="none" w:sz="0" w:space="0" w:color="auto"/>
                    <w:bottom w:val="none" w:sz="0" w:space="0" w:color="auto"/>
                    <w:right w:val="none" w:sz="0" w:space="0" w:color="auto"/>
                  </w:divBdr>
                  <w:divsChild>
                    <w:div w:id="169953747">
                      <w:marLeft w:val="240"/>
                      <w:marRight w:val="0"/>
                      <w:marTop w:val="60"/>
                      <w:marBottom w:val="60"/>
                      <w:divBdr>
                        <w:top w:val="none" w:sz="0" w:space="0" w:color="auto"/>
                        <w:left w:val="none" w:sz="0" w:space="0" w:color="auto"/>
                        <w:bottom w:val="none" w:sz="0" w:space="0" w:color="auto"/>
                        <w:right w:val="none" w:sz="0" w:space="0" w:color="auto"/>
                      </w:divBdr>
                      <w:divsChild>
                        <w:div w:id="557131649">
                          <w:marLeft w:val="0"/>
                          <w:marRight w:val="0"/>
                          <w:marTop w:val="0"/>
                          <w:marBottom w:val="0"/>
                          <w:divBdr>
                            <w:top w:val="none" w:sz="0" w:space="0" w:color="auto"/>
                            <w:left w:val="none" w:sz="0" w:space="0" w:color="auto"/>
                            <w:bottom w:val="none" w:sz="0" w:space="0" w:color="auto"/>
                            <w:right w:val="none" w:sz="0" w:space="0" w:color="auto"/>
                          </w:divBdr>
                        </w:div>
                      </w:divsChild>
                    </w:div>
                    <w:div w:id="1501385147">
                      <w:marLeft w:val="240"/>
                      <w:marRight w:val="0"/>
                      <w:marTop w:val="60"/>
                      <w:marBottom w:val="60"/>
                      <w:divBdr>
                        <w:top w:val="none" w:sz="0" w:space="0" w:color="auto"/>
                        <w:left w:val="none" w:sz="0" w:space="0" w:color="auto"/>
                        <w:bottom w:val="none" w:sz="0" w:space="0" w:color="auto"/>
                        <w:right w:val="none" w:sz="0" w:space="0" w:color="auto"/>
                      </w:divBdr>
                      <w:divsChild>
                        <w:div w:id="8168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82066">
                  <w:marLeft w:val="240"/>
                  <w:marRight w:val="0"/>
                  <w:marTop w:val="60"/>
                  <w:marBottom w:val="60"/>
                  <w:divBdr>
                    <w:top w:val="none" w:sz="0" w:space="0" w:color="auto"/>
                    <w:left w:val="none" w:sz="0" w:space="0" w:color="auto"/>
                    <w:bottom w:val="none" w:sz="0" w:space="0" w:color="auto"/>
                    <w:right w:val="none" w:sz="0" w:space="0" w:color="auto"/>
                  </w:divBdr>
                  <w:divsChild>
                    <w:div w:id="1005471561">
                      <w:marLeft w:val="0"/>
                      <w:marRight w:val="0"/>
                      <w:marTop w:val="0"/>
                      <w:marBottom w:val="0"/>
                      <w:divBdr>
                        <w:top w:val="none" w:sz="0" w:space="0" w:color="auto"/>
                        <w:left w:val="none" w:sz="0" w:space="0" w:color="auto"/>
                        <w:bottom w:val="none" w:sz="0" w:space="0" w:color="auto"/>
                        <w:right w:val="none" w:sz="0" w:space="0" w:color="auto"/>
                      </w:divBdr>
                    </w:div>
                  </w:divsChild>
                </w:div>
                <w:div w:id="1477995533">
                  <w:marLeft w:val="240"/>
                  <w:marRight w:val="0"/>
                  <w:marTop w:val="60"/>
                  <w:marBottom w:val="60"/>
                  <w:divBdr>
                    <w:top w:val="none" w:sz="0" w:space="0" w:color="auto"/>
                    <w:left w:val="none" w:sz="0" w:space="0" w:color="auto"/>
                    <w:bottom w:val="none" w:sz="0" w:space="0" w:color="auto"/>
                    <w:right w:val="none" w:sz="0" w:space="0" w:color="auto"/>
                  </w:divBdr>
                  <w:divsChild>
                    <w:div w:id="2416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09916">
              <w:marLeft w:val="240"/>
              <w:marRight w:val="0"/>
              <w:marTop w:val="60"/>
              <w:marBottom w:val="60"/>
              <w:divBdr>
                <w:top w:val="none" w:sz="0" w:space="0" w:color="auto"/>
                <w:left w:val="none" w:sz="0" w:space="0" w:color="auto"/>
                <w:bottom w:val="none" w:sz="0" w:space="0" w:color="auto"/>
                <w:right w:val="none" w:sz="0" w:space="0" w:color="auto"/>
              </w:divBdr>
              <w:divsChild>
                <w:div w:id="564296414">
                  <w:marLeft w:val="240"/>
                  <w:marRight w:val="0"/>
                  <w:marTop w:val="60"/>
                  <w:marBottom w:val="60"/>
                  <w:divBdr>
                    <w:top w:val="none" w:sz="0" w:space="0" w:color="auto"/>
                    <w:left w:val="none" w:sz="0" w:space="0" w:color="auto"/>
                    <w:bottom w:val="none" w:sz="0" w:space="0" w:color="auto"/>
                    <w:right w:val="none" w:sz="0" w:space="0" w:color="auto"/>
                  </w:divBdr>
                  <w:divsChild>
                    <w:div w:id="1885366503">
                      <w:marLeft w:val="240"/>
                      <w:marRight w:val="0"/>
                      <w:marTop w:val="60"/>
                      <w:marBottom w:val="60"/>
                      <w:divBdr>
                        <w:top w:val="none" w:sz="0" w:space="0" w:color="auto"/>
                        <w:left w:val="none" w:sz="0" w:space="0" w:color="auto"/>
                        <w:bottom w:val="none" w:sz="0" w:space="0" w:color="auto"/>
                        <w:right w:val="none" w:sz="0" w:space="0" w:color="auto"/>
                      </w:divBdr>
                      <w:divsChild>
                        <w:div w:id="1792363892">
                          <w:marLeft w:val="0"/>
                          <w:marRight w:val="0"/>
                          <w:marTop w:val="0"/>
                          <w:marBottom w:val="0"/>
                          <w:divBdr>
                            <w:top w:val="none" w:sz="0" w:space="0" w:color="auto"/>
                            <w:left w:val="none" w:sz="0" w:space="0" w:color="auto"/>
                            <w:bottom w:val="none" w:sz="0" w:space="0" w:color="auto"/>
                            <w:right w:val="none" w:sz="0" w:space="0" w:color="auto"/>
                          </w:divBdr>
                        </w:div>
                      </w:divsChild>
                    </w:div>
                    <w:div w:id="417990657">
                      <w:marLeft w:val="240"/>
                      <w:marRight w:val="0"/>
                      <w:marTop w:val="60"/>
                      <w:marBottom w:val="60"/>
                      <w:divBdr>
                        <w:top w:val="none" w:sz="0" w:space="0" w:color="auto"/>
                        <w:left w:val="none" w:sz="0" w:space="0" w:color="auto"/>
                        <w:bottom w:val="none" w:sz="0" w:space="0" w:color="auto"/>
                        <w:right w:val="none" w:sz="0" w:space="0" w:color="auto"/>
                      </w:divBdr>
                      <w:divsChild>
                        <w:div w:id="316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4058">
                  <w:marLeft w:val="240"/>
                  <w:marRight w:val="0"/>
                  <w:marTop w:val="60"/>
                  <w:marBottom w:val="60"/>
                  <w:divBdr>
                    <w:top w:val="none" w:sz="0" w:space="0" w:color="auto"/>
                    <w:left w:val="none" w:sz="0" w:space="0" w:color="auto"/>
                    <w:bottom w:val="none" w:sz="0" w:space="0" w:color="auto"/>
                    <w:right w:val="none" w:sz="0" w:space="0" w:color="auto"/>
                  </w:divBdr>
                  <w:divsChild>
                    <w:div w:id="943148773">
                      <w:marLeft w:val="240"/>
                      <w:marRight w:val="0"/>
                      <w:marTop w:val="60"/>
                      <w:marBottom w:val="60"/>
                      <w:divBdr>
                        <w:top w:val="none" w:sz="0" w:space="0" w:color="auto"/>
                        <w:left w:val="none" w:sz="0" w:space="0" w:color="auto"/>
                        <w:bottom w:val="none" w:sz="0" w:space="0" w:color="auto"/>
                        <w:right w:val="none" w:sz="0" w:space="0" w:color="auto"/>
                      </w:divBdr>
                      <w:divsChild>
                        <w:div w:id="857818335">
                          <w:marLeft w:val="0"/>
                          <w:marRight w:val="0"/>
                          <w:marTop w:val="0"/>
                          <w:marBottom w:val="0"/>
                          <w:divBdr>
                            <w:top w:val="none" w:sz="0" w:space="0" w:color="auto"/>
                            <w:left w:val="none" w:sz="0" w:space="0" w:color="auto"/>
                            <w:bottom w:val="none" w:sz="0" w:space="0" w:color="auto"/>
                            <w:right w:val="none" w:sz="0" w:space="0" w:color="auto"/>
                          </w:divBdr>
                        </w:div>
                      </w:divsChild>
                    </w:div>
                    <w:div w:id="1544247670">
                      <w:marLeft w:val="240"/>
                      <w:marRight w:val="0"/>
                      <w:marTop w:val="60"/>
                      <w:marBottom w:val="60"/>
                      <w:divBdr>
                        <w:top w:val="none" w:sz="0" w:space="0" w:color="auto"/>
                        <w:left w:val="none" w:sz="0" w:space="0" w:color="auto"/>
                        <w:bottom w:val="none" w:sz="0" w:space="0" w:color="auto"/>
                        <w:right w:val="none" w:sz="0" w:space="0" w:color="auto"/>
                      </w:divBdr>
                      <w:divsChild>
                        <w:div w:id="11371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16016">
                  <w:marLeft w:val="240"/>
                  <w:marRight w:val="0"/>
                  <w:marTop w:val="60"/>
                  <w:marBottom w:val="60"/>
                  <w:divBdr>
                    <w:top w:val="none" w:sz="0" w:space="0" w:color="auto"/>
                    <w:left w:val="none" w:sz="0" w:space="0" w:color="auto"/>
                    <w:bottom w:val="none" w:sz="0" w:space="0" w:color="auto"/>
                    <w:right w:val="none" w:sz="0" w:space="0" w:color="auto"/>
                  </w:divBdr>
                  <w:divsChild>
                    <w:div w:id="1553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62146">
              <w:marLeft w:val="240"/>
              <w:marRight w:val="0"/>
              <w:marTop w:val="60"/>
              <w:marBottom w:val="60"/>
              <w:divBdr>
                <w:top w:val="none" w:sz="0" w:space="0" w:color="auto"/>
                <w:left w:val="none" w:sz="0" w:space="0" w:color="auto"/>
                <w:bottom w:val="none" w:sz="0" w:space="0" w:color="auto"/>
                <w:right w:val="none" w:sz="0" w:space="0" w:color="auto"/>
              </w:divBdr>
              <w:divsChild>
                <w:div w:id="1551650784">
                  <w:marLeft w:val="0"/>
                  <w:marRight w:val="0"/>
                  <w:marTop w:val="0"/>
                  <w:marBottom w:val="0"/>
                  <w:divBdr>
                    <w:top w:val="none" w:sz="0" w:space="0" w:color="auto"/>
                    <w:left w:val="none" w:sz="0" w:space="0" w:color="auto"/>
                    <w:bottom w:val="none" w:sz="0" w:space="0" w:color="auto"/>
                    <w:right w:val="none" w:sz="0" w:space="0" w:color="auto"/>
                  </w:divBdr>
                </w:div>
              </w:divsChild>
            </w:div>
            <w:div w:id="336811191">
              <w:marLeft w:val="240"/>
              <w:marRight w:val="0"/>
              <w:marTop w:val="60"/>
              <w:marBottom w:val="60"/>
              <w:divBdr>
                <w:top w:val="none" w:sz="0" w:space="0" w:color="auto"/>
                <w:left w:val="none" w:sz="0" w:space="0" w:color="auto"/>
                <w:bottom w:val="none" w:sz="0" w:space="0" w:color="auto"/>
                <w:right w:val="none" w:sz="0" w:space="0" w:color="auto"/>
              </w:divBdr>
              <w:divsChild>
                <w:div w:id="1926719089">
                  <w:marLeft w:val="0"/>
                  <w:marRight w:val="0"/>
                  <w:marTop w:val="0"/>
                  <w:marBottom w:val="0"/>
                  <w:divBdr>
                    <w:top w:val="none" w:sz="0" w:space="0" w:color="auto"/>
                    <w:left w:val="none" w:sz="0" w:space="0" w:color="auto"/>
                    <w:bottom w:val="none" w:sz="0" w:space="0" w:color="auto"/>
                    <w:right w:val="none" w:sz="0" w:space="0" w:color="auto"/>
                  </w:divBdr>
                </w:div>
              </w:divsChild>
            </w:div>
            <w:div w:id="1035156593">
              <w:marLeft w:val="240"/>
              <w:marRight w:val="0"/>
              <w:marTop w:val="60"/>
              <w:marBottom w:val="60"/>
              <w:divBdr>
                <w:top w:val="none" w:sz="0" w:space="0" w:color="auto"/>
                <w:left w:val="none" w:sz="0" w:space="0" w:color="auto"/>
                <w:bottom w:val="none" w:sz="0" w:space="0" w:color="auto"/>
                <w:right w:val="none" w:sz="0" w:space="0" w:color="auto"/>
              </w:divBdr>
              <w:divsChild>
                <w:div w:id="2015035621">
                  <w:marLeft w:val="240"/>
                  <w:marRight w:val="0"/>
                  <w:marTop w:val="60"/>
                  <w:marBottom w:val="60"/>
                  <w:divBdr>
                    <w:top w:val="none" w:sz="0" w:space="0" w:color="auto"/>
                    <w:left w:val="none" w:sz="0" w:space="0" w:color="auto"/>
                    <w:bottom w:val="none" w:sz="0" w:space="0" w:color="auto"/>
                    <w:right w:val="none" w:sz="0" w:space="0" w:color="auto"/>
                  </w:divBdr>
                  <w:divsChild>
                    <w:div w:id="399404813">
                      <w:marLeft w:val="0"/>
                      <w:marRight w:val="0"/>
                      <w:marTop w:val="0"/>
                      <w:marBottom w:val="0"/>
                      <w:divBdr>
                        <w:top w:val="none" w:sz="0" w:space="0" w:color="auto"/>
                        <w:left w:val="none" w:sz="0" w:space="0" w:color="auto"/>
                        <w:bottom w:val="none" w:sz="0" w:space="0" w:color="auto"/>
                        <w:right w:val="none" w:sz="0" w:space="0" w:color="auto"/>
                      </w:divBdr>
                    </w:div>
                  </w:divsChild>
                </w:div>
                <w:div w:id="1736850695">
                  <w:marLeft w:val="240"/>
                  <w:marRight w:val="0"/>
                  <w:marTop w:val="60"/>
                  <w:marBottom w:val="60"/>
                  <w:divBdr>
                    <w:top w:val="none" w:sz="0" w:space="0" w:color="auto"/>
                    <w:left w:val="none" w:sz="0" w:space="0" w:color="auto"/>
                    <w:bottom w:val="none" w:sz="0" w:space="0" w:color="auto"/>
                    <w:right w:val="none" w:sz="0" w:space="0" w:color="auto"/>
                  </w:divBdr>
                  <w:divsChild>
                    <w:div w:id="134756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64814">
              <w:marLeft w:val="240"/>
              <w:marRight w:val="0"/>
              <w:marTop w:val="60"/>
              <w:marBottom w:val="60"/>
              <w:divBdr>
                <w:top w:val="none" w:sz="0" w:space="0" w:color="auto"/>
                <w:left w:val="none" w:sz="0" w:space="0" w:color="auto"/>
                <w:bottom w:val="none" w:sz="0" w:space="0" w:color="auto"/>
                <w:right w:val="none" w:sz="0" w:space="0" w:color="auto"/>
              </w:divBdr>
              <w:divsChild>
                <w:div w:id="1020737976">
                  <w:marLeft w:val="240"/>
                  <w:marRight w:val="0"/>
                  <w:marTop w:val="60"/>
                  <w:marBottom w:val="60"/>
                  <w:divBdr>
                    <w:top w:val="none" w:sz="0" w:space="0" w:color="auto"/>
                    <w:left w:val="none" w:sz="0" w:space="0" w:color="auto"/>
                    <w:bottom w:val="none" w:sz="0" w:space="0" w:color="auto"/>
                    <w:right w:val="none" w:sz="0" w:space="0" w:color="auto"/>
                  </w:divBdr>
                  <w:divsChild>
                    <w:div w:id="1409884417">
                      <w:marLeft w:val="0"/>
                      <w:marRight w:val="0"/>
                      <w:marTop w:val="0"/>
                      <w:marBottom w:val="0"/>
                      <w:divBdr>
                        <w:top w:val="none" w:sz="0" w:space="0" w:color="auto"/>
                        <w:left w:val="none" w:sz="0" w:space="0" w:color="auto"/>
                        <w:bottom w:val="none" w:sz="0" w:space="0" w:color="auto"/>
                        <w:right w:val="none" w:sz="0" w:space="0" w:color="auto"/>
                      </w:divBdr>
                    </w:div>
                  </w:divsChild>
                </w:div>
                <w:div w:id="1426150045">
                  <w:marLeft w:val="240"/>
                  <w:marRight w:val="0"/>
                  <w:marTop w:val="60"/>
                  <w:marBottom w:val="60"/>
                  <w:divBdr>
                    <w:top w:val="none" w:sz="0" w:space="0" w:color="auto"/>
                    <w:left w:val="none" w:sz="0" w:space="0" w:color="auto"/>
                    <w:bottom w:val="none" w:sz="0" w:space="0" w:color="auto"/>
                    <w:right w:val="none" w:sz="0" w:space="0" w:color="auto"/>
                  </w:divBdr>
                  <w:divsChild>
                    <w:div w:id="157477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70394">
              <w:marLeft w:val="240"/>
              <w:marRight w:val="0"/>
              <w:marTop w:val="60"/>
              <w:marBottom w:val="60"/>
              <w:divBdr>
                <w:top w:val="none" w:sz="0" w:space="0" w:color="auto"/>
                <w:left w:val="none" w:sz="0" w:space="0" w:color="auto"/>
                <w:bottom w:val="none" w:sz="0" w:space="0" w:color="auto"/>
                <w:right w:val="none" w:sz="0" w:space="0" w:color="auto"/>
              </w:divBdr>
              <w:divsChild>
                <w:div w:id="1109355274">
                  <w:marLeft w:val="240"/>
                  <w:marRight w:val="0"/>
                  <w:marTop w:val="60"/>
                  <w:marBottom w:val="60"/>
                  <w:divBdr>
                    <w:top w:val="none" w:sz="0" w:space="0" w:color="auto"/>
                    <w:left w:val="none" w:sz="0" w:space="0" w:color="auto"/>
                    <w:bottom w:val="none" w:sz="0" w:space="0" w:color="auto"/>
                    <w:right w:val="none" w:sz="0" w:space="0" w:color="auto"/>
                  </w:divBdr>
                  <w:divsChild>
                    <w:div w:id="782188226">
                      <w:marLeft w:val="0"/>
                      <w:marRight w:val="0"/>
                      <w:marTop w:val="0"/>
                      <w:marBottom w:val="0"/>
                      <w:divBdr>
                        <w:top w:val="none" w:sz="0" w:space="0" w:color="auto"/>
                        <w:left w:val="none" w:sz="0" w:space="0" w:color="auto"/>
                        <w:bottom w:val="none" w:sz="0" w:space="0" w:color="auto"/>
                        <w:right w:val="none" w:sz="0" w:space="0" w:color="auto"/>
                      </w:divBdr>
                    </w:div>
                  </w:divsChild>
                </w:div>
                <w:div w:id="1563903512">
                  <w:marLeft w:val="240"/>
                  <w:marRight w:val="0"/>
                  <w:marTop w:val="60"/>
                  <w:marBottom w:val="60"/>
                  <w:divBdr>
                    <w:top w:val="none" w:sz="0" w:space="0" w:color="auto"/>
                    <w:left w:val="none" w:sz="0" w:space="0" w:color="auto"/>
                    <w:bottom w:val="none" w:sz="0" w:space="0" w:color="auto"/>
                    <w:right w:val="none" w:sz="0" w:space="0" w:color="auto"/>
                  </w:divBdr>
                  <w:divsChild>
                    <w:div w:id="2814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66838">
          <w:marLeft w:val="240"/>
          <w:marRight w:val="0"/>
          <w:marTop w:val="60"/>
          <w:marBottom w:val="60"/>
          <w:divBdr>
            <w:top w:val="none" w:sz="0" w:space="0" w:color="auto"/>
            <w:left w:val="none" w:sz="0" w:space="0" w:color="auto"/>
            <w:bottom w:val="none" w:sz="0" w:space="0" w:color="auto"/>
            <w:right w:val="none" w:sz="0" w:space="0" w:color="auto"/>
          </w:divBdr>
          <w:divsChild>
            <w:div w:id="1897350537">
              <w:marLeft w:val="240"/>
              <w:marRight w:val="0"/>
              <w:marTop w:val="60"/>
              <w:marBottom w:val="60"/>
              <w:divBdr>
                <w:top w:val="none" w:sz="0" w:space="0" w:color="auto"/>
                <w:left w:val="none" w:sz="0" w:space="0" w:color="auto"/>
                <w:bottom w:val="none" w:sz="0" w:space="0" w:color="auto"/>
                <w:right w:val="none" w:sz="0" w:space="0" w:color="auto"/>
              </w:divBdr>
              <w:divsChild>
                <w:div w:id="356853746">
                  <w:marLeft w:val="240"/>
                  <w:marRight w:val="0"/>
                  <w:marTop w:val="60"/>
                  <w:marBottom w:val="60"/>
                  <w:divBdr>
                    <w:top w:val="none" w:sz="0" w:space="0" w:color="auto"/>
                    <w:left w:val="none" w:sz="0" w:space="0" w:color="auto"/>
                    <w:bottom w:val="none" w:sz="0" w:space="0" w:color="auto"/>
                    <w:right w:val="none" w:sz="0" w:space="0" w:color="auto"/>
                  </w:divBdr>
                  <w:divsChild>
                    <w:div w:id="1129543719">
                      <w:marLeft w:val="0"/>
                      <w:marRight w:val="0"/>
                      <w:marTop w:val="0"/>
                      <w:marBottom w:val="0"/>
                      <w:divBdr>
                        <w:top w:val="none" w:sz="0" w:space="0" w:color="auto"/>
                        <w:left w:val="none" w:sz="0" w:space="0" w:color="auto"/>
                        <w:bottom w:val="none" w:sz="0" w:space="0" w:color="auto"/>
                        <w:right w:val="none" w:sz="0" w:space="0" w:color="auto"/>
                      </w:divBdr>
                    </w:div>
                  </w:divsChild>
                </w:div>
                <w:div w:id="1688143482">
                  <w:marLeft w:val="240"/>
                  <w:marRight w:val="0"/>
                  <w:marTop w:val="60"/>
                  <w:marBottom w:val="60"/>
                  <w:divBdr>
                    <w:top w:val="none" w:sz="0" w:space="0" w:color="auto"/>
                    <w:left w:val="none" w:sz="0" w:space="0" w:color="auto"/>
                    <w:bottom w:val="none" w:sz="0" w:space="0" w:color="auto"/>
                    <w:right w:val="none" w:sz="0" w:space="0" w:color="auto"/>
                  </w:divBdr>
                  <w:divsChild>
                    <w:div w:id="1428649890">
                      <w:marLeft w:val="240"/>
                      <w:marRight w:val="0"/>
                      <w:marTop w:val="60"/>
                      <w:marBottom w:val="60"/>
                      <w:divBdr>
                        <w:top w:val="none" w:sz="0" w:space="0" w:color="auto"/>
                        <w:left w:val="none" w:sz="0" w:space="0" w:color="auto"/>
                        <w:bottom w:val="none" w:sz="0" w:space="0" w:color="auto"/>
                        <w:right w:val="none" w:sz="0" w:space="0" w:color="auto"/>
                      </w:divBdr>
                      <w:divsChild>
                        <w:div w:id="208886005">
                          <w:marLeft w:val="0"/>
                          <w:marRight w:val="0"/>
                          <w:marTop w:val="0"/>
                          <w:marBottom w:val="0"/>
                          <w:divBdr>
                            <w:top w:val="none" w:sz="0" w:space="0" w:color="auto"/>
                            <w:left w:val="none" w:sz="0" w:space="0" w:color="auto"/>
                            <w:bottom w:val="none" w:sz="0" w:space="0" w:color="auto"/>
                            <w:right w:val="none" w:sz="0" w:space="0" w:color="auto"/>
                          </w:divBdr>
                        </w:div>
                      </w:divsChild>
                    </w:div>
                    <w:div w:id="498733797">
                      <w:marLeft w:val="240"/>
                      <w:marRight w:val="0"/>
                      <w:marTop w:val="60"/>
                      <w:marBottom w:val="60"/>
                      <w:divBdr>
                        <w:top w:val="none" w:sz="0" w:space="0" w:color="auto"/>
                        <w:left w:val="none" w:sz="0" w:space="0" w:color="auto"/>
                        <w:bottom w:val="none" w:sz="0" w:space="0" w:color="auto"/>
                        <w:right w:val="none" w:sz="0" w:space="0" w:color="auto"/>
                      </w:divBdr>
                      <w:divsChild>
                        <w:div w:id="7048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7211">
              <w:marLeft w:val="240"/>
              <w:marRight w:val="0"/>
              <w:marTop w:val="60"/>
              <w:marBottom w:val="60"/>
              <w:divBdr>
                <w:top w:val="none" w:sz="0" w:space="0" w:color="auto"/>
                <w:left w:val="none" w:sz="0" w:space="0" w:color="auto"/>
                <w:bottom w:val="none" w:sz="0" w:space="0" w:color="auto"/>
                <w:right w:val="none" w:sz="0" w:space="0" w:color="auto"/>
              </w:divBdr>
              <w:divsChild>
                <w:div w:id="515845027">
                  <w:marLeft w:val="240"/>
                  <w:marRight w:val="0"/>
                  <w:marTop w:val="60"/>
                  <w:marBottom w:val="60"/>
                  <w:divBdr>
                    <w:top w:val="none" w:sz="0" w:space="0" w:color="auto"/>
                    <w:left w:val="none" w:sz="0" w:space="0" w:color="auto"/>
                    <w:bottom w:val="none" w:sz="0" w:space="0" w:color="auto"/>
                    <w:right w:val="none" w:sz="0" w:space="0" w:color="auto"/>
                  </w:divBdr>
                  <w:divsChild>
                    <w:div w:id="140122077">
                      <w:marLeft w:val="240"/>
                      <w:marRight w:val="0"/>
                      <w:marTop w:val="60"/>
                      <w:marBottom w:val="60"/>
                      <w:divBdr>
                        <w:top w:val="none" w:sz="0" w:space="0" w:color="auto"/>
                        <w:left w:val="none" w:sz="0" w:space="0" w:color="auto"/>
                        <w:bottom w:val="none" w:sz="0" w:space="0" w:color="auto"/>
                        <w:right w:val="none" w:sz="0" w:space="0" w:color="auto"/>
                      </w:divBdr>
                      <w:divsChild>
                        <w:div w:id="658774969">
                          <w:marLeft w:val="0"/>
                          <w:marRight w:val="0"/>
                          <w:marTop w:val="0"/>
                          <w:marBottom w:val="0"/>
                          <w:divBdr>
                            <w:top w:val="none" w:sz="0" w:space="0" w:color="auto"/>
                            <w:left w:val="none" w:sz="0" w:space="0" w:color="auto"/>
                            <w:bottom w:val="none" w:sz="0" w:space="0" w:color="auto"/>
                            <w:right w:val="none" w:sz="0" w:space="0" w:color="auto"/>
                          </w:divBdr>
                        </w:div>
                      </w:divsChild>
                    </w:div>
                    <w:div w:id="1803114953">
                      <w:marLeft w:val="240"/>
                      <w:marRight w:val="0"/>
                      <w:marTop w:val="60"/>
                      <w:marBottom w:val="60"/>
                      <w:divBdr>
                        <w:top w:val="none" w:sz="0" w:space="0" w:color="auto"/>
                        <w:left w:val="none" w:sz="0" w:space="0" w:color="auto"/>
                        <w:bottom w:val="none" w:sz="0" w:space="0" w:color="auto"/>
                        <w:right w:val="none" w:sz="0" w:space="0" w:color="auto"/>
                      </w:divBdr>
                      <w:divsChild>
                        <w:div w:id="226695704">
                          <w:marLeft w:val="240"/>
                          <w:marRight w:val="0"/>
                          <w:marTop w:val="60"/>
                          <w:marBottom w:val="60"/>
                          <w:divBdr>
                            <w:top w:val="none" w:sz="0" w:space="0" w:color="auto"/>
                            <w:left w:val="none" w:sz="0" w:space="0" w:color="auto"/>
                            <w:bottom w:val="none" w:sz="0" w:space="0" w:color="auto"/>
                            <w:right w:val="none" w:sz="0" w:space="0" w:color="auto"/>
                          </w:divBdr>
                          <w:divsChild>
                            <w:div w:id="298386956">
                              <w:marLeft w:val="0"/>
                              <w:marRight w:val="0"/>
                              <w:marTop w:val="0"/>
                              <w:marBottom w:val="0"/>
                              <w:divBdr>
                                <w:top w:val="none" w:sz="0" w:space="0" w:color="auto"/>
                                <w:left w:val="none" w:sz="0" w:space="0" w:color="auto"/>
                                <w:bottom w:val="none" w:sz="0" w:space="0" w:color="auto"/>
                                <w:right w:val="none" w:sz="0" w:space="0" w:color="auto"/>
                              </w:divBdr>
                            </w:div>
                          </w:divsChild>
                        </w:div>
                        <w:div w:id="894004735">
                          <w:marLeft w:val="240"/>
                          <w:marRight w:val="0"/>
                          <w:marTop w:val="60"/>
                          <w:marBottom w:val="60"/>
                          <w:divBdr>
                            <w:top w:val="none" w:sz="0" w:space="0" w:color="auto"/>
                            <w:left w:val="none" w:sz="0" w:space="0" w:color="auto"/>
                            <w:bottom w:val="none" w:sz="0" w:space="0" w:color="auto"/>
                            <w:right w:val="none" w:sz="0" w:space="0" w:color="auto"/>
                          </w:divBdr>
                          <w:divsChild>
                            <w:div w:id="7528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720040">
                  <w:marLeft w:val="240"/>
                  <w:marRight w:val="0"/>
                  <w:marTop w:val="60"/>
                  <w:marBottom w:val="60"/>
                  <w:divBdr>
                    <w:top w:val="none" w:sz="0" w:space="0" w:color="auto"/>
                    <w:left w:val="none" w:sz="0" w:space="0" w:color="auto"/>
                    <w:bottom w:val="none" w:sz="0" w:space="0" w:color="auto"/>
                    <w:right w:val="none" w:sz="0" w:space="0" w:color="auto"/>
                  </w:divBdr>
                  <w:divsChild>
                    <w:div w:id="780880694">
                      <w:marLeft w:val="0"/>
                      <w:marRight w:val="0"/>
                      <w:marTop w:val="0"/>
                      <w:marBottom w:val="0"/>
                      <w:divBdr>
                        <w:top w:val="none" w:sz="0" w:space="0" w:color="auto"/>
                        <w:left w:val="none" w:sz="0" w:space="0" w:color="auto"/>
                        <w:bottom w:val="none" w:sz="0" w:space="0" w:color="auto"/>
                        <w:right w:val="none" w:sz="0" w:space="0" w:color="auto"/>
                      </w:divBdr>
                    </w:div>
                  </w:divsChild>
                </w:div>
                <w:div w:id="1755663215">
                  <w:marLeft w:val="240"/>
                  <w:marRight w:val="0"/>
                  <w:marTop w:val="60"/>
                  <w:marBottom w:val="60"/>
                  <w:divBdr>
                    <w:top w:val="none" w:sz="0" w:space="0" w:color="auto"/>
                    <w:left w:val="none" w:sz="0" w:space="0" w:color="auto"/>
                    <w:bottom w:val="none" w:sz="0" w:space="0" w:color="auto"/>
                    <w:right w:val="none" w:sz="0" w:space="0" w:color="auto"/>
                  </w:divBdr>
                  <w:divsChild>
                    <w:div w:id="1797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31366">
              <w:marLeft w:val="240"/>
              <w:marRight w:val="0"/>
              <w:marTop w:val="60"/>
              <w:marBottom w:val="60"/>
              <w:divBdr>
                <w:top w:val="none" w:sz="0" w:space="0" w:color="auto"/>
                <w:left w:val="none" w:sz="0" w:space="0" w:color="auto"/>
                <w:bottom w:val="none" w:sz="0" w:space="0" w:color="auto"/>
                <w:right w:val="none" w:sz="0" w:space="0" w:color="auto"/>
              </w:divBdr>
              <w:divsChild>
                <w:div w:id="991985459">
                  <w:marLeft w:val="240"/>
                  <w:marRight w:val="0"/>
                  <w:marTop w:val="60"/>
                  <w:marBottom w:val="60"/>
                  <w:divBdr>
                    <w:top w:val="none" w:sz="0" w:space="0" w:color="auto"/>
                    <w:left w:val="none" w:sz="0" w:space="0" w:color="auto"/>
                    <w:bottom w:val="none" w:sz="0" w:space="0" w:color="auto"/>
                    <w:right w:val="none" w:sz="0" w:space="0" w:color="auto"/>
                  </w:divBdr>
                  <w:divsChild>
                    <w:div w:id="1001590316">
                      <w:marLeft w:val="240"/>
                      <w:marRight w:val="0"/>
                      <w:marTop w:val="60"/>
                      <w:marBottom w:val="60"/>
                      <w:divBdr>
                        <w:top w:val="none" w:sz="0" w:space="0" w:color="auto"/>
                        <w:left w:val="none" w:sz="0" w:space="0" w:color="auto"/>
                        <w:bottom w:val="none" w:sz="0" w:space="0" w:color="auto"/>
                        <w:right w:val="none" w:sz="0" w:space="0" w:color="auto"/>
                      </w:divBdr>
                      <w:divsChild>
                        <w:div w:id="1510146396">
                          <w:marLeft w:val="0"/>
                          <w:marRight w:val="0"/>
                          <w:marTop w:val="0"/>
                          <w:marBottom w:val="0"/>
                          <w:divBdr>
                            <w:top w:val="none" w:sz="0" w:space="0" w:color="auto"/>
                            <w:left w:val="none" w:sz="0" w:space="0" w:color="auto"/>
                            <w:bottom w:val="none" w:sz="0" w:space="0" w:color="auto"/>
                            <w:right w:val="none" w:sz="0" w:space="0" w:color="auto"/>
                          </w:divBdr>
                        </w:div>
                      </w:divsChild>
                    </w:div>
                    <w:div w:id="1503084696">
                      <w:marLeft w:val="240"/>
                      <w:marRight w:val="0"/>
                      <w:marTop w:val="60"/>
                      <w:marBottom w:val="60"/>
                      <w:divBdr>
                        <w:top w:val="none" w:sz="0" w:space="0" w:color="auto"/>
                        <w:left w:val="none" w:sz="0" w:space="0" w:color="auto"/>
                        <w:bottom w:val="none" w:sz="0" w:space="0" w:color="auto"/>
                        <w:right w:val="none" w:sz="0" w:space="0" w:color="auto"/>
                      </w:divBdr>
                      <w:divsChild>
                        <w:div w:id="694505149">
                          <w:marLeft w:val="0"/>
                          <w:marRight w:val="0"/>
                          <w:marTop w:val="0"/>
                          <w:marBottom w:val="0"/>
                          <w:divBdr>
                            <w:top w:val="none" w:sz="0" w:space="0" w:color="auto"/>
                            <w:left w:val="none" w:sz="0" w:space="0" w:color="auto"/>
                            <w:bottom w:val="none" w:sz="0" w:space="0" w:color="auto"/>
                            <w:right w:val="none" w:sz="0" w:space="0" w:color="auto"/>
                          </w:divBdr>
                        </w:div>
                      </w:divsChild>
                    </w:div>
                    <w:div w:id="763258225">
                      <w:marLeft w:val="506"/>
                      <w:marRight w:val="0"/>
                      <w:marTop w:val="0"/>
                      <w:marBottom w:val="0"/>
                      <w:divBdr>
                        <w:top w:val="none" w:sz="0" w:space="0" w:color="auto"/>
                        <w:left w:val="none" w:sz="0" w:space="0" w:color="auto"/>
                        <w:bottom w:val="none" w:sz="0" w:space="0" w:color="auto"/>
                        <w:right w:val="none" w:sz="0" w:space="0" w:color="auto"/>
                      </w:divBdr>
                    </w:div>
                  </w:divsChild>
                </w:div>
                <w:div w:id="1250237650">
                  <w:marLeft w:val="240"/>
                  <w:marRight w:val="0"/>
                  <w:marTop w:val="60"/>
                  <w:marBottom w:val="60"/>
                  <w:divBdr>
                    <w:top w:val="none" w:sz="0" w:space="0" w:color="auto"/>
                    <w:left w:val="none" w:sz="0" w:space="0" w:color="auto"/>
                    <w:bottom w:val="none" w:sz="0" w:space="0" w:color="auto"/>
                    <w:right w:val="none" w:sz="0" w:space="0" w:color="auto"/>
                  </w:divBdr>
                  <w:divsChild>
                    <w:div w:id="1662656052">
                      <w:marLeft w:val="0"/>
                      <w:marRight w:val="0"/>
                      <w:marTop w:val="0"/>
                      <w:marBottom w:val="0"/>
                      <w:divBdr>
                        <w:top w:val="none" w:sz="0" w:space="0" w:color="auto"/>
                        <w:left w:val="none" w:sz="0" w:space="0" w:color="auto"/>
                        <w:bottom w:val="none" w:sz="0" w:space="0" w:color="auto"/>
                        <w:right w:val="none" w:sz="0" w:space="0" w:color="auto"/>
                      </w:divBdr>
                    </w:div>
                  </w:divsChild>
                </w:div>
                <w:div w:id="2072921530">
                  <w:marLeft w:val="240"/>
                  <w:marRight w:val="0"/>
                  <w:marTop w:val="60"/>
                  <w:marBottom w:val="60"/>
                  <w:divBdr>
                    <w:top w:val="none" w:sz="0" w:space="0" w:color="auto"/>
                    <w:left w:val="none" w:sz="0" w:space="0" w:color="auto"/>
                    <w:bottom w:val="none" w:sz="0" w:space="0" w:color="auto"/>
                    <w:right w:val="none" w:sz="0" w:space="0" w:color="auto"/>
                  </w:divBdr>
                  <w:divsChild>
                    <w:div w:id="9179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3407">
              <w:marLeft w:val="240"/>
              <w:marRight w:val="0"/>
              <w:marTop w:val="60"/>
              <w:marBottom w:val="60"/>
              <w:divBdr>
                <w:top w:val="none" w:sz="0" w:space="0" w:color="auto"/>
                <w:left w:val="none" w:sz="0" w:space="0" w:color="auto"/>
                <w:bottom w:val="none" w:sz="0" w:space="0" w:color="auto"/>
                <w:right w:val="none" w:sz="0" w:space="0" w:color="auto"/>
              </w:divBdr>
              <w:divsChild>
                <w:div w:id="53478817">
                  <w:marLeft w:val="240"/>
                  <w:marRight w:val="0"/>
                  <w:marTop w:val="60"/>
                  <w:marBottom w:val="60"/>
                  <w:divBdr>
                    <w:top w:val="none" w:sz="0" w:space="0" w:color="auto"/>
                    <w:left w:val="none" w:sz="0" w:space="0" w:color="auto"/>
                    <w:bottom w:val="none" w:sz="0" w:space="0" w:color="auto"/>
                    <w:right w:val="none" w:sz="0" w:space="0" w:color="auto"/>
                  </w:divBdr>
                  <w:divsChild>
                    <w:div w:id="85394305">
                      <w:marLeft w:val="240"/>
                      <w:marRight w:val="0"/>
                      <w:marTop w:val="60"/>
                      <w:marBottom w:val="60"/>
                      <w:divBdr>
                        <w:top w:val="none" w:sz="0" w:space="0" w:color="auto"/>
                        <w:left w:val="none" w:sz="0" w:space="0" w:color="auto"/>
                        <w:bottom w:val="none" w:sz="0" w:space="0" w:color="auto"/>
                        <w:right w:val="none" w:sz="0" w:space="0" w:color="auto"/>
                      </w:divBdr>
                      <w:divsChild>
                        <w:div w:id="1536385538">
                          <w:marLeft w:val="0"/>
                          <w:marRight w:val="0"/>
                          <w:marTop w:val="0"/>
                          <w:marBottom w:val="0"/>
                          <w:divBdr>
                            <w:top w:val="none" w:sz="0" w:space="0" w:color="auto"/>
                            <w:left w:val="none" w:sz="0" w:space="0" w:color="auto"/>
                            <w:bottom w:val="none" w:sz="0" w:space="0" w:color="auto"/>
                            <w:right w:val="none" w:sz="0" w:space="0" w:color="auto"/>
                          </w:divBdr>
                        </w:div>
                      </w:divsChild>
                    </w:div>
                    <w:div w:id="1379014821">
                      <w:marLeft w:val="240"/>
                      <w:marRight w:val="0"/>
                      <w:marTop w:val="60"/>
                      <w:marBottom w:val="60"/>
                      <w:divBdr>
                        <w:top w:val="none" w:sz="0" w:space="0" w:color="auto"/>
                        <w:left w:val="none" w:sz="0" w:space="0" w:color="auto"/>
                        <w:bottom w:val="none" w:sz="0" w:space="0" w:color="auto"/>
                        <w:right w:val="none" w:sz="0" w:space="0" w:color="auto"/>
                      </w:divBdr>
                      <w:divsChild>
                        <w:div w:id="716509789">
                          <w:marLeft w:val="240"/>
                          <w:marRight w:val="0"/>
                          <w:marTop w:val="60"/>
                          <w:marBottom w:val="60"/>
                          <w:divBdr>
                            <w:top w:val="none" w:sz="0" w:space="0" w:color="auto"/>
                            <w:left w:val="none" w:sz="0" w:space="0" w:color="auto"/>
                            <w:bottom w:val="none" w:sz="0" w:space="0" w:color="auto"/>
                            <w:right w:val="none" w:sz="0" w:space="0" w:color="auto"/>
                          </w:divBdr>
                          <w:divsChild>
                            <w:div w:id="1651976933">
                              <w:marLeft w:val="0"/>
                              <w:marRight w:val="0"/>
                              <w:marTop w:val="0"/>
                              <w:marBottom w:val="0"/>
                              <w:divBdr>
                                <w:top w:val="none" w:sz="0" w:space="0" w:color="auto"/>
                                <w:left w:val="none" w:sz="0" w:space="0" w:color="auto"/>
                                <w:bottom w:val="none" w:sz="0" w:space="0" w:color="auto"/>
                                <w:right w:val="none" w:sz="0" w:space="0" w:color="auto"/>
                              </w:divBdr>
                            </w:div>
                          </w:divsChild>
                        </w:div>
                        <w:div w:id="408583019">
                          <w:marLeft w:val="240"/>
                          <w:marRight w:val="0"/>
                          <w:marTop w:val="60"/>
                          <w:marBottom w:val="60"/>
                          <w:divBdr>
                            <w:top w:val="none" w:sz="0" w:space="0" w:color="auto"/>
                            <w:left w:val="none" w:sz="0" w:space="0" w:color="auto"/>
                            <w:bottom w:val="none" w:sz="0" w:space="0" w:color="auto"/>
                            <w:right w:val="none" w:sz="0" w:space="0" w:color="auto"/>
                          </w:divBdr>
                          <w:divsChild>
                            <w:div w:id="2972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875237">
                  <w:marLeft w:val="240"/>
                  <w:marRight w:val="0"/>
                  <w:marTop w:val="60"/>
                  <w:marBottom w:val="60"/>
                  <w:divBdr>
                    <w:top w:val="none" w:sz="0" w:space="0" w:color="auto"/>
                    <w:left w:val="none" w:sz="0" w:space="0" w:color="auto"/>
                    <w:bottom w:val="none" w:sz="0" w:space="0" w:color="auto"/>
                    <w:right w:val="none" w:sz="0" w:space="0" w:color="auto"/>
                  </w:divBdr>
                  <w:divsChild>
                    <w:div w:id="178274499">
                      <w:marLeft w:val="0"/>
                      <w:marRight w:val="0"/>
                      <w:marTop w:val="0"/>
                      <w:marBottom w:val="0"/>
                      <w:divBdr>
                        <w:top w:val="none" w:sz="0" w:space="0" w:color="auto"/>
                        <w:left w:val="none" w:sz="0" w:space="0" w:color="auto"/>
                        <w:bottom w:val="none" w:sz="0" w:space="0" w:color="auto"/>
                        <w:right w:val="none" w:sz="0" w:space="0" w:color="auto"/>
                      </w:divBdr>
                    </w:div>
                  </w:divsChild>
                </w:div>
                <w:div w:id="169873704">
                  <w:marLeft w:val="240"/>
                  <w:marRight w:val="0"/>
                  <w:marTop w:val="60"/>
                  <w:marBottom w:val="60"/>
                  <w:divBdr>
                    <w:top w:val="none" w:sz="0" w:space="0" w:color="auto"/>
                    <w:left w:val="none" w:sz="0" w:space="0" w:color="auto"/>
                    <w:bottom w:val="none" w:sz="0" w:space="0" w:color="auto"/>
                    <w:right w:val="none" w:sz="0" w:space="0" w:color="auto"/>
                  </w:divBdr>
                  <w:divsChild>
                    <w:div w:id="13580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66412">
              <w:marLeft w:val="240"/>
              <w:marRight w:val="0"/>
              <w:marTop w:val="60"/>
              <w:marBottom w:val="60"/>
              <w:divBdr>
                <w:top w:val="none" w:sz="0" w:space="0" w:color="auto"/>
                <w:left w:val="none" w:sz="0" w:space="0" w:color="auto"/>
                <w:bottom w:val="none" w:sz="0" w:space="0" w:color="auto"/>
                <w:right w:val="none" w:sz="0" w:space="0" w:color="auto"/>
              </w:divBdr>
              <w:divsChild>
                <w:div w:id="1707950256">
                  <w:marLeft w:val="240"/>
                  <w:marRight w:val="0"/>
                  <w:marTop w:val="60"/>
                  <w:marBottom w:val="60"/>
                  <w:divBdr>
                    <w:top w:val="none" w:sz="0" w:space="0" w:color="auto"/>
                    <w:left w:val="none" w:sz="0" w:space="0" w:color="auto"/>
                    <w:bottom w:val="none" w:sz="0" w:space="0" w:color="auto"/>
                    <w:right w:val="none" w:sz="0" w:space="0" w:color="auto"/>
                  </w:divBdr>
                  <w:divsChild>
                    <w:div w:id="743381403">
                      <w:marLeft w:val="0"/>
                      <w:marRight w:val="0"/>
                      <w:marTop w:val="0"/>
                      <w:marBottom w:val="0"/>
                      <w:divBdr>
                        <w:top w:val="none" w:sz="0" w:space="0" w:color="auto"/>
                        <w:left w:val="none" w:sz="0" w:space="0" w:color="auto"/>
                        <w:bottom w:val="none" w:sz="0" w:space="0" w:color="auto"/>
                        <w:right w:val="none" w:sz="0" w:space="0" w:color="auto"/>
                      </w:divBdr>
                    </w:div>
                  </w:divsChild>
                </w:div>
                <w:div w:id="1259407804">
                  <w:marLeft w:val="240"/>
                  <w:marRight w:val="0"/>
                  <w:marTop w:val="60"/>
                  <w:marBottom w:val="60"/>
                  <w:divBdr>
                    <w:top w:val="none" w:sz="0" w:space="0" w:color="auto"/>
                    <w:left w:val="none" w:sz="0" w:space="0" w:color="auto"/>
                    <w:bottom w:val="none" w:sz="0" w:space="0" w:color="auto"/>
                    <w:right w:val="none" w:sz="0" w:space="0" w:color="auto"/>
                  </w:divBdr>
                  <w:divsChild>
                    <w:div w:id="11618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47202">
              <w:marLeft w:val="240"/>
              <w:marRight w:val="0"/>
              <w:marTop w:val="60"/>
              <w:marBottom w:val="60"/>
              <w:divBdr>
                <w:top w:val="none" w:sz="0" w:space="0" w:color="auto"/>
                <w:left w:val="none" w:sz="0" w:space="0" w:color="auto"/>
                <w:bottom w:val="none" w:sz="0" w:space="0" w:color="auto"/>
                <w:right w:val="none" w:sz="0" w:space="0" w:color="auto"/>
              </w:divBdr>
              <w:divsChild>
                <w:div w:id="950892528">
                  <w:marLeft w:val="0"/>
                  <w:marRight w:val="0"/>
                  <w:marTop w:val="0"/>
                  <w:marBottom w:val="0"/>
                  <w:divBdr>
                    <w:top w:val="none" w:sz="0" w:space="0" w:color="auto"/>
                    <w:left w:val="none" w:sz="0" w:space="0" w:color="auto"/>
                    <w:bottom w:val="none" w:sz="0" w:space="0" w:color="auto"/>
                    <w:right w:val="none" w:sz="0" w:space="0" w:color="auto"/>
                  </w:divBdr>
                </w:div>
              </w:divsChild>
            </w:div>
            <w:div w:id="556281838">
              <w:marLeft w:val="240"/>
              <w:marRight w:val="0"/>
              <w:marTop w:val="60"/>
              <w:marBottom w:val="60"/>
              <w:divBdr>
                <w:top w:val="none" w:sz="0" w:space="0" w:color="auto"/>
                <w:left w:val="none" w:sz="0" w:space="0" w:color="auto"/>
                <w:bottom w:val="none" w:sz="0" w:space="0" w:color="auto"/>
                <w:right w:val="none" w:sz="0" w:space="0" w:color="auto"/>
              </w:divBdr>
              <w:divsChild>
                <w:div w:id="201793156">
                  <w:marLeft w:val="240"/>
                  <w:marRight w:val="0"/>
                  <w:marTop w:val="60"/>
                  <w:marBottom w:val="60"/>
                  <w:divBdr>
                    <w:top w:val="none" w:sz="0" w:space="0" w:color="auto"/>
                    <w:left w:val="none" w:sz="0" w:space="0" w:color="auto"/>
                    <w:bottom w:val="none" w:sz="0" w:space="0" w:color="auto"/>
                    <w:right w:val="none" w:sz="0" w:space="0" w:color="auto"/>
                  </w:divBdr>
                  <w:divsChild>
                    <w:div w:id="1166478117">
                      <w:marLeft w:val="240"/>
                      <w:marRight w:val="0"/>
                      <w:marTop w:val="60"/>
                      <w:marBottom w:val="60"/>
                      <w:divBdr>
                        <w:top w:val="none" w:sz="0" w:space="0" w:color="auto"/>
                        <w:left w:val="none" w:sz="0" w:space="0" w:color="auto"/>
                        <w:bottom w:val="none" w:sz="0" w:space="0" w:color="auto"/>
                        <w:right w:val="none" w:sz="0" w:space="0" w:color="auto"/>
                      </w:divBdr>
                      <w:divsChild>
                        <w:div w:id="1658143437">
                          <w:marLeft w:val="0"/>
                          <w:marRight w:val="0"/>
                          <w:marTop w:val="0"/>
                          <w:marBottom w:val="0"/>
                          <w:divBdr>
                            <w:top w:val="none" w:sz="0" w:space="0" w:color="auto"/>
                            <w:left w:val="none" w:sz="0" w:space="0" w:color="auto"/>
                            <w:bottom w:val="none" w:sz="0" w:space="0" w:color="auto"/>
                            <w:right w:val="none" w:sz="0" w:space="0" w:color="auto"/>
                          </w:divBdr>
                        </w:div>
                      </w:divsChild>
                    </w:div>
                    <w:div w:id="910507705">
                      <w:marLeft w:val="240"/>
                      <w:marRight w:val="0"/>
                      <w:marTop w:val="60"/>
                      <w:marBottom w:val="60"/>
                      <w:divBdr>
                        <w:top w:val="none" w:sz="0" w:space="0" w:color="auto"/>
                        <w:left w:val="none" w:sz="0" w:space="0" w:color="auto"/>
                        <w:bottom w:val="none" w:sz="0" w:space="0" w:color="auto"/>
                        <w:right w:val="none" w:sz="0" w:space="0" w:color="auto"/>
                      </w:divBdr>
                      <w:divsChild>
                        <w:div w:id="454177897">
                          <w:marLeft w:val="0"/>
                          <w:marRight w:val="0"/>
                          <w:marTop w:val="0"/>
                          <w:marBottom w:val="0"/>
                          <w:divBdr>
                            <w:top w:val="none" w:sz="0" w:space="0" w:color="auto"/>
                            <w:left w:val="none" w:sz="0" w:space="0" w:color="auto"/>
                            <w:bottom w:val="none" w:sz="0" w:space="0" w:color="auto"/>
                            <w:right w:val="none" w:sz="0" w:space="0" w:color="auto"/>
                          </w:divBdr>
                        </w:div>
                      </w:divsChild>
                    </w:div>
                    <w:div w:id="946078526">
                      <w:marLeft w:val="240"/>
                      <w:marRight w:val="0"/>
                      <w:marTop w:val="60"/>
                      <w:marBottom w:val="60"/>
                      <w:divBdr>
                        <w:top w:val="none" w:sz="0" w:space="0" w:color="auto"/>
                        <w:left w:val="none" w:sz="0" w:space="0" w:color="auto"/>
                        <w:bottom w:val="none" w:sz="0" w:space="0" w:color="auto"/>
                        <w:right w:val="none" w:sz="0" w:space="0" w:color="auto"/>
                      </w:divBdr>
                      <w:divsChild>
                        <w:div w:id="1592229324">
                          <w:marLeft w:val="0"/>
                          <w:marRight w:val="0"/>
                          <w:marTop w:val="0"/>
                          <w:marBottom w:val="0"/>
                          <w:divBdr>
                            <w:top w:val="none" w:sz="0" w:space="0" w:color="auto"/>
                            <w:left w:val="none" w:sz="0" w:space="0" w:color="auto"/>
                            <w:bottom w:val="none" w:sz="0" w:space="0" w:color="auto"/>
                            <w:right w:val="none" w:sz="0" w:space="0" w:color="auto"/>
                          </w:divBdr>
                        </w:div>
                      </w:divsChild>
                    </w:div>
                    <w:div w:id="813638546">
                      <w:marLeft w:val="240"/>
                      <w:marRight w:val="0"/>
                      <w:marTop w:val="60"/>
                      <w:marBottom w:val="60"/>
                      <w:divBdr>
                        <w:top w:val="none" w:sz="0" w:space="0" w:color="auto"/>
                        <w:left w:val="none" w:sz="0" w:space="0" w:color="auto"/>
                        <w:bottom w:val="none" w:sz="0" w:space="0" w:color="auto"/>
                        <w:right w:val="none" w:sz="0" w:space="0" w:color="auto"/>
                      </w:divBdr>
                      <w:divsChild>
                        <w:div w:id="1734621005">
                          <w:marLeft w:val="0"/>
                          <w:marRight w:val="0"/>
                          <w:marTop w:val="0"/>
                          <w:marBottom w:val="0"/>
                          <w:divBdr>
                            <w:top w:val="none" w:sz="0" w:space="0" w:color="auto"/>
                            <w:left w:val="none" w:sz="0" w:space="0" w:color="auto"/>
                            <w:bottom w:val="none" w:sz="0" w:space="0" w:color="auto"/>
                            <w:right w:val="none" w:sz="0" w:space="0" w:color="auto"/>
                          </w:divBdr>
                        </w:div>
                      </w:divsChild>
                    </w:div>
                    <w:div w:id="762846307">
                      <w:marLeft w:val="506"/>
                      <w:marRight w:val="0"/>
                      <w:marTop w:val="0"/>
                      <w:marBottom w:val="0"/>
                      <w:divBdr>
                        <w:top w:val="none" w:sz="0" w:space="0" w:color="auto"/>
                        <w:left w:val="none" w:sz="0" w:space="0" w:color="auto"/>
                        <w:bottom w:val="none" w:sz="0" w:space="0" w:color="auto"/>
                        <w:right w:val="none" w:sz="0" w:space="0" w:color="auto"/>
                      </w:divBdr>
                    </w:div>
                  </w:divsChild>
                </w:div>
                <w:div w:id="34356182">
                  <w:marLeft w:val="240"/>
                  <w:marRight w:val="0"/>
                  <w:marTop w:val="60"/>
                  <w:marBottom w:val="60"/>
                  <w:divBdr>
                    <w:top w:val="none" w:sz="0" w:space="0" w:color="auto"/>
                    <w:left w:val="none" w:sz="0" w:space="0" w:color="auto"/>
                    <w:bottom w:val="none" w:sz="0" w:space="0" w:color="auto"/>
                    <w:right w:val="none" w:sz="0" w:space="0" w:color="auto"/>
                  </w:divBdr>
                  <w:divsChild>
                    <w:div w:id="1426608029">
                      <w:marLeft w:val="240"/>
                      <w:marRight w:val="0"/>
                      <w:marTop w:val="60"/>
                      <w:marBottom w:val="60"/>
                      <w:divBdr>
                        <w:top w:val="none" w:sz="0" w:space="0" w:color="auto"/>
                        <w:left w:val="none" w:sz="0" w:space="0" w:color="auto"/>
                        <w:bottom w:val="none" w:sz="0" w:space="0" w:color="auto"/>
                        <w:right w:val="none" w:sz="0" w:space="0" w:color="auto"/>
                      </w:divBdr>
                      <w:divsChild>
                        <w:div w:id="1067265870">
                          <w:marLeft w:val="0"/>
                          <w:marRight w:val="0"/>
                          <w:marTop w:val="0"/>
                          <w:marBottom w:val="0"/>
                          <w:divBdr>
                            <w:top w:val="none" w:sz="0" w:space="0" w:color="auto"/>
                            <w:left w:val="none" w:sz="0" w:space="0" w:color="auto"/>
                            <w:bottom w:val="none" w:sz="0" w:space="0" w:color="auto"/>
                            <w:right w:val="none" w:sz="0" w:space="0" w:color="auto"/>
                          </w:divBdr>
                        </w:div>
                      </w:divsChild>
                    </w:div>
                    <w:div w:id="1519153522">
                      <w:marLeft w:val="240"/>
                      <w:marRight w:val="0"/>
                      <w:marTop w:val="60"/>
                      <w:marBottom w:val="60"/>
                      <w:divBdr>
                        <w:top w:val="none" w:sz="0" w:space="0" w:color="auto"/>
                        <w:left w:val="none" w:sz="0" w:space="0" w:color="auto"/>
                        <w:bottom w:val="none" w:sz="0" w:space="0" w:color="auto"/>
                        <w:right w:val="none" w:sz="0" w:space="0" w:color="auto"/>
                      </w:divBdr>
                      <w:divsChild>
                        <w:div w:id="1678193618">
                          <w:marLeft w:val="240"/>
                          <w:marRight w:val="0"/>
                          <w:marTop w:val="60"/>
                          <w:marBottom w:val="60"/>
                          <w:divBdr>
                            <w:top w:val="none" w:sz="0" w:space="0" w:color="auto"/>
                            <w:left w:val="none" w:sz="0" w:space="0" w:color="auto"/>
                            <w:bottom w:val="none" w:sz="0" w:space="0" w:color="auto"/>
                            <w:right w:val="none" w:sz="0" w:space="0" w:color="auto"/>
                          </w:divBdr>
                          <w:divsChild>
                            <w:div w:id="1686403350">
                              <w:marLeft w:val="0"/>
                              <w:marRight w:val="0"/>
                              <w:marTop w:val="0"/>
                              <w:marBottom w:val="0"/>
                              <w:divBdr>
                                <w:top w:val="none" w:sz="0" w:space="0" w:color="auto"/>
                                <w:left w:val="none" w:sz="0" w:space="0" w:color="auto"/>
                                <w:bottom w:val="none" w:sz="0" w:space="0" w:color="auto"/>
                                <w:right w:val="none" w:sz="0" w:space="0" w:color="auto"/>
                              </w:divBdr>
                            </w:div>
                          </w:divsChild>
                        </w:div>
                        <w:div w:id="392696615">
                          <w:marLeft w:val="240"/>
                          <w:marRight w:val="0"/>
                          <w:marTop w:val="60"/>
                          <w:marBottom w:val="60"/>
                          <w:divBdr>
                            <w:top w:val="none" w:sz="0" w:space="0" w:color="auto"/>
                            <w:left w:val="none" w:sz="0" w:space="0" w:color="auto"/>
                            <w:bottom w:val="none" w:sz="0" w:space="0" w:color="auto"/>
                            <w:right w:val="none" w:sz="0" w:space="0" w:color="auto"/>
                          </w:divBdr>
                          <w:divsChild>
                            <w:div w:id="5378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193">
                      <w:marLeft w:val="240"/>
                      <w:marRight w:val="0"/>
                      <w:marTop w:val="60"/>
                      <w:marBottom w:val="60"/>
                      <w:divBdr>
                        <w:top w:val="none" w:sz="0" w:space="0" w:color="auto"/>
                        <w:left w:val="none" w:sz="0" w:space="0" w:color="auto"/>
                        <w:bottom w:val="none" w:sz="0" w:space="0" w:color="auto"/>
                        <w:right w:val="none" w:sz="0" w:space="0" w:color="auto"/>
                      </w:divBdr>
                      <w:divsChild>
                        <w:div w:id="12792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255">
                  <w:marLeft w:val="240"/>
                  <w:marRight w:val="0"/>
                  <w:marTop w:val="60"/>
                  <w:marBottom w:val="60"/>
                  <w:divBdr>
                    <w:top w:val="none" w:sz="0" w:space="0" w:color="auto"/>
                    <w:left w:val="none" w:sz="0" w:space="0" w:color="auto"/>
                    <w:bottom w:val="none" w:sz="0" w:space="0" w:color="auto"/>
                    <w:right w:val="none" w:sz="0" w:space="0" w:color="auto"/>
                  </w:divBdr>
                  <w:divsChild>
                    <w:div w:id="6454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08328">
          <w:marLeft w:val="240"/>
          <w:marRight w:val="0"/>
          <w:marTop w:val="60"/>
          <w:marBottom w:val="60"/>
          <w:divBdr>
            <w:top w:val="none" w:sz="0" w:space="0" w:color="auto"/>
            <w:left w:val="none" w:sz="0" w:space="0" w:color="auto"/>
            <w:bottom w:val="none" w:sz="0" w:space="0" w:color="auto"/>
            <w:right w:val="none" w:sz="0" w:space="0" w:color="auto"/>
          </w:divBdr>
          <w:divsChild>
            <w:div w:id="1961178999">
              <w:marLeft w:val="240"/>
              <w:marRight w:val="0"/>
              <w:marTop w:val="60"/>
              <w:marBottom w:val="60"/>
              <w:divBdr>
                <w:top w:val="none" w:sz="0" w:space="0" w:color="auto"/>
                <w:left w:val="none" w:sz="0" w:space="0" w:color="auto"/>
                <w:bottom w:val="none" w:sz="0" w:space="0" w:color="auto"/>
                <w:right w:val="none" w:sz="0" w:space="0" w:color="auto"/>
              </w:divBdr>
              <w:divsChild>
                <w:div w:id="854534365">
                  <w:marLeft w:val="240"/>
                  <w:marRight w:val="0"/>
                  <w:marTop w:val="60"/>
                  <w:marBottom w:val="60"/>
                  <w:divBdr>
                    <w:top w:val="none" w:sz="0" w:space="0" w:color="auto"/>
                    <w:left w:val="none" w:sz="0" w:space="0" w:color="auto"/>
                    <w:bottom w:val="none" w:sz="0" w:space="0" w:color="auto"/>
                    <w:right w:val="none" w:sz="0" w:space="0" w:color="auto"/>
                  </w:divBdr>
                  <w:divsChild>
                    <w:div w:id="1791319213">
                      <w:marLeft w:val="240"/>
                      <w:marRight w:val="0"/>
                      <w:marTop w:val="60"/>
                      <w:marBottom w:val="60"/>
                      <w:divBdr>
                        <w:top w:val="none" w:sz="0" w:space="0" w:color="auto"/>
                        <w:left w:val="none" w:sz="0" w:space="0" w:color="auto"/>
                        <w:bottom w:val="none" w:sz="0" w:space="0" w:color="auto"/>
                        <w:right w:val="none" w:sz="0" w:space="0" w:color="auto"/>
                      </w:divBdr>
                      <w:divsChild>
                        <w:div w:id="2040814651">
                          <w:marLeft w:val="0"/>
                          <w:marRight w:val="0"/>
                          <w:marTop w:val="0"/>
                          <w:marBottom w:val="0"/>
                          <w:divBdr>
                            <w:top w:val="none" w:sz="0" w:space="0" w:color="auto"/>
                            <w:left w:val="none" w:sz="0" w:space="0" w:color="auto"/>
                            <w:bottom w:val="none" w:sz="0" w:space="0" w:color="auto"/>
                            <w:right w:val="none" w:sz="0" w:space="0" w:color="auto"/>
                          </w:divBdr>
                        </w:div>
                      </w:divsChild>
                    </w:div>
                    <w:div w:id="1512177945">
                      <w:marLeft w:val="240"/>
                      <w:marRight w:val="0"/>
                      <w:marTop w:val="60"/>
                      <w:marBottom w:val="60"/>
                      <w:divBdr>
                        <w:top w:val="none" w:sz="0" w:space="0" w:color="auto"/>
                        <w:left w:val="none" w:sz="0" w:space="0" w:color="auto"/>
                        <w:bottom w:val="none" w:sz="0" w:space="0" w:color="auto"/>
                        <w:right w:val="none" w:sz="0" w:space="0" w:color="auto"/>
                      </w:divBdr>
                      <w:divsChild>
                        <w:div w:id="2119449693">
                          <w:marLeft w:val="240"/>
                          <w:marRight w:val="0"/>
                          <w:marTop w:val="60"/>
                          <w:marBottom w:val="60"/>
                          <w:divBdr>
                            <w:top w:val="none" w:sz="0" w:space="0" w:color="auto"/>
                            <w:left w:val="none" w:sz="0" w:space="0" w:color="auto"/>
                            <w:bottom w:val="none" w:sz="0" w:space="0" w:color="auto"/>
                            <w:right w:val="none" w:sz="0" w:space="0" w:color="auto"/>
                          </w:divBdr>
                          <w:divsChild>
                            <w:div w:id="1780638667">
                              <w:marLeft w:val="0"/>
                              <w:marRight w:val="0"/>
                              <w:marTop w:val="0"/>
                              <w:marBottom w:val="0"/>
                              <w:divBdr>
                                <w:top w:val="none" w:sz="0" w:space="0" w:color="auto"/>
                                <w:left w:val="none" w:sz="0" w:space="0" w:color="auto"/>
                                <w:bottom w:val="none" w:sz="0" w:space="0" w:color="auto"/>
                                <w:right w:val="none" w:sz="0" w:space="0" w:color="auto"/>
                              </w:divBdr>
                            </w:div>
                          </w:divsChild>
                        </w:div>
                        <w:div w:id="1179780235">
                          <w:marLeft w:val="240"/>
                          <w:marRight w:val="0"/>
                          <w:marTop w:val="60"/>
                          <w:marBottom w:val="60"/>
                          <w:divBdr>
                            <w:top w:val="none" w:sz="0" w:space="0" w:color="auto"/>
                            <w:left w:val="none" w:sz="0" w:space="0" w:color="auto"/>
                            <w:bottom w:val="none" w:sz="0" w:space="0" w:color="auto"/>
                            <w:right w:val="none" w:sz="0" w:space="0" w:color="auto"/>
                          </w:divBdr>
                          <w:divsChild>
                            <w:div w:id="14776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4148">
                  <w:marLeft w:val="240"/>
                  <w:marRight w:val="0"/>
                  <w:marTop w:val="60"/>
                  <w:marBottom w:val="60"/>
                  <w:divBdr>
                    <w:top w:val="none" w:sz="0" w:space="0" w:color="auto"/>
                    <w:left w:val="none" w:sz="0" w:space="0" w:color="auto"/>
                    <w:bottom w:val="none" w:sz="0" w:space="0" w:color="auto"/>
                    <w:right w:val="none" w:sz="0" w:space="0" w:color="auto"/>
                  </w:divBdr>
                  <w:divsChild>
                    <w:div w:id="1230577421">
                      <w:marLeft w:val="240"/>
                      <w:marRight w:val="0"/>
                      <w:marTop w:val="60"/>
                      <w:marBottom w:val="60"/>
                      <w:divBdr>
                        <w:top w:val="none" w:sz="0" w:space="0" w:color="auto"/>
                        <w:left w:val="none" w:sz="0" w:space="0" w:color="auto"/>
                        <w:bottom w:val="none" w:sz="0" w:space="0" w:color="auto"/>
                        <w:right w:val="none" w:sz="0" w:space="0" w:color="auto"/>
                      </w:divBdr>
                      <w:divsChild>
                        <w:div w:id="985815065">
                          <w:marLeft w:val="0"/>
                          <w:marRight w:val="0"/>
                          <w:marTop w:val="0"/>
                          <w:marBottom w:val="0"/>
                          <w:divBdr>
                            <w:top w:val="none" w:sz="0" w:space="0" w:color="auto"/>
                            <w:left w:val="none" w:sz="0" w:space="0" w:color="auto"/>
                            <w:bottom w:val="none" w:sz="0" w:space="0" w:color="auto"/>
                            <w:right w:val="none" w:sz="0" w:space="0" w:color="auto"/>
                          </w:divBdr>
                        </w:div>
                      </w:divsChild>
                    </w:div>
                    <w:div w:id="506748903">
                      <w:marLeft w:val="240"/>
                      <w:marRight w:val="0"/>
                      <w:marTop w:val="60"/>
                      <w:marBottom w:val="60"/>
                      <w:divBdr>
                        <w:top w:val="none" w:sz="0" w:space="0" w:color="auto"/>
                        <w:left w:val="none" w:sz="0" w:space="0" w:color="auto"/>
                        <w:bottom w:val="none" w:sz="0" w:space="0" w:color="auto"/>
                        <w:right w:val="none" w:sz="0" w:space="0" w:color="auto"/>
                      </w:divBdr>
                      <w:divsChild>
                        <w:div w:id="13046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8491">
                  <w:marLeft w:val="240"/>
                  <w:marRight w:val="0"/>
                  <w:marTop w:val="60"/>
                  <w:marBottom w:val="60"/>
                  <w:divBdr>
                    <w:top w:val="none" w:sz="0" w:space="0" w:color="auto"/>
                    <w:left w:val="none" w:sz="0" w:space="0" w:color="auto"/>
                    <w:bottom w:val="none" w:sz="0" w:space="0" w:color="auto"/>
                    <w:right w:val="none" w:sz="0" w:space="0" w:color="auto"/>
                  </w:divBdr>
                  <w:divsChild>
                    <w:div w:id="319776397">
                      <w:marLeft w:val="240"/>
                      <w:marRight w:val="0"/>
                      <w:marTop w:val="60"/>
                      <w:marBottom w:val="60"/>
                      <w:divBdr>
                        <w:top w:val="none" w:sz="0" w:space="0" w:color="auto"/>
                        <w:left w:val="none" w:sz="0" w:space="0" w:color="auto"/>
                        <w:bottom w:val="none" w:sz="0" w:space="0" w:color="auto"/>
                        <w:right w:val="none" w:sz="0" w:space="0" w:color="auto"/>
                      </w:divBdr>
                      <w:divsChild>
                        <w:div w:id="938372264">
                          <w:marLeft w:val="0"/>
                          <w:marRight w:val="0"/>
                          <w:marTop w:val="0"/>
                          <w:marBottom w:val="0"/>
                          <w:divBdr>
                            <w:top w:val="none" w:sz="0" w:space="0" w:color="auto"/>
                            <w:left w:val="none" w:sz="0" w:space="0" w:color="auto"/>
                            <w:bottom w:val="none" w:sz="0" w:space="0" w:color="auto"/>
                            <w:right w:val="none" w:sz="0" w:space="0" w:color="auto"/>
                          </w:divBdr>
                        </w:div>
                      </w:divsChild>
                    </w:div>
                    <w:div w:id="1999383783">
                      <w:marLeft w:val="240"/>
                      <w:marRight w:val="0"/>
                      <w:marTop w:val="60"/>
                      <w:marBottom w:val="60"/>
                      <w:divBdr>
                        <w:top w:val="none" w:sz="0" w:space="0" w:color="auto"/>
                        <w:left w:val="none" w:sz="0" w:space="0" w:color="auto"/>
                        <w:bottom w:val="none" w:sz="0" w:space="0" w:color="auto"/>
                        <w:right w:val="none" w:sz="0" w:space="0" w:color="auto"/>
                      </w:divBdr>
                      <w:divsChild>
                        <w:div w:id="495267472">
                          <w:marLeft w:val="240"/>
                          <w:marRight w:val="0"/>
                          <w:marTop w:val="60"/>
                          <w:marBottom w:val="60"/>
                          <w:divBdr>
                            <w:top w:val="none" w:sz="0" w:space="0" w:color="auto"/>
                            <w:left w:val="none" w:sz="0" w:space="0" w:color="auto"/>
                            <w:bottom w:val="none" w:sz="0" w:space="0" w:color="auto"/>
                            <w:right w:val="none" w:sz="0" w:space="0" w:color="auto"/>
                          </w:divBdr>
                          <w:divsChild>
                            <w:div w:id="1635677046">
                              <w:marLeft w:val="0"/>
                              <w:marRight w:val="0"/>
                              <w:marTop w:val="0"/>
                              <w:marBottom w:val="0"/>
                              <w:divBdr>
                                <w:top w:val="none" w:sz="0" w:space="0" w:color="auto"/>
                                <w:left w:val="none" w:sz="0" w:space="0" w:color="auto"/>
                                <w:bottom w:val="none" w:sz="0" w:space="0" w:color="auto"/>
                                <w:right w:val="none" w:sz="0" w:space="0" w:color="auto"/>
                              </w:divBdr>
                            </w:div>
                          </w:divsChild>
                        </w:div>
                        <w:div w:id="20906007">
                          <w:marLeft w:val="240"/>
                          <w:marRight w:val="0"/>
                          <w:marTop w:val="60"/>
                          <w:marBottom w:val="60"/>
                          <w:divBdr>
                            <w:top w:val="none" w:sz="0" w:space="0" w:color="auto"/>
                            <w:left w:val="none" w:sz="0" w:space="0" w:color="auto"/>
                            <w:bottom w:val="none" w:sz="0" w:space="0" w:color="auto"/>
                            <w:right w:val="none" w:sz="0" w:space="0" w:color="auto"/>
                          </w:divBdr>
                          <w:divsChild>
                            <w:div w:id="14807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2471">
                  <w:marLeft w:val="240"/>
                  <w:marRight w:val="0"/>
                  <w:marTop w:val="60"/>
                  <w:marBottom w:val="60"/>
                  <w:divBdr>
                    <w:top w:val="none" w:sz="0" w:space="0" w:color="auto"/>
                    <w:left w:val="none" w:sz="0" w:space="0" w:color="auto"/>
                    <w:bottom w:val="none" w:sz="0" w:space="0" w:color="auto"/>
                    <w:right w:val="none" w:sz="0" w:space="0" w:color="auto"/>
                  </w:divBdr>
                  <w:divsChild>
                    <w:div w:id="926841818">
                      <w:marLeft w:val="0"/>
                      <w:marRight w:val="0"/>
                      <w:marTop w:val="0"/>
                      <w:marBottom w:val="0"/>
                      <w:divBdr>
                        <w:top w:val="none" w:sz="0" w:space="0" w:color="auto"/>
                        <w:left w:val="none" w:sz="0" w:space="0" w:color="auto"/>
                        <w:bottom w:val="none" w:sz="0" w:space="0" w:color="auto"/>
                        <w:right w:val="none" w:sz="0" w:space="0" w:color="auto"/>
                      </w:divBdr>
                    </w:div>
                  </w:divsChild>
                </w:div>
                <w:div w:id="1014302092">
                  <w:marLeft w:val="240"/>
                  <w:marRight w:val="0"/>
                  <w:marTop w:val="60"/>
                  <w:marBottom w:val="60"/>
                  <w:divBdr>
                    <w:top w:val="none" w:sz="0" w:space="0" w:color="auto"/>
                    <w:left w:val="none" w:sz="0" w:space="0" w:color="auto"/>
                    <w:bottom w:val="none" w:sz="0" w:space="0" w:color="auto"/>
                    <w:right w:val="none" w:sz="0" w:space="0" w:color="auto"/>
                  </w:divBdr>
                  <w:divsChild>
                    <w:div w:id="1167138384">
                      <w:marLeft w:val="240"/>
                      <w:marRight w:val="0"/>
                      <w:marTop w:val="60"/>
                      <w:marBottom w:val="60"/>
                      <w:divBdr>
                        <w:top w:val="none" w:sz="0" w:space="0" w:color="auto"/>
                        <w:left w:val="none" w:sz="0" w:space="0" w:color="auto"/>
                        <w:bottom w:val="none" w:sz="0" w:space="0" w:color="auto"/>
                        <w:right w:val="none" w:sz="0" w:space="0" w:color="auto"/>
                      </w:divBdr>
                      <w:divsChild>
                        <w:div w:id="1597322239">
                          <w:marLeft w:val="0"/>
                          <w:marRight w:val="0"/>
                          <w:marTop w:val="0"/>
                          <w:marBottom w:val="0"/>
                          <w:divBdr>
                            <w:top w:val="none" w:sz="0" w:space="0" w:color="auto"/>
                            <w:left w:val="none" w:sz="0" w:space="0" w:color="auto"/>
                            <w:bottom w:val="none" w:sz="0" w:space="0" w:color="auto"/>
                            <w:right w:val="none" w:sz="0" w:space="0" w:color="auto"/>
                          </w:divBdr>
                        </w:div>
                      </w:divsChild>
                    </w:div>
                    <w:div w:id="791941813">
                      <w:marLeft w:val="240"/>
                      <w:marRight w:val="0"/>
                      <w:marTop w:val="60"/>
                      <w:marBottom w:val="60"/>
                      <w:divBdr>
                        <w:top w:val="none" w:sz="0" w:space="0" w:color="auto"/>
                        <w:left w:val="none" w:sz="0" w:space="0" w:color="auto"/>
                        <w:bottom w:val="none" w:sz="0" w:space="0" w:color="auto"/>
                        <w:right w:val="none" w:sz="0" w:space="0" w:color="auto"/>
                      </w:divBdr>
                      <w:divsChild>
                        <w:div w:id="1024281188">
                          <w:marLeft w:val="240"/>
                          <w:marRight w:val="0"/>
                          <w:marTop w:val="60"/>
                          <w:marBottom w:val="60"/>
                          <w:divBdr>
                            <w:top w:val="none" w:sz="0" w:space="0" w:color="auto"/>
                            <w:left w:val="none" w:sz="0" w:space="0" w:color="auto"/>
                            <w:bottom w:val="none" w:sz="0" w:space="0" w:color="auto"/>
                            <w:right w:val="none" w:sz="0" w:space="0" w:color="auto"/>
                          </w:divBdr>
                          <w:divsChild>
                            <w:div w:id="1944680738">
                              <w:marLeft w:val="0"/>
                              <w:marRight w:val="0"/>
                              <w:marTop w:val="0"/>
                              <w:marBottom w:val="0"/>
                              <w:divBdr>
                                <w:top w:val="none" w:sz="0" w:space="0" w:color="auto"/>
                                <w:left w:val="none" w:sz="0" w:space="0" w:color="auto"/>
                                <w:bottom w:val="none" w:sz="0" w:space="0" w:color="auto"/>
                                <w:right w:val="none" w:sz="0" w:space="0" w:color="auto"/>
                              </w:divBdr>
                            </w:div>
                          </w:divsChild>
                        </w:div>
                        <w:div w:id="2102294097">
                          <w:marLeft w:val="240"/>
                          <w:marRight w:val="0"/>
                          <w:marTop w:val="60"/>
                          <w:marBottom w:val="60"/>
                          <w:divBdr>
                            <w:top w:val="none" w:sz="0" w:space="0" w:color="auto"/>
                            <w:left w:val="none" w:sz="0" w:space="0" w:color="auto"/>
                            <w:bottom w:val="none" w:sz="0" w:space="0" w:color="auto"/>
                            <w:right w:val="none" w:sz="0" w:space="0" w:color="auto"/>
                          </w:divBdr>
                          <w:divsChild>
                            <w:div w:id="1265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21649">
                  <w:marLeft w:val="240"/>
                  <w:marRight w:val="0"/>
                  <w:marTop w:val="60"/>
                  <w:marBottom w:val="60"/>
                  <w:divBdr>
                    <w:top w:val="none" w:sz="0" w:space="0" w:color="auto"/>
                    <w:left w:val="none" w:sz="0" w:space="0" w:color="auto"/>
                    <w:bottom w:val="none" w:sz="0" w:space="0" w:color="auto"/>
                    <w:right w:val="none" w:sz="0" w:space="0" w:color="auto"/>
                  </w:divBdr>
                  <w:divsChild>
                    <w:div w:id="16945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2299">
              <w:marLeft w:val="240"/>
              <w:marRight w:val="0"/>
              <w:marTop w:val="60"/>
              <w:marBottom w:val="60"/>
              <w:divBdr>
                <w:top w:val="none" w:sz="0" w:space="0" w:color="auto"/>
                <w:left w:val="none" w:sz="0" w:space="0" w:color="auto"/>
                <w:bottom w:val="none" w:sz="0" w:space="0" w:color="auto"/>
                <w:right w:val="none" w:sz="0" w:space="0" w:color="auto"/>
              </w:divBdr>
              <w:divsChild>
                <w:div w:id="1719665178">
                  <w:marLeft w:val="0"/>
                  <w:marRight w:val="0"/>
                  <w:marTop w:val="0"/>
                  <w:marBottom w:val="0"/>
                  <w:divBdr>
                    <w:top w:val="none" w:sz="0" w:space="0" w:color="auto"/>
                    <w:left w:val="none" w:sz="0" w:space="0" w:color="auto"/>
                    <w:bottom w:val="none" w:sz="0" w:space="0" w:color="auto"/>
                    <w:right w:val="none" w:sz="0" w:space="0" w:color="auto"/>
                  </w:divBdr>
                </w:div>
              </w:divsChild>
            </w:div>
            <w:div w:id="1648052772">
              <w:marLeft w:val="240"/>
              <w:marRight w:val="0"/>
              <w:marTop w:val="60"/>
              <w:marBottom w:val="60"/>
              <w:divBdr>
                <w:top w:val="none" w:sz="0" w:space="0" w:color="auto"/>
                <w:left w:val="none" w:sz="0" w:space="0" w:color="auto"/>
                <w:bottom w:val="none" w:sz="0" w:space="0" w:color="auto"/>
                <w:right w:val="none" w:sz="0" w:space="0" w:color="auto"/>
              </w:divBdr>
              <w:divsChild>
                <w:div w:id="2067412258">
                  <w:marLeft w:val="240"/>
                  <w:marRight w:val="0"/>
                  <w:marTop w:val="60"/>
                  <w:marBottom w:val="60"/>
                  <w:divBdr>
                    <w:top w:val="none" w:sz="0" w:space="0" w:color="auto"/>
                    <w:left w:val="none" w:sz="0" w:space="0" w:color="auto"/>
                    <w:bottom w:val="none" w:sz="0" w:space="0" w:color="auto"/>
                    <w:right w:val="none" w:sz="0" w:space="0" w:color="auto"/>
                  </w:divBdr>
                  <w:divsChild>
                    <w:div w:id="678578328">
                      <w:marLeft w:val="240"/>
                      <w:marRight w:val="0"/>
                      <w:marTop w:val="60"/>
                      <w:marBottom w:val="60"/>
                      <w:divBdr>
                        <w:top w:val="none" w:sz="0" w:space="0" w:color="auto"/>
                        <w:left w:val="none" w:sz="0" w:space="0" w:color="auto"/>
                        <w:bottom w:val="none" w:sz="0" w:space="0" w:color="auto"/>
                        <w:right w:val="none" w:sz="0" w:space="0" w:color="auto"/>
                      </w:divBdr>
                      <w:divsChild>
                        <w:div w:id="263801852">
                          <w:marLeft w:val="0"/>
                          <w:marRight w:val="0"/>
                          <w:marTop w:val="0"/>
                          <w:marBottom w:val="0"/>
                          <w:divBdr>
                            <w:top w:val="none" w:sz="0" w:space="0" w:color="auto"/>
                            <w:left w:val="none" w:sz="0" w:space="0" w:color="auto"/>
                            <w:bottom w:val="none" w:sz="0" w:space="0" w:color="auto"/>
                            <w:right w:val="none" w:sz="0" w:space="0" w:color="auto"/>
                          </w:divBdr>
                        </w:div>
                      </w:divsChild>
                    </w:div>
                    <w:div w:id="963928417">
                      <w:marLeft w:val="240"/>
                      <w:marRight w:val="0"/>
                      <w:marTop w:val="60"/>
                      <w:marBottom w:val="60"/>
                      <w:divBdr>
                        <w:top w:val="none" w:sz="0" w:space="0" w:color="auto"/>
                        <w:left w:val="none" w:sz="0" w:space="0" w:color="auto"/>
                        <w:bottom w:val="none" w:sz="0" w:space="0" w:color="auto"/>
                        <w:right w:val="none" w:sz="0" w:space="0" w:color="auto"/>
                      </w:divBdr>
                      <w:divsChild>
                        <w:div w:id="2837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5381">
                  <w:marLeft w:val="240"/>
                  <w:marRight w:val="0"/>
                  <w:marTop w:val="60"/>
                  <w:marBottom w:val="60"/>
                  <w:divBdr>
                    <w:top w:val="none" w:sz="0" w:space="0" w:color="auto"/>
                    <w:left w:val="none" w:sz="0" w:space="0" w:color="auto"/>
                    <w:bottom w:val="none" w:sz="0" w:space="0" w:color="auto"/>
                    <w:right w:val="none" w:sz="0" w:space="0" w:color="auto"/>
                  </w:divBdr>
                  <w:divsChild>
                    <w:div w:id="17237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7558">
              <w:marLeft w:val="240"/>
              <w:marRight w:val="0"/>
              <w:marTop w:val="60"/>
              <w:marBottom w:val="60"/>
              <w:divBdr>
                <w:top w:val="none" w:sz="0" w:space="0" w:color="auto"/>
                <w:left w:val="none" w:sz="0" w:space="0" w:color="auto"/>
                <w:bottom w:val="none" w:sz="0" w:space="0" w:color="auto"/>
                <w:right w:val="none" w:sz="0" w:space="0" w:color="auto"/>
              </w:divBdr>
              <w:divsChild>
                <w:div w:id="74671619">
                  <w:marLeft w:val="240"/>
                  <w:marRight w:val="0"/>
                  <w:marTop w:val="60"/>
                  <w:marBottom w:val="60"/>
                  <w:divBdr>
                    <w:top w:val="none" w:sz="0" w:space="0" w:color="auto"/>
                    <w:left w:val="none" w:sz="0" w:space="0" w:color="auto"/>
                    <w:bottom w:val="none" w:sz="0" w:space="0" w:color="auto"/>
                    <w:right w:val="none" w:sz="0" w:space="0" w:color="auto"/>
                  </w:divBdr>
                  <w:divsChild>
                    <w:div w:id="120346615">
                      <w:marLeft w:val="240"/>
                      <w:marRight w:val="0"/>
                      <w:marTop w:val="60"/>
                      <w:marBottom w:val="60"/>
                      <w:divBdr>
                        <w:top w:val="none" w:sz="0" w:space="0" w:color="auto"/>
                        <w:left w:val="none" w:sz="0" w:space="0" w:color="auto"/>
                        <w:bottom w:val="none" w:sz="0" w:space="0" w:color="auto"/>
                        <w:right w:val="none" w:sz="0" w:space="0" w:color="auto"/>
                      </w:divBdr>
                      <w:divsChild>
                        <w:div w:id="1745298394">
                          <w:marLeft w:val="0"/>
                          <w:marRight w:val="0"/>
                          <w:marTop w:val="0"/>
                          <w:marBottom w:val="0"/>
                          <w:divBdr>
                            <w:top w:val="none" w:sz="0" w:space="0" w:color="auto"/>
                            <w:left w:val="none" w:sz="0" w:space="0" w:color="auto"/>
                            <w:bottom w:val="none" w:sz="0" w:space="0" w:color="auto"/>
                            <w:right w:val="none" w:sz="0" w:space="0" w:color="auto"/>
                          </w:divBdr>
                        </w:div>
                      </w:divsChild>
                    </w:div>
                    <w:div w:id="972103752">
                      <w:marLeft w:val="240"/>
                      <w:marRight w:val="0"/>
                      <w:marTop w:val="60"/>
                      <w:marBottom w:val="60"/>
                      <w:divBdr>
                        <w:top w:val="none" w:sz="0" w:space="0" w:color="auto"/>
                        <w:left w:val="none" w:sz="0" w:space="0" w:color="auto"/>
                        <w:bottom w:val="none" w:sz="0" w:space="0" w:color="auto"/>
                        <w:right w:val="none" w:sz="0" w:space="0" w:color="auto"/>
                      </w:divBdr>
                      <w:divsChild>
                        <w:div w:id="7713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924221">
                  <w:marLeft w:val="240"/>
                  <w:marRight w:val="0"/>
                  <w:marTop w:val="60"/>
                  <w:marBottom w:val="60"/>
                  <w:divBdr>
                    <w:top w:val="none" w:sz="0" w:space="0" w:color="auto"/>
                    <w:left w:val="none" w:sz="0" w:space="0" w:color="auto"/>
                    <w:bottom w:val="none" w:sz="0" w:space="0" w:color="auto"/>
                    <w:right w:val="none" w:sz="0" w:space="0" w:color="auto"/>
                  </w:divBdr>
                  <w:divsChild>
                    <w:div w:id="1051420617">
                      <w:marLeft w:val="240"/>
                      <w:marRight w:val="0"/>
                      <w:marTop w:val="60"/>
                      <w:marBottom w:val="60"/>
                      <w:divBdr>
                        <w:top w:val="none" w:sz="0" w:space="0" w:color="auto"/>
                        <w:left w:val="none" w:sz="0" w:space="0" w:color="auto"/>
                        <w:bottom w:val="none" w:sz="0" w:space="0" w:color="auto"/>
                        <w:right w:val="none" w:sz="0" w:space="0" w:color="auto"/>
                      </w:divBdr>
                      <w:divsChild>
                        <w:div w:id="782916656">
                          <w:marLeft w:val="0"/>
                          <w:marRight w:val="0"/>
                          <w:marTop w:val="0"/>
                          <w:marBottom w:val="0"/>
                          <w:divBdr>
                            <w:top w:val="none" w:sz="0" w:space="0" w:color="auto"/>
                            <w:left w:val="none" w:sz="0" w:space="0" w:color="auto"/>
                            <w:bottom w:val="none" w:sz="0" w:space="0" w:color="auto"/>
                            <w:right w:val="none" w:sz="0" w:space="0" w:color="auto"/>
                          </w:divBdr>
                        </w:div>
                      </w:divsChild>
                    </w:div>
                    <w:div w:id="2063479448">
                      <w:marLeft w:val="240"/>
                      <w:marRight w:val="0"/>
                      <w:marTop w:val="60"/>
                      <w:marBottom w:val="60"/>
                      <w:divBdr>
                        <w:top w:val="none" w:sz="0" w:space="0" w:color="auto"/>
                        <w:left w:val="none" w:sz="0" w:space="0" w:color="auto"/>
                        <w:bottom w:val="none" w:sz="0" w:space="0" w:color="auto"/>
                        <w:right w:val="none" w:sz="0" w:space="0" w:color="auto"/>
                      </w:divBdr>
                      <w:divsChild>
                        <w:div w:id="686978146">
                          <w:marLeft w:val="0"/>
                          <w:marRight w:val="0"/>
                          <w:marTop w:val="0"/>
                          <w:marBottom w:val="0"/>
                          <w:divBdr>
                            <w:top w:val="none" w:sz="0" w:space="0" w:color="auto"/>
                            <w:left w:val="none" w:sz="0" w:space="0" w:color="auto"/>
                            <w:bottom w:val="none" w:sz="0" w:space="0" w:color="auto"/>
                            <w:right w:val="none" w:sz="0" w:space="0" w:color="auto"/>
                          </w:divBdr>
                        </w:div>
                      </w:divsChild>
                    </w:div>
                    <w:div w:id="13370">
                      <w:marLeft w:val="240"/>
                      <w:marRight w:val="0"/>
                      <w:marTop w:val="60"/>
                      <w:marBottom w:val="60"/>
                      <w:divBdr>
                        <w:top w:val="none" w:sz="0" w:space="0" w:color="auto"/>
                        <w:left w:val="none" w:sz="0" w:space="0" w:color="auto"/>
                        <w:bottom w:val="none" w:sz="0" w:space="0" w:color="auto"/>
                        <w:right w:val="none" w:sz="0" w:space="0" w:color="auto"/>
                      </w:divBdr>
                      <w:divsChild>
                        <w:div w:id="2362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88214">
              <w:marLeft w:val="240"/>
              <w:marRight w:val="0"/>
              <w:marTop w:val="60"/>
              <w:marBottom w:val="60"/>
              <w:divBdr>
                <w:top w:val="none" w:sz="0" w:space="0" w:color="auto"/>
                <w:left w:val="none" w:sz="0" w:space="0" w:color="auto"/>
                <w:bottom w:val="none" w:sz="0" w:space="0" w:color="auto"/>
                <w:right w:val="none" w:sz="0" w:space="0" w:color="auto"/>
              </w:divBdr>
              <w:divsChild>
                <w:div w:id="1231890155">
                  <w:marLeft w:val="240"/>
                  <w:marRight w:val="0"/>
                  <w:marTop w:val="60"/>
                  <w:marBottom w:val="60"/>
                  <w:divBdr>
                    <w:top w:val="none" w:sz="0" w:space="0" w:color="auto"/>
                    <w:left w:val="none" w:sz="0" w:space="0" w:color="auto"/>
                    <w:bottom w:val="none" w:sz="0" w:space="0" w:color="auto"/>
                    <w:right w:val="none" w:sz="0" w:space="0" w:color="auto"/>
                  </w:divBdr>
                  <w:divsChild>
                    <w:div w:id="638417380">
                      <w:marLeft w:val="0"/>
                      <w:marRight w:val="0"/>
                      <w:marTop w:val="0"/>
                      <w:marBottom w:val="0"/>
                      <w:divBdr>
                        <w:top w:val="none" w:sz="0" w:space="0" w:color="auto"/>
                        <w:left w:val="none" w:sz="0" w:space="0" w:color="auto"/>
                        <w:bottom w:val="none" w:sz="0" w:space="0" w:color="auto"/>
                        <w:right w:val="none" w:sz="0" w:space="0" w:color="auto"/>
                      </w:divBdr>
                    </w:div>
                  </w:divsChild>
                </w:div>
                <w:div w:id="1220239339">
                  <w:marLeft w:val="240"/>
                  <w:marRight w:val="0"/>
                  <w:marTop w:val="60"/>
                  <w:marBottom w:val="60"/>
                  <w:divBdr>
                    <w:top w:val="none" w:sz="0" w:space="0" w:color="auto"/>
                    <w:left w:val="none" w:sz="0" w:space="0" w:color="auto"/>
                    <w:bottom w:val="none" w:sz="0" w:space="0" w:color="auto"/>
                    <w:right w:val="none" w:sz="0" w:space="0" w:color="auto"/>
                  </w:divBdr>
                  <w:divsChild>
                    <w:div w:id="6498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96281">
              <w:marLeft w:val="240"/>
              <w:marRight w:val="0"/>
              <w:marTop w:val="60"/>
              <w:marBottom w:val="60"/>
              <w:divBdr>
                <w:top w:val="none" w:sz="0" w:space="0" w:color="auto"/>
                <w:left w:val="none" w:sz="0" w:space="0" w:color="auto"/>
                <w:bottom w:val="none" w:sz="0" w:space="0" w:color="auto"/>
                <w:right w:val="none" w:sz="0" w:space="0" w:color="auto"/>
              </w:divBdr>
              <w:divsChild>
                <w:div w:id="929004420">
                  <w:marLeft w:val="240"/>
                  <w:marRight w:val="0"/>
                  <w:marTop w:val="60"/>
                  <w:marBottom w:val="60"/>
                  <w:divBdr>
                    <w:top w:val="none" w:sz="0" w:space="0" w:color="auto"/>
                    <w:left w:val="none" w:sz="0" w:space="0" w:color="auto"/>
                    <w:bottom w:val="none" w:sz="0" w:space="0" w:color="auto"/>
                    <w:right w:val="none" w:sz="0" w:space="0" w:color="auto"/>
                  </w:divBdr>
                  <w:divsChild>
                    <w:div w:id="861554372">
                      <w:marLeft w:val="240"/>
                      <w:marRight w:val="0"/>
                      <w:marTop w:val="60"/>
                      <w:marBottom w:val="60"/>
                      <w:divBdr>
                        <w:top w:val="none" w:sz="0" w:space="0" w:color="auto"/>
                        <w:left w:val="none" w:sz="0" w:space="0" w:color="auto"/>
                        <w:bottom w:val="none" w:sz="0" w:space="0" w:color="auto"/>
                        <w:right w:val="none" w:sz="0" w:space="0" w:color="auto"/>
                      </w:divBdr>
                      <w:divsChild>
                        <w:div w:id="536160544">
                          <w:marLeft w:val="0"/>
                          <w:marRight w:val="0"/>
                          <w:marTop w:val="0"/>
                          <w:marBottom w:val="0"/>
                          <w:divBdr>
                            <w:top w:val="none" w:sz="0" w:space="0" w:color="auto"/>
                            <w:left w:val="none" w:sz="0" w:space="0" w:color="auto"/>
                            <w:bottom w:val="none" w:sz="0" w:space="0" w:color="auto"/>
                            <w:right w:val="none" w:sz="0" w:space="0" w:color="auto"/>
                          </w:divBdr>
                        </w:div>
                      </w:divsChild>
                    </w:div>
                    <w:div w:id="1600678631">
                      <w:marLeft w:val="240"/>
                      <w:marRight w:val="0"/>
                      <w:marTop w:val="60"/>
                      <w:marBottom w:val="60"/>
                      <w:divBdr>
                        <w:top w:val="none" w:sz="0" w:space="0" w:color="auto"/>
                        <w:left w:val="none" w:sz="0" w:space="0" w:color="auto"/>
                        <w:bottom w:val="none" w:sz="0" w:space="0" w:color="auto"/>
                        <w:right w:val="none" w:sz="0" w:space="0" w:color="auto"/>
                      </w:divBdr>
                      <w:divsChild>
                        <w:div w:id="2051302624">
                          <w:marLeft w:val="240"/>
                          <w:marRight w:val="0"/>
                          <w:marTop w:val="60"/>
                          <w:marBottom w:val="60"/>
                          <w:divBdr>
                            <w:top w:val="none" w:sz="0" w:space="0" w:color="auto"/>
                            <w:left w:val="none" w:sz="0" w:space="0" w:color="auto"/>
                            <w:bottom w:val="none" w:sz="0" w:space="0" w:color="auto"/>
                            <w:right w:val="none" w:sz="0" w:space="0" w:color="auto"/>
                          </w:divBdr>
                          <w:divsChild>
                            <w:div w:id="1562523525">
                              <w:marLeft w:val="0"/>
                              <w:marRight w:val="0"/>
                              <w:marTop w:val="0"/>
                              <w:marBottom w:val="0"/>
                              <w:divBdr>
                                <w:top w:val="none" w:sz="0" w:space="0" w:color="auto"/>
                                <w:left w:val="none" w:sz="0" w:space="0" w:color="auto"/>
                                <w:bottom w:val="none" w:sz="0" w:space="0" w:color="auto"/>
                                <w:right w:val="none" w:sz="0" w:space="0" w:color="auto"/>
                              </w:divBdr>
                            </w:div>
                          </w:divsChild>
                        </w:div>
                        <w:div w:id="1381319183">
                          <w:marLeft w:val="240"/>
                          <w:marRight w:val="0"/>
                          <w:marTop w:val="60"/>
                          <w:marBottom w:val="60"/>
                          <w:divBdr>
                            <w:top w:val="none" w:sz="0" w:space="0" w:color="auto"/>
                            <w:left w:val="none" w:sz="0" w:space="0" w:color="auto"/>
                            <w:bottom w:val="none" w:sz="0" w:space="0" w:color="auto"/>
                            <w:right w:val="none" w:sz="0" w:space="0" w:color="auto"/>
                          </w:divBdr>
                          <w:divsChild>
                            <w:div w:id="3044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8099">
                  <w:marLeft w:val="240"/>
                  <w:marRight w:val="0"/>
                  <w:marTop w:val="60"/>
                  <w:marBottom w:val="60"/>
                  <w:divBdr>
                    <w:top w:val="none" w:sz="0" w:space="0" w:color="auto"/>
                    <w:left w:val="none" w:sz="0" w:space="0" w:color="auto"/>
                    <w:bottom w:val="none" w:sz="0" w:space="0" w:color="auto"/>
                    <w:right w:val="none" w:sz="0" w:space="0" w:color="auto"/>
                  </w:divBdr>
                  <w:divsChild>
                    <w:div w:id="8891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4957">
              <w:marLeft w:val="240"/>
              <w:marRight w:val="0"/>
              <w:marTop w:val="60"/>
              <w:marBottom w:val="60"/>
              <w:divBdr>
                <w:top w:val="none" w:sz="0" w:space="0" w:color="auto"/>
                <w:left w:val="none" w:sz="0" w:space="0" w:color="auto"/>
                <w:bottom w:val="none" w:sz="0" w:space="0" w:color="auto"/>
                <w:right w:val="none" w:sz="0" w:space="0" w:color="auto"/>
              </w:divBdr>
              <w:divsChild>
                <w:div w:id="1198851374">
                  <w:marLeft w:val="240"/>
                  <w:marRight w:val="0"/>
                  <w:marTop w:val="60"/>
                  <w:marBottom w:val="60"/>
                  <w:divBdr>
                    <w:top w:val="none" w:sz="0" w:space="0" w:color="auto"/>
                    <w:left w:val="none" w:sz="0" w:space="0" w:color="auto"/>
                    <w:bottom w:val="none" w:sz="0" w:space="0" w:color="auto"/>
                    <w:right w:val="none" w:sz="0" w:space="0" w:color="auto"/>
                  </w:divBdr>
                  <w:divsChild>
                    <w:div w:id="1439376058">
                      <w:marLeft w:val="0"/>
                      <w:marRight w:val="0"/>
                      <w:marTop w:val="0"/>
                      <w:marBottom w:val="0"/>
                      <w:divBdr>
                        <w:top w:val="none" w:sz="0" w:space="0" w:color="auto"/>
                        <w:left w:val="none" w:sz="0" w:space="0" w:color="auto"/>
                        <w:bottom w:val="none" w:sz="0" w:space="0" w:color="auto"/>
                        <w:right w:val="none" w:sz="0" w:space="0" w:color="auto"/>
                      </w:divBdr>
                    </w:div>
                  </w:divsChild>
                </w:div>
                <w:div w:id="965160546">
                  <w:marLeft w:val="240"/>
                  <w:marRight w:val="0"/>
                  <w:marTop w:val="60"/>
                  <w:marBottom w:val="60"/>
                  <w:divBdr>
                    <w:top w:val="none" w:sz="0" w:space="0" w:color="auto"/>
                    <w:left w:val="none" w:sz="0" w:space="0" w:color="auto"/>
                    <w:bottom w:val="none" w:sz="0" w:space="0" w:color="auto"/>
                    <w:right w:val="none" w:sz="0" w:space="0" w:color="auto"/>
                  </w:divBdr>
                  <w:divsChild>
                    <w:div w:id="10809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27623">
              <w:marLeft w:val="240"/>
              <w:marRight w:val="0"/>
              <w:marTop w:val="60"/>
              <w:marBottom w:val="60"/>
              <w:divBdr>
                <w:top w:val="none" w:sz="0" w:space="0" w:color="auto"/>
                <w:left w:val="none" w:sz="0" w:space="0" w:color="auto"/>
                <w:bottom w:val="none" w:sz="0" w:space="0" w:color="auto"/>
                <w:right w:val="none" w:sz="0" w:space="0" w:color="auto"/>
              </w:divBdr>
              <w:divsChild>
                <w:div w:id="1782146335">
                  <w:marLeft w:val="0"/>
                  <w:marRight w:val="0"/>
                  <w:marTop w:val="0"/>
                  <w:marBottom w:val="0"/>
                  <w:divBdr>
                    <w:top w:val="none" w:sz="0" w:space="0" w:color="auto"/>
                    <w:left w:val="none" w:sz="0" w:space="0" w:color="auto"/>
                    <w:bottom w:val="none" w:sz="0" w:space="0" w:color="auto"/>
                    <w:right w:val="none" w:sz="0" w:space="0" w:color="auto"/>
                  </w:divBdr>
                </w:div>
              </w:divsChild>
            </w:div>
            <w:div w:id="1208029507">
              <w:marLeft w:val="240"/>
              <w:marRight w:val="0"/>
              <w:marTop w:val="60"/>
              <w:marBottom w:val="60"/>
              <w:divBdr>
                <w:top w:val="none" w:sz="0" w:space="0" w:color="auto"/>
                <w:left w:val="none" w:sz="0" w:space="0" w:color="auto"/>
                <w:bottom w:val="none" w:sz="0" w:space="0" w:color="auto"/>
                <w:right w:val="none" w:sz="0" w:space="0" w:color="auto"/>
              </w:divBdr>
              <w:divsChild>
                <w:div w:id="253173814">
                  <w:marLeft w:val="0"/>
                  <w:marRight w:val="0"/>
                  <w:marTop w:val="0"/>
                  <w:marBottom w:val="0"/>
                  <w:divBdr>
                    <w:top w:val="none" w:sz="0" w:space="0" w:color="auto"/>
                    <w:left w:val="none" w:sz="0" w:space="0" w:color="auto"/>
                    <w:bottom w:val="none" w:sz="0" w:space="0" w:color="auto"/>
                    <w:right w:val="none" w:sz="0" w:space="0" w:color="auto"/>
                  </w:divBdr>
                </w:div>
              </w:divsChild>
            </w:div>
            <w:div w:id="105663069">
              <w:marLeft w:val="240"/>
              <w:marRight w:val="0"/>
              <w:marTop w:val="60"/>
              <w:marBottom w:val="60"/>
              <w:divBdr>
                <w:top w:val="none" w:sz="0" w:space="0" w:color="auto"/>
                <w:left w:val="none" w:sz="0" w:space="0" w:color="auto"/>
                <w:bottom w:val="none" w:sz="0" w:space="0" w:color="auto"/>
                <w:right w:val="none" w:sz="0" w:space="0" w:color="auto"/>
              </w:divBdr>
              <w:divsChild>
                <w:div w:id="787774876">
                  <w:marLeft w:val="240"/>
                  <w:marRight w:val="0"/>
                  <w:marTop w:val="60"/>
                  <w:marBottom w:val="60"/>
                  <w:divBdr>
                    <w:top w:val="none" w:sz="0" w:space="0" w:color="auto"/>
                    <w:left w:val="none" w:sz="0" w:space="0" w:color="auto"/>
                    <w:bottom w:val="none" w:sz="0" w:space="0" w:color="auto"/>
                    <w:right w:val="none" w:sz="0" w:space="0" w:color="auto"/>
                  </w:divBdr>
                  <w:divsChild>
                    <w:div w:id="1004085765">
                      <w:marLeft w:val="0"/>
                      <w:marRight w:val="0"/>
                      <w:marTop w:val="0"/>
                      <w:marBottom w:val="0"/>
                      <w:divBdr>
                        <w:top w:val="none" w:sz="0" w:space="0" w:color="auto"/>
                        <w:left w:val="none" w:sz="0" w:space="0" w:color="auto"/>
                        <w:bottom w:val="none" w:sz="0" w:space="0" w:color="auto"/>
                        <w:right w:val="none" w:sz="0" w:space="0" w:color="auto"/>
                      </w:divBdr>
                    </w:div>
                  </w:divsChild>
                </w:div>
                <w:div w:id="1504776944">
                  <w:marLeft w:val="240"/>
                  <w:marRight w:val="0"/>
                  <w:marTop w:val="60"/>
                  <w:marBottom w:val="60"/>
                  <w:divBdr>
                    <w:top w:val="none" w:sz="0" w:space="0" w:color="auto"/>
                    <w:left w:val="none" w:sz="0" w:space="0" w:color="auto"/>
                    <w:bottom w:val="none" w:sz="0" w:space="0" w:color="auto"/>
                    <w:right w:val="none" w:sz="0" w:space="0" w:color="auto"/>
                  </w:divBdr>
                  <w:divsChild>
                    <w:div w:id="2100826502">
                      <w:marLeft w:val="0"/>
                      <w:marRight w:val="0"/>
                      <w:marTop w:val="0"/>
                      <w:marBottom w:val="0"/>
                      <w:divBdr>
                        <w:top w:val="none" w:sz="0" w:space="0" w:color="auto"/>
                        <w:left w:val="none" w:sz="0" w:space="0" w:color="auto"/>
                        <w:bottom w:val="none" w:sz="0" w:space="0" w:color="auto"/>
                        <w:right w:val="none" w:sz="0" w:space="0" w:color="auto"/>
                      </w:divBdr>
                    </w:div>
                  </w:divsChild>
                </w:div>
                <w:div w:id="791022439">
                  <w:marLeft w:val="240"/>
                  <w:marRight w:val="0"/>
                  <w:marTop w:val="60"/>
                  <w:marBottom w:val="60"/>
                  <w:divBdr>
                    <w:top w:val="none" w:sz="0" w:space="0" w:color="auto"/>
                    <w:left w:val="none" w:sz="0" w:space="0" w:color="auto"/>
                    <w:bottom w:val="none" w:sz="0" w:space="0" w:color="auto"/>
                    <w:right w:val="none" w:sz="0" w:space="0" w:color="auto"/>
                  </w:divBdr>
                  <w:divsChild>
                    <w:div w:id="249239048">
                      <w:marLeft w:val="0"/>
                      <w:marRight w:val="0"/>
                      <w:marTop w:val="0"/>
                      <w:marBottom w:val="0"/>
                      <w:divBdr>
                        <w:top w:val="none" w:sz="0" w:space="0" w:color="auto"/>
                        <w:left w:val="none" w:sz="0" w:space="0" w:color="auto"/>
                        <w:bottom w:val="none" w:sz="0" w:space="0" w:color="auto"/>
                        <w:right w:val="none" w:sz="0" w:space="0" w:color="auto"/>
                      </w:divBdr>
                    </w:div>
                  </w:divsChild>
                </w:div>
                <w:div w:id="1008554602">
                  <w:marLeft w:val="240"/>
                  <w:marRight w:val="0"/>
                  <w:marTop w:val="60"/>
                  <w:marBottom w:val="60"/>
                  <w:divBdr>
                    <w:top w:val="none" w:sz="0" w:space="0" w:color="auto"/>
                    <w:left w:val="none" w:sz="0" w:space="0" w:color="auto"/>
                    <w:bottom w:val="none" w:sz="0" w:space="0" w:color="auto"/>
                    <w:right w:val="none" w:sz="0" w:space="0" w:color="auto"/>
                  </w:divBdr>
                  <w:divsChild>
                    <w:div w:id="74665327">
                      <w:marLeft w:val="0"/>
                      <w:marRight w:val="0"/>
                      <w:marTop w:val="0"/>
                      <w:marBottom w:val="0"/>
                      <w:divBdr>
                        <w:top w:val="none" w:sz="0" w:space="0" w:color="auto"/>
                        <w:left w:val="none" w:sz="0" w:space="0" w:color="auto"/>
                        <w:bottom w:val="none" w:sz="0" w:space="0" w:color="auto"/>
                        <w:right w:val="none" w:sz="0" w:space="0" w:color="auto"/>
                      </w:divBdr>
                    </w:div>
                  </w:divsChild>
                </w:div>
                <w:div w:id="1225217176">
                  <w:marLeft w:val="240"/>
                  <w:marRight w:val="0"/>
                  <w:marTop w:val="60"/>
                  <w:marBottom w:val="60"/>
                  <w:divBdr>
                    <w:top w:val="none" w:sz="0" w:space="0" w:color="auto"/>
                    <w:left w:val="none" w:sz="0" w:space="0" w:color="auto"/>
                    <w:bottom w:val="none" w:sz="0" w:space="0" w:color="auto"/>
                    <w:right w:val="none" w:sz="0" w:space="0" w:color="auto"/>
                  </w:divBdr>
                  <w:divsChild>
                    <w:div w:id="1058089415">
                      <w:marLeft w:val="0"/>
                      <w:marRight w:val="0"/>
                      <w:marTop w:val="0"/>
                      <w:marBottom w:val="0"/>
                      <w:divBdr>
                        <w:top w:val="none" w:sz="0" w:space="0" w:color="auto"/>
                        <w:left w:val="none" w:sz="0" w:space="0" w:color="auto"/>
                        <w:bottom w:val="none" w:sz="0" w:space="0" w:color="auto"/>
                        <w:right w:val="none" w:sz="0" w:space="0" w:color="auto"/>
                      </w:divBdr>
                    </w:div>
                  </w:divsChild>
                </w:div>
                <w:div w:id="788164295">
                  <w:marLeft w:val="240"/>
                  <w:marRight w:val="0"/>
                  <w:marTop w:val="60"/>
                  <w:marBottom w:val="60"/>
                  <w:divBdr>
                    <w:top w:val="none" w:sz="0" w:space="0" w:color="auto"/>
                    <w:left w:val="none" w:sz="0" w:space="0" w:color="auto"/>
                    <w:bottom w:val="none" w:sz="0" w:space="0" w:color="auto"/>
                    <w:right w:val="none" w:sz="0" w:space="0" w:color="auto"/>
                  </w:divBdr>
                  <w:divsChild>
                    <w:div w:id="1916550316">
                      <w:marLeft w:val="0"/>
                      <w:marRight w:val="0"/>
                      <w:marTop w:val="0"/>
                      <w:marBottom w:val="0"/>
                      <w:divBdr>
                        <w:top w:val="none" w:sz="0" w:space="0" w:color="auto"/>
                        <w:left w:val="none" w:sz="0" w:space="0" w:color="auto"/>
                        <w:bottom w:val="none" w:sz="0" w:space="0" w:color="auto"/>
                        <w:right w:val="none" w:sz="0" w:space="0" w:color="auto"/>
                      </w:divBdr>
                    </w:div>
                  </w:divsChild>
                </w:div>
                <w:div w:id="1958372736">
                  <w:marLeft w:val="240"/>
                  <w:marRight w:val="0"/>
                  <w:marTop w:val="60"/>
                  <w:marBottom w:val="60"/>
                  <w:divBdr>
                    <w:top w:val="none" w:sz="0" w:space="0" w:color="auto"/>
                    <w:left w:val="none" w:sz="0" w:space="0" w:color="auto"/>
                    <w:bottom w:val="none" w:sz="0" w:space="0" w:color="auto"/>
                    <w:right w:val="none" w:sz="0" w:space="0" w:color="auto"/>
                  </w:divBdr>
                  <w:divsChild>
                    <w:div w:id="19692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0900">
              <w:marLeft w:val="240"/>
              <w:marRight w:val="0"/>
              <w:marTop w:val="60"/>
              <w:marBottom w:val="60"/>
              <w:divBdr>
                <w:top w:val="none" w:sz="0" w:space="0" w:color="auto"/>
                <w:left w:val="none" w:sz="0" w:space="0" w:color="auto"/>
                <w:bottom w:val="none" w:sz="0" w:space="0" w:color="auto"/>
                <w:right w:val="none" w:sz="0" w:space="0" w:color="auto"/>
              </w:divBdr>
              <w:divsChild>
                <w:div w:id="1223296980">
                  <w:marLeft w:val="240"/>
                  <w:marRight w:val="0"/>
                  <w:marTop w:val="60"/>
                  <w:marBottom w:val="60"/>
                  <w:divBdr>
                    <w:top w:val="none" w:sz="0" w:space="0" w:color="auto"/>
                    <w:left w:val="none" w:sz="0" w:space="0" w:color="auto"/>
                    <w:bottom w:val="none" w:sz="0" w:space="0" w:color="auto"/>
                    <w:right w:val="none" w:sz="0" w:space="0" w:color="auto"/>
                  </w:divBdr>
                  <w:divsChild>
                    <w:div w:id="1960140929">
                      <w:marLeft w:val="0"/>
                      <w:marRight w:val="0"/>
                      <w:marTop w:val="0"/>
                      <w:marBottom w:val="0"/>
                      <w:divBdr>
                        <w:top w:val="none" w:sz="0" w:space="0" w:color="auto"/>
                        <w:left w:val="none" w:sz="0" w:space="0" w:color="auto"/>
                        <w:bottom w:val="none" w:sz="0" w:space="0" w:color="auto"/>
                        <w:right w:val="none" w:sz="0" w:space="0" w:color="auto"/>
                      </w:divBdr>
                    </w:div>
                  </w:divsChild>
                </w:div>
                <w:div w:id="881945711">
                  <w:marLeft w:val="240"/>
                  <w:marRight w:val="0"/>
                  <w:marTop w:val="60"/>
                  <w:marBottom w:val="60"/>
                  <w:divBdr>
                    <w:top w:val="none" w:sz="0" w:space="0" w:color="auto"/>
                    <w:left w:val="none" w:sz="0" w:space="0" w:color="auto"/>
                    <w:bottom w:val="none" w:sz="0" w:space="0" w:color="auto"/>
                    <w:right w:val="none" w:sz="0" w:space="0" w:color="auto"/>
                  </w:divBdr>
                  <w:divsChild>
                    <w:div w:id="862324771">
                      <w:marLeft w:val="240"/>
                      <w:marRight w:val="0"/>
                      <w:marTop w:val="60"/>
                      <w:marBottom w:val="60"/>
                      <w:divBdr>
                        <w:top w:val="none" w:sz="0" w:space="0" w:color="auto"/>
                        <w:left w:val="none" w:sz="0" w:space="0" w:color="auto"/>
                        <w:bottom w:val="none" w:sz="0" w:space="0" w:color="auto"/>
                        <w:right w:val="none" w:sz="0" w:space="0" w:color="auto"/>
                      </w:divBdr>
                      <w:divsChild>
                        <w:div w:id="1665012197">
                          <w:marLeft w:val="240"/>
                          <w:marRight w:val="0"/>
                          <w:marTop w:val="60"/>
                          <w:marBottom w:val="60"/>
                          <w:divBdr>
                            <w:top w:val="none" w:sz="0" w:space="0" w:color="auto"/>
                            <w:left w:val="none" w:sz="0" w:space="0" w:color="auto"/>
                            <w:bottom w:val="none" w:sz="0" w:space="0" w:color="auto"/>
                            <w:right w:val="none" w:sz="0" w:space="0" w:color="auto"/>
                          </w:divBdr>
                          <w:divsChild>
                            <w:div w:id="1646472758">
                              <w:marLeft w:val="0"/>
                              <w:marRight w:val="0"/>
                              <w:marTop w:val="0"/>
                              <w:marBottom w:val="0"/>
                              <w:divBdr>
                                <w:top w:val="none" w:sz="0" w:space="0" w:color="auto"/>
                                <w:left w:val="none" w:sz="0" w:space="0" w:color="auto"/>
                                <w:bottom w:val="none" w:sz="0" w:space="0" w:color="auto"/>
                                <w:right w:val="none" w:sz="0" w:space="0" w:color="auto"/>
                              </w:divBdr>
                            </w:div>
                          </w:divsChild>
                        </w:div>
                        <w:div w:id="1738017277">
                          <w:marLeft w:val="240"/>
                          <w:marRight w:val="0"/>
                          <w:marTop w:val="60"/>
                          <w:marBottom w:val="60"/>
                          <w:divBdr>
                            <w:top w:val="none" w:sz="0" w:space="0" w:color="auto"/>
                            <w:left w:val="none" w:sz="0" w:space="0" w:color="auto"/>
                            <w:bottom w:val="none" w:sz="0" w:space="0" w:color="auto"/>
                            <w:right w:val="none" w:sz="0" w:space="0" w:color="auto"/>
                          </w:divBdr>
                          <w:divsChild>
                            <w:div w:id="1798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53508">
                      <w:marLeft w:val="240"/>
                      <w:marRight w:val="0"/>
                      <w:marTop w:val="60"/>
                      <w:marBottom w:val="60"/>
                      <w:divBdr>
                        <w:top w:val="none" w:sz="0" w:space="0" w:color="auto"/>
                        <w:left w:val="none" w:sz="0" w:space="0" w:color="auto"/>
                        <w:bottom w:val="none" w:sz="0" w:space="0" w:color="auto"/>
                        <w:right w:val="none" w:sz="0" w:space="0" w:color="auto"/>
                      </w:divBdr>
                      <w:divsChild>
                        <w:div w:id="1508598697">
                          <w:marLeft w:val="240"/>
                          <w:marRight w:val="0"/>
                          <w:marTop w:val="60"/>
                          <w:marBottom w:val="60"/>
                          <w:divBdr>
                            <w:top w:val="none" w:sz="0" w:space="0" w:color="auto"/>
                            <w:left w:val="none" w:sz="0" w:space="0" w:color="auto"/>
                            <w:bottom w:val="none" w:sz="0" w:space="0" w:color="auto"/>
                            <w:right w:val="none" w:sz="0" w:space="0" w:color="auto"/>
                          </w:divBdr>
                          <w:divsChild>
                            <w:div w:id="640427947">
                              <w:marLeft w:val="0"/>
                              <w:marRight w:val="0"/>
                              <w:marTop w:val="0"/>
                              <w:marBottom w:val="0"/>
                              <w:divBdr>
                                <w:top w:val="none" w:sz="0" w:space="0" w:color="auto"/>
                                <w:left w:val="none" w:sz="0" w:space="0" w:color="auto"/>
                                <w:bottom w:val="none" w:sz="0" w:space="0" w:color="auto"/>
                                <w:right w:val="none" w:sz="0" w:space="0" w:color="auto"/>
                              </w:divBdr>
                            </w:div>
                          </w:divsChild>
                        </w:div>
                        <w:div w:id="469708845">
                          <w:marLeft w:val="240"/>
                          <w:marRight w:val="0"/>
                          <w:marTop w:val="60"/>
                          <w:marBottom w:val="60"/>
                          <w:divBdr>
                            <w:top w:val="none" w:sz="0" w:space="0" w:color="auto"/>
                            <w:left w:val="none" w:sz="0" w:space="0" w:color="auto"/>
                            <w:bottom w:val="none" w:sz="0" w:space="0" w:color="auto"/>
                            <w:right w:val="none" w:sz="0" w:space="0" w:color="auto"/>
                          </w:divBdr>
                          <w:divsChild>
                            <w:div w:id="2007589328">
                              <w:marLeft w:val="0"/>
                              <w:marRight w:val="0"/>
                              <w:marTop w:val="0"/>
                              <w:marBottom w:val="0"/>
                              <w:divBdr>
                                <w:top w:val="none" w:sz="0" w:space="0" w:color="auto"/>
                                <w:left w:val="none" w:sz="0" w:space="0" w:color="auto"/>
                                <w:bottom w:val="none" w:sz="0" w:space="0" w:color="auto"/>
                                <w:right w:val="none" w:sz="0" w:space="0" w:color="auto"/>
                              </w:divBdr>
                            </w:div>
                          </w:divsChild>
                        </w:div>
                        <w:div w:id="276564149">
                          <w:marLeft w:val="240"/>
                          <w:marRight w:val="0"/>
                          <w:marTop w:val="60"/>
                          <w:marBottom w:val="60"/>
                          <w:divBdr>
                            <w:top w:val="none" w:sz="0" w:space="0" w:color="auto"/>
                            <w:left w:val="none" w:sz="0" w:space="0" w:color="auto"/>
                            <w:bottom w:val="none" w:sz="0" w:space="0" w:color="auto"/>
                            <w:right w:val="none" w:sz="0" w:space="0" w:color="auto"/>
                          </w:divBdr>
                          <w:divsChild>
                            <w:div w:id="10726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62657">
                      <w:marLeft w:val="240"/>
                      <w:marRight w:val="0"/>
                      <w:marTop w:val="60"/>
                      <w:marBottom w:val="60"/>
                      <w:divBdr>
                        <w:top w:val="none" w:sz="0" w:space="0" w:color="auto"/>
                        <w:left w:val="none" w:sz="0" w:space="0" w:color="auto"/>
                        <w:bottom w:val="none" w:sz="0" w:space="0" w:color="auto"/>
                        <w:right w:val="none" w:sz="0" w:space="0" w:color="auto"/>
                      </w:divBdr>
                      <w:divsChild>
                        <w:div w:id="2093617726">
                          <w:marLeft w:val="240"/>
                          <w:marRight w:val="0"/>
                          <w:marTop w:val="60"/>
                          <w:marBottom w:val="60"/>
                          <w:divBdr>
                            <w:top w:val="none" w:sz="0" w:space="0" w:color="auto"/>
                            <w:left w:val="none" w:sz="0" w:space="0" w:color="auto"/>
                            <w:bottom w:val="none" w:sz="0" w:space="0" w:color="auto"/>
                            <w:right w:val="none" w:sz="0" w:space="0" w:color="auto"/>
                          </w:divBdr>
                          <w:divsChild>
                            <w:div w:id="793182681">
                              <w:marLeft w:val="0"/>
                              <w:marRight w:val="0"/>
                              <w:marTop w:val="0"/>
                              <w:marBottom w:val="0"/>
                              <w:divBdr>
                                <w:top w:val="none" w:sz="0" w:space="0" w:color="auto"/>
                                <w:left w:val="none" w:sz="0" w:space="0" w:color="auto"/>
                                <w:bottom w:val="none" w:sz="0" w:space="0" w:color="auto"/>
                                <w:right w:val="none" w:sz="0" w:space="0" w:color="auto"/>
                              </w:divBdr>
                            </w:div>
                          </w:divsChild>
                        </w:div>
                        <w:div w:id="930627298">
                          <w:marLeft w:val="240"/>
                          <w:marRight w:val="0"/>
                          <w:marTop w:val="60"/>
                          <w:marBottom w:val="60"/>
                          <w:divBdr>
                            <w:top w:val="none" w:sz="0" w:space="0" w:color="auto"/>
                            <w:left w:val="none" w:sz="0" w:space="0" w:color="auto"/>
                            <w:bottom w:val="none" w:sz="0" w:space="0" w:color="auto"/>
                            <w:right w:val="none" w:sz="0" w:space="0" w:color="auto"/>
                          </w:divBdr>
                          <w:divsChild>
                            <w:div w:id="16052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1635">
                  <w:marLeft w:val="240"/>
                  <w:marRight w:val="0"/>
                  <w:marTop w:val="60"/>
                  <w:marBottom w:val="60"/>
                  <w:divBdr>
                    <w:top w:val="none" w:sz="0" w:space="0" w:color="auto"/>
                    <w:left w:val="none" w:sz="0" w:space="0" w:color="auto"/>
                    <w:bottom w:val="none" w:sz="0" w:space="0" w:color="auto"/>
                    <w:right w:val="none" w:sz="0" w:space="0" w:color="auto"/>
                  </w:divBdr>
                  <w:divsChild>
                    <w:div w:id="238292150">
                      <w:marLeft w:val="240"/>
                      <w:marRight w:val="0"/>
                      <w:marTop w:val="60"/>
                      <w:marBottom w:val="60"/>
                      <w:divBdr>
                        <w:top w:val="none" w:sz="0" w:space="0" w:color="auto"/>
                        <w:left w:val="none" w:sz="0" w:space="0" w:color="auto"/>
                        <w:bottom w:val="none" w:sz="0" w:space="0" w:color="auto"/>
                        <w:right w:val="none" w:sz="0" w:space="0" w:color="auto"/>
                      </w:divBdr>
                      <w:divsChild>
                        <w:div w:id="1076706864">
                          <w:marLeft w:val="240"/>
                          <w:marRight w:val="0"/>
                          <w:marTop w:val="60"/>
                          <w:marBottom w:val="60"/>
                          <w:divBdr>
                            <w:top w:val="none" w:sz="0" w:space="0" w:color="auto"/>
                            <w:left w:val="none" w:sz="0" w:space="0" w:color="auto"/>
                            <w:bottom w:val="none" w:sz="0" w:space="0" w:color="auto"/>
                            <w:right w:val="none" w:sz="0" w:space="0" w:color="auto"/>
                          </w:divBdr>
                          <w:divsChild>
                            <w:div w:id="277759930">
                              <w:marLeft w:val="0"/>
                              <w:marRight w:val="0"/>
                              <w:marTop w:val="0"/>
                              <w:marBottom w:val="0"/>
                              <w:divBdr>
                                <w:top w:val="none" w:sz="0" w:space="0" w:color="auto"/>
                                <w:left w:val="none" w:sz="0" w:space="0" w:color="auto"/>
                                <w:bottom w:val="none" w:sz="0" w:space="0" w:color="auto"/>
                                <w:right w:val="none" w:sz="0" w:space="0" w:color="auto"/>
                              </w:divBdr>
                            </w:div>
                          </w:divsChild>
                        </w:div>
                        <w:div w:id="183712749">
                          <w:marLeft w:val="240"/>
                          <w:marRight w:val="0"/>
                          <w:marTop w:val="60"/>
                          <w:marBottom w:val="60"/>
                          <w:divBdr>
                            <w:top w:val="none" w:sz="0" w:space="0" w:color="auto"/>
                            <w:left w:val="none" w:sz="0" w:space="0" w:color="auto"/>
                            <w:bottom w:val="none" w:sz="0" w:space="0" w:color="auto"/>
                            <w:right w:val="none" w:sz="0" w:space="0" w:color="auto"/>
                          </w:divBdr>
                          <w:divsChild>
                            <w:div w:id="16221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4117">
                      <w:marLeft w:val="240"/>
                      <w:marRight w:val="0"/>
                      <w:marTop w:val="60"/>
                      <w:marBottom w:val="60"/>
                      <w:divBdr>
                        <w:top w:val="none" w:sz="0" w:space="0" w:color="auto"/>
                        <w:left w:val="none" w:sz="0" w:space="0" w:color="auto"/>
                        <w:bottom w:val="none" w:sz="0" w:space="0" w:color="auto"/>
                        <w:right w:val="none" w:sz="0" w:space="0" w:color="auto"/>
                      </w:divBdr>
                      <w:divsChild>
                        <w:div w:id="588273680">
                          <w:marLeft w:val="0"/>
                          <w:marRight w:val="0"/>
                          <w:marTop w:val="0"/>
                          <w:marBottom w:val="0"/>
                          <w:divBdr>
                            <w:top w:val="none" w:sz="0" w:space="0" w:color="auto"/>
                            <w:left w:val="none" w:sz="0" w:space="0" w:color="auto"/>
                            <w:bottom w:val="none" w:sz="0" w:space="0" w:color="auto"/>
                            <w:right w:val="none" w:sz="0" w:space="0" w:color="auto"/>
                          </w:divBdr>
                        </w:div>
                      </w:divsChild>
                    </w:div>
                    <w:div w:id="1784811749">
                      <w:marLeft w:val="240"/>
                      <w:marRight w:val="0"/>
                      <w:marTop w:val="60"/>
                      <w:marBottom w:val="60"/>
                      <w:divBdr>
                        <w:top w:val="none" w:sz="0" w:space="0" w:color="auto"/>
                        <w:left w:val="none" w:sz="0" w:space="0" w:color="auto"/>
                        <w:bottom w:val="none" w:sz="0" w:space="0" w:color="auto"/>
                        <w:right w:val="none" w:sz="0" w:space="0" w:color="auto"/>
                      </w:divBdr>
                      <w:divsChild>
                        <w:div w:id="882323764">
                          <w:marLeft w:val="240"/>
                          <w:marRight w:val="0"/>
                          <w:marTop w:val="60"/>
                          <w:marBottom w:val="60"/>
                          <w:divBdr>
                            <w:top w:val="none" w:sz="0" w:space="0" w:color="auto"/>
                            <w:left w:val="none" w:sz="0" w:space="0" w:color="auto"/>
                            <w:bottom w:val="none" w:sz="0" w:space="0" w:color="auto"/>
                            <w:right w:val="none" w:sz="0" w:space="0" w:color="auto"/>
                          </w:divBdr>
                          <w:divsChild>
                            <w:div w:id="1068503112">
                              <w:marLeft w:val="0"/>
                              <w:marRight w:val="0"/>
                              <w:marTop w:val="0"/>
                              <w:marBottom w:val="0"/>
                              <w:divBdr>
                                <w:top w:val="none" w:sz="0" w:space="0" w:color="auto"/>
                                <w:left w:val="none" w:sz="0" w:space="0" w:color="auto"/>
                                <w:bottom w:val="none" w:sz="0" w:space="0" w:color="auto"/>
                                <w:right w:val="none" w:sz="0" w:space="0" w:color="auto"/>
                              </w:divBdr>
                            </w:div>
                          </w:divsChild>
                        </w:div>
                        <w:div w:id="1092242547">
                          <w:marLeft w:val="240"/>
                          <w:marRight w:val="0"/>
                          <w:marTop w:val="60"/>
                          <w:marBottom w:val="60"/>
                          <w:divBdr>
                            <w:top w:val="none" w:sz="0" w:space="0" w:color="auto"/>
                            <w:left w:val="none" w:sz="0" w:space="0" w:color="auto"/>
                            <w:bottom w:val="none" w:sz="0" w:space="0" w:color="auto"/>
                            <w:right w:val="none" w:sz="0" w:space="0" w:color="auto"/>
                          </w:divBdr>
                          <w:divsChild>
                            <w:div w:id="9620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61697">
                      <w:marLeft w:val="240"/>
                      <w:marRight w:val="0"/>
                      <w:marTop w:val="60"/>
                      <w:marBottom w:val="60"/>
                      <w:divBdr>
                        <w:top w:val="none" w:sz="0" w:space="0" w:color="auto"/>
                        <w:left w:val="none" w:sz="0" w:space="0" w:color="auto"/>
                        <w:bottom w:val="none" w:sz="0" w:space="0" w:color="auto"/>
                        <w:right w:val="none" w:sz="0" w:space="0" w:color="auto"/>
                      </w:divBdr>
                      <w:divsChild>
                        <w:div w:id="10231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9185">
                  <w:marLeft w:val="240"/>
                  <w:marRight w:val="0"/>
                  <w:marTop w:val="60"/>
                  <w:marBottom w:val="60"/>
                  <w:divBdr>
                    <w:top w:val="none" w:sz="0" w:space="0" w:color="auto"/>
                    <w:left w:val="none" w:sz="0" w:space="0" w:color="auto"/>
                    <w:bottom w:val="none" w:sz="0" w:space="0" w:color="auto"/>
                    <w:right w:val="none" w:sz="0" w:space="0" w:color="auto"/>
                  </w:divBdr>
                  <w:divsChild>
                    <w:div w:id="787817527">
                      <w:marLeft w:val="240"/>
                      <w:marRight w:val="0"/>
                      <w:marTop w:val="60"/>
                      <w:marBottom w:val="60"/>
                      <w:divBdr>
                        <w:top w:val="none" w:sz="0" w:space="0" w:color="auto"/>
                        <w:left w:val="none" w:sz="0" w:space="0" w:color="auto"/>
                        <w:bottom w:val="none" w:sz="0" w:space="0" w:color="auto"/>
                        <w:right w:val="none" w:sz="0" w:space="0" w:color="auto"/>
                      </w:divBdr>
                      <w:divsChild>
                        <w:div w:id="728848034">
                          <w:marLeft w:val="0"/>
                          <w:marRight w:val="0"/>
                          <w:marTop w:val="0"/>
                          <w:marBottom w:val="0"/>
                          <w:divBdr>
                            <w:top w:val="none" w:sz="0" w:space="0" w:color="auto"/>
                            <w:left w:val="none" w:sz="0" w:space="0" w:color="auto"/>
                            <w:bottom w:val="none" w:sz="0" w:space="0" w:color="auto"/>
                            <w:right w:val="none" w:sz="0" w:space="0" w:color="auto"/>
                          </w:divBdr>
                        </w:div>
                      </w:divsChild>
                    </w:div>
                    <w:div w:id="97721895">
                      <w:marLeft w:val="240"/>
                      <w:marRight w:val="0"/>
                      <w:marTop w:val="60"/>
                      <w:marBottom w:val="60"/>
                      <w:divBdr>
                        <w:top w:val="none" w:sz="0" w:space="0" w:color="auto"/>
                        <w:left w:val="none" w:sz="0" w:space="0" w:color="auto"/>
                        <w:bottom w:val="none" w:sz="0" w:space="0" w:color="auto"/>
                        <w:right w:val="none" w:sz="0" w:space="0" w:color="auto"/>
                      </w:divBdr>
                      <w:divsChild>
                        <w:div w:id="1819497371">
                          <w:marLeft w:val="0"/>
                          <w:marRight w:val="0"/>
                          <w:marTop w:val="0"/>
                          <w:marBottom w:val="0"/>
                          <w:divBdr>
                            <w:top w:val="none" w:sz="0" w:space="0" w:color="auto"/>
                            <w:left w:val="none" w:sz="0" w:space="0" w:color="auto"/>
                            <w:bottom w:val="none" w:sz="0" w:space="0" w:color="auto"/>
                            <w:right w:val="none" w:sz="0" w:space="0" w:color="auto"/>
                          </w:divBdr>
                        </w:div>
                      </w:divsChild>
                    </w:div>
                    <w:div w:id="1037393507">
                      <w:marLeft w:val="240"/>
                      <w:marRight w:val="0"/>
                      <w:marTop w:val="60"/>
                      <w:marBottom w:val="60"/>
                      <w:divBdr>
                        <w:top w:val="none" w:sz="0" w:space="0" w:color="auto"/>
                        <w:left w:val="none" w:sz="0" w:space="0" w:color="auto"/>
                        <w:bottom w:val="none" w:sz="0" w:space="0" w:color="auto"/>
                        <w:right w:val="none" w:sz="0" w:space="0" w:color="auto"/>
                      </w:divBdr>
                      <w:divsChild>
                        <w:div w:id="12723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5104">
          <w:marLeft w:val="240"/>
          <w:marRight w:val="0"/>
          <w:marTop w:val="60"/>
          <w:marBottom w:val="60"/>
          <w:divBdr>
            <w:top w:val="none" w:sz="0" w:space="0" w:color="auto"/>
            <w:left w:val="none" w:sz="0" w:space="0" w:color="auto"/>
            <w:bottom w:val="none" w:sz="0" w:space="0" w:color="auto"/>
            <w:right w:val="none" w:sz="0" w:space="0" w:color="auto"/>
          </w:divBdr>
          <w:divsChild>
            <w:div w:id="1689520549">
              <w:marLeft w:val="240"/>
              <w:marRight w:val="0"/>
              <w:marTop w:val="60"/>
              <w:marBottom w:val="60"/>
              <w:divBdr>
                <w:top w:val="none" w:sz="0" w:space="0" w:color="auto"/>
                <w:left w:val="none" w:sz="0" w:space="0" w:color="auto"/>
                <w:bottom w:val="none" w:sz="0" w:space="0" w:color="auto"/>
                <w:right w:val="none" w:sz="0" w:space="0" w:color="auto"/>
              </w:divBdr>
              <w:divsChild>
                <w:div w:id="146476013">
                  <w:marLeft w:val="240"/>
                  <w:marRight w:val="0"/>
                  <w:marTop w:val="60"/>
                  <w:marBottom w:val="60"/>
                  <w:divBdr>
                    <w:top w:val="none" w:sz="0" w:space="0" w:color="auto"/>
                    <w:left w:val="none" w:sz="0" w:space="0" w:color="auto"/>
                    <w:bottom w:val="none" w:sz="0" w:space="0" w:color="auto"/>
                    <w:right w:val="none" w:sz="0" w:space="0" w:color="auto"/>
                  </w:divBdr>
                  <w:divsChild>
                    <w:div w:id="848102806">
                      <w:marLeft w:val="240"/>
                      <w:marRight w:val="0"/>
                      <w:marTop w:val="60"/>
                      <w:marBottom w:val="60"/>
                      <w:divBdr>
                        <w:top w:val="none" w:sz="0" w:space="0" w:color="auto"/>
                        <w:left w:val="none" w:sz="0" w:space="0" w:color="auto"/>
                        <w:bottom w:val="none" w:sz="0" w:space="0" w:color="auto"/>
                        <w:right w:val="none" w:sz="0" w:space="0" w:color="auto"/>
                      </w:divBdr>
                      <w:divsChild>
                        <w:div w:id="2116705484">
                          <w:marLeft w:val="0"/>
                          <w:marRight w:val="0"/>
                          <w:marTop w:val="0"/>
                          <w:marBottom w:val="0"/>
                          <w:divBdr>
                            <w:top w:val="none" w:sz="0" w:space="0" w:color="auto"/>
                            <w:left w:val="none" w:sz="0" w:space="0" w:color="auto"/>
                            <w:bottom w:val="none" w:sz="0" w:space="0" w:color="auto"/>
                            <w:right w:val="none" w:sz="0" w:space="0" w:color="auto"/>
                          </w:divBdr>
                        </w:div>
                      </w:divsChild>
                    </w:div>
                    <w:div w:id="414405107">
                      <w:marLeft w:val="240"/>
                      <w:marRight w:val="0"/>
                      <w:marTop w:val="60"/>
                      <w:marBottom w:val="60"/>
                      <w:divBdr>
                        <w:top w:val="none" w:sz="0" w:space="0" w:color="auto"/>
                        <w:left w:val="none" w:sz="0" w:space="0" w:color="auto"/>
                        <w:bottom w:val="none" w:sz="0" w:space="0" w:color="auto"/>
                        <w:right w:val="none" w:sz="0" w:space="0" w:color="auto"/>
                      </w:divBdr>
                      <w:divsChild>
                        <w:div w:id="12277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7830">
                  <w:marLeft w:val="240"/>
                  <w:marRight w:val="0"/>
                  <w:marTop w:val="60"/>
                  <w:marBottom w:val="60"/>
                  <w:divBdr>
                    <w:top w:val="none" w:sz="0" w:space="0" w:color="auto"/>
                    <w:left w:val="none" w:sz="0" w:space="0" w:color="auto"/>
                    <w:bottom w:val="none" w:sz="0" w:space="0" w:color="auto"/>
                    <w:right w:val="none" w:sz="0" w:space="0" w:color="auto"/>
                  </w:divBdr>
                  <w:divsChild>
                    <w:div w:id="183439693">
                      <w:marLeft w:val="240"/>
                      <w:marRight w:val="0"/>
                      <w:marTop w:val="60"/>
                      <w:marBottom w:val="60"/>
                      <w:divBdr>
                        <w:top w:val="none" w:sz="0" w:space="0" w:color="auto"/>
                        <w:left w:val="none" w:sz="0" w:space="0" w:color="auto"/>
                        <w:bottom w:val="none" w:sz="0" w:space="0" w:color="auto"/>
                        <w:right w:val="none" w:sz="0" w:space="0" w:color="auto"/>
                      </w:divBdr>
                      <w:divsChild>
                        <w:div w:id="2104566883">
                          <w:marLeft w:val="0"/>
                          <w:marRight w:val="0"/>
                          <w:marTop w:val="0"/>
                          <w:marBottom w:val="0"/>
                          <w:divBdr>
                            <w:top w:val="none" w:sz="0" w:space="0" w:color="auto"/>
                            <w:left w:val="none" w:sz="0" w:space="0" w:color="auto"/>
                            <w:bottom w:val="none" w:sz="0" w:space="0" w:color="auto"/>
                            <w:right w:val="none" w:sz="0" w:space="0" w:color="auto"/>
                          </w:divBdr>
                        </w:div>
                      </w:divsChild>
                    </w:div>
                    <w:div w:id="853879513">
                      <w:marLeft w:val="240"/>
                      <w:marRight w:val="0"/>
                      <w:marTop w:val="60"/>
                      <w:marBottom w:val="60"/>
                      <w:divBdr>
                        <w:top w:val="none" w:sz="0" w:space="0" w:color="auto"/>
                        <w:left w:val="none" w:sz="0" w:space="0" w:color="auto"/>
                        <w:bottom w:val="none" w:sz="0" w:space="0" w:color="auto"/>
                        <w:right w:val="none" w:sz="0" w:space="0" w:color="auto"/>
                      </w:divBdr>
                      <w:divsChild>
                        <w:div w:id="1424911459">
                          <w:marLeft w:val="0"/>
                          <w:marRight w:val="0"/>
                          <w:marTop w:val="0"/>
                          <w:marBottom w:val="0"/>
                          <w:divBdr>
                            <w:top w:val="none" w:sz="0" w:space="0" w:color="auto"/>
                            <w:left w:val="none" w:sz="0" w:space="0" w:color="auto"/>
                            <w:bottom w:val="none" w:sz="0" w:space="0" w:color="auto"/>
                            <w:right w:val="none" w:sz="0" w:space="0" w:color="auto"/>
                          </w:divBdr>
                        </w:div>
                      </w:divsChild>
                    </w:div>
                    <w:div w:id="1567648960">
                      <w:marLeft w:val="240"/>
                      <w:marRight w:val="0"/>
                      <w:marTop w:val="60"/>
                      <w:marBottom w:val="60"/>
                      <w:divBdr>
                        <w:top w:val="none" w:sz="0" w:space="0" w:color="auto"/>
                        <w:left w:val="none" w:sz="0" w:space="0" w:color="auto"/>
                        <w:bottom w:val="none" w:sz="0" w:space="0" w:color="auto"/>
                        <w:right w:val="none" w:sz="0" w:space="0" w:color="auto"/>
                      </w:divBdr>
                      <w:divsChild>
                        <w:div w:id="16827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7259">
                  <w:marLeft w:val="240"/>
                  <w:marRight w:val="0"/>
                  <w:marTop w:val="60"/>
                  <w:marBottom w:val="60"/>
                  <w:divBdr>
                    <w:top w:val="none" w:sz="0" w:space="0" w:color="auto"/>
                    <w:left w:val="none" w:sz="0" w:space="0" w:color="auto"/>
                    <w:bottom w:val="none" w:sz="0" w:space="0" w:color="auto"/>
                    <w:right w:val="none" w:sz="0" w:space="0" w:color="auto"/>
                  </w:divBdr>
                  <w:divsChild>
                    <w:div w:id="2136439628">
                      <w:marLeft w:val="240"/>
                      <w:marRight w:val="0"/>
                      <w:marTop w:val="60"/>
                      <w:marBottom w:val="60"/>
                      <w:divBdr>
                        <w:top w:val="none" w:sz="0" w:space="0" w:color="auto"/>
                        <w:left w:val="none" w:sz="0" w:space="0" w:color="auto"/>
                        <w:bottom w:val="none" w:sz="0" w:space="0" w:color="auto"/>
                        <w:right w:val="none" w:sz="0" w:space="0" w:color="auto"/>
                      </w:divBdr>
                      <w:divsChild>
                        <w:div w:id="1782217249">
                          <w:marLeft w:val="0"/>
                          <w:marRight w:val="0"/>
                          <w:marTop w:val="0"/>
                          <w:marBottom w:val="0"/>
                          <w:divBdr>
                            <w:top w:val="none" w:sz="0" w:space="0" w:color="auto"/>
                            <w:left w:val="none" w:sz="0" w:space="0" w:color="auto"/>
                            <w:bottom w:val="none" w:sz="0" w:space="0" w:color="auto"/>
                            <w:right w:val="none" w:sz="0" w:space="0" w:color="auto"/>
                          </w:divBdr>
                        </w:div>
                      </w:divsChild>
                    </w:div>
                    <w:div w:id="1331443021">
                      <w:marLeft w:val="240"/>
                      <w:marRight w:val="0"/>
                      <w:marTop w:val="60"/>
                      <w:marBottom w:val="60"/>
                      <w:divBdr>
                        <w:top w:val="none" w:sz="0" w:space="0" w:color="auto"/>
                        <w:left w:val="none" w:sz="0" w:space="0" w:color="auto"/>
                        <w:bottom w:val="none" w:sz="0" w:space="0" w:color="auto"/>
                        <w:right w:val="none" w:sz="0" w:space="0" w:color="auto"/>
                      </w:divBdr>
                      <w:divsChild>
                        <w:div w:id="1351106977">
                          <w:marLeft w:val="0"/>
                          <w:marRight w:val="0"/>
                          <w:marTop w:val="0"/>
                          <w:marBottom w:val="0"/>
                          <w:divBdr>
                            <w:top w:val="none" w:sz="0" w:space="0" w:color="auto"/>
                            <w:left w:val="none" w:sz="0" w:space="0" w:color="auto"/>
                            <w:bottom w:val="none" w:sz="0" w:space="0" w:color="auto"/>
                            <w:right w:val="none" w:sz="0" w:space="0" w:color="auto"/>
                          </w:divBdr>
                        </w:div>
                      </w:divsChild>
                    </w:div>
                    <w:div w:id="1701860742">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 w:id="724068942">
              <w:marLeft w:val="240"/>
              <w:marRight w:val="0"/>
              <w:marTop w:val="60"/>
              <w:marBottom w:val="60"/>
              <w:divBdr>
                <w:top w:val="none" w:sz="0" w:space="0" w:color="auto"/>
                <w:left w:val="none" w:sz="0" w:space="0" w:color="auto"/>
                <w:bottom w:val="none" w:sz="0" w:space="0" w:color="auto"/>
                <w:right w:val="none" w:sz="0" w:space="0" w:color="auto"/>
              </w:divBdr>
              <w:divsChild>
                <w:div w:id="1974552758">
                  <w:marLeft w:val="240"/>
                  <w:marRight w:val="0"/>
                  <w:marTop w:val="60"/>
                  <w:marBottom w:val="60"/>
                  <w:divBdr>
                    <w:top w:val="none" w:sz="0" w:space="0" w:color="auto"/>
                    <w:left w:val="none" w:sz="0" w:space="0" w:color="auto"/>
                    <w:bottom w:val="none" w:sz="0" w:space="0" w:color="auto"/>
                    <w:right w:val="none" w:sz="0" w:space="0" w:color="auto"/>
                  </w:divBdr>
                  <w:divsChild>
                    <w:div w:id="186600359">
                      <w:marLeft w:val="0"/>
                      <w:marRight w:val="0"/>
                      <w:marTop w:val="0"/>
                      <w:marBottom w:val="0"/>
                      <w:divBdr>
                        <w:top w:val="none" w:sz="0" w:space="0" w:color="auto"/>
                        <w:left w:val="none" w:sz="0" w:space="0" w:color="auto"/>
                        <w:bottom w:val="none" w:sz="0" w:space="0" w:color="auto"/>
                        <w:right w:val="none" w:sz="0" w:space="0" w:color="auto"/>
                      </w:divBdr>
                    </w:div>
                  </w:divsChild>
                </w:div>
                <w:div w:id="70279754">
                  <w:marLeft w:val="240"/>
                  <w:marRight w:val="0"/>
                  <w:marTop w:val="60"/>
                  <w:marBottom w:val="60"/>
                  <w:divBdr>
                    <w:top w:val="none" w:sz="0" w:space="0" w:color="auto"/>
                    <w:left w:val="none" w:sz="0" w:space="0" w:color="auto"/>
                    <w:bottom w:val="none" w:sz="0" w:space="0" w:color="auto"/>
                    <w:right w:val="none" w:sz="0" w:space="0" w:color="auto"/>
                  </w:divBdr>
                  <w:divsChild>
                    <w:div w:id="406810742">
                      <w:marLeft w:val="0"/>
                      <w:marRight w:val="0"/>
                      <w:marTop w:val="0"/>
                      <w:marBottom w:val="0"/>
                      <w:divBdr>
                        <w:top w:val="none" w:sz="0" w:space="0" w:color="auto"/>
                        <w:left w:val="none" w:sz="0" w:space="0" w:color="auto"/>
                        <w:bottom w:val="none" w:sz="0" w:space="0" w:color="auto"/>
                        <w:right w:val="none" w:sz="0" w:space="0" w:color="auto"/>
                      </w:divBdr>
                    </w:div>
                  </w:divsChild>
                </w:div>
                <w:div w:id="54865851">
                  <w:marLeft w:val="240"/>
                  <w:marRight w:val="0"/>
                  <w:marTop w:val="60"/>
                  <w:marBottom w:val="60"/>
                  <w:divBdr>
                    <w:top w:val="none" w:sz="0" w:space="0" w:color="auto"/>
                    <w:left w:val="none" w:sz="0" w:space="0" w:color="auto"/>
                    <w:bottom w:val="none" w:sz="0" w:space="0" w:color="auto"/>
                    <w:right w:val="none" w:sz="0" w:space="0" w:color="auto"/>
                  </w:divBdr>
                  <w:divsChild>
                    <w:div w:id="14030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440">
              <w:marLeft w:val="240"/>
              <w:marRight w:val="0"/>
              <w:marTop w:val="60"/>
              <w:marBottom w:val="60"/>
              <w:divBdr>
                <w:top w:val="none" w:sz="0" w:space="0" w:color="auto"/>
                <w:left w:val="none" w:sz="0" w:space="0" w:color="auto"/>
                <w:bottom w:val="none" w:sz="0" w:space="0" w:color="auto"/>
                <w:right w:val="none" w:sz="0" w:space="0" w:color="auto"/>
              </w:divBdr>
              <w:divsChild>
                <w:div w:id="808284021">
                  <w:marLeft w:val="240"/>
                  <w:marRight w:val="0"/>
                  <w:marTop w:val="60"/>
                  <w:marBottom w:val="60"/>
                  <w:divBdr>
                    <w:top w:val="none" w:sz="0" w:space="0" w:color="auto"/>
                    <w:left w:val="none" w:sz="0" w:space="0" w:color="auto"/>
                    <w:bottom w:val="none" w:sz="0" w:space="0" w:color="auto"/>
                    <w:right w:val="none" w:sz="0" w:space="0" w:color="auto"/>
                  </w:divBdr>
                  <w:divsChild>
                    <w:div w:id="1223128796">
                      <w:marLeft w:val="240"/>
                      <w:marRight w:val="0"/>
                      <w:marTop w:val="60"/>
                      <w:marBottom w:val="60"/>
                      <w:divBdr>
                        <w:top w:val="none" w:sz="0" w:space="0" w:color="auto"/>
                        <w:left w:val="none" w:sz="0" w:space="0" w:color="auto"/>
                        <w:bottom w:val="none" w:sz="0" w:space="0" w:color="auto"/>
                        <w:right w:val="none" w:sz="0" w:space="0" w:color="auto"/>
                      </w:divBdr>
                      <w:divsChild>
                        <w:div w:id="2044092191">
                          <w:marLeft w:val="240"/>
                          <w:marRight w:val="0"/>
                          <w:marTop w:val="60"/>
                          <w:marBottom w:val="60"/>
                          <w:divBdr>
                            <w:top w:val="none" w:sz="0" w:space="0" w:color="auto"/>
                            <w:left w:val="none" w:sz="0" w:space="0" w:color="auto"/>
                            <w:bottom w:val="none" w:sz="0" w:space="0" w:color="auto"/>
                            <w:right w:val="none" w:sz="0" w:space="0" w:color="auto"/>
                          </w:divBdr>
                          <w:divsChild>
                            <w:div w:id="1678000900">
                              <w:marLeft w:val="0"/>
                              <w:marRight w:val="0"/>
                              <w:marTop w:val="0"/>
                              <w:marBottom w:val="0"/>
                              <w:divBdr>
                                <w:top w:val="none" w:sz="0" w:space="0" w:color="auto"/>
                                <w:left w:val="none" w:sz="0" w:space="0" w:color="auto"/>
                                <w:bottom w:val="none" w:sz="0" w:space="0" w:color="auto"/>
                                <w:right w:val="none" w:sz="0" w:space="0" w:color="auto"/>
                              </w:divBdr>
                            </w:div>
                          </w:divsChild>
                        </w:div>
                        <w:div w:id="823005861">
                          <w:marLeft w:val="240"/>
                          <w:marRight w:val="0"/>
                          <w:marTop w:val="60"/>
                          <w:marBottom w:val="60"/>
                          <w:divBdr>
                            <w:top w:val="none" w:sz="0" w:space="0" w:color="auto"/>
                            <w:left w:val="none" w:sz="0" w:space="0" w:color="auto"/>
                            <w:bottom w:val="none" w:sz="0" w:space="0" w:color="auto"/>
                            <w:right w:val="none" w:sz="0" w:space="0" w:color="auto"/>
                          </w:divBdr>
                          <w:divsChild>
                            <w:div w:id="14706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01313">
                      <w:marLeft w:val="240"/>
                      <w:marRight w:val="0"/>
                      <w:marTop w:val="60"/>
                      <w:marBottom w:val="60"/>
                      <w:divBdr>
                        <w:top w:val="none" w:sz="0" w:space="0" w:color="auto"/>
                        <w:left w:val="none" w:sz="0" w:space="0" w:color="auto"/>
                        <w:bottom w:val="none" w:sz="0" w:space="0" w:color="auto"/>
                        <w:right w:val="none" w:sz="0" w:space="0" w:color="auto"/>
                      </w:divBdr>
                      <w:divsChild>
                        <w:div w:id="19799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430">
                  <w:marLeft w:val="240"/>
                  <w:marRight w:val="0"/>
                  <w:marTop w:val="60"/>
                  <w:marBottom w:val="60"/>
                  <w:divBdr>
                    <w:top w:val="none" w:sz="0" w:space="0" w:color="auto"/>
                    <w:left w:val="none" w:sz="0" w:space="0" w:color="auto"/>
                    <w:bottom w:val="none" w:sz="0" w:space="0" w:color="auto"/>
                    <w:right w:val="none" w:sz="0" w:space="0" w:color="auto"/>
                  </w:divBdr>
                  <w:divsChild>
                    <w:div w:id="466626719">
                      <w:marLeft w:val="240"/>
                      <w:marRight w:val="0"/>
                      <w:marTop w:val="60"/>
                      <w:marBottom w:val="60"/>
                      <w:divBdr>
                        <w:top w:val="none" w:sz="0" w:space="0" w:color="auto"/>
                        <w:left w:val="none" w:sz="0" w:space="0" w:color="auto"/>
                        <w:bottom w:val="none" w:sz="0" w:space="0" w:color="auto"/>
                        <w:right w:val="none" w:sz="0" w:space="0" w:color="auto"/>
                      </w:divBdr>
                      <w:divsChild>
                        <w:div w:id="2025204179">
                          <w:marLeft w:val="0"/>
                          <w:marRight w:val="0"/>
                          <w:marTop w:val="0"/>
                          <w:marBottom w:val="0"/>
                          <w:divBdr>
                            <w:top w:val="none" w:sz="0" w:space="0" w:color="auto"/>
                            <w:left w:val="none" w:sz="0" w:space="0" w:color="auto"/>
                            <w:bottom w:val="none" w:sz="0" w:space="0" w:color="auto"/>
                            <w:right w:val="none" w:sz="0" w:space="0" w:color="auto"/>
                          </w:divBdr>
                        </w:div>
                      </w:divsChild>
                    </w:div>
                    <w:div w:id="831212613">
                      <w:marLeft w:val="240"/>
                      <w:marRight w:val="0"/>
                      <w:marTop w:val="60"/>
                      <w:marBottom w:val="60"/>
                      <w:divBdr>
                        <w:top w:val="none" w:sz="0" w:space="0" w:color="auto"/>
                        <w:left w:val="none" w:sz="0" w:space="0" w:color="auto"/>
                        <w:bottom w:val="none" w:sz="0" w:space="0" w:color="auto"/>
                        <w:right w:val="none" w:sz="0" w:space="0" w:color="auto"/>
                      </w:divBdr>
                      <w:divsChild>
                        <w:div w:id="3018260">
                          <w:marLeft w:val="0"/>
                          <w:marRight w:val="0"/>
                          <w:marTop w:val="0"/>
                          <w:marBottom w:val="0"/>
                          <w:divBdr>
                            <w:top w:val="none" w:sz="0" w:space="0" w:color="auto"/>
                            <w:left w:val="none" w:sz="0" w:space="0" w:color="auto"/>
                            <w:bottom w:val="none" w:sz="0" w:space="0" w:color="auto"/>
                            <w:right w:val="none" w:sz="0" w:space="0" w:color="auto"/>
                          </w:divBdr>
                        </w:div>
                      </w:divsChild>
                    </w:div>
                    <w:div w:id="1231618525">
                      <w:marLeft w:val="240"/>
                      <w:marRight w:val="0"/>
                      <w:marTop w:val="60"/>
                      <w:marBottom w:val="60"/>
                      <w:divBdr>
                        <w:top w:val="none" w:sz="0" w:space="0" w:color="auto"/>
                        <w:left w:val="none" w:sz="0" w:space="0" w:color="auto"/>
                        <w:bottom w:val="none" w:sz="0" w:space="0" w:color="auto"/>
                        <w:right w:val="none" w:sz="0" w:space="0" w:color="auto"/>
                      </w:divBdr>
                      <w:divsChild>
                        <w:div w:id="75368123">
                          <w:marLeft w:val="0"/>
                          <w:marRight w:val="0"/>
                          <w:marTop w:val="0"/>
                          <w:marBottom w:val="0"/>
                          <w:divBdr>
                            <w:top w:val="none" w:sz="0" w:space="0" w:color="auto"/>
                            <w:left w:val="none" w:sz="0" w:space="0" w:color="auto"/>
                            <w:bottom w:val="none" w:sz="0" w:space="0" w:color="auto"/>
                            <w:right w:val="none" w:sz="0" w:space="0" w:color="auto"/>
                          </w:divBdr>
                        </w:div>
                      </w:divsChild>
                    </w:div>
                    <w:div w:id="1641838461">
                      <w:marLeft w:val="240"/>
                      <w:marRight w:val="0"/>
                      <w:marTop w:val="60"/>
                      <w:marBottom w:val="60"/>
                      <w:divBdr>
                        <w:top w:val="none" w:sz="0" w:space="0" w:color="auto"/>
                        <w:left w:val="none" w:sz="0" w:space="0" w:color="auto"/>
                        <w:bottom w:val="none" w:sz="0" w:space="0" w:color="auto"/>
                        <w:right w:val="none" w:sz="0" w:space="0" w:color="auto"/>
                      </w:divBdr>
                      <w:divsChild>
                        <w:div w:id="19033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46476">
                  <w:marLeft w:val="240"/>
                  <w:marRight w:val="0"/>
                  <w:marTop w:val="60"/>
                  <w:marBottom w:val="60"/>
                  <w:divBdr>
                    <w:top w:val="none" w:sz="0" w:space="0" w:color="auto"/>
                    <w:left w:val="none" w:sz="0" w:space="0" w:color="auto"/>
                    <w:bottom w:val="none" w:sz="0" w:space="0" w:color="auto"/>
                    <w:right w:val="none" w:sz="0" w:space="0" w:color="auto"/>
                  </w:divBdr>
                  <w:divsChild>
                    <w:div w:id="18051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3756">
              <w:marLeft w:val="240"/>
              <w:marRight w:val="0"/>
              <w:marTop w:val="60"/>
              <w:marBottom w:val="60"/>
              <w:divBdr>
                <w:top w:val="none" w:sz="0" w:space="0" w:color="auto"/>
                <w:left w:val="none" w:sz="0" w:space="0" w:color="auto"/>
                <w:bottom w:val="none" w:sz="0" w:space="0" w:color="auto"/>
                <w:right w:val="none" w:sz="0" w:space="0" w:color="auto"/>
              </w:divBdr>
              <w:divsChild>
                <w:div w:id="14862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0761">
          <w:marLeft w:val="240"/>
          <w:marRight w:val="0"/>
          <w:marTop w:val="60"/>
          <w:marBottom w:val="60"/>
          <w:divBdr>
            <w:top w:val="none" w:sz="0" w:space="0" w:color="auto"/>
            <w:left w:val="none" w:sz="0" w:space="0" w:color="auto"/>
            <w:bottom w:val="none" w:sz="0" w:space="0" w:color="auto"/>
            <w:right w:val="none" w:sz="0" w:space="0" w:color="auto"/>
          </w:divBdr>
          <w:divsChild>
            <w:div w:id="1601835566">
              <w:marLeft w:val="240"/>
              <w:marRight w:val="0"/>
              <w:marTop w:val="60"/>
              <w:marBottom w:val="60"/>
              <w:divBdr>
                <w:top w:val="none" w:sz="0" w:space="0" w:color="auto"/>
                <w:left w:val="none" w:sz="0" w:space="0" w:color="auto"/>
                <w:bottom w:val="none" w:sz="0" w:space="0" w:color="auto"/>
                <w:right w:val="none" w:sz="0" w:space="0" w:color="auto"/>
              </w:divBdr>
              <w:divsChild>
                <w:div w:id="1501652216">
                  <w:marLeft w:val="240"/>
                  <w:marRight w:val="0"/>
                  <w:marTop w:val="60"/>
                  <w:marBottom w:val="60"/>
                  <w:divBdr>
                    <w:top w:val="none" w:sz="0" w:space="0" w:color="auto"/>
                    <w:left w:val="none" w:sz="0" w:space="0" w:color="auto"/>
                    <w:bottom w:val="none" w:sz="0" w:space="0" w:color="auto"/>
                    <w:right w:val="none" w:sz="0" w:space="0" w:color="auto"/>
                  </w:divBdr>
                  <w:divsChild>
                    <w:div w:id="24603294">
                      <w:marLeft w:val="0"/>
                      <w:marRight w:val="0"/>
                      <w:marTop w:val="0"/>
                      <w:marBottom w:val="0"/>
                      <w:divBdr>
                        <w:top w:val="none" w:sz="0" w:space="0" w:color="auto"/>
                        <w:left w:val="none" w:sz="0" w:space="0" w:color="auto"/>
                        <w:bottom w:val="none" w:sz="0" w:space="0" w:color="auto"/>
                        <w:right w:val="none" w:sz="0" w:space="0" w:color="auto"/>
                      </w:divBdr>
                    </w:div>
                  </w:divsChild>
                </w:div>
                <w:div w:id="180316797">
                  <w:marLeft w:val="240"/>
                  <w:marRight w:val="0"/>
                  <w:marTop w:val="60"/>
                  <w:marBottom w:val="60"/>
                  <w:divBdr>
                    <w:top w:val="none" w:sz="0" w:space="0" w:color="auto"/>
                    <w:left w:val="none" w:sz="0" w:space="0" w:color="auto"/>
                    <w:bottom w:val="none" w:sz="0" w:space="0" w:color="auto"/>
                    <w:right w:val="none" w:sz="0" w:space="0" w:color="auto"/>
                  </w:divBdr>
                  <w:divsChild>
                    <w:div w:id="7304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46672">
              <w:marLeft w:val="240"/>
              <w:marRight w:val="0"/>
              <w:marTop w:val="60"/>
              <w:marBottom w:val="60"/>
              <w:divBdr>
                <w:top w:val="none" w:sz="0" w:space="0" w:color="auto"/>
                <w:left w:val="none" w:sz="0" w:space="0" w:color="auto"/>
                <w:bottom w:val="none" w:sz="0" w:space="0" w:color="auto"/>
                <w:right w:val="none" w:sz="0" w:space="0" w:color="auto"/>
              </w:divBdr>
              <w:divsChild>
                <w:div w:id="519978416">
                  <w:marLeft w:val="240"/>
                  <w:marRight w:val="0"/>
                  <w:marTop w:val="60"/>
                  <w:marBottom w:val="60"/>
                  <w:divBdr>
                    <w:top w:val="none" w:sz="0" w:space="0" w:color="auto"/>
                    <w:left w:val="none" w:sz="0" w:space="0" w:color="auto"/>
                    <w:bottom w:val="none" w:sz="0" w:space="0" w:color="auto"/>
                    <w:right w:val="none" w:sz="0" w:space="0" w:color="auto"/>
                  </w:divBdr>
                  <w:divsChild>
                    <w:div w:id="338315183">
                      <w:marLeft w:val="0"/>
                      <w:marRight w:val="0"/>
                      <w:marTop w:val="0"/>
                      <w:marBottom w:val="0"/>
                      <w:divBdr>
                        <w:top w:val="none" w:sz="0" w:space="0" w:color="auto"/>
                        <w:left w:val="none" w:sz="0" w:space="0" w:color="auto"/>
                        <w:bottom w:val="none" w:sz="0" w:space="0" w:color="auto"/>
                        <w:right w:val="none" w:sz="0" w:space="0" w:color="auto"/>
                      </w:divBdr>
                    </w:div>
                  </w:divsChild>
                </w:div>
                <w:div w:id="1659455966">
                  <w:marLeft w:val="240"/>
                  <w:marRight w:val="0"/>
                  <w:marTop w:val="60"/>
                  <w:marBottom w:val="60"/>
                  <w:divBdr>
                    <w:top w:val="none" w:sz="0" w:space="0" w:color="auto"/>
                    <w:left w:val="none" w:sz="0" w:space="0" w:color="auto"/>
                    <w:bottom w:val="none" w:sz="0" w:space="0" w:color="auto"/>
                    <w:right w:val="none" w:sz="0" w:space="0" w:color="auto"/>
                  </w:divBdr>
                  <w:divsChild>
                    <w:div w:id="1277326166">
                      <w:marLeft w:val="0"/>
                      <w:marRight w:val="0"/>
                      <w:marTop w:val="0"/>
                      <w:marBottom w:val="0"/>
                      <w:divBdr>
                        <w:top w:val="none" w:sz="0" w:space="0" w:color="auto"/>
                        <w:left w:val="none" w:sz="0" w:space="0" w:color="auto"/>
                        <w:bottom w:val="none" w:sz="0" w:space="0" w:color="auto"/>
                        <w:right w:val="none" w:sz="0" w:space="0" w:color="auto"/>
                      </w:divBdr>
                    </w:div>
                  </w:divsChild>
                </w:div>
                <w:div w:id="804590938">
                  <w:marLeft w:val="240"/>
                  <w:marRight w:val="0"/>
                  <w:marTop w:val="60"/>
                  <w:marBottom w:val="60"/>
                  <w:divBdr>
                    <w:top w:val="none" w:sz="0" w:space="0" w:color="auto"/>
                    <w:left w:val="none" w:sz="0" w:space="0" w:color="auto"/>
                    <w:bottom w:val="none" w:sz="0" w:space="0" w:color="auto"/>
                    <w:right w:val="none" w:sz="0" w:space="0" w:color="auto"/>
                  </w:divBdr>
                  <w:divsChild>
                    <w:div w:id="182597213">
                      <w:marLeft w:val="0"/>
                      <w:marRight w:val="0"/>
                      <w:marTop w:val="0"/>
                      <w:marBottom w:val="0"/>
                      <w:divBdr>
                        <w:top w:val="none" w:sz="0" w:space="0" w:color="auto"/>
                        <w:left w:val="none" w:sz="0" w:space="0" w:color="auto"/>
                        <w:bottom w:val="none" w:sz="0" w:space="0" w:color="auto"/>
                        <w:right w:val="none" w:sz="0" w:space="0" w:color="auto"/>
                      </w:divBdr>
                    </w:div>
                  </w:divsChild>
                </w:div>
                <w:div w:id="1718779372">
                  <w:marLeft w:val="240"/>
                  <w:marRight w:val="0"/>
                  <w:marTop w:val="60"/>
                  <w:marBottom w:val="60"/>
                  <w:divBdr>
                    <w:top w:val="none" w:sz="0" w:space="0" w:color="auto"/>
                    <w:left w:val="none" w:sz="0" w:space="0" w:color="auto"/>
                    <w:bottom w:val="none" w:sz="0" w:space="0" w:color="auto"/>
                    <w:right w:val="none" w:sz="0" w:space="0" w:color="auto"/>
                  </w:divBdr>
                  <w:divsChild>
                    <w:div w:id="175854050">
                      <w:marLeft w:val="0"/>
                      <w:marRight w:val="0"/>
                      <w:marTop w:val="0"/>
                      <w:marBottom w:val="0"/>
                      <w:divBdr>
                        <w:top w:val="none" w:sz="0" w:space="0" w:color="auto"/>
                        <w:left w:val="none" w:sz="0" w:space="0" w:color="auto"/>
                        <w:bottom w:val="none" w:sz="0" w:space="0" w:color="auto"/>
                        <w:right w:val="none" w:sz="0" w:space="0" w:color="auto"/>
                      </w:divBdr>
                    </w:div>
                  </w:divsChild>
                </w:div>
                <w:div w:id="1809857824">
                  <w:marLeft w:val="240"/>
                  <w:marRight w:val="0"/>
                  <w:marTop w:val="60"/>
                  <w:marBottom w:val="60"/>
                  <w:divBdr>
                    <w:top w:val="none" w:sz="0" w:space="0" w:color="auto"/>
                    <w:left w:val="none" w:sz="0" w:space="0" w:color="auto"/>
                    <w:bottom w:val="none" w:sz="0" w:space="0" w:color="auto"/>
                    <w:right w:val="none" w:sz="0" w:space="0" w:color="auto"/>
                  </w:divBdr>
                  <w:divsChild>
                    <w:div w:id="281612702">
                      <w:marLeft w:val="0"/>
                      <w:marRight w:val="0"/>
                      <w:marTop w:val="0"/>
                      <w:marBottom w:val="0"/>
                      <w:divBdr>
                        <w:top w:val="none" w:sz="0" w:space="0" w:color="auto"/>
                        <w:left w:val="none" w:sz="0" w:space="0" w:color="auto"/>
                        <w:bottom w:val="none" w:sz="0" w:space="0" w:color="auto"/>
                        <w:right w:val="none" w:sz="0" w:space="0" w:color="auto"/>
                      </w:divBdr>
                    </w:div>
                  </w:divsChild>
                </w:div>
                <w:div w:id="1952319035">
                  <w:marLeft w:val="240"/>
                  <w:marRight w:val="0"/>
                  <w:marTop w:val="60"/>
                  <w:marBottom w:val="60"/>
                  <w:divBdr>
                    <w:top w:val="none" w:sz="0" w:space="0" w:color="auto"/>
                    <w:left w:val="none" w:sz="0" w:space="0" w:color="auto"/>
                    <w:bottom w:val="none" w:sz="0" w:space="0" w:color="auto"/>
                    <w:right w:val="none" w:sz="0" w:space="0" w:color="auto"/>
                  </w:divBdr>
                  <w:divsChild>
                    <w:div w:id="1287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51353">
              <w:marLeft w:val="240"/>
              <w:marRight w:val="0"/>
              <w:marTop w:val="60"/>
              <w:marBottom w:val="60"/>
              <w:divBdr>
                <w:top w:val="none" w:sz="0" w:space="0" w:color="auto"/>
                <w:left w:val="none" w:sz="0" w:space="0" w:color="auto"/>
                <w:bottom w:val="none" w:sz="0" w:space="0" w:color="auto"/>
                <w:right w:val="none" w:sz="0" w:space="0" w:color="auto"/>
              </w:divBdr>
              <w:divsChild>
                <w:div w:id="76175711">
                  <w:marLeft w:val="240"/>
                  <w:marRight w:val="0"/>
                  <w:marTop w:val="60"/>
                  <w:marBottom w:val="60"/>
                  <w:divBdr>
                    <w:top w:val="none" w:sz="0" w:space="0" w:color="auto"/>
                    <w:left w:val="none" w:sz="0" w:space="0" w:color="auto"/>
                    <w:bottom w:val="none" w:sz="0" w:space="0" w:color="auto"/>
                    <w:right w:val="none" w:sz="0" w:space="0" w:color="auto"/>
                  </w:divBdr>
                  <w:divsChild>
                    <w:div w:id="471101184">
                      <w:marLeft w:val="0"/>
                      <w:marRight w:val="0"/>
                      <w:marTop w:val="0"/>
                      <w:marBottom w:val="0"/>
                      <w:divBdr>
                        <w:top w:val="none" w:sz="0" w:space="0" w:color="auto"/>
                        <w:left w:val="none" w:sz="0" w:space="0" w:color="auto"/>
                        <w:bottom w:val="none" w:sz="0" w:space="0" w:color="auto"/>
                        <w:right w:val="none" w:sz="0" w:space="0" w:color="auto"/>
                      </w:divBdr>
                    </w:div>
                  </w:divsChild>
                </w:div>
                <w:div w:id="1230463543">
                  <w:marLeft w:val="240"/>
                  <w:marRight w:val="0"/>
                  <w:marTop w:val="60"/>
                  <w:marBottom w:val="60"/>
                  <w:divBdr>
                    <w:top w:val="none" w:sz="0" w:space="0" w:color="auto"/>
                    <w:left w:val="none" w:sz="0" w:space="0" w:color="auto"/>
                    <w:bottom w:val="none" w:sz="0" w:space="0" w:color="auto"/>
                    <w:right w:val="none" w:sz="0" w:space="0" w:color="auto"/>
                  </w:divBdr>
                  <w:divsChild>
                    <w:div w:id="1634367961">
                      <w:marLeft w:val="240"/>
                      <w:marRight w:val="0"/>
                      <w:marTop w:val="60"/>
                      <w:marBottom w:val="60"/>
                      <w:divBdr>
                        <w:top w:val="none" w:sz="0" w:space="0" w:color="auto"/>
                        <w:left w:val="none" w:sz="0" w:space="0" w:color="auto"/>
                        <w:bottom w:val="none" w:sz="0" w:space="0" w:color="auto"/>
                        <w:right w:val="none" w:sz="0" w:space="0" w:color="auto"/>
                      </w:divBdr>
                      <w:divsChild>
                        <w:div w:id="934173772">
                          <w:marLeft w:val="0"/>
                          <w:marRight w:val="0"/>
                          <w:marTop w:val="0"/>
                          <w:marBottom w:val="0"/>
                          <w:divBdr>
                            <w:top w:val="none" w:sz="0" w:space="0" w:color="auto"/>
                            <w:left w:val="none" w:sz="0" w:space="0" w:color="auto"/>
                            <w:bottom w:val="none" w:sz="0" w:space="0" w:color="auto"/>
                            <w:right w:val="none" w:sz="0" w:space="0" w:color="auto"/>
                          </w:divBdr>
                        </w:div>
                      </w:divsChild>
                    </w:div>
                    <w:div w:id="606889238">
                      <w:marLeft w:val="240"/>
                      <w:marRight w:val="0"/>
                      <w:marTop w:val="60"/>
                      <w:marBottom w:val="60"/>
                      <w:divBdr>
                        <w:top w:val="none" w:sz="0" w:space="0" w:color="auto"/>
                        <w:left w:val="none" w:sz="0" w:space="0" w:color="auto"/>
                        <w:bottom w:val="none" w:sz="0" w:space="0" w:color="auto"/>
                        <w:right w:val="none" w:sz="0" w:space="0" w:color="auto"/>
                      </w:divBdr>
                      <w:divsChild>
                        <w:div w:id="718013514">
                          <w:marLeft w:val="0"/>
                          <w:marRight w:val="0"/>
                          <w:marTop w:val="0"/>
                          <w:marBottom w:val="0"/>
                          <w:divBdr>
                            <w:top w:val="none" w:sz="0" w:space="0" w:color="auto"/>
                            <w:left w:val="none" w:sz="0" w:space="0" w:color="auto"/>
                            <w:bottom w:val="none" w:sz="0" w:space="0" w:color="auto"/>
                            <w:right w:val="none" w:sz="0" w:space="0" w:color="auto"/>
                          </w:divBdr>
                        </w:div>
                      </w:divsChild>
                    </w:div>
                    <w:div w:id="1038891774">
                      <w:marLeft w:val="240"/>
                      <w:marRight w:val="0"/>
                      <w:marTop w:val="60"/>
                      <w:marBottom w:val="60"/>
                      <w:divBdr>
                        <w:top w:val="none" w:sz="0" w:space="0" w:color="auto"/>
                        <w:left w:val="none" w:sz="0" w:space="0" w:color="auto"/>
                        <w:bottom w:val="none" w:sz="0" w:space="0" w:color="auto"/>
                        <w:right w:val="none" w:sz="0" w:space="0" w:color="auto"/>
                      </w:divBdr>
                      <w:divsChild>
                        <w:div w:id="60268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16229">
              <w:marLeft w:val="240"/>
              <w:marRight w:val="0"/>
              <w:marTop w:val="60"/>
              <w:marBottom w:val="60"/>
              <w:divBdr>
                <w:top w:val="none" w:sz="0" w:space="0" w:color="auto"/>
                <w:left w:val="none" w:sz="0" w:space="0" w:color="auto"/>
                <w:bottom w:val="none" w:sz="0" w:space="0" w:color="auto"/>
                <w:right w:val="none" w:sz="0" w:space="0" w:color="auto"/>
              </w:divBdr>
              <w:divsChild>
                <w:div w:id="287861540">
                  <w:marLeft w:val="240"/>
                  <w:marRight w:val="0"/>
                  <w:marTop w:val="60"/>
                  <w:marBottom w:val="60"/>
                  <w:divBdr>
                    <w:top w:val="none" w:sz="0" w:space="0" w:color="auto"/>
                    <w:left w:val="none" w:sz="0" w:space="0" w:color="auto"/>
                    <w:bottom w:val="none" w:sz="0" w:space="0" w:color="auto"/>
                    <w:right w:val="none" w:sz="0" w:space="0" w:color="auto"/>
                  </w:divBdr>
                  <w:divsChild>
                    <w:div w:id="1053122293">
                      <w:marLeft w:val="0"/>
                      <w:marRight w:val="0"/>
                      <w:marTop w:val="0"/>
                      <w:marBottom w:val="0"/>
                      <w:divBdr>
                        <w:top w:val="none" w:sz="0" w:space="0" w:color="auto"/>
                        <w:left w:val="none" w:sz="0" w:space="0" w:color="auto"/>
                        <w:bottom w:val="none" w:sz="0" w:space="0" w:color="auto"/>
                        <w:right w:val="none" w:sz="0" w:space="0" w:color="auto"/>
                      </w:divBdr>
                    </w:div>
                  </w:divsChild>
                </w:div>
                <w:div w:id="159004722">
                  <w:marLeft w:val="240"/>
                  <w:marRight w:val="0"/>
                  <w:marTop w:val="60"/>
                  <w:marBottom w:val="60"/>
                  <w:divBdr>
                    <w:top w:val="none" w:sz="0" w:space="0" w:color="auto"/>
                    <w:left w:val="none" w:sz="0" w:space="0" w:color="auto"/>
                    <w:bottom w:val="none" w:sz="0" w:space="0" w:color="auto"/>
                    <w:right w:val="none" w:sz="0" w:space="0" w:color="auto"/>
                  </w:divBdr>
                  <w:divsChild>
                    <w:div w:id="2098399560">
                      <w:marLeft w:val="240"/>
                      <w:marRight w:val="0"/>
                      <w:marTop w:val="60"/>
                      <w:marBottom w:val="60"/>
                      <w:divBdr>
                        <w:top w:val="none" w:sz="0" w:space="0" w:color="auto"/>
                        <w:left w:val="none" w:sz="0" w:space="0" w:color="auto"/>
                        <w:bottom w:val="none" w:sz="0" w:space="0" w:color="auto"/>
                        <w:right w:val="none" w:sz="0" w:space="0" w:color="auto"/>
                      </w:divBdr>
                      <w:divsChild>
                        <w:div w:id="599066684">
                          <w:marLeft w:val="240"/>
                          <w:marRight w:val="0"/>
                          <w:marTop w:val="60"/>
                          <w:marBottom w:val="60"/>
                          <w:divBdr>
                            <w:top w:val="none" w:sz="0" w:space="0" w:color="auto"/>
                            <w:left w:val="none" w:sz="0" w:space="0" w:color="auto"/>
                            <w:bottom w:val="none" w:sz="0" w:space="0" w:color="auto"/>
                            <w:right w:val="none" w:sz="0" w:space="0" w:color="auto"/>
                          </w:divBdr>
                          <w:divsChild>
                            <w:div w:id="1497576789">
                              <w:marLeft w:val="0"/>
                              <w:marRight w:val="0"/>
                              <w:marTop w:val="0"/>
                              <w:marBottom w:val="0"/>
                              <w:divBdr>
                                <w:top w:val="none" w:sz="0" w:space="0" w:color="auto"/>
                                <w:left w:val="none" w:sz="0" w:space="0" w:color="auto"/>
                                <w:bottom w:val="none" w:sz="0" w:space="0" w:color="auto"/>
                                <w:right w:val="none" w:sz="0" w:space="0" w:color="auto"/>
                              </w:divBdr>
                            </w:div>
                          </w:divsChild>
                        </w:div>
                        <w:div w:id="1381438689">
                          <w:marLeft w:val="240"/>
                          <w:marRight w:val="0"/>
                          <w:marTop w:val="60"/>
                          <w:marBottom w:val="60"/>
                          <w:divBdr>
                            <w:top w:val="none" w:sz="0" w:space="0" w:color="auto"/>
                            <w:left w:val="none" w:sz="0" w:space="0" w:color="auto"/>
                            <w:bottom w:val="none" w:sz="0" w:space="0" w:color="auto"/>
                            <w:right w:val="none" w:sz="0" w:space="0" w:color="auto"/>
                          </w:divBdr>
                          <w:divsChild>
                            <w:div w:id="1651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47922">
                      <w:marLeft w:val="240"/>
                      <w:marRight w:val="0"/>
                      <w:marTop w:val="60"/>
                      <w:marBottom w:val="60"/>
                      <w:divBdr>
                        <w:top w:val="none" w:sz="0" w:space="0" w:color="auto"/>
                        <w:left w:val="none" w:sz="0" w:space="0" w:color="auto"/>
                        <w:bottom w:val="none" w:sz="0" w:space="0" w:color="auto"/>
                        <w:right w:val="none" w:sz="0" w:space="0" w:color="auto"/>
                      </w:divBdr>
                      <w:divsChild>
                        <w:div w:id="1956331048">
                          <w:marLeft w:val="240"/>
                          <w:marRight w:val="0"/>
                          <w:marTop w:val="60"/>
                          <w:marBottom w:val="60"/>
                          <w:divBdr>
                            <w:top w:val="none" w:sz="0" w:space="0" w:color="auto"/>
                            <w:left w:val="none" w:sz="0" w:space="0" w:color="auto"/>
                            <w:bottom w:val="none" w:sz="0" w:space="0" w:color="auto"/>
                            <w:right w:val="none" w:sz="0" w:space="0" w:color="auto"/>
                          </w:divBdr>
                          <w:divsChild>
                            <w:div w:id="528372485">
                              <w:marLeft w:val="0"/>
                              <w:marRight w:val="0"/>
                              <w:marTop w:val="0"/>
                              <w:marBottom w:val="0"/>
                              <w:divBdr>
                                <w:top w:val="none" w:sz="0" w:space="0" w:color="auto"/>
                                <w:left w:val="none" w:sz="0" w:space="0" w:color="auto"/>
                                <w:bottom w:val="none" w:sz="0" w:space="0" w:color="auto"/>
                                <w:right w:val="none" w:sz="0" w:space="0" w:color="auto"/>
                              </w:divBdr>
                            </w:div>
                          </w:divsChild>
                        </w:div>
                        <w:div w:id="1869021323">
                          <w:marLeft w:val="240"/>
                          <w:marRight w:val="0"/>
                          <w:marTop w:val="60"/>
                          <w:marBottom w:val="60"/>
                          <w:divBdr>
                            <w:top w:val="none" w:sz="0" w:space="0" w:color="auto"/>
                            <w:left w:val="none" w:sz="0" w:space="0" w:color="auto"/>
                            <w:bottom w:val="none" w:sz="0" w:space="0" w:color="auto"/>
                            <w:right w:val="none" w:sz="0" w:space="0" w:color="auto"/>
                          </w:divBdr>
                          <w:divsChild>
                            <w:div w:id="2220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8470">
                      <w:marLeft w:val="240"/>
                      <w:marRight w:val="0"/>
                      <w:marTop w:val="60"/>
                      <w:marBottom w:val="60"/>
                      <w:divBdr>
                        <w:top w:val="none" w:sz="0" w:space="0" w:color="auto"/>
                        <w:left w:val="none" w:sz="0" w:space="0" w:color="auto"/>
                        <w:bottom w:val="none" w:sz="0" w:space="0" w:color="auto"/>
                        <w:right w:val="none" w:sz="0" w:space="0" w:color="auto"/>
                      </w:divBdr>
                      <w:divsChild>
                        <w:div w:id="1211528918">
                          <w:marLeft w:val="240"/>
                          <w:marRight w:val="0"/>
                          <w:marTop w:val="60"/>
                          <w:marBottom w:val="60"/>
                          <w:divBdr>
                            <w:top w:val="none" w:sz="0" w:space="0" w:color="auto"/>
                            <w:left w:val="none" w:sz="0" w:space="0" w:color="auto"/>
                            <w:bottom w:val="none" w:sz="0" w:space="0" w:color="auto"/>
                            <w:right w:val="none" w:sz="0" w:space="0" w:color="auto"/>
                          </w:divBdr>
                          <w:divsChild>
                            <w:div w:id="286399919">
                              <w:marLeft w:val="0"/>
                              <w:marRight w:val="0"/>
                              <w:marTop w:val="0"/>
                              <w:marBottom w:val="0"/>
                              <w:divBdr>
                                <w:top w:val="none" w:sz="0" w:space="0" w:color="auto"/>
                                <w:left w:val="none" w:sz="0" w:space="0" w:color="auto"/>
                                <w:bottom w:val="none" w:sz="0" w:space="0" w:color="auto"/>
                                <w:right w:val="none" w:sz="0" w:space="0" w:color="auto"/>
                              </w:divBdr>
                            </w:div>
                          </w:divsChild>
                        </w:div>
                        <w:div w:id="318001580">
                          <w:marLeft w:val="240"/>
                          <w:marRight w:val="0"/>
                          <w:marTop w:val="60"/>
                          <w:marBottom w:val="60"/>
                          <w:divBdr>
                            <w:top w:val="none" w:sz="0" w:space="0" w:color="auto"/>
                            <w:left w:val="none" w:sz="0" w:space="0" w:color="auto"/>
                            <w:bottom w:val="none" w:sz="0" w:space="0" w:color="auto"/>
                            <w:right w:val="none" w:sz="0" w:space="0" w:color="auto"/>
                          </w:divBdr>
                          <w:divsChild>
                            <w:div w:id="4235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51640">
                  <w:marLeft w:val="240"/>
                  <w:marRight w:val="0"/>
                  <w:marTop w:val="60"/>
                  <w:marBottom w:val="60"/>
                  <w:divBdr>
                    <w:top w:val="none" w:sz="0" w:space="0" w:color="auto"/>
                    <w:left w:val="none" w:sz="0" w:space="0" w:color="auto"/>
                    <w:bottom w:val="none" w:sz="0" w:space="0" w:color="auto"/>
                    <w:right w:val="none" w:sz="0" w:space="0" w:color="auto"/>
                  </w:divBdr>
                  <w:divsChild>
                    <w:div w:id="750739034">
                      <w:marLeft w:val="240"/>
                      <w:marRight w:val="0"/>
                      <w:marTop w:val="60"/>
                      <w:marBottom w:val="60"/>
                      <w:divBdr>
                        <w:top w:val="none" w:sz="0" w:space="0" w:color="auto"/>
                        <w:left w:val="none" w:sz="0" w:space="0" w:color="auto"/>
                        <w:bottom w:val="none" w:sz="0" w:space="0" w:color="auto"/>
                        <w:right w:val="none" w:sz="0" w:space="0" w:color="auto"/>
                      </w:divBdr>
                      <w:divsChild>
                        <w:div w:id="734622069">
                          <w:marLeft w:val="240"/>
                          <w:marRight w:val="0"/>
                          <w:marTop w:val="60"/>
                          <w:marBottom w:val="60"/>
                          <w:divBdr>
                            <w:top w:val="none" w:sz="0" w:space="0" w:color="auto"/>
                            <w:left w:val="none" w:sz="0" w:space="0" w:color="auto"/>
                            <w:bottom w:val="none" w:sz="0" w:space="0" w:color="auto"/>
                            <w:right w:val="none" w:sz="0" w:space="0" w:color="auto"/>
                          </w:divBdr>
                          <w:divsChild>
                            <w:div w:id="1620649507">
                              <w:marLeft w:val="0"/>
                              <w:marRight w:val="0"/>
                              <w:marTop w:val="0"/>
                              <w:marBottom w:val="0"/>
                              <w:divBdr>
                                <w:top w:val="none" w:sz="0" w:space="0" w:color="auto"/>
                                <w:left w:val="none" w:sz="0" w:space="0" w:color="auto"/>
                                <w:bottom w:val="none" w:sz="0" w:space="0" w:color="auto"/>
                                <w:right w:val="none" w:sz="0" w:space="0" w:color="auto"/>
                              </w:divBdr>
                            </w:div>
                          </w:divsChild>
                        </w:div>
                        <w:div w:id="1063796858">
                          <w:marLeft w:val="240"/>
                          <w:marRight w:val="0"/>
                          <w:marTop w:val="60"/>
                          <w:marBottom w:val="60"/>
                          <w:divBdr>
                            <w:top w:val="none" w:sz="0" w:space="0" w:color="auto"/>
                            <w:left w:val="none" w:sz="0" w:space="0" w:color="auto"/>
                            <w:bottom w:val="none" w:sz="0" w:space="0" w:color="auto"/>
                            <w:right w:val="none" w:sz="0" w:space="0" w:color="auto"/>
                          </w:divBdr>
                          <w:divsChild>
                            <w:div w:id="87346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10422">
                      <w:marLeft w:val="240"/>
                      <w:marRight w:val="0"/>
                      <w:marTop w:val="60"/>
                      <w:marBottom w:val="60"/>
                      <w:divBdr>
                        <w:top w:val="none" w:sz="0" w:space="0" w:color="auto"/>
                        <w:left w:val="none" w:sz="0" w:space="0" w:color="auto"/>
                        <w:bottom w:val="none" w:sz="0" w:space="0" w:color="auto"/>
                        <w:right w:val="none" w:sz="0" w:space="0" w:color="auto"/>
                      </w:divBdr>
                      <w:divsChild>
                        <w:div w:id="1604874787">
                          <w:marLeft w:val="240"/>
                          <w:marRight w:val="0"/>
                          <w:marTop w:val="60"/>
                          <w:marBottom w:val="60"/>
                          <w:divBdr>
                            <w:top w:val="none" w:sz="0" w:space="0" w:color="auto"/>
                            <w:left w:val="none" w:sz="0" w:space="0" w:color="auto"/>
                            <w:bottom w:val="none" w:sz="0" w:space="0" w:color="auto"/>
                            <w:right w:val="none" w:sz="0" w:space="0" w:color="auto"/>
                          </w:divBdr>
                          <w:divsChild>
                            <w:div w:id="1231112867">
                              <w:marLeft w:val="0"/>
                              <w:marRight w:val="0"/>
                              <w:marTop w:val="0"/>
                              <w:marBottom w:val="0"/>
                              <w:divBdr>
                                <w:top w:val="none" w:sz="0" w:space="0" w:color="auto"/>
                                <w:left w:val="none" w:sz="0" w:space="0" w:color="auto"/>
                                <w:bottom w:val="none" w:sz="0" w:space="0" w:color="auto"/>
                                <w:right w:val="none" w:sz="0" w:space="0" w:color="auto"/>
                              </w:divBdr>
                            </w:div>
                          </w:divsChild>
                        </w:div>
                        <w:div w:id="639116733">
                          <w:marLeft w:val="240"/>
                          <w:marRight w:val="0"/>
                          <w:marTop w:val="60"/>
                          <w:marBottom w:val="60"/>
                          <w:divBdr>
                            <w:top w:val="none" w:sz="0" w:space="0" w:color="auto"/>
                            <w:left w:val="none" w:sz="0" w:space="0" w:color="auto"/>
                            <w:bottom w:val="none" w:sz="0" w:space="0" w:color="auto"/>
                            <w:right w:val="none" w:sz="0" w:space="0" w:color="auto"/>
                          </w:divBdr>
                          <w:divsChild>
                            <w:div w:id="115883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3192">
                  <w:marLeft w:val="240"/>
                  <w:marRight w:val="0"/>
                  <w:marTop w:val="60"/>
                  <w:marBottom w:val="60"/>
                  <w:divBdr>
                    <w:top w:val="none" w:sz="0" w:space="0" w:color="auto"/>
                    <w:left w:val="none" w:sz="0" w:space="0" w:color="auto"/>
                    <w:bottom w:val="none" w:sz="0" w:space="0" w:color="auto"/>
                    <w:right w:val="none" w:sz="0" w:space="0" w:color="auto"/>
                  </w:divBdr>
                  <w:divsChild>
                    <w:div w:id="15134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7293">
              <w:marLeft w:val="240"/>
              <w:marRight w:val="0"/>
              <w:marTop w:val="60"/>
              <w:marBottom w:val="60"/>
              <w:divBdr>
                <w:top w:val="none" w:sz="0" w:space="0" w:color="auto"/>
                <w:left w:val="none" w:sz="0" w:space="0" w:color="auto"/>
                <w:bottom w:val="none" w:sz="0" w:space="0" w:color="auto"/>
                <w:right w:val="none" w:sz="0" w:space="0" w:color="auto"/>
              </w:divBdr>
              <w:divsChild>
                <w:div w:id="1309168845">
                  <w:marLeft w:val="240"/>
                  <w:marRight w:val="0"/>
                  <w:marTop w:val="60"/>
                  <w:marBottom w:val="60"/>
                  <w:divBdr>
                    <w:top w:val="none" w:sz="0" w:space="0" w:color="auto"/>
                    <w:left w:val="none" w:sz="0" w:space="0" w:color="auto"/>
                    <w:bottom w:val="none" w:sz="0" w:space="0" w:color="auto"/>
                    <w:right w:val="none" w:sz="0" w:space="0" w:color="auto"/>
                  </w:divBdr>
                  <w:divsChild>
                    <w:div w:id="809205070">
                      <w:marLeft w:val="240"/>
                      <w:marRight w:val="0"/>
                      <w:marTop w:val="60"/>
                      <w:marBottom w:val="60"/>
                      <w:divBdr>
                        <w:top w:val="none" w:sz="0" w:space="0" w:color="auto"/>
                        <w:left w:val="none" w:sz="0" w:space="0" w:color="auto"/>
                        <w:bottom w:val="none" w:sz="0" w:space="0" w:color="auto"/>
                        <w:right w:val="none" w:sz="0" w:space="0" w:color="auto"/>
                      </w:divBdr>
                      <w:divsChild>
                        <w:div w:id="626467370">
                          <w:marLeft w:val="0"/>
                          <w:marRight w:val="0"/>
                          <w:marTop w:val="0"/>
                          <w:marBottom w:val="0"/>
                          <w:divBdr>
                            <w:top w:val="none" w:sz="0" w:space="0" w:color="auto"/>
                            <w:left w:val="none" w:sz="0" w:space="0" w:color="auto"/>
                            <w:bottom w:val="none" w:sz="0" w:space="0" w:color="auto"/>
                            <w:right w:val="none" w:sz="0" w:space="0" w:color="auto"/>
                          </w:divBdr>
                        </w:div>
                      </w:divsChild>
                    </w:div>
                    <w:div w:id="758403203">
                      <w:marLeft w:val="240"/>
                      <w:marRight w:val="0"/>
                      <w:marTop w:val="60"/>
                      <w:marBottom w:val="60"/>
                      <w:divBdr>
                        <w:top w:val="none" w:sz="0" w:space="0" w:color="auto"/>
                        <w:left w:val="none" w:sz="0" w:space="0" w:color="auto"/>
                        <w:bottom w:val="none" w:sz="0" w:space="0" w:color="auto"/>
                        <w:right w:val="none" w:sz="0" w:space="0" w:color="auto"/>
                      </w:divBdr>
                      <w:divsChild>
                        <w:div w:id="10255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1681">
                  <w:marLeft w:val="240"/>
                  <w:marRight w:val="0"/>
                  <w:marTop w:val="60"/>
                  <w:marBottom w:val="60"/>
                  <w:divBdr>
                    <w:top w:val="none" w:sz="0" w:space="0" w:color="auto"/>
                    <w:left w:val="none" w:sz="0" w:space="0" w:color="auto"/>
                    <w:bottom w:val="none" w:sz="0" w:space="0" w:color="auto"/>
                    <w:right w:val="none" w:sz="0" w:space="0" w:color="auto"/>
                  </w:divBdr>
                  <w:divsChild>
                    <w:div w:id="1437480509">
                      <w:marLeft w:val="240"/>
                      <w:marRight w:val="0"/>
                      <w:marTop w:val="60"/>
                      <w:marBottom w:val="60"/>
                      <w:divBdr>
                        <w:top w:val="none" w:sz="0" w:space="0" w:color="auto"/>
                        <w:left w:val="none" w:sz="0" w:space="0" w:color="auto"/>
                        <w:bottom w:val="none" w:sz="0" w:space="0" w:color="auto"/>
                        <w:right w:val="none" w:sz="0" w:space="0" w:color="auto"/>
                      </w:divBdr>
                      <w:divsChild>
                        <w:div w:id="517280355">
                          <w:marLeft w:val="240"/>
                          <w:marRight w:val="0"/>
                          <w:marTop w:val="60"/>
                          <w:marBottom w:val="60"/>
                          <w:divBdr>
                            <w:top w:val="none" w:sz="0" w:space="0" w:color="auto"/>
                            <w:left w:val="none" w:sz="0" w:space="0" w:color="auto"/>
                            <w:bottom w:val="none" w:sz="0" w:space="0" w:color="auto"/>
                            <w:right w:val="none" w:sz="0" w:space="0" w:color="auto"/>
                          </w:divBdr>
                          <w:divsChild>
                            <w:div w:id="1362823112">
                              <w:marLeft w:val="0"/>
                              <w:marRight w:val="0"/>
                              <w:marTop w:val="0"/>
                              <w:marBottom w:val="0"/>
                              <w:divBdr>
                                <w:top w:val="none" w:sz="0" w:space="0" w:color="auto"/>
                                <w:left w:val="none" w:sz="0" w:space="0" w:color="auto"/>
                                <w:bottom w:val="none" w:sz="0" w:space="0" w:color="auto"/>
                                <w:right w:val="none" w:sz="0" w:space="0" w:color="auto"/>
                              </w:divBdr>
                            </w:div>
                          </w:divsChild>
                        </w:div>
                        <w:div w:id="1093817597">
                          <w:marLeft w:val="240"/>
                          <w:marRight w:val="0"/>
                          <w:marTop w:val="60"/>
                          <w:marBottom w:val="60"/>
                          <w:divBdr>
                            <w:top w:val="none" w:sz="0" w:space="0" w:color="auto"/>
                            <w:left w:val="none" w:sz="0" w:space="0" w:color="auto"/>
                            <w:bottom w:val="none" w:sz="0" w:space="0" w:color="auto"/>
                            <w:right w:val="none" w:sz="0" w:space="0" w:color="auto"/>
                          </w:divBdr>
                          <w:divsChild>
                            <w:div w:id="2094858278">
                              <w:marLeft w:val="0"/>
                              <w:marRight w:val="0"/>
                              <w:marTop w:val="0"/>
                              <w:marBottom w:val="0"/>
                              <w:divBdr>
                                <w:top w:val="none" w:sz="0" w:space="0" w:color="auto"/>
                                <w:left w:val="none" w:sz="0" w:space="0" w:color="auto"/>
                                <w:bottom w:val="none" w:sz="0" w:space="0" w:color="auto"/>
                                <w:right w:val="none" w:sz="0" w:space="0" w:color="auto"/>
                              </w:divBdr>
                            </w:div>
                          </w:divsChild>
                        </w:div>
                        <w:div w:id="1267733804">
                          <w:marLeft w:val="240"/>
                          <w:marRight w:val="0"/>
                          <w:marTop w:val="60"/>
                          <w:marBottom w:val="60"/>
                          <w:divBdr>
                            <w:top w:val="none" w:sz="0" w:space="0" w:color="auto"/>
                            <w:left w:val="none" w:sz="0" w:space="0" w:color="auto"/>
                            <w:bottom w:val="none" w:sz="0" w:space="0" w:color="auto"/>
                            <w:right w:val="none" w:sz="0" w:space="0" w:color="auto"/>
                          </w:divBdr>
                          <w:divsChild>
                            <w:div w:id="198203837">
                              <w:marLeft w:val="0"/>
                              <w:marRight w:val="0"/>
                              <w:marTop w:val="0"/>
                              <w:marBottom w:val="0"/>
                              <w:divBdr>
                                <w:top w:val="none" w:sz="0" w:space="0" w:color="auto"/>
                                <w:left w:val="none" w:sz="0" w:space="0" w:color="auto"/>
                                <w:bottom w:val="none" w:sz="0" w:space="0" w:color="auto"/>
                                <w:right w:val="none" w:sz="0" w:space="0" w:color="auto"/>
                              </w:divBdr>
                            </w:div>
                          </w:divsChild>
                        </w:div>
                        <w:div w:id="167016572">
                          <w:marLeft w:val="240"/>
                          <w:marRight w:val="0"/>
                          <w:marTop w:val="60"/>
                          <w:marBottom w:val="60"/>
                          <w:divBdr>
                            <w:top w:val="none" w:sz="0" w:space="0" w:color="auto"/>
                            <w:left w:val="none" w:sz="0" w:space="0" w:color="auto"/>
                            <w:bottom w:val="none" w:sz="0" w:space="0" w:color="auto"/>
                            <w:right w:val="none" w:sz="0" w:space="0" w:color="auto"/>
                          </w:divBdr>
                          <w:divsChild>
                            <w:div w:id="14172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54511">
                      <w:marLeft w:val="240"/>
                      <w:marRight w:val="0"/>
                      <w:marTop w:val="60"/>
                      <w:marBottom w:val="60"/>
                      <w:divBdr>
                        <w:top w:val="none" w:sz="0" w:space="0" w:color="auto"/>
                        <w:left w:val="none" w:sz="0" w:space="0" w:color="auto"/>
                        <w:bottom w:val="none" w:sz="0" w:space="0" w:color="auto"/>
                        <w:right w:val="none" w:sz="0" w:space="0" w:color="auto"/>
                      </w:divBdr>
                      <w:divsChild>
                        <w:div w:id="1439907362">
                          <w:marLeft w:val="240"/>
                          <w:marRight w:val="0"/>
                          <w:marTop w:val="60"/>
                          <w:marBottom w:val="60"/>
                          <w:divBdr>
                            <w:top w:val="none" w:sz="0" w:space="0" w:color="auto"/>
                            <w:left w:val="none" w:sz="0" w:space="0" w:color="auto"/>
                            <w:bottom w:val="none" w:sz="0" w:space="0" w:color="auto"/>
                            <w:right w:val="none" w:sz="0" w:space="0" w:color="auto"/>
                          </w:divBdr>
                          <w:divsChild>
                            <w:div w:id="1611281507">
                              <w:marLeft w:val="0"/>
                              <w:marRight w:val="0"/>
                              <w:marTop w:val="0"/>
                              <w:marBottom w:val="0"/>
                              <w:divBdr>
                                <w:top w:val="none" w:sz="0" w:space="0" w:color="auto"/>
                                <w:left w:val="none" w:sz="0" w:space="0" w:color="auto"/>
                                <w:bottom w:val="none" w:sz="0" w:space="0" w:color="auto"/>
                                <w:right w:val="none" w:sz="0" w:space="0" w:color="auto"/>
                              </w:divBdr>
                            </w:div>
                          </w:divsChild>
                        </w:div>
                        <w:div w:id="1523858539">
                          <w:marLeft w:val="240"/>
                          <w:marRight w:val="0"/>
                          <w:marTop w:val="60"/>
                          <w:marBottom w:val="60"/>
                          <w:divBdr>
                            <w:top w:val="none" w:sz="0" w:space="0" w:color="auto"/>
                            <w:left w:val="none" w:sz="0" w:space="0" w:color="auto"/>
                            <w:bottom w:val="none" w:sz="0" w:space="0" w:color="auto"/>
                            <w:right w:val="none" w:sz="0" w:space="0" w:color="auto"/>
                          </w:divBdr>
                          <w:divsChild>
                            <w:div w:id="1035620193">
                              <w:marLeft w:val="0"/>
                              <w:marRight w:val="0"/>
                              <w:marTop w:val="0"/>
                              <w:marBottom w:val="0"/>
                              <w:divBdr>
                                <w:top w:val="none" w:sz="0" w:space="0" w:color="auto"/>
                                <w:left w:val="none" w:sz="0" w:space="0" w:color="auto"/>
                                <w:bottom w:val="none" w:sz="0" w:space="0" w:color="auto"/>
                                <w:right w:val="none" w:sz="0" w:space="0" w:color="auto"/>
                              </w:divBdr>
                            </w:div>
                          </w:divsChild>
                        </w:div>
                        <w:div w:id="382294391">
                          <w:marLeft w:val="240"/>
                          <w:marRight w:val="0"/>
                          <w:marTop w:val="60"/>
                          <w:marBottom w:val="60"/>
                          <w:divBdr>
                            <w:top w:val="none" w:sz="0" w:space="0" w:color="auto"/>
                            <w:left w:val="none" w:sz="0" w:space="0" w:color="auto"/>
                            <w:bottom w:val="none" w:sz="0" w:space="0" w:color="auto"/>
                            <w:right w:val="none" w:sz="0" w:space="0" w:color="auto"/>
                          </w:divBdr>
                          <w:divsChild>
                            <w:div w:id="1768697630">
                              <w:marLeft w:val="0"/>
                              <w:marRight w:val="0"/>
                              <w:marTop w:val="0"/>
                              <w:marBottom w:val="0"/>
                              <w:divBdr>
                                <w:top w:val="none" w:sz="0" w:space="0" w:color="auto"/>
                                <w:left w:val="none" w:sz="0" w:space="0" w:color="auto"/>
                                <w:bottom w:val="none" w:sz="0" w:space="0" w:color="auto"/>
                                <w:right w:val="none" w:sz="0" w:space="0" w:color="auto"/>
                              </w:divBdr>
                            </w:div>
                          </w:divsChild>
                        </w:div>
                        <w:div w:id="524175292">
                          <w:marLeft w:val="240"/>
                          <w:marRight w:val="0"/>
                          <w:marTop w:val="60"/>
                          <w:marBottom w:val="60"/>
                          <w:divBdr>
                            <w:top w:val="none" w:sz="0" w:space="0" w:color="auto"/>
                            <w:left w:val="none" w:sz="0" w:space="0" w:color="auto"/>
                            <w:bottom w:val="none" w:sz="0" w:space="0" w:color="auto"/>
                            <w:right w:val="none" w:sz="0" w:space="0" w:color="auto"/>
                          </w:divBdr>
                          <w:divsChild>
                            <w:div w:id="10225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4069">
                  <w:marLeft w:val="240"/>
                  <w:marRight w:val="0"/>
                  <w:marTop w:val="60"/>
                  <w:marBottom w:val="60"/>
                  <w:divBdr>
                    <w:top w:val="none" w:sz="0" w:space="0" w:color="auto"/>
                    <w:left w:val="none" w:sz="0" w:space="0" w:color="auto"/>
                    <w:bottom w:val="none" w:sz="0" w:space="0" w:color="auto"/>
                    <w:right w:val="none" w:sz="0" w:space="0" w:color="auto"/>
                  </w:divBdr>
                  <w:divsChild>
                    <w:div w:id="1920402844">
                      <w:marLeft w:val="240"/>
                      <w:marRight w:val="0"/>
                      <w:marTop w:val="60"/>
                      <w:marBottom w:val="60"/>
                      <w:divBdr>
                        <w:top w:val="none" w:sz="0" w:space="0" w:color="auto"/>
                        <w:left w:val="none" w:sz="0" w:space="0" w:color="auto"/>
                        <w:bottom w:val="none" w:sz="0" w:space="0" w:color="auto"/>
                        <w:right w:val="none" w:sz="0" w:space="0" w:color="auto"/>
                      </w:divBdr>
                      <w:divsChild>
                        <w:div w:id="1779836096">
                          <w:marLeft w:val="0"/>
                          <w:marRight w:val="0"/>
                          <w:marTop w:val="0"/>
                          <w:marBottom w:val="0"/>
                          <w:divBdr>
                            <w:top w:val="none" w:sz="0" w:space="0" w:color="auto"/>
                            <w:left w:val="none" w:sz="0" w:space="0" w:color="auto"/>
                            <w:bottom w:val="none" w:sz="0" w:space="0" w:color="auto"/>
                            <w:right w:val="none" w:sz="0" w:space="0" w:color="auto"/>
                          </w:divBdr>
                        </w:div>
                      </w:divsChild>
                    </w:div>
                    <w:div w:id="496263675">
                      <w:marLeft w:val="240"/>
                      <w:marRight w:val="0"/>
                      <w:marTop w:val="60"/>
                      <w:marBottom w:val="60"/>
                      <w:divBdr>
                        <w:top w:val="none" w:sz="0" w:space="0" w:color="auto"/>
                        <w:left w:val="none" w:sz="0" w:space="0" w:color="auto"/>
                        <w:bottom w:val="none" w:sz="0" w:space="0" w:color="auto"/>
                        <w:right w:val="none" w:sz="0" w:space="0" w:color="auto"/>
                      </w:divBdr>
                      <w:divsChild>
                        <w:div w:id="1083575291">
                          <w:marLeft w:val="0"/>
                          <w:marRight w:val="0"/>
                          <w:marTop w:val="0"/>
                          <w:marBottom w:val="0"/>
                          <w:divBdr>
                            <w:top w:val="none" w:sz="0" w:space="0" w:color="auto"/>
                            <w:left w:val="none" w:sz="0" w:space="0" w:color="auto"/>
                            <w:bottom w:val="none" w:sz="0" w:space="0" w:color="auto"/>
                            <w:right w:val="none" w:sz="0" w:space="0" w:color="auto"/>
                          </w:divBdr>
                        </w:div>
                      </w:divsChild>
                    </w:div>
                    <w:div w:id="123696606">
                      <w:marLeft w:val="506"/>
                      <w:marRight w:val="0"/>
                      <w:marTop w:val="0"/>
                      <w:marBottom w:val="0"/>
                      <w:divBdr>
                        <w:top w:val="none" w:sz="0" w:space="0" w:color="auto"/>
                        <w:left w:val="none" w:sz="0" w:space="0" w:color="auto"/>
                        <w:bottom w:val="none" w:sz="0" w:space="0" w:color="auto"/>
                        <w:right w:val="none" w:sz="0" w:space="0" w:color="auto"/>
                      </w:divBdr>
                    </w:div>
                  </w:divsChild>
                </w:div>
              </w:divsChild>
            </w:div>
            <w:div w:id="646128960">
              <w:marLeft w:val="240"/>
              <w:marRight w:val="0"/>
              <w:marTop w:val="60"/>
              <w:marBottom w:val="60"/>
              <w:divBdr>
                <w:top w:val="none" w:sz="0" w:space="0" w:color="auto"/>
                <w:left w:val="none" w:sz="0" w:space="0" w:color="auto"/>
                <w:bottom w:val="none" w:sz="0" w:space="0" w:color="auto"/>
                <w:right w:val="none" w:sz="0" w:space="0" w:color="auto"/>
              </w:divBdr>
              <w:divsChild>
                <w:div w:id="5120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436785">
          <w:marLeft w:val="0"/>
          <w:marRight w:val="0"/>
          <w:marTop w:val="0"/>
          <w:marBottom w:val="0"/>
          <w:divBdr>
            <w:top w:val="none" w:sz="0" w:space="0" w:color="auto"/>
            <w:left w:val="none" w:sz="0" w:space="0" w:color="auto"/>
            <w:bottom w:val="none" w:sz="0" w:space="0" w:color="auto"/>
            <w:right w:val="none" w:sz="0" w:space="0" w:color="auto"/>
          </w:divBdr>
        </w:div>
      </w:divsChild>
    </w:div>
    <w:div w:id="1133061634">
      <w:bodyDiv w:val="1"/>
      <w:marLeft w:val="0"/>
      <w:marRight w:val="0"/>
      <w:marTop w:val="0"/>
      <w:marBottom w:val="0"/>
      <w:divBdr>
        <w:top w:val="none" w:sz="0" w:space="0" w:color="auto"/>
        <w:left w:val="none" w:sz="0" w:space="0" w:color="auto"/>
        <w:bottom w:val="none" w:sz="0" w:space="0" w:color="auto"/>
        <w:right w:val="none" w:sz="0" w:space="0" w:color="auto"/>
      </w:divBdr>
    </w:div>
    <w:div w:id="1146164878">
      <w:bodyDiv w:val="1"/>
      <w:marLeft w:val="0"/>
      <w:marRight w:val="0"/>
      <w:marTop w:val="0"/>
      <w:marBottom w:val="0"/>
      <w:divBdr>
        <w:top w:val="none" w:sz="0" w:space="0" w:color="auto"/>
        <w:left w:val="none" w:sz="0" w:space="0" w:color="auto"/>
        <w:bottom w:val="none" w:sz="0" w:space="0" w:color="auto"/>
        <w:right w:val="none" w:sz="0" w:space="0" w:color="auto"/>
      </w:divBdr>
    </w:div>
    <w:div w:id="1160081610">
      <w:bodyDiv w:val="1"/>
      <w:marLeft w:val="0"/>
      <w:marRight w:val="0"/>
      <w:marTop w:val="0"/>
      <w:marBottom w:val="0"/>
      <w:divBdr>
        <w:top w:val="none" w:sz="0" w:space="0" w:color="auto"/>
        <w:left w:val="none" w:sz="0" w:space="0" w:color="auto"/>
        <w:bottom w:val="none" w:sz="0" w:space="0" w:color="auto"/>
        <w:right w:val="none" w:sz="0" w:space="0" w:color="auto"/>
      </w:divBdr>
    </w:div>
    <w:div w:id="1170488007">
      <w:bodyDiv w:val="1"/>
      <w:marLeft w:val="0"/>
      <w:marRight w:val="0"/>
      <w:marTop w:val="0"/>
      <w:marBottom w:val="0"/>
      <w:divBdr>
        <w:top w:val="none" w:sz="0" w:space="0" w:color="auto"/>
        <w:left w:val="none" w:sz="0" w:space="0" w:color="auto"/>
        <w:bottom w:val="none" w:sz="0" w:space="0" w:color="auto"/>
        <w:right w:val="none" w:sz="0" w:space="0" w:color="auto"/>
      </w:divBdr>
    </w:div>
    <w:div w:id="1171263085">
      <w:bodyDiv w:val="1"/>
      <w:marLeft w:val="0"/>
      <w:marRight w:val="0"/>
      <w:marTop w:val="0"/>
      <w:marBottom w:val="0"/>
      <w:divBdr>
        <w:top w:val="none" w:sz="0" w:space="0" w:color="auto"/>
        <w:left w:val="none" w:sz="0" w:space="0" w:color="auto"/>
        <w:bottom w:val="none" w:sz="0" w:space="0" w:color="auto"/>
        <w:right w:val="none" w:sz="0" w:space="0" w:color="auto"/>
      </w:divBdr>
    </w:div>
    <w:div w:id="1171799894">
      <w:bodyDiv w:val="1"/>
      <w:marLeft w:val="0"/>
      <w:marRight w:val="0"/>
      <w:marTop w:val="0"/>
      <w:marBottom w:val="0"/>
      <w:divBdr>
        <w:top w:val="none" w:sz="0" w:space="0" w:color="auto"/>
        <w:left w:val="none" w:sz="0" w:space="0" w:color="auto"/>
        <w:bottom w:val="none" w:sz="0" w:space="0" w:color="auto"/>
        <w:right w:val="none" w:sz="0" w:space="0" w:color="auto"/>
      </w:divBdr>
    </w:div>
    <w:div w:id="1203982471">
      <w:bodyDiv w:val="1"/>
      <w:marLeft w:val="0"/>
      <w:marRight w:val="0"/>
      <w:marTop w:val="0"/>
      <w:marBottom w:val="0"/>
      <w:divBdr>
        <w:top w:val="none" w:sz="0" w:space="0" w:color="auto"/>
        <w:left w:val="none" w:sz="0" w:space="0" w:color="auto"/>
        <w:bottom w:val="none" w:sz="0" w:space="0" w:color="auto"/>
        <w:right w:val="none" w:sz="0" w:space="0" w:color="auto"/>
      </w:divBdr>
    </w:div>
    <w:div w:id="1226986506">
      <w:bodyDiv w:val="1"/>
      <w:marLeft w:val="0"/>
      <w:marRight w:val="0"/>
      <w:marTop w:val="0"/>
      <w:marBottom w:val="0"/>
      <w:divBdr>
        <w:top w:val="none" w:sz="0" w:space="0" w:color="auto"/>
        <w:left w:val="none" w:sz="0" w:space="0" w:color="auto"/>
        <w:bottom w:val="none" w:sz="0" w:space="0" w:color="auto"/>
        <w:right w:val="none" w:sz="0" w:space="0" w:color="auto"/>
      </w:divBdr>
    </w:div>
    <w:div w:id="1233197637">
      <w:bodyDiv w:val="1"/>
      <w:marLeft w:val="0"/>
      <w:marRight w:val="0"/>
      <w:marTop w:val="0"/>
      <w:marBottom w:val="0"/>
      <w:divBdr>
        <w:top w:val="none" w:sz="0" w:space="0" w:color="auto"/>
        <w:left w:val="none" w:sz="0" w:space="0" w:color="auto"/>
        <w:bottom w:val="none" w:sz="0" w:space="0" w:color="auto"/>
        <w:right w:val="none" w:sz="0" w:space="0" w:color="auto"/>
      </w:divBdr>
    </w:div>
    <w:div w:id="1237977939">
      <w:bodyDiv w:val="1"/>
      <w:marLeft w:val="0"/>
      <w:marRight w:val="0"/>
      <w:marTop w:val="0"/>
      <w:marBottom w:val="0"/>
      <w:divBdr>
        <w:top w:val="none" w:sz="0" w:space="0" w:color="auto"/>
        <w:left w:val="none" w:sz="0" w:space="0" w:color="auto"/>
        <w:bottom w:val="none" w:sz="0" w:space="0" w:color="auto"/>
        <w:right w:val="none" w:sz="0" w:space="0" w:color="auto"/>
      </w:divBdr>
    </w:div>
    <w:div w:id="1240409115">
      <w:bodyDiv w:val="1"/>
      <w:marLeft w:val="0"/>
      <w:marRight w:val="0"/>
      <w:marTop w:val="0"/>
      <w:marBottom w:val="0"/>
      <w:divBdr>
        <w:top w:val="none" w:sz="0" w:space="0" w:color="auto"/>
        <w:left w:val="none" w:sz="0" w:space="0" w:color="auto"/>
        <w:bottom w:val="none" w:sz="0" w:space="0" w:color="auto"/>
        <w:right w:val="none" w:sz="0" w:space="0" w:color="auto"/>
      </w:divBdr>
    </w:div>
    <w:div w:id="1257516362">
      <w:bodyDiv w:val="1"/>
      <w:marLeft w:val="0"/>
      <w:marRight w:val="0"/>
      <w:marTop w:val="0"/>
      <w:marBottom w:val="0"/>
      <w:divBdr>
        <w:top w:val="none" w:sz="0" w:space="0" w:color="auto"/>
        <w:left w:val="none" w:sz="0" w:space="0" w:color="auto"/>
        <w:bottom w:val="none" w:sz="0" w:space="0" w:color="auto"/>
        <w:right w:val="none" w:sz="0" w:space="0" w:color="auto"/>
      </w:divBdr>
    </w:div>
    <w:div w:id="1283808642">
      <w:bodyDiv w:val="1"/>
      <w:marLeft w:val="0"/>
      <w:marRight w:val="0"/>
      <w:marTop w:val="0"/>
      <w:marBottom w:val="0"/>
      <w:divBdr>
        <w:top w:val="none" w:sz="0" w:space="0" w:color="auto"/>
        <w:left w:val="none" w:sz="0" w:space="0" w:color="auto"/>
        <w:bottom w:val="none" w:sz="0" w:space="0" w:color="auto"/>
        <w:right w:val="none" w:sz="0" w:space="0" w:color="auto"/>
      </w:divBdr>
    </w:div>
    <w:div w:id="1302080074">
      <w:bodyDiv w:val="1"/>
      <w:marLeft w:val="0"/>
      <w:marRight w:val="0"/>
      <w:marTop w:val="0"/>
      <w:marBottom w:val="0"/>
      <w:divBdr>
        <w:top w:val="none" w:sz="0" w:space="0" w:color="auto"/>
        <w:left w:val="none" w:sz="0" w:space="0" w:color="auto"/>
        <w:bottom w:val="none" w:sz="0" w:space="0" w:color="auto"/>
        <w:right w:val="none" w:sz="0" w:space="0" w:color="auto"/>
      </w:divBdr>
    </w:div>
    <w:div w:id="1302996795">
      <w:bodyDiv w:val="1"/>
      <w:marLeft w:val="0"/>
      <w:marRight w:val="0"/>
      <w:marTop w:val="0"/>
      <w:marBottom w:val="0"/>
      <w:divBdr>
        <w:top w:val="none" w:sz="0" w:space="0" w:color="auto"/>
        <w:left w:val="none" w:sz="0" w:space="0" w:color="auto"/>
        <w:bottom w:val="none" w:sz="0" w:space="0" w:color="auto"/>
        <w:right w:val="none" w:sz="0" w:space="0" w:color="auto"/>
      </w:divBdr>
    </w:div>
    <w:div w:id="1318529758">
      <w:bodyDiv w:val="1"/>
      <w:marLeft w:val="0"/>
      <w:marRight w:val="0"/>
      <w:marTop w:val="0"/>
      <w:marBottom w:val="0"/>
      <w:divBdr>
        <w:top w:val="none" w:sz="0" w:space="0" w:color="auto"/>
        <w:left w:val="none" w:sz="0" w:space="0" w:color="auto"/>
        <w:bottom w:val="none" w:sz="0" w:space="0" w:color="auto"/>
        <w:right w:val="none" w:sz="0" w:space="0" w:color="auto"/>
      </w:divBdr>
    </w:div>
    <w:div w:id="1327396958">
      <w:bodyDiv w:val="1"/>
      <w:marLeft w:val="0"/>
      <w:marRight w:val="0"/>
      <w:marTop w:val="0"/>
      <w:marBottom w:val="0"/>
      <w:divBdr>
        <w:top w:val="none" w:sz="0" w:space="0" w:color="auto"/>
        <w:left w:val="none" w:sz="0" w:space="0" w:color="auto"/>
        <w:bottom w:val="none" w:sz="0" w:space="0" w:color="auto"/>
        <w:right w:val="none" w:sz="0" w:space="0" w:color="auto"/>
      </w:divBdr>
    </w:div>
    <w:div w:id="1333994191">
      <w:bodyDiv w:val="1"/>
      <w:marLeft w:val="0"/>
      <w:marRight w:val="0"/>
      <w:marTop w:val="0"/>
      <w:marBottom w:val="0"/>
      <w:divBdr>
        <w:top w:val="none" w:sz="0" w:space="0" w:color="auto"/>
        <w:left w:val="none" w:sz="0" w:space="0" w:color="auto"/>
        <w:bottom w:val="none" w:sz="0" w:space="0" w:color="auto"/>
        <w:right w:val="none" w:sz="0" w:space="0" w:color="auto"/>
      </w:divBdr>
      <w:divsChild>
        <w:div w:id="886646075">
          <w:marLeft w:val="0"/>
          <w:marRight w:val="0"/>
          <w:marTop w:val="0"/>
          <w:marBottom w:val="0"/>
          <w:divBdr>
            <w:top w:val="none" w:sz="0" w:space="0" w:color="auto"/>
            <w:left w:val="none" w:sz="0" w:space="0" w:color="auto"/>
            <w:bottom w:val="none" w:sz="0" w:space="0" w:color="auto"/>
            <w:right w:val="none" w:sz="0" w:space="0" w:color="auto"/>
          </w:divBdr>
        </w:div>
        <w:div w:id="1616330852">
          <w:marLeft w:val="0"/>
          <w:marRight w:val="0"/>
          <w:marTop w:val="0"/>
          <w:marBottom w:val="0"/>
          <w:divBdr>
            <w:top w:val="none" w:sz="0" w:space="0" w:color="auto"/>
            <w:left w:val="none" w:sz="0" w:space="0" w:color="auto"/>
            <w:bottom w:val="none" w:sz="0" w:space="0" w:color="auto"/>
            <w:right w:val="none" w:sz="0" w:space="0" w:color="auto"/>
          </w:divBdr>
        </w:div>
        <w:div w:id="1531334355">
          <w:marLeft w:val="0"/>
          <w:marRight w:val="0"/>
          <w:marTop w:val="0"/>
          <w:marBottom w:val="0"/>
          <w:divBdr>
            <w:top w:val="none" w:sz="0" w:space="0" w:color="auto"/>
            <w:left w:val="none" w:sz="0" w:space="0" w:color="auto"/>
            <w:bottom w:val="none" w:sz="0" w:space="0" w:color="auto"/>
            <w:right w:val="none" w:sz="0" w:space="0" w:color="auto"/>
          </w:divBdr>
        </w:div>
        <w:div w:id="303655378">
          <w:marLeft w:val="0"/>
          <w:marRight w:val="0"/>
          <w:marTop w:val="0"/>
          <w:marBottom w:val="0"/>
          <w:divBdr>
            <w:top w:val="none" w:sz="0" w:space="0" w:color="auto"/>
            <w:left w:val="none" w:sz="0" w:space="0" w:color="auto"/>
            <w:bottom w:val="none" w:sz="0" w:space="0" w:color="auto"/>
            <w:right w:val="none" w:sz="0" w:space="0" w:color="auto"/>
          </w:divBdr>
          <w:divsChild>
            <w:div w:id="491914954">
              <w:marLeft w:val="0"/>
              <w:marRight w:val="0"/>
              <w:marTop w:val="0"/>
              <w:marBottom w:val="0"/>
              <w:divBdr>
                <w:top w:val="none" w:sz="0" w:space="0" w:color="auto"/>
                <w:left w:val="none" w:sz="0" w:space="0" w:color="auto"/>
                <w:bottom w:val="none" w:sz="0" w:space="0" w:color="auto"/>
                <w:right w:val="none" w:sz="0" w:space="0" w:color="auto"/>
              </w:divBdr>
            </w:div>
            <w:div w:id="30233102">
              <w:marLeft w:val="0"/>
              <w:marRight w:val="0"/>
              <w:marTop w:val="0"/>
              <w:marBottom w:val="0"/>
              <w:divBdr>
                <w:top w:val="none" w:sz="0" w:space="0" w:color="auto"/>
                <w:left w:val="none" w:sz="0" w:space="0" w:color="auto"/>
                <w:bottom w:val="none" w:sz="0" w:space="0" w:color="auto"/>
                <w:right w:val="none" w:sz="0" w:space="0" w:color="auto"/>
              </w:divBdr>
            </w:div>
            <w:div w:id="1937980934">
              <w:marLeft w:val="0"/>
              <w:marRight w:val="0"/>
              <w:marTop w:val="0"/>
              <w:marBottom w:val="0"/>
              <w:divBdr>
                <w:top w:val="none" w:sz="0" w:space="0" w:color="auto"/>
                <w:left w:val="none" w:sz="0" w:space="0" w:color="auto"/>
                <w:bottom w:val="none" w:sz="0" w:space="0" w:color="auto"/>
                <w:right w:val="none" w:sz="0" w:space="0" w:color="auto"/>
              </w:divBdr>
            </w:div>
          </w:divsChild>
        </w:div>
        <w:div w:id="27142545">
          <w:marLeft w:val="0"/>
          <w:marRight w:val="0"/>
          <w:marTop w:val="0"/>
          <w:marBottom w:val="0"/>
          <w:divBdr>
            <w:top w:val="none" w:sz="0" w:space="0" w:color="auto"/>
            <w:left w:val="none" w:sz="0" w:space="0" w:color="auto"/>
            <w:bottom w:val="none" w:sz="0" w:space="0" w:color="auto"/>
            <w:right w:val="none" w:sz="0" w:space="0" w:color="auto"/>
          </w:divBdr>
          <w:divsChild>
            <w:div w:id="2090346552">
              <w:marLeft w:val="0"/>
              <w:marRight w:val="0"/>
              <w:marTop w:val="0"/>
              <w:marBottom w:val="0"/>
              <w:divBdr>
                <w:top w:val="none" w:sz="0" w:space="0" w:color="auto"/>
                <w:left w:val="none" w:sz="0" w:space="0" w:color="auto"/>
                <w:bottom w:val="none" w:sz="0" w:space="0" w:color="auto"/>
                <w:right w:val="none" w:sz="0" w:space="0" w:color="auto"/>
              </w:divBdr>
              <w:divsChild>
                <w:div w:id="1600872655">
                  <w:marLeft w:val="240"/>
                  <w:marRight w:val="0"/>
                  <w:marTop w:val="60"/>
                  <w:marBottom w:val="60"/>
                  <w:divBdr>
                    <w:top w:val="none" w:sz="0" w:space="0" w:color="auto"/>
                    <w:left w:val="none" w:sz="0" w:space="0" w:color="auto"/>
                    <w:bottom w:val="none" w:sz="0" w:space="0" w:color="auto"/>
                    <w:right w:val="none" w:sz="0" w:space="0" w:color="auto"/>
                  </w:divBdr>
                  <w:divsChild>
                    <w:div w:id="873151818">
                      <w:marLeft w:val="0"/>
                      <w:marRight w:val="0"/>
                      <w:marTop w:val="0"/>
                      <w:marBottom w:val="0"/>
                      <w:divBdr>
                        <w:top w:val="none" w:sz="0" w:space="0" w:color="auto"/>
                        <w:left w:val="none" w:sz="0" w:space="0" w:color="auto"/>
                        <w:bottom w:val="none" w:sz="0" w:space="0" w:color="auto"/>
                        <w:right w:val="none" w:sz="0" w:space="0" w:color="auto"/>
                      </w:divBdr>
                    </w:div>
                  </w:divsChild>
                </w:div>
                <w:div w:id="416246087">
                  <w:marLeft w:val="240"/>
                  <w:marRight w:val="0"/>
                  <w:marTop w:val="60"/>
                  <w:marBottom w:val="60"/>
                  <w:divBdr>
                    <w:top w:val="none" w:sz="0" w:space="0" w:color="auto"/>
                    <w:left w:val="none" w:sz="0" w:space="0" w:color="auto"/>
                    <w:bottom w:val="none" w:sz="0" w:space="0" w:color="auto"/>
                    <w:right w:val="none" w:sz="0" w:space="0" w:color="auto"/>
                  </w:divBdr>
                  <w:divsChild>
                    <w:div w:id="2028671814">
                      <w:marLeft w:val="240"/>
                      <w:marRight w:val="0"/>
                      <w:marTop w:val="60"/>
                      <w:marBottom w:val="60"/>
                      <w:divBdr>
                        <w:top w:val="none" w:sz="0" w:space="0" w:color="auto"/>
                        <w:left w:val="none" w:sz="0" w:space="0" w:color="auto"/>
                        <w:bottom w:val="none" w:sz="0" w:space="0" w:color="auto"/>
                        <w:right w:val="none" w:sz="0" w:space="0" w:color="auto"/>
                      </w:divBdr>
                      <w:divsChild>
                        <w:div w:id="80755987">
                          <w:marLeft w:val="240"/>
                          <w:marRight w:val="0"/>
                          <w:marTop w:val="60"/>
                          <w:marBottom w:val="60"/>
                          <w:divBdr>
                            <w:top w:val="none" w:sz="0" w:space="0" w:color="auto"/>
                            <w:left w:val="none" w:sz="0" w:space="0" w:color="auto"/>
                            <w:bottom w:val="none" w:sz="0" w:space="0" w:color="auto"/>
                            <w:right w:val="none" w:sz="0" w:space="0" w:color="auto"/>
                          </w:divBdr>
                          <w:divsChild>
                            <w:div w:id="207424016">
                              <w:marLeft w:val="0"/>
                              <w:marRight w:val="0"/>
                              <w:marTop w:val="0"/>
                              <w:marBottom w:val="0"/>
                              <w:divBdr>
                                <w:top w:val="none" w:sz="0" w:space="0" w:color="auto"/>
                                <w:left w:val="none" w:sz="0" w:space="0" w:color="auto"/>
                                <w:bottom w:val="none" w:sz="0" w:space="0" w:color="auto"/>
                                <w:right w:val="none" w:sz="0" w:space="0" w:color="auto"/>
                              </w:divBdr>
                            </w:div>
                          </w:divsChild>
                        </w:div>
                        <w:div w:id="1959218791">
                          <w:marLeft w:val="240"/>
                          <w:marRight w:val="0"/>
                          <w:marTop w:val="60"/>
                          <w:marBottom w:val="60"/>
                          <w:divBdr>
                            <w:top w:val="none" w:sz="0" w:space="0" w:color="auto"/>
                            <w:left w:val="none" w:sz="0" w:space="0" w:color="auto"/>
                            <w:bottom w:val="none" w:sz="0" w:space="0" w:color="auto"/>
                            <w:right w:val="none" w:sz="0" w:space="0" w:color="auto"/>
                          </w:divBdr>
                          <w:divsChild>
                            <w:div w:id="379013412">
                              <w:marLeft w:val="0"/>
                              <w:marRight w:val="0"/>
                              <w:marTop w:val="0"/>
                              <w:marBottom w:val="0"/>
                              <w:divBdr>
                                <w:top w:val="none" w:sz="0" w:space="0" w:color="auto"/>
                                <w:left w:val="none" w:sz="0" w:space="0" w:color="auto"/>
                                <w:bottom w:val="none" w:sz="0" w:space="0" w:color="auto"/>
                                <w:right w:val="none" w:sz="0" w:space="0" w:color="auto"/>
                              </w:divBdr>
                            </w:div>
                          </w:divsChild>
                        </w:div>
                        <w:div w:id="2048330139">
                          <w:marLeft w:val="240"/>
                          <w:marRight w:val="0"/>
                          <w:marTop w:val="60"/>
                          <w:marBottom w:val="60"/>
                          <w:divBdr>
                            <w:top w:val="none" w:sz="0" w:space="0" w:color="auto"/>
                            <w:left w:val="none" w:sz="0" w:space="0" w:color="auto"/>
                            <w:bottom w:val="none" w:sz="0" w:space="0" w:color="auto"/>
                            <w:right w:val="none" w:sz="0" w:space="0" w:color="auto"/>
                          </w:divBdr>
                          <w:divsChild>
                            <w:div w:id="13817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3132">
                      <w:marLeft w:val="240"/>
                      <w:marRight w:val="0"/>
                      <w:marTop w:val="60"/>
                      <w:marBottom w:val="60"/>
                      <w:divBdr>
                        <w:top w:val="none" w:sz="0" w:space="0" w:color="auto"/>
                        <w:left w:val="none" w:sz="0" w:space="0" w:color="auto"/>
                        <w:bottom w:val="none" w:sz="0" w:space="0" w:color="auto"/>
                        <w:right w:val="none" w:sz="0" w:space="0" w:color="auto"/>
                      </w:divBdr>
                      <w:divsChild>
                        <w:div w:id="4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670530">
          <w:marLeft w:val="0"/>
          <w:marRight w:val="0"/>
          <w:marTop w:val="0"/>
          <w:marBottom w:val="0"/>
          <w:divBdr>
            <w:top w:val="none" w:sz="0" w:space="0" w:color="auto"/>
            <w:left w:val="none" w:sz="0" w:space="0" w:color="auto"/>
            <w:bottom w:val="none" w:sz="0" w:space="0" w:color="auto"/>
            <w:right w:val="none" w:sz="0" w:space="0" w:color="auto"/>
          </w:divBdr>
          <w:divsChild>
            <w:div w:id="775908388">
              <w:marLeft w:val="0"/>
              <w:marRight w:val="0"/>
              <w:marTop w:val="0"/>
              <w:marBottom w:val="0"/>
              <w:divBdr>
                <w:top w:val="none" w:sz="0" w:space="0" w:color="auto"/>
                <w:left w:val="none" w:sz="0" w:space="0" w:color="auto"/>
                <w:bottom w:val="none" w:sz="0" w:space="0" w:color="auto"/>
                <w:right w:val="none" w:sz="0" w:space="0" w:color="auto"/>
              </w:divBdr>
            </w:div>
            <w:div w:id="2003926884">
              <w:marLeft w:val="0"/>
              <w:marRight w:val="0"/>
              <w:marTop w:val="0"/>
              <w:marBottom w:val="0"/>
              <w:divBdr>
                <w:top w:val="none" w:sz="0" w:space="0" w:color="auto"/>
                <w:left w:val="none" w:sz="0" w:space="0" w:color="auto"/>
                <w:bottom w:val="none" w:sz="0" w:space="0" w:color="auto"/>
                <w:right w:val="none" w:sz="0" w:space="0" w:color="auto"/>
              </w:divBdr>
              <w:divsChild>
                <w:div w:id="571744019">
                  <w:marLeft w:val="240"/>
                  <w:marRight w:val="0"/>
                  <w:marTop w:val="60"/>
                  <w:marBottom w:val="60"/>
                  <w:divBdr>
                    <w:top w:val="none" w:sz="0" w:space="0" w:color="auto"/>
                    <w:left w:val="none" w:sz="0" w:space="0" w:color="auto"/>
                    <w:bottom w:val="none" w:sz="0" w:space="0" w:color="auto"/>
                    <w:right w:val="none" w:sz="0" w:space="0" w:color="auto"/>
                  </w:divBdr>
                  <w:divsChild>
                    <w:div w:id="1371762153">
                      <w:marLeft w:val="0"/>
                      <w:marRight w:val="0"/>
                      <w:marTop w:val="0"/>
                      <w:marBottom w:val="0"/>
                      <w:divBdr>
                        <w:top w:val="none" w:sz="0" w:space="0" w:color="auto"/>
                        <w:left w:val="none" w:sz="0" w:space="0" w:color="auto"/>
                        <w:bottom w:val="none" w:sz="0" w:space="0" w:color="auto"/>
                        <w:right w:val="none" w:sz="0" w:space="0" w:color="auto"/>
                      </w:divBdr>
                    </w:div>
                  </w:divsChild>
                </w:div>
                <w:div w:id="825361291">
                  <w:marLeft w:val="240"/>
                  <w:marRight w:val="0"/>
                  <w:marTop w:val="60"/>
                  <w:marBottom w:val="60"/>
                  <w:divBdr>
                    <w:top w:val="none" w:sz="0" w:space="0" w:color="auto"/>
                    <w:left w:val="none" w:sz="0" w:space="0" w:color="auto"/>
                    <w:bottom w:val="none" w:sz="0" w:space="0" w:color="auto"/>
                    <w:right w:val="none" w:sz="0" w:space="0" w:color="auto"/>
                  </w:divBdr>
                  <w:divsChild>
                    <w:div w:id="505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16565">
          <w:marLeft w:val="0"/>
          <w:marRight w:val="0"/>
          <w:marTop w:val="0"/>
          <w:marBottom w:val="0"/>
          <w:divBdr>
            <w:top w:val="none" w:sz="0" w:space="0" w:color="auto"/>
            <w:left w:val="none" w:sz="0" w:space="0" w:color="auto"/>
            <w:bottom w:val="none" w:sz="0" w:space="0" w:color="auto"/>
            <w:right w:val="none" w:sz="0" w:space="0" w:color="auto"/>
          </w:divBdr>
          <w:divsChild>
            <w:div w:id="121466033">
              <w:marLeft w:val="0"/>
              <w:marRight w:val="0"/>
              <w:marTop w:val="0"/>
              <w:marBottom w:val="0"/>
              <w:divBdr>
                <w:top w:val="none" w:sz="0" w:space="0" w:color="auto"/>
                <w:left w:val="none" w:sz="0" w:space="0" w:color="auto"/>
                <w:bottom w:val="none" w:sz="0" w:space="0" w:color="auto"/>
                <w:right w:val="none" w:sz="0" w:space="0" w:color="auto"/>
              </w:divBdr>
            </w:div>
            <w:div w:id="1694843352">
              <w:marLeft w:val="0"/>
              <w:marRight w:val="0"/>
              <w:marTop w:val="0"/>
              <w:marBottom w:val="0"/>
              <w:divBdr>
                <w:top w:val="none" w:sz="0" w:space="0" w:color="auto"/>
                <w:left w:val="none" w:sz="0" w:space="0" w:color="auto"/>
                <w:bottom w:val="none" w:sz="0" w:space="0" w:color="auto"/>
                <w:right w:val="none" w:sz="0" w:space="0" w:color="auto"/>
              </w:divBdr>
            </w:div>
          </w:divsChild>
        </w:div>
        <w:div w:id="1481732100">
          <w:marLeft w:val="0"/>
          <w:marRight w:val="0"/>
          <w:marTop w:val="0"/>
          <w:marBottom w:val="0"/>
          <w:divBdr>
            <w:top w:val="none" w:sz="0" w:space="0" w:color="auto"/>
            <w:left w:val="none" w:sz="0" w:space="0" w:color="auto"/>
            <w:bottom w:val="none" w:sz="0" w:space="0" w:color="auto"/>
            <w:right w:val="none" w:sz="0" w:space="0" w:color="auto"/>
          </w:divBdr>
          <w:divsChild>
            <w:div w:id="1584752616">
              <w:marLeft w:val="0"/>
              <w:marRight w:val="0"/>
              <w:marTop w:val="0"/>
              <w:marBottom w:val="0"/>
              <w:divBdr>
                <w:top w:val="none" w:sz="0" w:space="0" w:color="auto"/>
                <w:left w:val="none" w:sz="0" w:space="0" w:color="auto"/>
                <w:bottom w:val="none" w:sz="0" w:space="0" w:color="auto"/>
                <w:right w:val="none" w:sz="0" w:space="0" w:color="auto"/>
              </w:divBdr>
            </w:div>
          </w:divsChild>
        </w:div>
        <w:div w:id="642392772">
          <w:marLeft w:val="0"/>
          <w:marRight w:val="0"/>
          <w:marTop w:val="0"/>
          <w:marBottom w:val="0"/>
          <w:divBdr>
            <w:top w:val="none" w:sz="0" w:space="0" w:color="auto"/>
            <w:left w:val="none" w:sz="0" w:space="0" w:color="auto"/>
            <w:bottom w:val="none" w:sz="0" w:space="0" w:color="auto"/>
            <w:right w:val="none" w:sz="0" w:space="0" w:color="auto"/>
          </w:divBdr>
          <w:divsChild>
            <w:div w:id="1741371133">
              <w:marLeft w:val="0"/>
              <w:marRight w:val="0"/>
              <w:marTop w:val="0"/>
              <w:marBottom w:val="0"/>
              <w:divBdr>
                <w:top w:val="none" w:sz="0" w:space="0" w:color="auto"/>
                <w:left w:val="none" w:sz="0" w:space="0" w:color="auto"/>
                <w:bottom w:val="none" w:sz="0" w:space="0" w:color="auto"/>
                <w:right w:val="none" w:sz="0" w:space="0" w:color="auto"/>
              </w:divBdr>
            </w:div>
          </w:divsChild>
        </w:div>
        <w:div w:id="796491502">
          <w:marLeft w:val="0"/>
          <w:marRight w:val="0"/>
          <w:marTop w:val="0"/>
          <w:marBottom w:val="0"/>
          <w:divBdr>
            <w:top w:val="none" w:sz="0" w:space="0" w:color="auto"/>
            <w:left w:val="none" w:sz="0" w:space="0" w:color="auto"/>
            <w:bottom w:val="none" w:sz="0" w:space="0" w:color="auto"/>
            <w:right w:val="none" w:sz="0" w:space="0" w:color="auto"/>
          </w:divBdr>
          <w:divsChild>
            <w:div w:id="1512064514">
              <w:marLeft w:val="0"/>
              <w:marRight w:val="0"/>
              <w:marTop w:val="0"/>
              <w:marBottom w:val="0"/>
              <w:divBdr>
                <w:top w:val="none" w:sz="0" w:space="0" w:color="auto"/>
                <w:left w:val="none" w:sz="0" w:space="0" w:color="auto"/>
                <w:bottom w:val="none" w:sz="0" w:space="0" w:color="auto"/>
                <w:right w:val="none" w:sz="0" w:space="0" w:color="auto"/>
              </w:divBdr>
              <w:divsChild>
                <w:div w:id="1291016597">
                  <w:marLeft w:val="240"/>
                  <w:marRight w:val="0"/>
                  <w:marTop w:val="60"/>
                  <w:marBottom w:val="60"/>
                  <w:divBdr>
                    <w:top w:val="none" w:sz="0" w:space="0" w:color="auto"/>
                    <w:left w:val="none" w:sz="0" w:space="0" w:color="auto"/>
                    <w:bottom w:val="none" w:sz="0" w:space="0" w:color="auto"/>
                    <w:right w:val="none" w:sz="0" w:space="0" w:color="auto"/>
                  </w:divBdr>
                  <w:divsChild>
                    <w:div w:id="1492451767">
                      <w:marLeft w:val="0"/>
                      <w:marRight w:val="0"/>
                      <w:marTop w:val="0"/>
                      <w:marBottom w:val="0"/>
                      <w:divBdr>
                        <w:top w:val="none" w:sz="0" w:space="0" w:color="auto"/>
                        <w:left w:val="none" w:sz="0" w:space="0" w:color="auto"/>
                        <w:bottom w:val="none" w:sz="0" w:space="0" w:color="auto"/>
                        <w:right w:val="none" w:sz="0" w:space="0" w:color="auto"/>
                      </w:divBdr>
                    </w:div>
                  </w:divsChild>
                </w:div>
                <w:div w:id="1267539912">
                  <w:marLeft w:val="240"/>
                  <w:marRight w:val="0"/>
                  <w:marTop w:val="60"/>
                  <w:marBottom w:val="60"/>
                  <w:divBdr>
                    <w:top w:val="none" w:sz="0" w:space="0" w:color="auto"/>
                    <w:left w:val="none" w:sz="0" w:space="0" w:color="auto"/>
                    <w:bottom w:val="none" w:sz="0" w:space="0" w:color="auto"/>
                    <w:right w:val="none" w:sz="0" w:space="0" w:color="auto"/>
                  </w:divBdr>
                  <w:divsChild>
                    <w:div w:id="117002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48830">
              <w:marLeft w:val="0"/>
              <w:marRight w:val="0"/>
              <w:marTop w:val="0"/>
              <w:marBottom w:val="0"/>
              <w:divBdr>
                <w:top w:val="none" w:sz="0" w:space="0" w:color="auto"/>
                <w:left w:val="none" w:sz="0" w:space="0" w:color="auto"/>
                <w:bottom w:val="none" w:sz="0" w:space="0" w:color="auto"/>
                <w:right w:val="none" w:sz="0" w:space="0" w:color="auto"/>
              </w:divBdr>
            </w:div>
            <w:div w:id="978534692">
              <w:marLeft w:val="0"/>
              <w:marRight w:val="0"/>
              <w:marTop w:val="0"/>
              <w:marBottom w:val="0"/>
              <w:divBdr>
                <w:top w:val="none" w:sz="0" w:space="0" w:color="auto"/>
                <w:left w:val="none" w:sz="0" w:space="0" w:color="auto"/>
                <w:bottom w:val="none" w:sz="0" w:space="0" w:color="auto"/>
                <w:right w:val="none" w:sz="0" w:space="0" w:color="auto"/>
              </w:divBdr>
            </w:div>
            <w:div w:id="533614222">
              <w:marLeft w:val="0"/>
              <w:marRight w:val="0"/>
              <w:marTop w:val="0"/>
              <w:marBottom w:val="0"/>
              <w:divBdr>
                <w:top w:val="none" w:sz="0" w:space="0" w:color="auto"/>
                <w:left w:val="none" w:sz="0" w:space="0" w:color="auto"/>
                <w:bottom w:val="none" w:sz="0" w:space="0" w:color="auto"/>
                <w:right w:val="none" w:sz="0" w:space="0" w:color="auto"/>
              </w:divBdr>
            </w:div>
          </w:divsChild>
        </w:div>
        <w:div w:id="474878920">
          <w:marLeft w:val="0"/>
          <w:marRight w:val="0"/>
          <w:marTop w:val="0"/>
          <w:marBottom w:val="0"/>
          <w:divBdr>
            <w:top w:val="none" w:sz="0" w:space="0" w:color="auto"/>
            <w:left w:val="none" w:sz="0" w:space="0" w:color="auto"/>
            <w:bottom w:val="none" w:sz="0" w:space="0" w:color="auto"/>
            <w:right w:val="none" w:sz="0" w:space="0" w:color="auto"/>
          </w:divBdr>
          <w:divsChild>
            <w:div w:id="635137237">
              <w:marLeft w:val="0"/>
              <w:marRight w:val="0"/>
              <w:marTop w:val="0"/>
              <w:marBottom w:val="0"/>
              <w:divBdr>
                <w:top w:val="none" w:sz="0" w:space="0" w:color="auto"/>
                <w:left w:val="none" w:sz="0" w:space="0" w:color="auto"/>
                <w:bottom w:val="none" w:sz="0" w:space="0" w:color="auto"/>
                <w:right w:val="none" w:sz="0" w:space="0" w:color="auto"/>
              </w:divBdr>
            </w:div>
            <w:div w:id="1164198148">
              <w:marLeft w:val="0"/>
              <w:marRight w:val="0"/>
              <w:marTop w:val="0"/>
              <w:marBottom w:val="0"/>
              <w:divBdr>
                <w:top w:val="none" w:sz="0" w:space="0" w:color="auto"/>
                <w:left w:val="none" w:sz="0" w:space="0" w:color="auto"/>
                <w:bottom w:val="none" w:sz="0" w:space="0" w:color="auto"/>
                <w:right w:val="none" w:sz="0" w:space="0" w:color="auto"/>
              </w:divBdr>
              <w:divsChild>
                <w:div w:id="1084109409">
                  <w:marLeft w:val="240"/>
                  <w:marRight w:val="0"/>
                  <w:marTop w:val="60"/>
                  <w:marBottom w:val="60"/>
                  <w:divBdr>
                    <w:top w:val="none" w:sz="0" w:space="0" w:color="auto"/>
                    <w:left w:val="none" w:sz="0" w:space="0" w:color="auto"/>
                    <w:bottom w:val="none" w:sz="0" w:space="0" w:color="auto"/>
                    <w:right w:val="none" w:sz="0" w:space="0" w:color="auto"/>
                  </w:divBdr>
                  <w:divsChild>
                    <w:div w:id="1478575511">
                      <w:marLeft w:val="0"/>
                      <w:marRight w:val="0"/>
                      <w:marTop w:val="0"/>
                      <w:marBottom w:val="0"/>
                      <w:divBdr>
                        <w:top w:val="none" w:sz="0" w:space="0" w:color="auto"/>
                        <w:left w:val="none" w:sz="0" w:space="0" w:color="auto"/>
                        <w:bottom w:val="none" w:sz="0" w:space="0" w:color="auto"/>
                        <w:right w:val="none" w:sz="0" w:space="0" w:color="auto"/>
                      </w:divBdr>
                    </w:div>
                  </w:divsChild>
                </w:div>
                <w:div w:id="1066563007">
                  <w:marLeft w:val="240"/>
                  <w:marRight w:val="0"/>
                  <w:marTop w:val="60"/>
                  <w:marBottom w:val="60"/>
                  <w:divBdr>
                    <w:top w:val="none" w:sz="0" w:space="0" w:color="auto"/>
                    <w:left w:val="none" w:sz="0" w:space="0" w:color="auto"/>
                    <w:bottom w:val="none" w:sz="0" w:space="0" w:color="auto"/>
                    <w:right w:val="none" w:sz="0" w:space="0" w:color="auto"/>
                  </w:divBdr>
                  <w:divsChild>
                    <w:div w:id="15275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77215">
              <w:marLeft w:val="0"/>
              <w:marRight w:val="0"/>
              <w:marTop w:val="0"/>
              <w:marBottom w:val="0"/>
              <w:divBdr>
                <w:top w:val="none" w:sz="0" w:space="0" w:color="auto"/>
                <w:left w:val="none" w:sz="0" w:space="0" w:color="auto"/>
                <w:bottom w:val="none" w:sz="0" w:space="0" w:color="auto"/>
                <w:right w:val="none" w:sz="0" w:space="0" w:color="auto"/>
              </w:divBdr>
            </w:div>
            <w:div w:id="1992907559">
              <w:marLeft w:val="0"/>
              <w:marRight w:val="0"/>
              <w:marTop w:val="0"/>
              <w:marBottom w:val="0"/>
              <w:divBdr>
                <w:top w:val="none" w:sz="0" w:space="0" w:color="auto"/>
                <w:left w:val="none" w:sz="0" w:space="0" w:color="auto"/>
                <w:bottom w:val="none" w:sz="0" w:space="0" w:color="auto"/>
                <w:right w:val="none" w:sz="0" w:space="0" w:color="auto"/>
              </w:divBdr>
            </w:div>
            <w:div w:id="1858738718">
              <w:marLeft w:val="0"/>
              <w:marRight w:val="0"/>
              <w:marTop w:val="0"/>
              <w:marBottom w:val="0"/>
              <w:divBdr>
                <w:top w:val="none" w:sz="0" w:space="0" w:color="auto"/>
                <w:left w:val="none" w:sz="0" w:space="0" w:color="auto"/>
                <w:bottom w:val="none" w:sz="0" w:space="0" w:color="auto"/>
                <w:right w:val="none" w:sz="0" w:space="0" w:color="auto"/>
              </w:divBdr>
              <w:divsChild>
                <w:div w:id="649212847">
                  <w:marLeft w:val="240"/>
                  <w:marRight w:val="0"/>
                  <w:marTop w:val="60"/>
                  <w:marBottom w:val="60"/>
                  <w:divBdr>
                    <w:top w:val="none" w:sz="0" w:space="0" w:color="auto"/>
                    <w:left w:val="none" w:sz="0" w:space="0" w:color="auto"/>
                    <w:bottom w:val="none" w:sz="0" w:space="0" w:color="auto"/>
                    <w:right w:val="none" w:sz="0" w:space="0" w:color="auto"/>
                  </w:divBdr>
                  <w:divsChild>
                    <w:div w:id="326714223">
                      <w:marLeft w:val="0"/>
                      <w:marRight w:val="0"/>
                      <w:marTop w:val="0"/>
                      <w:marBottom w:val="0"/>
                      <w:divBdr>
                        <w:top w:val="none" w:sz="0" w:space="0" w:color="auto"/>
                        <w:left w:val="none" w:sz="0" w:space="0" w:color="auto"/>
                        <w:bottom w:val="none" w:sz="0" w:space="0" w:color="auto"/>
                        <w:right w:val="none" w:sz="0" w:space="0" w:color="auto"/>
                      </w:divBdr>
                    </w:div>
                  </w:divsChild>
                </w:div>
                <w:div w:id="2063821502">
                  <w:marLeft w:val="240"/>
                  <w:marRight w:val="0"/>
                  <w:marTop w:val="60"/>
                  <w:marBottom w:val="60"/>
                  <w:divBdr>
                    <w:top w:val="none" w:sz="0" w:space="0" w:color="auto"/>
                    <w:left w:val="none" w:sz="0" w:space="0" w:color="auto"/>
                    <w:bottom w:val="none" w:sz="0" w:space="0" w:color="auto"/>
                    <w:right w:val="none" w:sz="0" w:space="0" w:color="auto"/>
                  </w:divBdr>
                  <w:divsChild>
                    <w:div w:id="1599288320">
                      <w:marLeft w:val="0"/>
                      <w:marRight w:val="0"/>
                      <w:marTop w:val="0"/>
                      <w:marBottom w:val="0"/>
                      <w:divBdr>
                        <w:top w:val="none" w:sz="0" w:space="0" w:color="auto"/>
                        <w:left w:val="none" w:sz="0" w:space="0" w:color="auto"/>
                        <w:bottom w:val="none" w:sz="0" w:space="0" w:color="auto"/>
                        <w:right w:val="none" w:sz="0" w:space="0" w:color="auto"/>
                      </w:divBdr>
                    </w:div>
                  </w:divsChild>
                </w:div>
                <w:div w:id="1006513305">
                  <w:marLeft w:val="240"/>
                  <w:marRight w:val="0"/>
                  <w:marTop w:val="60"/>
                  <w:marBottom w:val="60"/>
                  <w:divBdr>
                    <w:top w:val="none" w:sz="0" w:space="0" w:color="auto"/>
                    <w:left w:val="none" w:sz="0" w:space="0" w:color="auto"/>
                    <w:bottom w:val="none" w:sz="0" w:space="0" w:color="auto"/>
                    <w:right w:val="none" w:sz="0" w:space="0" w:color="auto"/>
                  </w:divBdr>
                  <w:divsChild>
                    <w:div w:id="6859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1388">
              <w:marLeft w:val="0"/>
              <w:marRight w:val="0"/>
              <w:marTop w:val="0"/>
              <w:marBottom w:val="0"/>
              <w:divBdr>
                <w:top w:val="none" w:sz="0" w:space="0" w:color="auto"/>
                <w:left w:val="none" w:sz="0" w:space="0" w:color="auto"/>
                <w:bottom w:val="none" w:sz="0" w:space="0" w:color="auto"/>
                <w:right w:val="none" w:sz="0" w:space="0" w:color="auto"/>
              </w:divBdr>
              <w:divsChild>
                <w:div w:id="1757553653">
                  <w:marLeft w:val="240"/>
                  <w:marRight w:val="0"/>
                  <w:marTop w:val="60"/>
                  <w:marBottom w:val="60"/>
                  <w:divBdr>
                    <w:top w:val="none" w:sz="0" w:space="0" w:color="auto"/>
                    <w:left w:val="none" w:sz="0" w:space="0" w:color="auto"/>
                    <w:bottom w:val="none" w:sz="0" w:space="0" w:color="auto"/>
                    <w:right w:val="none" w:sz="0" w:space="0" w:color="auto"/>
                  </w:divBdr>
                  <w:divsChild>
                    <w:div w:id="93330280">
                      <w:marLeft w:val="0"/>
                      <w:marRight w:val="0"/>
                      <w:marTop w:val="0"/>
                      <w:marBottom w:val="0"/>
                      <w:divBdr>
                        <w:top w:val="none" w:sz="0" w:space="0" w:color="auto"/>
                        <w:left w:val="none" w:sz="0" w:space="0" w:color="auto"/>
                        <w:bottom w:val="none" w:sz="0" w:space="0" w:color="auto"/>
                        <w:right w:val="none" w:sz="0" w:space="0" w:color="auto"/>
                      </w:divBdr>
                    </w:div>
                  </w:divsChild>
                </w:div>
                <w:div w:id="815269555">
                  <w:marLeft w:val="240"/>
                  <w:marRight w:val="0"/>
                  <w:marTop w:val="60"/>
                  <w:marBottom w:val="60"/>
                  <w:divBdr>
                    <w:top w:val="none" w:sz="0" w:space="0" w:color="auto"/>
                    <w:left w:val="none" w:sz="0" w:space="0" w:color="auto"/>
                    <w:bottom w:val="none" w:sz="0" w:space="0" w:color="auto"/>
                    <w:right w:val="none" w:sz="0" w:space="0" w:color="auto"/>
                  </w:divBdr>
                  <w:divsChild>
                    <w:div w:id="212449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49640">
          <w:marLeft w:val="0"/>
          <w:marRight w:val="0"/>
          <w:marTop w:val="0"/>
          <w:marBottom w:val="0"/>
          <w:divBdr>
            <w:top w:val="none" w:sz="0" w:space="0" w:color="auto"/>
            <w:left w:val="none" w:sz="0" w:space="0" w:color="auto"/>
            <w:bottom w:val="none" w:sz="0" w:space="0" w:color="auto"/>
            <w:right w:val="none" w:sz="0" w:space="0" w:color="auto"/>
          </w:divBdr>
          <w:divsChild>
            <w:div w:id="2012950689">
              <w:marLeft w:val="0"/>
              <w:marRight w:val="0"/>
              <w:marTop w:val="0"/>
              <w:marBottom w:val="0"/>
              <w:divBdr>
                <w:top w:val="none" w:sz="0" w:space="0" w:color="auto"/>
                <w:left w:val="none" w:sz="0" w:space="0" w:color="auto"/>
                <w:bottom w:val="none" w:sz="0" w:space="0" w:color="auto"/>
                <w:right w:val="none" w:sz="0" w:space="0" w:color="auto"/>
              </w:divBdr>
            </w:div>
            <w:div w:id="630945716">
              <w:marLeft w:val="0"/>
              <w:marRight w:val="0"/>
              <w:marTop w:val="0"/>
              <w:marBottom w:val="0"/>
              <w:divBdr>
                <w:top w:val="none" w:sz="0" w:space="0" w:color="auto"/>
                <w:left w:val="none" w:sz="0" w:space="0" w:color="auto"/>
                <w:bottom w:val="none" w:sz="0" w:space="0" w:color="auto"/>
                <w:right w:val="none" w:sz="0" w:space="0" w:color="auto"/>
              </w:divBdr>
            </w:div>
            <w:div w:id="1448428092">
              <w:marLeft w:val="0"/>
              <w:marRight w:val="0"/>
              <w:marTop w:val="0"/>
              <w:marBottom w:val="0"/>
              <w:divBdr>
                <w:top w:val="none" w:sz="0" w:space="0" w:color="auto"/>
                <w:left w:val="none" w:sz="0" w:space="0" w:color="auto"/>
                <w:bottom w:val="none" w:sz="0" w:space="0" w:color="auto"/>
                <w:right w:val="none" w:sz="0" w:space="0" w:color="auto"/>
              </w:divBdr>
            </w:div>
            <w:div w:id="1982152890">
              <w:marLeft w:val="0"/>
              <w:marRight w:val="0"/>
              <w:marTop w:val="0"/>
              <w:marBottom w:val="0"/>
              <w:divBdr>
                <w:top w:val="none" w:sz="0" w:space="0" w:color="auto"/>
                <w:left w:val="none" w:sz="0" w:space="0" w:color="auto"/>
                <w:bottom w:val="none" w:sz="0" w:space="0" w:color="auto"/>
                <w:right w:val="none" w:sz="0" w:space="0" w:color="auto"/>
              </w:divBdr>
              <w:divsChild>
                <w:div w:id="262306628">
                  <w:marLeft w:val="240"/>
                  <w:marRight w:val="0"/>
                  <w:marTop w:val="60"/>
                  <w:marBottom w:val="60"/>
                  <w:divBdr>
                    <w:top w:val="none" w:sz="0" w:space="0" w:color="auto"/>
                    <w:left w:val="none" w:sz="0" w:space="0" w:color="auto"/>
                    <w:bottom w:val="none" w:sz="0" w:space="0" w:color="auto"/>
                    <w:right w:val="none" w:sz="0" w:space="0" w:color="auto"/>
                  </w:divBdr>
                  <w:divsChild>
                    <w:div w:id="132253864">
                      <w:marLeft w:val="0"/>
                      <w:marRight w:val="0"/>
                      <w:marTop w:val="0"/>
                      <w:marBottom w:val="0"/>
                      <w:divBdr>
                        <w:top w:val="none" w:sz="0" w:space="0" w:color="auto"/>
                        <w:left w:val="none" w:sz="0" w:space="0" w:color="auto"/>
                        <w:bottom w:val="none" w:sz="0" w:space="0" w:color="auto"/>
                        <w:right w:val="none" w:sz="0" w:space="0" w:color="auto"/>
                      </w:divBdr>
                    </w:div>
                  </w:divsChild>
                </w:div>
                <w:div w:id="272135079">
                  <w:marLeft w:val="240"/>
                  <w:marRight w:val="0"/>
                  <w:marTop w:val="60"/>
                  <w:marBottom w:val="60"/>
                  <w:divBdr>
                    <w:top w:val="none" w:sz="0" w:space="0" w:color="auto"/>
                    <w:left w:val="none" w:sz="0" w:space="0" w:color="auto"/>
                    <w:bottom w:val="none" w:sz="0" w:space="0" w:color="auto"/>
                    <w:right w:val="none" w:sz="0" w:space="0" w:color="auto"/>
                  </w:divBdr>
                  <w:divsChild>
                    <w:div w:id="14039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18120">
              <w:marLeft w:val="0"/>
              <w:marRight w:val="0"/>
              <w:marTop w:val="0"/>
              <w:marBottom w:val="0"/>
              <w:divBdr>
                <w:top w:val="none" w:sz="0" w:space="0" w:color="auto"/>
                <w:left w:val="none" w:sz="0" w:space="0" w:color="auto"/>
                <w:bottom w:val="none" w:sz="0" w:space="0" w:color="auto"/>
                <w:right w:val="none" w:sz="0" w:space="0" w:color="auto"/>
              </w:divBdr>
            </w:div>
            <w:div w:id="1725370008">
              <w:marLeft w:val="0"/>
              <w:marRight w:val="0"/>
              <w:marTop w:val="0"/>
              <w:marBottom w:val="0"/>
              <w:divBdr>
                <w:top w:val="none" w:sz="0" w:space="0" w:color="auto"/>
                <w:left w:val="none" w:sz="0" w:space="0" w:color="auto"/>
                <w:bottom w:val="none" w:sz="0" w:space="0" w:color="auto"/>
                <w:right w:val="none" w:sz="0" w:space="0" w:color="auto"/>
              </w:divBdr>
            </w:div>
            <w:div w:id="1851288933">
              <w:marLeft w:val="0"/>
              <w:marRight w:val="0"/>
              <w:marTop w:val="0"/>
              <w:marBottom w:val="0"/>
              <w:divBdr>
                <w:top w:val="none" w:sz="0" w:space="0" w:color="auto"/>
                <w:left w:val="none" w:sz="0" w:space="0" w:color="auto"/>
                <w:bottom w:val="none" w:sz="0" w:space="0" w:color="auto"/>
                <w:right w:val="none" w:sz="0" w:space="0" w:color="auto"/>
              </w:divBdr>
            </w:div>
          </w:divsChild>
        </w:div>
        <w:div w:id="2132242515">
          <w:marLeft w:val="0"/>
          <w:marRight w:val="0"/>
          <w:marTop w:val="0"/>
          <w:marBottom w:val="0"/>
          <w:divBdr>
            <w:top w:val="none" w:sz="0" w:space="0" w:color="auto"/>
            <w:left w:val="none" w:sz="0" w:space="0" w:color="auto"/>
            <w:bottom w:val="none" w:sz="0" w:space="0" w:color="auto"/>
            <w:right w:val="none" w:sz="0" w:space="0" w:color="auto"/>
          </w:divBdr>
          <w:divsChild>
            <w:div w:id="1807891587">
              <w:marLeft w:val="0"/>
              <w:marRight w:val="0"/>
              <w:marTop w:val="0"/>
              <w:marBottom w:val="0"/>
              <w:divBdr>
                <w:top w:val="none" w:sz="0" w:space="0" w:color="auto"/>
                <w:left w:val="none" w:sz="0" w:space="0" w:color="auto"/>
                <w:bottom w:val="none" w:sz="0" w:space="0" w:color="auto"/>
                <w:right w:val="none" w:sz="0" w:space="0" w:color="auto"/>
              </w:divBdr>
            </w:div>
          </w:divsChild>
        </w:div>
        <w:div w:id="1748762674">
          <w:marLeft w:val="0"/>
          <w:marRight w:val="0"/>
          <w:marTop w:val="0"/>
          <w:marBottom w:val="0"/>
          <w:divBdr>
            <w:top w:val="none" w:sz="0" w:space="0" w:color="auto"/>
            <w:left w:val="none" w:sz="0" w:space="0" w:color="auto"/>
            <w:bottom w:val="none" w:sz="0" w:space="0" w:color="auto"/>
            <w:right w:val="none" w:sz="0" w:space="0" w:color="auto"/>
          </w:divBdr>
          <w:divsChild>
            <w:div w:id="1022630924">
              <w:marLeft w:val="0"/>
              <w:marRight w:val="0"/>
              <w:marTop w:val="0"/>
              <w:marBottom w:val="0"/>
              <w:divBdr>
                <w:top w:val="none" w:sz="0" w:space="0" w:color="auto"/>
                <w:left w:val="none" w:sz="0" w:space="0" w:color="auto"/>
                <w:bottom w:val="none" w:sz="0" w:space="0" w:color="auto"/>
                <w:right w:val="none" w:sz="0" w:space="0" w:color="auto"/>
              </w:divBdr>
            </w:div>
            <w:div w:id="186988917">
              <w:marLeft w:val="0"/>
              <w:marRight w:val="0"/>
              <w:marTop w:val="0"/>
              <w:marBottom w:val="0"/>
              <w:divBdr>
                <w:top w:val="none" w:sz="0" w:space="0" w:color="auto"/>
                <w:left w:val="none" w:sz="0" w:space="0" w:color="auto"/>
                <w:bottom w:val="none" w:sz="0" w:space="0" w:color="auto"/>
                <w:right w:val="none" w:sz="0" w:space="0" w:color="auto"/>
              </w:divBdr>
              <w:divsChild>
                <w:div w:id="73476274">
                  <w:marLeft w:val="240"/>
                  <w:marRight w:val="0"/>
                  <w:marTop w:val="60"/>
                  <w:marBottom w:val="60"/>
                  <w:divBdr>
                    <w:top w:val="none" w:sz="0" w:space="0" w:color="auto"/>
                    <w:left w:val="none" w:sz="0" w:space="0" w:color="auto"/>
                    <w:bottom w:val="none" w:sz="0" w:space="0" w:color="auto"/>
                    <w:right w:val="none" w:sz="0" w:space="0" w:color="auto"/>
                  </w:divBdr>
                  <w:divsChild>
                    <w:div w:id="152917218">
                      <w:marLeft w:val="0"/>
                      <w:marRight w:val="0"/>
                      <w:marTop w:val="0"/>
                      <w:marBottom w:val="0"/>
                      <w:divBdr>
                        <w:top w:val="none" w:sz="0" w:space="0" w:color="auto"/>
                        <w:left w:val="none" w:sz="0" w:space="0" w:color="auto"/>
                        <w:bottom w:val="none" w:sz="0" w:space="0" w:color="auto"/>
                        <w:right w:val="none" w:sz="0" w:space="0" w:color="auto"/>
                      </w:divBdr>
                    </w:div>
                  </w:divsChild>
                </w:div>
                <w:div w:id="2025472395">
                  <w:marLeft w:val="240"/>
                  <w:marRight w:val="0"/>
                  <w:marTop w:val="60"/>
                  <w:marBottom w:val="60"/>
                  <w:divBdr>
                    <w:top w:val="none" w:sz="0" w:space="0" w:color="auto"/>
                    <w:left w:val="none" w:sz="0" w:space="0" w:color="auto"/>
                    <w:bottom w:val="none" w:sz="0" w:space="0" w:color="auto"/>
                    <w:right w:val="none" w:sz="0" w:space="0" w:color="auto"/>
                  </w:divBdr>
                  <w:divsChild>
                    <w:div w:id="11175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4714">
              <w:marLeft w:val="0"/>
              <w:marRight w:val="0"/>
              <w:marTop w:val="0"/>
              <w:marBottom w:val="0"/>
              <w:divBdr>
                <w:top w:val="none" w:sz="0" w:space="0" w:color="auto"/>
                <w:left w:val="none" w:sz="0" w:space="0" w:color="auto"/>
                <w:bottom w:val="none" w:sz="0" w:space="0" w:color="auto"/>
                <w:right w:val="none" w:sz="0" w:space="0" w:color="auto"/>
              </w:divBdr>
            </w:div>
          </w:divsChild>
        </w:div>
        <w:div w:id="1463961020">
          <w:marLeft w:val="0"/>
          <w:marRight w:val="0"/>
          <w:marTop w:val="0"/>
          <w:marBottom w:val="0"/>
          <w:divBdr>
            <w:top w:val="none" w:sz="0" w:space="0" w:color="auto"/>
            <w:left w:val="none" w:sz="0" w:space="0" w:color="auto"/>
            <w:bottom w:val="none" w:sz="0" w:space="0" w:color="auto"/>
            <w:right w:val="none" w:sz="0" w:space="0" w:color="auto"/>
          </w:divBdr>
          <w:divsChild>
            <w:div w:id="1493372421">
              <w:marLeft w:val="0"/>
              <w:marRight w:val="0"/>
              <w:marTop w:val="0"/>
              <w:marBottom w:val="0"/>
              <w:divBdr>
                <w:top w:val="none" w:sz="0" w:space="0" w:color="auto"/>
                <w:left w:val="none" w:sz="0" w:space="0" w:color="auto"/>
                <w:bottom w:val="none" w:sz="0" w:space="0" w:color="auto"/>
                <w:right w:val="none" w:sz="0" w:space="0" w:color="auto"/>
              </w:divBdr>
              <w:divsChild>
                <w:div w:id="809632463">
                  <w:marLeft w:val="240"/>
                  <w:marRight w:val="0"/>
                  <w:marTop w:val="60"/>
                  <w:marBottom w:val="60"/>
                  <w:divBdr>
                    <w:top w:val="none" w:sz="0" w:space="0" w:color="auto"/>
                    <w:left w:val="none" w:sz="0" w:space="0" w:color="auto"/>
                    <w:bottom w:val="none" w:sz="0" w:space="0" w:color="auto"/>
                    <w:right w:val="none" w:sz="0" w:space="0" w:color="auto"/>
                  </w:divBdr>
                  <w:divsChild>
                    <w:div w:id="1934626141">
                      <w:marLeft w:val="0"/>
                      <w:marRight w:val="0"/>
                      <w:marTop w:val="0"/>
                      <w:marBottom w:val="0"/>
                      <w:divBdr>
                        <w:top w:val="none" w:sz="0" w:space="0" w:color="auto"/>
                        <w:left w:val="none" w:sz="0" w:space="0" w:color="auto"/>
                        <w:bottom w:val="none" w:sz="0" w:space="0" w:color="auto"/>
                        <w:right w:val="none" w:sz="0" w:space="0" w:color="auto"/>
                      </w:divBdr>
                    </w:div>
                  </w:divsChild>
                </w:div>
                <w:div w:id="1796101588">
                  <w:marLeft w:val="240"/>
                  <w:marRight w:val="0"/>
                  <w:marTop w:val="60"/>
                  <w:marBottom w:val="60"/>
                  <w:divBdr>
                    <w:top w:val="none" w:sz="0" w:space="0" w:color="auto"/>
                    <w:left w:val="none" w:sz="0" w:space="0" w:color="auto"/>
                    <w:bottom w:val="none" w:sz="0" w:space="0" w:color="auto"/>
                    <w:right w:val="none" w:sz="0" w:space="0" w:color="auto"/>
                  </w:divBdr>
                  <w:divsChild>
                    <w:div w:id="12962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932">
          <w:marLeft w:val="0"/>
          <w:marRight w:val="0"/>
          <w:marTop w:val="0"/>
          <w:marBottom w:val="0"/>
          <w:divBdr>
            <w:top w:val="none" w:sz="0" w:space="0" w:color="auto"/>
            <w:left w:val="none" w:sz="0" w:space="0" w:color="auto"/>
            <w:bottom w:val="none" w:sz="0" w:space="0" w:color="auto"/>
            <w:right w:val="none" w:sz="0" w:space="0" w:color="auto"/>
          </w:divBdr>
          <w:divsChild>
            <w:div w:id="1496216325">
              <w:marLeft w:val="0"/>
              <w:marRight w:val="0"/>
              <w:marTop w:val="0"/>
              <w:marBottom w:val="0"/>
              <w:divBdr>
                <w:top w:val="none" w:sz="0" w:space="0" w:color="auto"/>
                <w:left w:val="none" w:sz="0" w:space="0" w:color="auto"/>
                <w:bottom w:val="none" w:sz="0" w:space="0" w:color="auto"/>
                <w:right w:val="none" w:sz="0" w:space="0" w:color="auto"/>
              </w:divBdr>
            </w:div>
          </w:divsChild>
        </w:div>
        <w:div w:id="423382089">
          <w:marLeft w:val="0"/>
          <w:marRight w:val="0"/>
          <w:marTop w:val="0"/>
          <w:marBottom w:val="0"/>
          <w:divBdr>
            <w:top w:val="none" w:sz="0" w:space="0" w:color="auto"/>
            <w:left w:val="none" w:sz="0" w:space="0" w:color="auto"/>
            <w:bottom w:val="none" w:sz="0" w:space="0" w:color="auto"/>
            <w:right w:val="none" w:sz="0" w:space="0" w:color="auto"/>
          </w:divBdr>
          <w:divsChild>
            <w:div w:id="511142177">
              <w:marLeft w:val="0"/>
              <w:marRight w:val="0"/>
              <w:marTop w:val="0"/>
              <w:marBottom w:val="0"/>
              <w:divBdr>
                <w:top w:val="none" w:sz="0" w:space="0" w:color="auto"/>
                <w:left w:val="none" w:sz="0" w:space="0" w:color="auto"/>
                <w:bottom w:val="none" w:sz="0" w:space="0" w:color="auto"/>
                <w:right w:val="none" w:sz="0" w:space="0" w:color="auto"/>
              </w:divBdr>
            </w:div>
            <w:div w:id="1163087552">
              <w:marLeft w:val="0"/>
              <w:marRight w:val="0"/>
              <w:marTop w:val="0"/>
              <w:marBottom w:val="0"/>
              <w:divBdr>
                <w:top w:val="none" w:sz="0" w:space="0" w:color="auto"/>
                <w:left w:val="none" w:sz="0" w:space="0" w:color="auto"/>
                <w:bottom w:val="none" w:sz="0" w:space="0" w:color="auto"/>
                <w:right w:val="none" w:sz="0" w:space="0" w:color="auto"/>
              </w:divBdr>
            </w:div>
            <w:div w:id="1064064847">
              <w:marLeft w:val="0"/>
              <w:marRight w:val="0"/>
              <w:marTop w:val="0"/>
              <w:marBottom w:val="0"/>
              <w:divBdr>
                <w:top w:val="none" w:sz="0" w:space="0" w:color="auto"/>
                <w:left w:val="none" w:sz="0" w:space="0" w:color="auto"/>
                <w:bottom w:val="none" w:sz="0" w:space="0" w:color="auto"/>
                <w:right w:val="none" w:sz="0" w:space="0" w:color="auto"/>
              </w:divBdr>
            </w:div>
          </w:divsChild>
        </w:div>
        <w:div w:id="1396509957">
          <w:marLeft w:val="0"/>
          <w:marRight w:val="0"/>
          <w:marTop w:val="0"/>
          <w:marBottom w:val="0"/>
          <w:divBdr>
            <w:top w:val="none" w:sz="0" w:space="0" w:color="auto"/>
            <w:left w:val="none" w:sz="0" w:space="0" w:color="auto"/>
            <w:bottom w:val="none" w:sz="0" w:space="0" w:color="auto"/>
            <w:right w:val="none" w:sz="0" w:space="0" w:color="auto"/>
          </w:divBdr>
          <w:divsChild>
            <w:div w:id="1041831321">
              <w:marLeft w:val="0"/>
              <w:marRight w:val="0"/>
              <w:marTop w:val="0"/>
              <w:marBottom w:val="0"/>
              <w:divBdr>
                <w:top w:val="none" w:sz="0" w:space="0" w:color="auto"/>
                <w:left w:val="none" w:sz="0" w:space="0" w:color="auto"/>
                <w:bottom w:val="none" w:sz="0" w:space="0" w:color="auto"/>
                <w:right w:val="none" w:sz="0" w:space="0" w:color="auto"/>
              </w:divBdr>
            </w:div>
            <w:div w:id="548806780">
              <w:marLeft w:val="0"/>
              <w:marRight w:val="0"/>
              <w:marTop w:val="0"/>
              <w:marBottom w:val="0"/>
              <w:divBdr>
                <w:top w:val="none" w:sz="0" w:space="0" w:color="auto"/>
                <w:left w:val="none" w:sz="0" w:space="0" w:color="auto"/>
                <w:bottom w:val="none" w:sz="0" w:space="0" w:color="auto"/>
                <w:right w:val="none" w:sz="0" w:space="0" w:color="auto"/>
              </w:divBdr>
            </w:div>
            <w:div w:id="1023441517">
              <w:marLeft w:val="0"/>
              <w:marRight w:val="0"/>
              <w:marTop w:val="0"/>
              <w:marBottom w:val="0"/>
              <w:divBdr>
                <w:top w:val="none" w:sz="0" w:space="0" w:color="auto"/>
                <w:left w:val="none" w:sz="0" w:space="0" w:color="auto"/>
                <w:bottom w:val="none" w:sz="0" w:space="0" w:color="auto"/>
                <w:right w:val="none" w:sz="0" w:space="0" w:color="auto"/>
              </w:divBdr>
            </w:div>
          </w:divsChild>
        </w:div>
        <w:div w:id="1264460637">
          <w:marLeft w:val="0"/>
          <w:marRight w:val="0"/>
          <w:marTop w:val="0"/>
          <w:marBottom w:val="0"/>
          <w:divBdr>
            <w:top w:val="none" w:sz="0" w:space="0" w:color="auto"/>
            <w:left w:val="none" w:sz="0" w:space="0" w:color="auto"/>
            <w:bottom w:val="none" w:sz="0" w:space="0" w:color="auto"/>
            <w:right w:val="none" w:sz="0" w:space="0" w:color="auto"/>
          </w:divBdr>
          <w:divsChild>
            <w:div w:id="1959682277">
              <w:marLeft w:val="0"/>
              <w:marRight w:val="0"/>
              <w:marTop w:val="0"/>
              <w:marBottom w:val="0"/>
              <w:divBdr>
                <w:top w:val="none" w:sz="0" w:space="0" w:color="auto"/>
                <w:left w:val="none" w:sz="0" w:space="0" w:color="auto"/>
                <w:bottom w:val="none" w:sz="0" w:space="0" w:color="auto"/>
                <w:right w:val="none" w:sz="0" w:space="0" w:color="auto"/>
              </w:divBdr>
            </w:div>
            <w:div w:id="1174765392">
              <w:marLeft w:val="0"/>
              <w:marRight w:val="0"/>
              <w:marTop w:val="0"/>
              <w:marBottom w:val="0"/>
              <w:divBdr>
                <w:top w:val="none" w:sz="0" w:space="0" w:color="auto"/>
                <w:left w:val="none" w:sz="0" w:space="0" w:color="auto"/>
                <w:bottom w:val="none" w:sz="0" w:space="0" w:color="auto"/>
                <w:right w:val="none" w:sz="0" w:space="0" w:color="auto"/>
              </w:divBdr>
            </w:div>
          </w:divsChild>
        </w:div>
        <w:div w:id="594361415">
          <w:marLeft w:val="0"/>
          <w:marRight w:val="0"/>
          <w:marTop w:val="0"/>
          <w:marBottom w:val="0"/>
          <w:divBdr>
            <w:top w:val="none" w:sz="0" w:space="0" w:color="auto"/>
            <w:left w:val="none" w:sz="0" w:space="0" w:color="auto"/>
            <w:bottom w:val="none" w:sz="0" w:space="0" w:color="auto"/>
            <w:right w:val="none" w:sz="0" w:space="0" w:color="auto"/>
          </w:divBdr>
          <w:divsChild>
            <w:div w:id="2041929653">
              <w:marLeft w:val="0"/>
              <w:marRight w:val="0"/>
              <w:marTop w:val="0"/>
              <w:marBottom w:val="0"/>
              <w:divBdr>
                <w:top w:val="none" w:sz="0" w:space="0" w:color="auto"/>
                <w:left w:val="none" w:sz="0" w:space="0" w:color="auto"/>
                <w:bottom w:val="none" w:sz="0" w:space="0" w:color="auto"/>
                <w:right w:val="none" w:sz="0" w:space="0" w:color="auto"/>
              </w:divBdr>
              <w:divsChild>
                <w:div w:id="1183131285">
                  <w:marLeft w:val="240"/>
                  <w:marRight w:val="0"/>
                  <w:marTop w:val="60"/>
                  <w:marBottom w:val="60"/>
                  <w:divBdr>
                    <w:top w:val="none" w:sz="0" w:space="0" w:color="auto"/>
                    <w:left w:val="none" w:sz="0" w:space="0" w:color="auto"/>
                    <w:bottom w:val="none" w:sz="0" w:space="0" w:color="auto"/>
                    <w:right w:val="none" w:sz="0" w:space="0" w:color="auto"/>
                  </w:divBdr>
                  <w:divsChild>
                    <w:div w:id="1068958305">
                      <w:marLeft w:val="0"/>
                      <w:marRight w:val="0"/>
                      <w:marTop w:val="0"/>
                      <w:marBottom w:val="0"/>
                      <w:divBdr>
                        <w:top w:val="none" w:sz="0" w:space="0" w:color="auto"/>
                        <w:left w:val="none" w:sz="0" w:space="0" w:color="auto"/>
                        <w:bottom w:val="none" w:sz="0" w:space="0" w:color="auto"/>
                        <w:right w:val="none" w:sz="0" w:space="0" w:color="auto"/>
                      </w:divBdr>
                    </w:div>
                  </w:divsChild>
                </w:div>
                <w:div w:id="1041832151">
                  <w:marLeft w:val="240"/>
                  <w:marRight w:val="0"/>
                  <w:marTop w:val="60"/>
                  <w:marBottom w:val="60"/>
                  <w:divBdr>
                    <w:top w:val="none" w:sz="0" w:space="0" w:color="auto"/>
                    <w:left w:val="none" w:sz="0" w:space="0" w:color="auto"/>
                    <w:bottom w:val="none" w:sz="0" w:space="0" w:color="auto"/>
                    <w:right w:val="none" w:sz="0" w:space="0" w:color="auto"/>
                  </w:divBdr>
                  <w:divsChild>
                    <w:div w:id="7337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4753">
              <w:marLeft w:val="0"/>
              <w:marRight w:val="0"/>
              <w:marTop w:val="0"/>
              <w:marBottom w:val="0"/>
              <w:divBdr>
                <w:top w:val="none" w:sz="0" w:space="0" w:color="auto"/>
                <w:left w:val="none" w:sz="0" w:space="0" w:color="auto"/>
                <w:bottom w:val="none" w:sz="0" w:space="0" w:color="auto"/>
                <w:right w:val="none" w:sz="0" w:space="0" w:color="auto"/>
              </w:divBdr>
            </w:div>
          </w:divsChild>
        </w:div>
        <w:div w:id="1454514360">
          <w:marLeft w:val="0"/>
          <w:marRight w:val="0"/>
          <w:marTop w:val="0"/>
          <w:marBottom w:val="0"/>
          <w:divBdr>
            <w:top w:val="none" w:sz="0" w:space="0" w:color="auto"/>
            <w:left w:val="none" w:sz="0" w:space="0" w:color="auto"/>
            <w:bottom w:val="none" w:sz="0" w:space="0" w:color="auto"/>
            <w:right w:val="none" w:sz="0" w:space="0" w:color="auto"/>
          </w:divBdr>
          <w:divsChild>
            <w:div w:id="1785347330">
              <w:marLeft w:val="0"/>
              <w:marRight w:val="0"/>
              <w:marTop w:val="0"/>
              <w:marBottom w:val="0"/>
              <w:divBdr>
                <w:top w:val="none" w:sz="0" w:space="0" w:color="auto"/>
                <w:left w:val="none" w:sz="0" w:space="0" w:color="auto"/>
                <w:bottom w:val="none" w:sz="0" w:space="0" w:color="auto"/>
                <w:right w:val="none" w:sz="0" w:space="0" w:color="auto"/>
              </w:divBdr>
              <w:divsChild>
                <w:div w:id="1140465229">
                  <w:marLeft w:val="240"/>
                  <w:marRight w:val="0"/>
                  <w:marTop w:val="60"/>
                  <w:marBottom w:val="60"/>
                  <w:divBdr>
                    <w:top w:val="none" w:sz="0" w:space="0" w:color="auto"/>
                    <w:left w:val="none" w:sz="0" w:space="0" w:color="auto"/>
                    <w:bottom w:val="none" w:sz="0" w:space="0" w:color="auto"/>
                    <w:right w:val="none" w:sz="0" w:space="0" w:color="auto"/>
                  </w:divBdr>
                  <w:divsChild>
                    <w:div w:id="145241117">
                      <w:marLeft w:val="0"/>
                      <w:marRight w:val="0"/>
                      <w:marTop w:val="0"/>
                      <w:marBottom w:val="0"/>
                      <w:divBdr>
                        <w:top w:val="none" w:sz="0" w:space="0" w:color="auto"/>
                        <w:left w:val="none" w:sz="0" w:space="0" w:color="auto"/>
                        <w:bottom w:val="none" w:sz="0" w:space="0" w:color="auto"/>
                        <w:right w:val="none" w:sz="0" w:space="0" w:color="auto"/>
                      </w:divBdr>
                    </w:div>
                  </w:divsChild>
                </w:div>
                <w:div w:id="819274218">
                  <w:marLeft w:val="240"/>
                  <w:marRight w:val="0"/>
                  <w:marTop w:val="60"/>
                  <w:marBottom w:val="60"/>
                  <w:divBdr>
                    <w:top w:val="none" w:sz="0" w:space="0" w:color="auto"/>
                    <w:left w:val="none" w:sz="0" w:space="0" w:color="auto"/>
                    <w:bottom w:val="none" w:sz="0" w:space="0" w:color="auto"/>
                    <w:right w:val="none" w:sz="0" w:space="0" w:color="auto"/>
                  </w:divBdr>
                  <w:divsChild>
                    <w:div w:id="156308186">
                      <w:marLeft w:val="0"/>
                      <w:marRight w:val="0"/>
                      <w:marTop w:val="0"/>
                      <w:marBottom w:val="0"/>
                      <w:divBdr>
                        <w:top w:val="none" w:sz="0" w:space="0" w:color="auto"/>
                        <w:left w:val="none" w:sz="0" w:space="0" w:color="auto"/>
                        <w:bottom w:val="none" w:sz="0" w:space="0" w:color="auto"/>
                        <w:right w:val="none" w:sz="0" w:space="0" w:color="auto"/>
                      </w:divBdr>
                    </w:div>
                  </w:divsChild>
                </w:div>
                <w:div w:id="1657030127">
                  <w:marLeft w:val="240"/>
                  <w:marRight w:val="0"/>
                  <w:marTop w:val="60"/>
                  <w:marBottom w:val="60"/>
                  <w:divBdr>
                    <w:top w:val="none" w:sz="0" w:space="0" w:color="auto"/>
                    <w:left w:val="none" w:sz="0" w:space="0" w:color="auto"/>
                    <w:bottom w:val="none" w:sz="0" w:space="0" w:color="auto"/>
                    <w:right w:val="none" w:sz="0" w:space="0" w:color="auto"/>
                  </w:divBdr>
                  <w:divsChild>
                    <w:div w:id="599291414">
                      <w:marLeft w:val="0"/>
                      <w:marRight w:val="0"/>
                      <w:marTop w:val="0"/>
                      <w:marBottom w:val="0"/>
                      <w:divBdr>
                        <w:top w:val="none" w:sz="0" w:space="0" w:color="auto"/>
                        <w:left w:val="none" w:sz="0" w:space="0" w:color="auto"/>
                        <w:bottom w:val="none" w:sz="0" w:space="0" w:color="auto"/>
                        <w:right w:val="none" w:sz="0" w:space="0" w:color="auto"/>
                      </w:divBdr>
                    </w:div>
                  </w:divsChild>
                </w:div>
                <w:div w:id="1280867900">
                  <w:marLeft w:val="240"/>
                  <w:marRight w:val="0"/>
                  <w:marTop w:val="60"/>
                  <w:marBottom w:val="60"/>
                  <w:divBdr>
                    <w:top w:val="none" w:sz="0" w:space="0" w:color="auto"/>
                    <w:left w:val="none" w:sz="0" w:space="0" w:color="auto"/>
                    <w:bottom w:val="none" w:sz="0" w:space="0" w:color="auto"/>
                    <w:right w:val="none" w:sz="0" w:space="0" w:color="auto"/>
                  </w:divBdr>
                  <w:divsChild>
                    <w:div w:id="288434451">
                      <w:marLeft w:val="0"/>
                      <w:marRight w:val="0"/>
                      <w:marTop w:val="0"/>
                      <w:marBottom w:val="0"/>
                      <w:divBdr>
                        <w:top w:val="none" w:sz="0" w:space="0" w:color="auto"/>
                        <w:left w:val="none" w:sz="0" w:space="0" w:color="auto"/>
                        <w:bottom w:val="none" w:sz="0" w:space="0" w:color="auto"/>
                        <w:right w:val="none" w:sz="0" w:space="0" w:color="auto"/>
                      </w:divBdr>
                    </w:div>
                  </w:divsChild>
                </w:div>
                <w:div w:id="1689520715">
                  <w:marLeft w:val="240"/>
                  <w:marRight w:val="0"/>
                  <w:marTop w:val="60"/>
                  <w:marBottom w:val="60"/>
                  <w:divBdr>
                    <w:top w:val="none" w:sz="0" w:space="0" w:color="auto"/>
                    <w:left w:val="none" w:sz="0" w:space="0" w:color="auto"/>
                    <w:bottom w:val="none" w:sz="0" w:space="0" w:color="auto"/>
                    <w:right w:val="none" w:sz="0" w:space="0" w:color="auto"/>
                  </w:divBdr>
                  <w:divsChild>
                    <w:div w:id="17240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6895">
              <w:marLeft w:val="0"/>
              <w:marRight w:val="0"/>
              <w:marTop w:val="0"/>
              <w:marBottom w:val="0"/>
              <w:divBdr>
                <w:top w:val="none" w:sz="0" w:space="0" w:color="auto"/>
                <w:left w:val="none" w:sz="0" w:space="0" w:color="auto"/>
                <w:bottom w:val="none" w:sz="0" w:space="0" w:color="auto"/>
                <w:right w:val="none" w:sz="0" w:space="0" w:color="auto"/>
              </w:divBdr>
            </w:div>
            <w:div w:id="1065909029">
              <w:marLeft w:val="0"/>
              <w:marRight w:val="0"/>
              <w:marTop w:val="0"/>
              <w:marBottom w:val="0"/>
              <w:divBdr>
                <w:top w:val="none" w:sz="0" w:space="0" w:color="auto"/>
                <w:left w:val="none" w:sz="0" w:space="0" w:color="auto"/>
                <w:bottom w:val="none" w:sz="0" w:space="0" w:color="auto"/>
                <w:right w:val="none" w:sz="0" w:space="0" w:color="auto"/>
              </w:divBdr>
            </w:div>
          </w:divsChild>
        </w:div>
        <w:div w:id="240339593">
          <w:marLeft w:val="0"/>
          <w:marRight w:val="0"/>
          <w:marTop w:val="0"/>
          <w:marBottom w:val="0"/>
          <w:divBdr>
            <w:top w:val="none" w:sz="0" w:space="0" w:color="auto"/>
            <w:left w:val="none" w:sz="0" w:space="0" w:color="auto"/>
            <w:bottom w:val="none" w:sz="0" w:space="0" w:color="auto"/>
            <w:right w:val="none" w:sz="0" w:space="0" w:color="auto"/>
          </w:divBdr>
          <w:divsChild>
            <w:div w:id="931595131">
              <w:marLeft w:val="0"/>
              <w:marRight w:val="0"/>
              <w:marTop w:val="0"/>
              <w:marBottom w:val="0"/>
              <w:divBdr>
                <w:top w:val="none" w:sz="0" w:space="0" w:color="auto"/>
                <w:left w:val="none" w:sz="0" w:space="0" w:color="auto"/>
                <w:bottom w:val="none" w:sz="0" w:space="0" w:color="auto"/>
                <w:right w:val="none" w:sz="0" w:space="0" w:color="auto"/>
              </w:divBdr>
            </w:div>
          </w:divsChild>
        </w:div>
        <w:div w:id="915016096">
          <w:marLeft w:val="0"/>
          <w:marRight w:val="0"/>
          <w:marTop w:val="0"/>
          <w:marBottom w:val="0"/>
          <w:divBdr>
            <w:top w:val="none" w:sz="0" w:space="0" w:color="auto"/>
            <w:left w:val="none" w:sz="0" w:space="0" w:color="auto"/>
            <w:bottom w:val="none" w:sz="0" w:space="0" w:color="auto"/>
            <w:right w:val="none" w:sz="0" w:space="0" w:color="auto"/>
          </w:divBdr>
          <w:divsChild>
            <w:div w:id="238056236">
              <w:marLeft w:val="0"/>
              <w:marRight w:val="0"/>
              <w:marTop w:val="0"/>
              <w:marBottom w:val="0"/>
              <w:divBdr>
                <w:top w:val="none" w:sz="0" w:space="0" w:color="auto"/>
                <w:left w:val="none" w:sz="0" w:space="0" w:color="auto"/>
                <w:bottom w:val="none" w:sz="0" w:space="0" w:color="auto"/>
                <w:right w:val="none" w:sz="0" w:space="0" w:color="auto"/>
              </w:divBdr>
            </w:div>
            <w:div w:id="254171701">
              <w:marLeft w:val="0"/>
              <w:marRight w:val="0"/>
              <w:marTop w:val="0"/>
              <w:marBottom w:val="0"/>
              <w:divBdr>
                <w:top w:val="none" w:sz="0" w:space="0" w:color="auto"/>
                <w:left w:val="none" w:sz="0" w:space="0" w:color="auto"/>
                <w:bottom w:val="none" w:sz="0" w:space="0" w:color="auto"/>
                <w:right w:val="none" w:sz="0" w:space="0" w:color="auto"/>
              </w:divBdr>
            </w:div>
          </w:divsChild>
        </w:div>
        <w:div w:id="1225144623">
          <w:marLeft w:val="0"/>
          <w:marRight w:val="0"/>
          <w:marTop w:val="0"/>
          <w:marBottom w:val="0"/>
          <w:divBdr>
            <w:top w:val="none" w:sz="0" w:space="0" w:color="auto"/>
            <w:left w:val="none" w:sz="0" w:space="0" w:color="auto"/>
            <w:bottom w:val="none" w:sz="0" w:space="0" w:color="auto"/>
            <w:right w:val="none" w:sz="0" w:space="0" w:color="auto"/>
          </w:divBdr>
          <w:divsChild>
            <w:div w:id="1169902629">
              <w:marLeft w:val="0"/>
              <w:marRight w:val="0"/>
              <w:marTop w:val="0"/>
              <w:marBottom w:val="0"/>
              <w:divBdr>
                <w:top w:val="none" w:sz="0" w:space="0" w:color="auto"/>
                <w:left w:val="none" w:sz="0" w:space="0" w:color="auto"/>
                <w:bottom w:val="none" w:sz="0" w:space="0" w:color="auto"/>
                <w:right w:val="none" w:sz="0" w:space="0" w:color="auto"/>
              </w:divBdr>
            </w:div>
          </w:divsChild>
        </w:div>
        <w:div w:id="260997014">
          <w:marLeft w:val="0"/>
          <w:marRight w:val="0"/>
          <w:marTop w:val="0"/>
          <w:marBottom w:val="0"/>
          <w:divBdr>
            <w:top w:val="none" w:sz="0" w:space="0" w:color="auto"/>
            <w:left w:val="none" w:sz="0" w:space="0" w:color="auto"/>
            <w:bottom w:val="none" w:sz="0" w:space="0" w:color="auto"/>
            <w:right w:val="none" w:sz="0" w:space="0" w:color="auto"/>
          </w:divBdr>
          <w:divsChild>
            <w:div w:id="1581062299">
              <w:marLeft w:val="0"/>
              <w:marRight w:val="0"/>
              <w:marTop w:val="0"/>
              <w:marBottom w:val="0"/>
              <w:divBdr>
                <w:top w:val="none" w:sz="0" w:space="0" w:color="auto"/>
                <w:left w:val="none" w:sz="0" w:space="0" w:color="auto"/>
                <w:bottom w:val="none" w:sz="0" w:space="0" w:color="auto"/>
                <w:right w:val="none" w:sz="0" w:space="0" w:color="auto"/>
              </w:divBdr>
            </w:div>
          </w:divsChild>
        </w:div>
        <w:div w:id="934941257">
          <w:marLeft w:val="0"/>
          <w:marRight w:val="0"/>
          <w:marTop w:val="0"/>
          <w:marBottom w:val="0"/>
          <w:divBdr>
            <w:top w:val="none" w:sz="0" w:space="0" w:color="auto"/>
            <w:left w:val="none" w:sz="0" w:space="0" w:color="auto"/>
            <w:bottom w:val="none" w:sz="0" w:space="0" w:color="auto"/>
            <w:right w:val="none" w:sz="0" w:space="0" w:color="auto"/>
          </w:divBdr>
          <w:divsChild>
            <w:div w:id="1489901117">
              <w:marLeft w:val="0"/>
              <w:marRight w:val="0"/>
              <w:marTop w:val="0"/>
              <w:marBottom w:val="0"/>
              <w:divBdr>
                <w:top w:val="none" w:sz="0" w:space="0" w:color="auto"/>
                <w:left w:val="none" w:sz="0" w:space="0" w:color="auto"/>
                <w:bottom w:val="none" w:sz="0" w:space="0" w:color="auto"/>
                <w:right w:val="none" w:sz="0" w:space="0" w:color="auto"/>
              </w:divBdr>
            </w:div>
          </w:divsChild>
        </w:div>
        <w:div w:id="283779366">
          <w:marLeft w:val="0"/>
          <w:marRight w:val="0"/>
          <w:marTop w:val="0"/>
          <w:marBottom w:val="0"/>
          <w:divBdr>
            <w:top w:val="none" w:sz="0" w:space="0" w:color="auto"/>
            <w:left w:val="none" w:sz="0" w:space="0" w:color="auto"/>
            <w:bottom w:val="none" w:sz="0" w:space="0" w:color="auto"/>
            <w:right w:val="none" w:sz="0" w:space="0" w:color="auto"/>
          </w:divBdr>
          <w:divsChild>
            <w:div w:id="89588390">
              <w:marLeft w:val="0"/>
              <w:marRight w:val="0"/>
              <w:marTop w:val="0"/>
              <w:marBottom w:val="0"/>
              <w:divBdr>
                <w:top w:val="none" w:sz="0" w:space="0" w:color="auto"/>
                <w:left w:val="none" w:sz="0" w:space="0" w:color="auto"/>
                <w:bottom w:val="none" w:sz="0" w:space="0" w:color="auto"/>
                <w:right w:val="none" w:sz="0" w:space="0" w:color="auto"/>
              </w:divBdr>
              <w:divsChild>
                <w:div w:id="290526625">
                  <w:marLeft w:val="240"/>
                  <w:marRight w:val="0"/>
                  <w:marTop w:val="60"/>
                  <w:marBottom w:val="60"/>
                  <w:divBdr>
                    <w:top w:val="none" w:sz="0" w:space="0" w:color="auto"/>
                    <w:left w:val="none" w:sz="0" w:space="0" w:color="auto"/>
                    <w:bottom w:val="none" w:sz="0" w:space="0" w:color="auto"/>
                    <w:right w:val="none" w:sz="0" w:space="0" w:color="auto"/>
                  </w:divBdr>
                  <w:divsChild>
                    <w:div w:id="2023894066">
                      <w:marLeft w:val="0"/>
                      <w:marRight w:val="0"/>
                      <w:marTop w:val="0"/>
                      <w:marBottom w:val="0"/>
                      <w:divBdr>
                        <w:top w:val="none" w:sz="0" w:space="0" w:color="auto"/>
                        <w:left w:val="none" w:sz="0" w:space="0" w:color="auto"/>
                        <w:bottom w:val="none" w:sz="0" w:space="0" w:color="auto"/>
                        <w:right w:val="none" w:sz="0" w:space="0" w:color="auto"/>
                      </w:divBdr>
                    </w:div>
                  </w:divsChild>
                </w:div>
                <w:div w:id="1656228616">
                  <w:marLeft w:val="240"/>
                  <w:marRight w:val="0"/>
                  <w:marTop w:val="60"/>
                  <w:marBottom w:val="60"/>
                  <w:divBdr>
                    <w:top w:val="none" w:sz="0" w:space="0" w:color="auto"/>
                    <w:left w:val="none" w:sz="0" w:space="0" w:color="auto"/>
                    <w:bottom w:val="none" w:sz="0" w:space="0" w:color="auto"/>
                    <w:right w:val="none" w:sz="0" w:space="0" w:color="auto"/>
                  </w:divBdr>
                  <w:divsChild>
                    <w:div w:id="1076130303">
                      <w:marLeft w:val="0"/>
                      <w:marRight w:val="0"/>
                      <w:marTop w:val="0"/>
                      <w:marBottom w:val="0"/>
                      <w:divBdr>
                        <w:top w:val="none" w:sz="0" w:space="0" w:color="auto"/>
                        <w:left w:val="none" w:sz="0" w:space="0" w:color="auto"/>
                        <w:bottom w:val="none" w:sz="0" w:space="0" w:color="auto"/>
                        <w:right w:val="none" w:sz="0" w:space="0" w:color="auto"/>
                      </w:divBdr>
                    </w:div>
                  </w:divsChild>
                </w:div>
                <w:div w:id="53700295">
                  <w:marLeft w:val="240"/>
                  <w:marRight w:val="0"/>
                  <w:marTop w:val="60"/>
                  <w:marBottom w:val="60"/>
                  <w:divBdr>
                    <w:top w:val="none" w:sz="0" w:space="0" w:color="auto"/>
                    <w:left w:val="none" w:sz="0" w:space="0" w:color="auto"/>
                    <w:bottom w:val="none" w:sz="0" w:space="0" w:color="auto"/>
                    <w:right w:val="none" w:sz="0" w:space="0" w:color="auto"/>
                  </w:divBdr>
                  <w:divsChild>
                    <w:div w:id="1204518511">
                      <w:marLeft w:val="0"/>
                      <w:marRight w:val="0"/>
                      <w:marTop w:val="0"/>
                      <w:marBottom w:val="0"/>
                      <w:divBdr>
                        <w:top w:val="none" w:sz="0" w:space="0" w:color="auto"/>
                        <w:left w:val="none" w:sz="0" w:space="0" w:color="auto"/>
                        <w:bottom w:val="none" w:sz="0" w:space="0" w:color="auto"/>
                        <w:right w:val="none" w:sz="0" w:space="0" w:color="auto"/>
                      </w:divBdr>
                    </w:div>
                  </w:divsChild>
                </w:div>
                <w:div w:id="123081436">
                  <w:marLeft w:val="240"/>
                  <w:marRight w:val="0"/>
                  <w:marTop w:val="60"/>
                  <w:marBottom w:val="60"/>
                  <w:divBdr>
                    <w:top w:val="none" w:sz="0" w:space="0" w:color="auto"/>
                    <w:left w:val="none" w:sz="0" w:space="0" w:color="auto"/>
                    <w:bottom w:val="none" w:sz="0" w:space="0" w:color="auto"/>
                    <w:right w:val="none" w:sz="0" w:space="0" w:color="auto"/>
                  </w:divBdr>
                  <w:divsChild>
                    <w:div w:id="20235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7994">
          <w:marLeft w:val="0"/>
          <w:marRight w:val="0"/>
          <w:marTop w:val="0"/>
          <w:marBottom w:val="0"/>
          <w:divBdr>
            <w:top w:val="none" w:sz="0" w:space="0" w:color="auto"/>
            <w:left w:val="none" w:sz="0" w:space="0" w:color="auto"/>
            <w:bottom w:val="none" w:sz="0" w:space="0" w:color="auto"/>
            <w:right w:val="none" w:sz="0" w:space="0" w:color="auto"/>
          </w:divBdr>
          <w:divsChild>
            <w:div w:id="1402827230">
              <w:marLeft w:val="0"/>
              <w:marRight w:val="0"/>
              <w:marTop w:val="0"/>
              <w:marBottom w:val="0"/>
              <w:divBdr>
                <w:top w:val="none" w:sz="0" w:space="0" w:color="auto"/>
                <w:left w:val="none" w:sz="0" w:space="0" w:color="auto"/>
                <w:bottom w:val="none" w:sz="0" w:space="0" w:color="auto"/>
                <w:right w:val="none" w:sz="0" w:space="0" w:color="auto"/>
              </w:divBdr>
            </w:div>
          </w:divsChild>
        </w:div>
        <w:div w:id="778138498">
          <w:marLeft w:val="0"/>
          <w:marRight w:val="0"/>
          <w:marTop w:val="0"/>
          <w:marBottom w:val="0"/>
          <w:divBdr>
            <w:top w:val="none" w:sz="0" w:space="0" w:color="auto"/>
            <w:left w:val="none" w:sz="0" w:space="0" w:color="auto"/>
            <w:bottom w:val="none" w:sz="0" w:space="0" w:color="auto"/>
            <w:right w:val="none" w:sz="0" w:space="0" w:color="auto"/>
          </w:divBdr>
          <w:divsChild>
            <w:div w:id="1853838263">
              <w:marLeft w:val="0"/>
              <w:marRight w:val="0"/>
              <w:marTop w:val="0"/>
              <w:marBottom w:val="0"/>
              <w:divBdr>
                <w:top w:val="none" w:sz="0" w:space="0" w:color="auto"/>
                <w:left w:val="none" w:sz="0" w:space="0" w:color="auto"/>
                <w:bottom w:val="none" w:sz="0" w:space="0" w:color="auto"/>
                <w:right w:val="none" w:sz="0" w:space="0" w:color="auto"/>
              </w:divBdr>
            </w:div>
          </w:divsChild>
        </w:div>
        <w:div w:id="1162693736">
          <w:marLeft w:val="0"/>
          <w:marRight w:val="0"/>
          <w:marTop w:val="0"/>
          <w:marBottom w:val="0"/>
          <w:divBdr>
            <w:top w:val="none" w:sz="0" w:space="0" w:color="auto"/>
            <w:left w:val="none" w:sz="0" w:space="0" w:color="auto"/>
            <w:bottom w:val="none" w:sz="0" w:space="0" w:color="auto"/>
            <w:right w:val="none" w:sz="0" w:space="0" w:color="auto"/>
          </w:divBdr>
          <w:divsChild>
            <w:div w:id="1752848823">
              <w:marLeft w:val="0"/>
              <w:marRight w:val="0"/>
              <w:marTop w:val="0"/>
              <w:marBottom w:val="0"/>
              <w:divBdr>
                <w:top w:val="none" w:sz="0" w:space="0" w:color="auto"/>
                <w:left w:val="none" w:sz="0" w:space="0" w:color="auto"/>
                <w:bottom w:val="none" w:sz="0" w:space="0" w:color="auto"/>
                <w:right w:val="none" w:sz="0" w:space="0" w:color="auto"/>
              </w:divBdr>
            </w:div>
            <w:div w:id="1777290338">
              <w:marLeft w:val="0"/>
              <w:marRight w:val="0"/>
              <w:marTop w:val="0"/>
              <w:marBottom w:val="0"/>
              <w:divBdr>
                <w:top w:val="none" w:sz="0" w:space="0" w:color="auto"/>
                <w:left w:val="none" w:sz="0" w:space="0" w:color="auto"/>
                <w:bottom w:val="none" w:sz="0" w:space="0" w:color="auto"/>
                <w:right w:val="none" w:sz="0" w:space="0" w:color="auto"/>
              </w:divBdr>
            </w:div>
            <w:div w:id="1992830491">
              <w:marLeft w:val="0"/>
              <w:marRight w:val="0"/>
              <w:marTop w:val="0"/>
              <w:marBottom w:val="0"/>
              <w:divBdr>
                <w:top w:val="none" w:sz="0" w:space="0" w:color="auto"/>
                <w:left w:val="none" w:sz="0" w:space="0" w:color="auto"/>
                <w:bottom w:val="none" w:sz="0" w:space="0" w:color="auto"/>
                <w:right w:val="none" w:sz="0" w:space="0" w:color="auto"/>
              </w:divBdr>
            </w:div>
          </w:divsChild>
        </w:div>
        <w:div w:id="164711146">
          <w:marLeft w:val="0"/>
          <w:marRight w:val="0"/>
          <w:marTop w:val="0"/>
          <w:marBottom w:val="0"/>
          <w:divBdr>
            <w:top w:val="none" w:sz="0" w:space="0" w:color="auto"/>
            <w:left w:val="none" w:sz="0" w:space="0" w:color="auto"/>
            <w:bottom w:val="none" w:sz="0" w:space="0" w:color="auto"/>
            <w:right w:val="none" w:sz="0" w:space="0" w:color="auto"/>
          </w:divBdr>
          <w:divsChild>
            <w:div w:id="1181897005">
              <w:marLeft w:val="0"/>
              <w:marRight w:val="0"/>
              <w:marTop w:val="0"/>
              <w:marBottom w:val="0"/>
              <w:divBdr>
                <w:top w:val="none" w:sz="0" w:space="0" w:color="auto"/>
                <w:left w:val="none" w:sz="0" w:space="0" w:color="auto"/>
                <w:bottom w:val="none" w:sz="0" w:space="0" w:color="auto"/>
                <w:right w:val="none" w:sz="0" w:space="0" w:color="auto"/>
              </w:divBdr>
            </w:div>
            <w:div w:id="1074012355">
              <w:marLeft w:val="0"/>
              <w:marRight w:val="0"/>
              <w:marTop w:val="0"/>
              <w:marBottom w:val="0"/>
              <w:divBdr>
                <w:top w:val="none" w:sz="0" w:space="0" w:color="auto"/>
                <w:left w:val="none" w:sz="0" w:space="0" w:color="auto"/>
                <w:bottom w:val="none" w:sz="0" w:space="0" w:color="auto"/>
                <w:right w:val="none" w:sz="0" w:space="0" w:color="auto"/>
              </w:divBdr>
            </w:div>
            <w:div w:id="2039506378">
              <w:marLeft w:val="0"/>
              <w:marRight w:val="0"/>
              <w:marTop w:val="0"/>
              <w:marBottom w:val="0"/>
              <w:divBdr>
                <w:top w:val="none" w:sz="0" w:space="0" w:color="auto"/>
                <w:left w:val="none" w:sz="0" w:space="0" w:color="auto"/>
                <w:bottom w:val="none" w:sz="0" w:space="0" w:color="auto"/>
                <w:right w:val="none" w:sz="0" w:space="0" w:color="auto"/>
              </w:divBdr>
            </w:div>
            <w:div w:id="629746768">
              <w:marLeft w:val="0"/>
              <w:marRight w:val="0"/>
              <w:marTop w:val="0"/>
              <w:marBottom w:val="0"/>
              <w:divBdr>
                <w:top w:val="none" w:sz="0" w:space="0" w:color="auto"/>
                <w:left w:val="none" w:sz="0" w:space="0" w:color="auto"/>
                <w:bottom w:val="none" w:sz="0" w:space="0" w:color="auto"/>
                <w:right w:val="none" w:sz="0" w:space="0" w:color="auto"/>
              </w:divBdr>
            </w:div>
            <w:div w:id="362559182">
              <w:marLeft w:val="0"/>
              <w:marRight w:val="0"/>
              <w:marTop w:val="0"/>
              <w:marBottom w:val="0"/>
              <w:divBdr>
                <w:top w:val="none" w:sz="0" w:space="0" w:color="auto"/>
                <w:left w:val="none" w:sz="0" w:space="0" w:color="auto"/>
                <w:bottom w:val="none" w:sz="0" w:space="0" w:color="auto"/>
                <w:right w:val="none" w:sz="0" w:space="0" w:color="auto"/>
              </w:divBdr>
            </w:div>
          </w:divsChild>
        </w:div>
        <w:div w:id="153910122">
          <w:marLeft w:val="0"/>
          <w:marRight w:val="0"/>
          <w:marTop w:val="0"/>
          <w:marBottom w:val="0"/>
          <w:divBdr>
            <w:top w:val="none" w:sz="0" w:space="0" w:color="auto"/>
            <w:left w:val="none" w:sz="0" w:space="0" w:color="auto"/>
            <w:bottom w:val="none" w:sz="0" w:space="0" w:color="auto"/>
            <w:right w:val="none" w:sz="0" w:space="0" w:color="auto"/>
          </w:divBdr>
          <w:divsChild>
            <w:div w:id="574359794">
              <w:marLeft w:val="0"/>
              <w:marRight w:val="0"/>
              <w:marTop w:val="0"/>
              <w:marBottom w:val="0"/>
              <w:divBdr>
                <w:top w:val="none" w:sz="0" w:space="0" w:color="auto"/>
                <w:left w:val="none" w:sz="0" w:space="0" w:color="auto"/>
                <w:bottom w:val="none" w:sz="0" w:space="0" w:color="auto"/>
                <w:right w:val="none" w:sz="0" w:space="0" w:color="auto"/>
              </w:divBdr>
            </w:div>
            <w:div w:id="935016324">
              <w:marLeft w:val="0"/>
              <w:marRight w:val="0"/>
              <w:marTop w:val="0"/>
              <w:marBottom w:val="0"/>
              <w:divBdr>
                <w:top w:val="none" w:sz="0" w:space="0" w:color="auto"/>
                <w:left w:val="none" w:sz="0" w:space="0" w:color="auto"/>
                <w:bottom w:val="none" w:sz="0" w:space="0" w:color="auto"/>
                <w:right w:val="none" w:sz="0" w:space="0" w:color="auto"/>
              </w:divBdr>
            </w:div>
            <w:div w:id="1741754573">
              <w:marLeft w:val="0"/>
              <w:marRight w:val="0"/>
              <w:marTop w:val="0"/>
              <w:marBottom w:val="0"/>
              <w:divBdr>
                <w:top w:val="none" w:sz="0" w:space="0" w:color="auto"/>
                <w:left w:val="none" w:sz="0" w:space="0" w:color="auto"/>
                <w:bottom w:val="none" w:sz="0" w:space="0" w:color="auto"/>
                <w:right w:val="none" w:sz="0" w:space="0" w:color="auto"/>
              </w:divBdr>
            </w:div>
            <w:div w:id="342443501">
              <w:marLeft w:val="0"/>
              <w:marRight w:val="0"/>
              <w:marTop w:val="0"/>
              <w:marBottom w:val="0"/>
              <w:divBdr>
                <w:top w:val="none" w:sz="0" w:space="0" w:color="auto"/>
                <w:left w:val="none" w:sz="0" w:space="0" w:color="auto"/>
                <w:bottom w:val="none" w:sz="0" w:space="0" w:color="auto"/>
                <w:right w:val="none" w:sz="0" w:space="0" w:color="auto"/>
              </w:divBdr>
            </w:div>
            <w:div w:id="528681998">
              <w:marLeft w:val="0"/>
              <w:marRight w:val="0"/>
              <w:marTop w:val="0"/>
              <w:marBottom w:val="0"/>
              <w:divBdr>
                <w:top w:val="none" w:sz="0" w:space="0" w:color="auto"/>
                <w:left w:val="none" w:sz="0" w:space="0" w:color="auto"/>
                <w:bottom w:val="none" w:sz="0" w:space="0" w:color="auto"/>
                <w:right w:val="none" w:sz="0" w:space="0" w:color="auto"/>
              </w:divBdr>
            </w:div>
          </w:divsChild>
        </w:div>
        <w:div w:id="1420710558">
          <w:marLeft w:val="0"/>
          <w:marRight w:val="0"/>
          <w:marTop w:val="0"/>
          <w:marBottom w:val="0"/>
          <w:divBdr>
            <w:top w:val="none" w:sz="0" w:space="0" w:color="auto"/>
            <w:left w:val="none" w:sz="0" w:space="0" w:color="auto"/>
            <w:bottom w:val="none" w:sz="0" w:space="0" w:color="auto"/>
            <w:right w:val="none" w:sz="0" w:space="0" w:color="auto"/>
          </w:divBdr>
          <w:divsChild>
            <w:div w:id="1011685647">
              <w:marLeft w:val="0"/>
              <w:marRight w:val="0"/>
              <w:marTop w:val="0"/>
              <w:marBottom w:val="0"/>
              <w:divBdr>
                <w:top w:val="none" w:sz="0" w:space="0" w:color="auto"/>
                <w:left w:val="none" w:sz="0" w:space="0" w:color="auto"/>
                <w:bottom w:val="none" w:sz="0" w:space="0" w:color="auto"/>
                <w:right w:val="none" w:sz="0" w:space="0" w:color="auto"/>
              </w:divBdr>
            </w:div>
          </w:divsChild>
        </w:div>
        <w:div w:id="73012558">
          <w:marLeft w:val="0"/>
          <w:marRight w:val="0"/>
          <w:marTop w:val="0"/>
          <w:marBottom w:val="0"/>
          <w:divBdr>
            <w:top w:val="none" w:sz="0" w:space="0" w:color="auto"/>
            <w:left w:val="none" w:sz="0" w:space="0" w:color="auto"/>
            <w:bottom w:val="none" w:sz="0" w:space="0" w:color="auto"/>
            <w:right w:val="none" w:sz="0" w:space="0" w:color="auto"/>
          </w:divBdr>
          <w:divsChild>
            <w:div w:id="448546216">
              <w:marLeft w:val="0"/>
              <w:marRight w:val="0"/>
              <w:marTop w:val="0"/>
              <w:marBottom w:val="0"/>
              <w:divBdr>
                <w:top w:val="none" w:sz="0" w:space="0" w:color="auto"/>
                <w:left w:val="none" w:sz="0" w:space="0" w:color="auto"/>
                <w:bottom w:val="none" w:sz="0" w:space="0" w:color="auto"/>
                <w:right w:val="none" w:sz="0" w:space="0" w:color="auto"/>
              </w:divBdr>
            </w:div>
            <w:div w:id="1718435325">
              <w:marLeft w:val="0"/>
              <w:marRight w:val="0"/>
              <w:marTop w:val="0"/>
              <w:marBottom w:val="0"/>
              <w:divBdr>
                <w:top w:val="none" w:sz="0" w:space="0" w:color="auto"/>
                <w:left w:val="none" w:sz="0" w:space="0" w:color="auto"/>
                <w:bottom w:val="none" w:sz="0" w:space="0" w:color="auto"/>
                <w:right w:val="none" w:sz="0" w:space="0" w:color="auto"/>
              </w:divBdr>
            </w:div>
            <w:div w:id="538208574">
              <w:marLeft w:val="0"/>
              <w:marRight w:val="0"/>
              <w:marTop w:val="0"/>
              <w:marBottom w:val="0"/>
              <w:divBdr>
                <w:top w:val="none" w:sz="0" w:space="0" w:color="auto"/>
                <w:left w:val="none" w:sz="0" w:space="0" w:color="auto"/>
                <w:bottom w:val="none" w:sz="0" w:space="0" w:color="auto"/>
                <w:right w:val="none" w:sz="0" w:space="0" w:color="auto"/>
              </w:divBdr>
            </w:div>
            <w:div w:id="379475789">
              <w:marLeft w:val="0"/>
              <w:marRight w:val="0"/>
              <w:marTop w:val="0"/>
              <w:marBottom w:val="0"/>
              <w:divBdr>
                <w:top w:val="none" w:sz="0" w:space="0" w:color="auto"/>
                <w:left w:val="none" w:sz="0" w:space="0" w:color="auto"/>
                <w:bottom w:val="none" w:sz="0" w:space="0" w:color="auto"/>
                <w:right w:val="none" w:sz="0" w:space="0" w:color="auto"/>
              </w:divBdr>
            </w:div>
            <w:div w:id="1065183034">
              <w:marLeft w:val="0"/>
              <w:marRight w:val="0"/>
              <w:marTop w:val="0"/>
              <w:marBottom w:val="0"/>
              <w:divBdr>
                <w:top w:val="none" w:sz="0" w:space="0" w:color="auto"/>
                <w:left w:val="none" w:sz="0" w:space="0" w:color="auto"/>
                <w:bottom w:val="none" w:sz="0" w:space="0" w:color="auto"/>
                <w:right w:val="none" w:sz="0" w:space="0" w:color="auto"/>
              </w:divBdr>
            </w:div>
            <w:div w:id="1014960172">
              <w:marLeft w:val="0"/>
              <w:marRight w:val="0"/>
              <w:marTop w:val="0"/>
              <w:marBottom w:val="0"/>
              <w:divBdr>
                <w:top w:val="none" w:sz="0" w:space="0" w:color="auto"/>
                <w:left w:val="none" w:sz="0" w:space="0" w:color="auto"/>
                <w:bottom w:val="none" w:sz="0" w:space="0" w:color="auto"/>
                <w:right w:val="none" w:sz="0" w:space="0" w:color="auto"/>
              </w:divBdr>
            </w:div>
          </w:divsChild>
        </w:div>
        <w:div w:id="303244693">
          <w:marLeft w:val="0"/>
          <w:marRight w:val="0"/>
          <w:marTop w:val="0"/>
          <w:marBottom w:val="0"/>
          <w:divBdr>
            <w:top w:val="none" w:sz="0" w:space="0" w:color="auto"/>
            <w:left w:val="none" w:sz="0" w:space="0" w:color="auto"/>
            <w:bottom w:val="none" w:sz="0" w:space="0" w:color="auto"/>
            <w:right w:val="none" w:sz="0" w:space="0" w:color="auto"/>
          </w:divBdr>
          <w:divsChild>
            <w:div w:id="1913199520">
              <w:marLeft w:val="0"/>
              <w:marRight w:val="0"/>
              <w:marTop w:val="0"/>
              <w:marBottom w:val="0"/>
              <w:divBdr>
                <w:top w:val="none" w:sz="0" w:space="0" w:color="auto"/>
                <w:left w:val="none" w:sz="0" w:space="0" w:color="auto"/>
                <w:bottom w:val="none" w:sz="0" w:space="0" w:color="auto"/>
                <w:right w:val="none" w:sz="0" w:space="0" w:color="auto"/>
              </w:divBdr>
            </w:div>
            <w:div w:id="1320577370">
              <w:marLeft w:val="0"/>
              <w:marRight w:val="0"/>
              <w:marTop w:val="0"/>
              <w:marBottom w:val="0"/>
              <w:divBdr>
                <w:top w:val="none" w:sz="0" w:space="0" w:color="auto"/>
                <w:left w:val="none" w:sz="0" w:space="0" w:color="auto"/>
                <w:bottom w:val="none" w:sz="0" w:space="0" w:color="auto"/>
                <w:right w:val="none" w:sz="0" w:space="0" w:color="auto"/>
              </w:divBdr>
            </w:div>
            <w:div w:id="1469128085">
              <w:marLeft w:val="0"/>
              <w:marRight w:val="0"/>
              <w:marTop w:val="0"/>
              <w:marBottom w:val="0"/>
              <w:divBdr>
                <w:top w:val="none" w:sz="0" w:space="0" w:color="auto"/>
                <w:left w:val="none" w:sz="0" w:space="0" w:color="auto"/>
                <w:bottom w:val="none" w:sz="0" w:space="0" w:color="auto"/>
                <w:right w:val="none" w:sz="0" w:space="0" w:color="auto"/>
              </w:divBdr>
            </w:div>
            <w:div w:id="1798059827">
              <w:marLeft w:val="0"/>
              <w:marRight w:val="0"/>
              <w:marTop w:val="0"/>
              <w:marBottom w:val="0"/>
              <w:divBdr>
                <w:top w:val="none" w:sz="0" w:space="0" w:color="auto"/>
                <w:left w:val="none" w:sz="0" w:space="0" w:color="auto"/>
                <w:bottom w:val="none" w:sz="0" w:space="0" w:color="auto"/>
                <w:right w:val="none" w:sz="0" w:space="0" w:color="auto"/>
              </w:divBdr>
            </w:div>
            <w:div w:id="986126015">
              <w:marLeft w:val="0"/>
              <w:marRight w:val="0"/>
              <w:marTop w:val="0"/>
              <w:marBottom w:val="0"/>
              <w:divBdr>
                <w:top w:val="none" w:sz="0" w:space="0" w:color="auto"/>
                <w:left w:val="none" w:sz="0" w:space="0" w:color="auto"/>
                <w:bottom w:val="none" w:sz="0" w:space="0" w:color="auto"/>
                <w:right w:val="none" w:sz="0" w:space="0" w:color="auto"/>
              </w:divBdr>
            </w:div>
            <w:div w:id="647127360">
              <w:marLeft w:val="0"/>
              <w:marRight w:val="0"/>
              <w:marTop w:val="0"/>
              <w:marBottom w:val="0"/>
              <w:divBdr>
                <w:top w:val="none" w:sz="0" w:space="0" w:color="auto"/>
                <w:left w:val="none" w:sz="0" w:space="0" w:color="auto"/>
                <w:bottom w:val="none" w:sz="0" w:space="0" w:color="auto"/>
                <w:right w:val="none" w:sz="0" w:space="0" w:color="auto"/>
              </w:divBdr>
            </w:div>
            <w:div w:id="1882325907">
              <w:marLeft w:val="0"/>
              <w:marRight w:val="0"/>
              <w:marTop w:val="0"/>
              <w:marBottom w:val="0"/>
              <w:divBdr>
                <w:top w:val="none" w:sz="0" w:space="0" w:color="auto"/>
                <w:left w:val="none" w:sz="0" w:space="0" w:color="auto"/>
                <w:bottom w:val="none" w:sz="0" w:space="0" w:color="auto"/>
                <w:right w:val="none" w:sz="0" w:space="0" w:color="auto"/>
              </w:divBdr>
            </w:div>
            <w:div w:id="471140133">
              <w:marLeft w:val="0"/>
              <w:marRight w:val="0"/>
              <w:marTop w:val="0"/>
              <w:marBottom w:val="0"/>
              <w:divBdr>
                <w:top w:val="none" w:sz="0" w:space="0" w:color="auto"/>
                <w:left w:val="none" w:sz="0" w:space="0" w:color="auto"/>
                <w:bottom w:val="none" w:sz="0" w:space="0" w:color="auto"/>
                <w:right w:val="none" w:sz="0" w:space="0" w:color="auto"/>
              </w:divBdr>
            </w:div>
          </w:divsChild>
        </w:div>
        <w:div w:id="1149830189">
          <w:marLeft w:val="0"/>
          <w:marRight w:val="0"/>
          <w:marTop w:val="0"/>
          <w:marBottom w:val="0"/>
          <w:divBdr>
            <w:top w:val="none" w:sz="0" w:space="0" w:color="auto"/>
            <w:left w:val="none" w:sz="0" w:space="0" w:color="auto"/>
            <w:bottom w:val="none" w:sz="0" w:space="0" w:color="auto"/>
            <w:right w:val="none" w:sz="0" w:space="0" w:color="auto"/>
          </w:divBdr>
          <w:divsChild>
            <w:div w:id="1459299192">
              <w:marLeft w:val="0"/>
              <w:marRight w:val="0"/>
              <w:marTop w:val="0"/>
              <w:marBottom w:val="0"/>
              <w:divBdr>
                <w:top w:val="none" w:sz="0" w:space="0" w:color="auto"/>
                <w:left w:val="none" w:sz="0" w:space="0" w:color="auto"/>
                <w:bottom w:val="none" w:sz="0" w:space="0" w:color="auto"/>
                <w:right w:val="none" w:sz="0" w:space="0" w:color="auto"/>
              </w:divBdr>
            </w:div>
            <w:div w:id="1171796812">
              <w:marLeft w:val="0"/>
              <w:marRight w:val="0"/>
              <w:marTop w:val="0"/>
              <w:marBottom w:val="0"/>
              <w:divBdr>
                <w:top w:val="none" w:sz="0" w:space="0" w:color="auto"/>
                <w:left w:val="none" w:sz="0" w:space="0" w:color="auto"/>
                <w:bottom w:val="none" w:sz="0" w:space="0" w:color="auto"/>
                <w:right w:val="none" w:sz="0" w:space="0" w:color="auto"/>
              </w:divBdr>
            </w:div>
            <w:div w:id="2140024764">
              <w:marLeft w:val="0"/>
              <w:marRight w:val="0"/>
              <w:marTop w:val="0"/>
              <w:marBottom w:val="0"/>
              <w:divBdr>
                <w:top w:val="none" w:sz="0" w:space="0" w:color="auto"/>
                <w:left w:val="none" w:sz="0" w:space="0" w:color="auto"/>
                <w:bottom w:val="none" w:sz="0" w:space="0" w:color="auto"/>
                <w:right w:val="none" w:sz="0" w:space="0" w:color="auto"/>
              </w:divBdr>
            </w:div>
            <w:div w:id="1161506585">
              <w:marLeft w:val="0"/>
              <w:marRight w:val="0"/>
              <w:marTop w:val="0"/>
              <w:marBottom w:val="0"/>
              <w:divBdr>
                <w:top w:val="none" w:sz="0" w:space="0" w:color="auto"/>
                <w:left w:val="none" w:sz="0" w:space="0" w:color="auto"/>
                <w:bottom w:val="none" w:sz="0" w:space="0" w:color="auto"/>
                <w:right w:val="none" w:sz="0" w:space="0" w:color="auto"/>
              </w:divBdr>
            </w:div>
            <w:div w:id="1754545930">
              <w:marLeft w:val="0"/>
              <w:marRight w:val="0"/>
              <w:marTop w:val="0"/>
              <w:marBottom w:val="0"/>
              <w:divBdr>
                <w:top w:val="none" w:sz="0" w:space="0" w:color="auto"/>
                <w:left w:val="none" w:sz="0" w:space="0" w:color="auto"/>
                <w:bottom w:val="none" w:sz="0" w:space="0" w:color="auto"/>
                <w:right w:val="none" w:sz="0" w:space="0" w:color="auto"/>
              </w:divBdr>
            </w:div>
            <w:div w:id="150216286">
              <w:marLeft w:val="0"/>
              <w:marRight w:val="0"/>
              <w:marTop w:val="0"/>
              <w:marBottom w:val="0"/>
              <w:divBdr>
                <w:top w:val="none" w:sz="0" w:space="0" w:color="auto"/>
                <w:left w:val="none" w:sz="0" w:space="0" w:color="auto"/>
                <w:bottom w:val="none" w:sz="0" w:space="0" w:color="auto"/>
                <w:right w:val="none" w:sz="0" w:space="0" w:color="auto"/>
              </w:divBdr>
            </w:div>
            <w:div w:id="155000796">
              <w:marLeft w:val="0"/>
              <w:marRight w:val="0"/>
              <w:marTop w:val="0"/>
              <w:marBottom w:val="0"/>
              <w:divBdr>
                <w:top w:val="none" w:sz="0" w:space="0" w:color="auto"/>
                <w:left w:val="none" w:sz="0" w:space="0" w:color="auto"/>
                <w:bottom w:val="none" w:sz="0" w:space="0" w:color="auto"/>
                <w:right w:val="none" w:sz="0" w:space="0" w:color="auto"/>
              </w:divBdr>
            </w:div>
            <w:div w:id="1330518264">
              <w:marLeft w:val="0"/>
              <w:marRight w:val="0"/>
              <w:marTop w:val="0"/>
              <w:marBottom w:val="0"/>
              <w:divBdr>
                <w:top w:val="none" w:sz="0" w:space="0" w:color="auto"/>
                <w:left w:val="none" w:sz="0" w:space="0" w:color="auto"/>
                <w:bottom w:val="none" w:sz="0" w:space="0" w:color="auto"/>
                <w:right w:val="none" w:sz="0" w:space="0" w:color="auto"/>
              </w:divBdr>
            </w:div>
            <w:div w:id="74910474">
              <w:marLeft w:val="0"/>
              <w:marRight w:val="0"/>
              <w:marTop w:val="0"/>
              <w:marBottom w:val="0"/>
              <w:divBdr>
                <w:top w:val="none" w:sz="0" w:space="0" w:color="auto"/>
                <w:left w:val="none" w:sz="0" w:space="0" w:color="auto"/>
                <w:bottom w:val="none" w:sz="0" w:space="0" w:color="auto"/>
                <w:right w:val="none" w:sz="0" w:space="0" w:color="auto"/>
              </w:divBdr>
            </w:div>
            <w:div w:id="175970538">
              <w:marLeft w:val="0"/>
              <w:marRight w:val="0"/>
              <w:marTop w:val="0"/>
              <w:marBottom w:val="0"/>
              <w:divBdr>
                <w:top w:val="none" w:sz="0" w:space="0" w:color="auto"/>
                <w:left w:val="none" w:sz="0" w:space="0" w:color="auto"/>
                <w:bottom w:val="none" w:sz="0" w:space="0" w:color="auto"/>
                <w:right w:val="none" w:sz="0" w:space="0" w:color="auto"/>
              </w:divBdr>
            </w:div>
            <w:div w:id="1211841998">
              <w:marLeft w:val="0"/>
              <w:marRight w:val="0"/>
              <w:marTop w:val="0"/>
              <w:marBottom w:val="0"/>
              <w:divBdr>
                <w:top w:val="none" w:sz="0" w:space="0" w:color="auto"/>
                <w:left w:val="none" w:sz="0" w:space="0" w:color="auto"/>
                <w:bottom w:val="none" w:sz="0" w:space="0" w:color="auto"/>
                <w:right w:val="none" w:sz="0" w:space="0" w:color="auto"/>
              </w:divBdr>
            </w:div>
            <w:div w:id="433674528">
              <w:marLeft w:val="0"/>
              <w:marRight w:val="0"/>
              <w:marTop w:val="0"/>
              <w:marBottom w:val="0"/>
              <w:divBdr>
                <w:top w:val="none" w:sz="0" w:space="0" w:color="auto"/>
                <w:left w:val="none" w:sz="0" w:space="0" w:color="auto"/>
                <w:bottom w:val="none" w:sz="0" w:space="0" w:color="auto"/>
                <w:right w:val="none" w:sz="0" w:space="0" w:color="auto"/>
              </w:divBdr>
            </w:div>
            <w:div w:id="1281378312">
              <w:marLeft w:val="0"/>
              <w:marRight w:val="0"/>
              <w:marTop w:val="0"/>
              <w:marBottom w:val="0"/>
              <w:divBdr>
                <w:top w:val="none" w:sz="0" w:space="0" w:color="auto"/>
                <w:left w:val="none" w:sz="0" w:space="0" w:color="auto"/>
                <w:bottom w:val="none" w:sz="0" w:space="0" w:color="auto"/>
                <w:right w:val="none" w:sz="0" w:space="0" w:color="auto"/>
              </w:divBdr>
            </w:div>
            <w:div w:id="2080977374">
              <w:marLeft w:val="0"/>
              <w:marRight w:val="0"/>
              <w:marTop w:val="0"/>
              <w:marBottom w:val="0"/>
              <w:divBdr>
                <w:top w:val="none" w:sz="0" w:space="0" w:color="auto"/>
                <w:left w:val="none" w:sz="0" w:space="0" w:color="auto"/>
                <w:bottom w:val="none" w:sz="0" w:space="0" w:color="auto"/>
                <w:right w:val="none" w:sz="0" w:space="0" w:color="auto"/>
              </w:divBdr>
            </w:div>
            <w:div w:id="579339107">
              <w:marLeft w:val="0"/>
              <w:marRight w:val="0"/>
              <w:marTop w:val="0"/>
              <w:marBottom w:val="0"/>
              <w:divBdr>
                <w:top w:val="none" w:sz="0" w:space="0" w:color="auto"/>
                <w:left w:val="none" w:sz="0" w:space="0" w:color="auto"/>
                <w:bottom w:val="none" w:sz="0" w:space="0" w:color="auto"/>
                <w:right w:val="none" w:sz="0" w:space="0" w:color="auto"/>
              </w:divBdr>
            </w:div>
            <w:div w:id="42604971">
              <w:marLeft w:val="0"/>
              <w:marRight w:val="0"/>
              <w:marTop w:val="0"/>
              <w:marBottom w:val="0"/>
              <w:divBdr>
                <w:top w:val="none" w:sz="0" w:space="0" w:color="auto"/>
                <w:left w:val="none" w:sz="0" w:space="0" w:color="auto"/>
                <w:bottom w:val="none" w:sz="0" w:space="0" w:color="auto"/>
                <w:right w:val="none" w:sz="0" w:space="0" w:color="auto"/>
              </w:divBdr>
            </w:div>
          </w:divsChild>
        </w:div>
        <w:div w:id="292636783">
          <w:marLeft w:val="0"/>
          <w:marRight w:val="0"/>
          <w:marTop w:val="0"/>
          <w:marBottom w:val="0"/>
          <w:divBdr>
            <w:top w:val="none" w:sz="0" w:space="0" w:color="auto"/>
            <w:left w:val="none" w:sz="0" w:space="0" w:color="auto"/>
            <w:bottom w:val="none" w:sz="0" w:space="0" w:color="auto"/>
            <w:right w:val="none" w:sz="0" w:space="0" w:color="auto"/>
          </w:divBdr>
          <w:divsChild>
            <w:div w:id="913785488">
              <w:marLeft w:val="0"/>
              <w:marRight w:val="0"/>
              <w:marTop w:val="0"/>
              <w:marBottom w:val="0"/>
              <w:divBdr>
                <w:top w:val="none" w:sz="0" w:space="0" w:color="auto"/>
                <w:left w:val="none" w:sz="0" w:space="0" w:color="auto"/>
                <w:bottom w:val="none" w:sz="0" w:space="0" w:color="auto"/>
                <w:right w:val="none" w:sz="0" w:space="0" w:color="auto"/>
              </w:divBdr>
            </w:div>
            <w:div w:id="986206260">
              <w:marLeft w:val="0"/>
              <w:marRight w:val="0"/>
              <w:marTop w:val="0"/>
              <w:marBottom w:val="0"/>
              <w:divBdr>
                <w:top w:val="none" w:sz="0" w:space="0" w:color="auto"/>
                <w:left w:val="none" w:sz="0" w:space="0" w:color="auto"/>
                <w:bottom w:val="none" w:sz="0" w:space="0" w:color="auto"/>
                <w:right w:val="none" w:sz="0" w:space="0" w:color="auto"/>
              </w:divBdr>
            </w:div>
            <w:div w:id="2051294877">
              <w:marLeft w:val="0"/>
              <w:marRight w:val="0"/>
              <w:marTop w:val="0"/>
              <w:marBottom w:val="0"/>
              <w:divBdr>
                <w:top w:val="none" w:sz="0" w:space="0" w:color="auto"/>
                <w:left w:val="none" w:sz="0" w:space="0" w:color="auto"/>
                <w:bottom w:val="none" w:sz="0" w:space="0" w:color="auto"/>
                <w:right w:val="none" w:sz="0" w:space="0" w:color="auto"/>
              </w:divBdr>
            </w:div>
            <w:div w:id="574122039">
              <w:marLeft w:val="0"/>
              <w:marRight w:val="0"/>
              <w:marTop w:val="0"/>
              <w:marBottom w:val="0"/>
              <w:divBdr>
                <w:top w:val="none" w:sz="0" w:space="0" w:color="auto"/>
                <w:left w:val="none" w:sz="0" w:space="0" w:color="auto"/>
                <w:bottom w:val="none" w:sz="0" w:space="0" w:color="auto"/>
                <w:right w:val="none" w:sz="0" w:space="0" w:color="auto"/>
              </w:divBdr>
            </w:div>
            <w:div w:id="474226461">
              <w:marLeft w:val="0"/>
              <w:marRight w:val="0"/>
              <w:marTop w:val="0"/>
              <w:marBottom w:val="0"/>
              <w:divBdr>
                <w:top w:val="none" w:sz="0" w:space="0" w:color="auto"/>
                <w:left w:val="none" w:sz="0" w:space="0" w:color="auto"/>
                <w:bottom w:val="none" w:sz="0" w:space="0" w:color="auto"/>
                <w:right w:val="none" w:sz="0" w:space="0" w:color="auto"/>
              </w:divBdr>
            </w:div>
            <w:div w:id="469371235">
              <w:marLeft w:val="0"/>
              <w:marRight w:val="0"/>
              <w:marTop w:val="0"/>
              <w:marBottom w:val="0"/>
              <w:divBdr>
                <w:top w:val="none" w:sz="0" w:space="0" w:color="auto"/>
                <w:left w:val="none" w:sz="0" w:space="0" w:color="auto"/>
                <w:bottom w:val="none" w:sz="0" w:space="0" w:color="auto"/>
                <w:right w:val="none" w:sz="0" w:space="0" w:color="auto"/>
              </w:divBdr>
            </w:div>
            <w:div w:id="758258904">
              <w:marLeft w:val="0"/>
              <w:marRight w:val="0"/>
              <w:marTop w:val="0"/>
              <w:marBottom w:val="0"/>
              <w:divBdr>
                <w:top w:val="none" w:sz="0" w:space="0" w:color="auto"/>
                <w:left w:val="none" w:sz="0" w:space="0" w:color="auto"/>
                <w:bottom w:val="none" w:sz="0" w:space="0" w:color="auto"/>
                <w:right w:val="none" w:sz="0" w:space="0" w:color="auto"/>
              </w:divBdr>
            </w:div>
            <w:div w:id="141898301">
              <w:marLeft w:val="0"/>
              <w:marRight w:val="0"/>
              <w:marTop w:val="0"/>
              <w:marBottom w:val="0"/>
              <w:divBdr>
                <w:top w:val="none" w:sz="0" w:space="0" w:color="auto"/>
                <w:left w:val="none" w:sz="0" w:space="0" w:color="auto"/>
                <w:bottom w:val="none" w:sz="0" w:space="0" w:color="auto"/>
                <w:right w:val="none" w:sz="0" w:space="0" w:color="auto"/>
              </w:divBdr>
            </w:div>
            <w:div w:id="1943757488">
              <w:marLeft w:val="0"/>
              <w:marRight w:val="0"/>
              <w:marTop w:val="0"/>
              <w:marBottom w:val="0"/>
              <w:divBdr>
                <w:top w:val="none" w:sz="0" w:space="0" w:color="auto"/>
                <w:left w:val="none" w:sz="0" w:space="0" w:color="auto"/>
                <w:bottom w:val="none" w:sz="0" w:space="0" w:color="auto"/>
                <w:right w:val="none" w:sz="0" w:space="0" w:color="auto"/>
              </w:divBdr>
            </w:div>
          </w:divsChild>
        </w:div>
        <w:div w:id="772558386">
          <w:marLeft w:val="0"/>
          <w:marRight w:val="0"/>
          <w:marTop w:val="0"/>
          <w:marBottom w:val="0"/>
          <w:divBdr>
            <w:top w:val="none" w:sz="0" w:space="0" w:color="auto"/>
            <w:left w:val="none" w:sz="0" w:space="0" w:color="auto"/>
            <w:bottom w:val="none" w:sz="0" w:space="0" w:color="auto"/>
            <w:right w:val="none" w:sz="0" w:space="0" w:color="auto"/>
          </w:divBdr>
          <w:divsChild>
            <w:div w:id="2046175656">
              <w:marLeft w:val="0"/>
              <w:marRight w:val="0"/>
              <w:marTop w:val="0"/>
              <w:marBottom w:val="0"/>
              <w:divBdr>
                <w:top w:val="none" w:sz="0" w:space="0" w:color="auto"/>
                <w:left w:val="none" w:sz="0" w:space="0" w:color="auto"/>
                <w:bottom w:val="none" w:sz="0" w:space="0" w:color="auto"/>
                <w:right w:val="none" w:sz="0" w:space="0" w:color="auto"/>
              </w:divBdr>
            </w:div>
            <w:div w:id="857618841">
              <w:marLeft w:val="0"/>
              <w:marRight w:val="0"/>
              <w:marTop w:val="0"/>
              <w:marBottom w:val="0"/>
              <w:divBdr>
                <w:top w:val="none" w:sz="0" w:space="0" w:color="auto"/>
                <w:left w:val="none" w:sz="0" w:space="0" w:color="auto"/>
                <w:bottom w:val="none" w:sz="0" w:space="0" w:color="auto"/>
                <w:right w:val="none" w:sz="0" w:space="0" w:color="auto"/>
              </w:divBdr>
            </w:div>
            <w:div w:id="931813032">
              <w:marLeft w:val="0"/>
              <w:marRight w:val="0"/>
              <w:marTop w:val="0"/>
              <w:marBottom w:val="0"/>
              <w:divBdr>
                <w:top w:val="none" w:sz="0" w:space="0" w:color="auto"/>
                <w:left w:val="none" w:sz="0" w:space="0" w:color="auto"/>
                <w:bottom w:val="none" w:sz="0" w:space="0" w:color="auto"/>
                <w:right w:val="none" w:sz="0" w:space="0" w:color="auto"/>
              </w:divBdr>
            </w:div>
            <w:div w:id="156385600">
              <w:marLeft w:val="0"/>
              <w:marRight w:val="0"/>
              <w:marTop w:val="0"/>
              <w:marBottom w:val="0"/>
              <w:divBdr>
                <w:top w:val="none" w:sz="0" w:space="0" w:color="auto"/>
                <w:left w:val="none" w:sz="0" w:space="0" w:color="auto"/>
                <w:bottom w:val="none" w:sz="0" w:space="0" w:color="auto"/>
                <w:right w:val="none" w:sz="0" w:space="0" w:color="auto"/>
              </w:divBdr>
            </w:div>
            <w:div w:id="1465199604">
              <w:marLeft w:val="0"/>
              <w:marRight w:val="0"/>
              <w:marTop w:val="0"/>
              <w:marBottom w:val="0"/>
              <w:divBdr>
                <w:top w:val="none" w:sz="0" w:space="0" w:color="auto"/>
                <w:left w:val="none" w:sz="0" w:space="0" w:color="auto"/>
                <w:bottom w:val="none" w:sz="0" w:space="0" w:color="auto"/>
                <w:right w:val="none" w:sz="0" w:space="0" w:color="auto"/>
              </w:divBdr>
            </w:div>
            <w:div w:id="1028486346">
              <w:marLeft w:val="0"/>
              <w:marRight w:val="0"/>
              <w:marTop w:val="0"/>
              <w:marBottom w:val="0"/>
              <w:divBdr>
                <w:top w:val="none" w:sz="0" w:space="0" w:color="auto"/>
                <w:left w:val="none" w:sz="0" w:space="0" w:color="auto"/>
                <w:bottom w:val="none" w:sz="0" w:space="0" w:color="auto"/>
                <w:right w:val="none" w:sz="0" w:space="0" w:color="auto"/>
              </w:divBdr>
            </w:div>
            <w:div w:id="448085602">
              <w:marLeft w:val="0"/>
              <w:marRight w:val="0"/>
              <w:marTop w:val="0"/>
              <w:marBottom w:val="0"/>
              <w:divBdr>
                <w:top w:val="none" w:sz="0" w:space="0" w:color="auto"/>
                <w:left w:val="none" w:sz="0" w:space="0" w:color="auto"/>
                <w:bottom w:val="none" w:sz="0" w:space="0" w:color="auto"/>
                <w:right w:val="none" w:sz="0" w:space="0" w:color="auto"/>
              </w:divBdr>
            </w:div>
            <w:div w:id="1318994910">
              <w:marLeft w:val="0"/>
              <w:marRight w:val="0"/>
              <w:marTop w:val="0"/>
              <w:marBottom w:val="0"/>
              <w:divBdr>
                <w:top w:val="none" w:sz="0" w:space="0" w:color="auto"/>
                <w:left w:val="none" w:sz="0" w:space="0" w:color="auto"/>
                <w:bottom w:val="none" w:sz="0" w:space="0" w:color="auto"/>
                <w:right w:val="none" w:sz="0" w:space="0" w:color="auto"/>
              </w:divBdr>
            </w:div>
            <w:div w:id="948513193">
              <w:marLeft w:val="0"/>
              <w:marRight w:val="0"/>
              <w:marTop w:val="0"/>
              <w:marBottom w:val="0"/>
              <w:divBdr>
                <w:top w:val="none" w:sz="0" w:space="0" w:color="auto"/>
                <w:left w:val="none" w:sz="0" w:space="0" w:color="auto"/>
                <w:bottom w:val="none" w:sz="0" w:space="0" w:color="auto"/>
                <w:right w:val="none" w:sz="0" w:space="0" w:color="auto"/>
              </w:divBdr>
            </w:div>
            <w:div w:id="1343778332">
              <w:marLeft w:val="0"/>
              <w:marRight w:val="0"/>
              <w:marTop w:val="0"/>
              <w:marBottom w:val="0"/>
              <w:divBdr>
                <w:top w:val="none" w:sz="0" w:space="0" w:color="auto"/>
                <w:left w:val="none" w:sz="0" w:space="0" w:color="auto"/>
                <w:bottom w:val="none" w:sz="0" w:space="0" w:color="auto"/>
                <w:right w:val="none" w:sz="0" w:space="0" w:color="auto"/>
              </w:divBdr>
            </w:div>
            <w:div w:id="1119375622">
              <w:marLeft w:val="0"/>
              <w:marRight w:val="0"/>
              <w:marTop w:val="0"/>
              <w:marBottom w:val="0"/>
              <w:divBdr>
                <w:top w:val="none" w:sz="0" w:space="0" w:color="auto"/>
                <w:left w:val="none" w:sz="0" w:space="0" w:color="auto"/>
                <w:bottom w:val="none" w:sz="0" w:space="0" w:color="auto"/>
                <w:right w:val="none" w:sz="0" w:space="0" w:color="auto"/>
              </w:divBdr>
            </w:div>
            <w:div w:id="50275722">
              <w:marLeft w:val="0"/>
              <w:marRight w:val="0"/>
              <w:marTop w:val="0"/>
              <w:marBottom w:val="0"/>
              <w:divBdr>
                <w:top w:val="none" w:sz="0" w:space="0" w:color="auto"/>
                <w:left w:val="none" w:sz="0" w:space="0" w:color="auto"/>
                <w:bottom w:val="none" w:sz="0" w:space="0" w:color="auto"/>
                <w:right w:val="none" w:sz="0" w:space="0" w:color="auto"/>
              </w:divBdr>
            </w:div>
          </w:divsChild>
        </w:div>
        <w:div w:id="872301129">
          <w:marLeft w:val="0"/>
          <w:marRight w:val="0"/>
          <w:marTop w:val="0"/>
          <w:marBottom w:val="0"/>
          <w:divBdr>
            <w:top w:val="none" w:sz="0" w:space="0" w:color="auto"/>
            <w:left w:val="none" w:sz="0" w:space="0" w:color="auto"/>
            <w:bottom w:val="none" w:sz="0" w:space="0" w:color="auto"/>
            <w:right w:val="none" w:sz="0" w:space="0" w:color="auto"/>
          </w:divBdr>
          <w:divsChild>
            <w:div w:id="72513736">
              <w:marLeft w:val="0"/>
              <w:marRight w:val="0"/>
              <w:marTop w:val="0"/>
              <w:marBottom w:val="0"/>
              <w:divBdr>
                <w:top w:val="none" w:sz="0" w:space="0" w:color="auto"/>
                <w:left w:val="none" w:sz="0" w:space="0" w:color="auto"/>
                <w:bottom w:val="none" w:sz="0" w:space="0" w:color="auto"/>
                <w:right w:val="none" w:sz="0" w:space="0" w:color="auto"/>
              </w:divBdr>
            </w:div>
            <w:div w:id="1295066641">
              <w:marLeft w:val="0"/>
              <w:marRight w:val="0"/>
              <w:marTop w:val="0"/>
              <w:marBottom w:val="0"/>
              <w:divBdr>
                <w:top w:val="none" w:sz="0" w:space="0" w:color="auto"/>
                <w:left w:val="none" w:sz="0" w:space="0" w:color="auto"/>
                <w:bottom w:val="none" w:sz="0" w:space="0" w:color="auto"/>
                <w:right w:val="none" w:sz="0" w:space="0" w:color="auto"/>
              </w:divBdr>
            </w:div>
            <w:div w:id="1813668720">
              <w:marLeft w:val="0"/>
              <w:marRight w:val="0"/>
              <w:marTop w:val="0"/>
              <w:marBottom w:val="0"/>
              <w:divBdr>
                <w:top w:val="none" w:sz="0" w:space="0" w:color="auto"/>
                <w:left w:val="none" w:sz="0" w:space="0" w:color="auto"/>
                <w:bottom w:val="none" w:sz="0" w:space="0" w:color="auto"/>
                <w:right w:val="none" w:sz="0" w:space="0" w:color="auto"/>
              </w:divBdr>
            </w:div>
            <w:div w:id="1464931761">
              <w:marLeft w:val="0"/>
              <w:marRight w:val="0"/>
              <w:marTop w:val="0"/>
              <w:marBottom w:val="0"/>
              <w:divBdr>
                <w:top w:val="none" w:sz="0" w:space="0" w:color="auto"/>
                <w:left w:val="none" w:sz="0" w:space="0" w:color="auto"/>
                <w:bottom w:val="none" w:sz="0" w:space="0" w:color="auto"/>
                <w:right w:val="none" w:sz="0" w:space="0" w:color="auto"/>
              </w:divBdr>
            </w:div>
          </w:divsChild>
        </w:div>
        <w:div w:id="594020754">
          <w:marLeft w:val="0"/>
          <w:marRight w:val="0"/>
          <w:marTop w:val="0"/>
          <w:marBottom w:val="0"/>
          <w:divBdr>
            <w:top w:val="none" w:sz="0" w:space="0" w:color="auto"/>
            <w:left w:val="none" w:sz="0" w:space="0" w:color="auto"/>
            <w:bottom w:val="none" w:sz="0" w:space="0" w:color="auto"/>
            <w:right w:val="none" w:sz="0" w:space="0" w:color="auto"/>
          </w:divBdr>
          <w:divsChild>
            <w:div w:id="192236305">
              <w:marLeft w:val="0"/>
              <w:marRight w:val="0"/>
              <w:marTop w:val="0"/>
              <w:marBottom w:val="0"/>
              <w:divBdr>
                <w:top w:val="none" w:sz="0" w:space="0" w:color="auto"/>
                <w:left w:val="none" w:sz="0" w:space="0" w:color="auto"/>
                <w:bottom w:val="none" w:sz="0" w:space="0" w:color="auto"/>
                <w:right w:val="none" w:sz="0" w:space="0" w:color="auto"/>
              </w:divBdr>
            </w:div>
            <w:div w:id="1692682713">
              <w:marLeft w:val="0"/>
              <w:marRight w:val="0"/>
              <w:marTop w:val="0"/>
              <w:marBottom w:val="0"/>
              <w:divBdr>
                <w:top w:val="none" w:sz="0" w:space="0" w:color="auto"/>
                <w:left w:val="none" w:sz="0" w:space="0" w:color="auto"/>
                <w:bottom w:val="none" w:sz="0" w:space="0" w:color="auto"/>
                <w:right w:val="none" w:sz="0" w:space="0" w:color="auto"/>
              </w:divBdr>
            </w:div>
            <w:div w:id="454756179">
              <w:marLeft w:val="0"/>
              <w:marRight w:val="0"/>
              <w:marTop w:val="0"/>
              <w:marBottom w:val="0"/>
              <w:divBdr>
                <w:top w:val="none" w:sz="0" w:space="0" w:color="auto"/>
                <w:left w:val="none" w:sz="0" w:space="0" w:color="auto"/>
                <w:bottom w:val="none" w:sz="0" w:space="0" w:color="auto"/>
                <w:right w:val="none" w:sz="0" w:space="0" w:color="auto"/>
              </w:divBdr>
            </w:div>
            <w:div w:id="207377375">
              <w:marLeft w:val="0"/>
              <w:marRight w:val="0"/>
              <w:marTop w:val="0"/>
              <w:marBottom w:val="0"/>
              <w:divBdr>
                <w:top w:val="none" w:sz="0" w:space="0" w:color="auto"/>
                <w:left w:val="none" w:sz="0" w:space="0" w:color="auto"/>
                <w:bottom w:val="none" w:sz="0" w:space="0" w:color="auto"/>
                <w:right w:val="none" w:sz="0" w:space="0" w:color="auto"/>
              </w:divBdr>
            </w:div>
          </w:divsChild>
        </w:div>
        <w:div w:id="881790639">
          <w:marLeft w:val="0"/>
          <w:marRight w:val="0"/>
          <w:marTop w:val="0"/>
          <w:marBottom w:val="0"/>
          <w:divBdr>
            <w:top w:val="none" w:sz="0" w:space="0" w:color="auto"/>
            <w:left w:val="none" w:sz="0" w:space="0" w:color="auto"/>
            <w:bottom w:val="none" w:sz="0" w:space="0" w:color="auto"/>
            <w:right w:val="none" w:sz="0" w:space="0" w:color="auto"/>
          </w:divBdr>
          <w:divsChild>
            <w:div w:id="1095441881">
              <w:marLeft w:val="0"/>
              <w:marRight w:val="0"/>
              <w:marTop w:val="0"/>
              <w:marBottom w:val="0"/>
              <w:divBdr>
                <w:top w:val="none" w:sz="0" w:space="0" w:color="auto"/>
                <w:left w:val="none" w:sz="0" w:space="0" w:color="auto"/>
                <w:bottom w:val="none" w:sz="0" w:space="0" w:color="auto"/>
                <w:right w:val="none" w:sz="0" w:space="0" w:color="auto"/>
              </w:divBdr>
            </w:div>
            <w:div w:id="709495708">
              <w:marLeft w:val="0"/>
              <w:marRight w:val="0"/>
              <w:marTop w:val="0"/>
              <w:marBottom w:val="0"/>
              <w:divBdr>
                <w:top w:val="none" w:sz="0" w:space="0" w:color="auto"/>
                <w:left w:val="none" w:sz="0" w:space="0" w:color="auto"/>
                <w:bottom w:val="none" w:sz="0" w:space="0" w:color="auto"/>
                <w:right w:val="none" w:sz="0" w:space="0" w:color="auto"/>
              </w:divBdr>
            </w:div>
            <w:div w:id="2019849669">
              <w:marLeft w:val="0"/>
              <w:marRight w:val="0"/>
              <w:marTop w:val="0"/>
              <w:marBottom w:val="0"/>
              <w:divBdr>
                <w:top w:val="none" w:sz="0" w:space="0" w:color="auto"/>
                <w:left w:val="none" w:sz="0" w:space="0" w:color="auto"/>
                <w:bottom w:val="none" w:sz="0" w:space="0" w:color="auto"/>
                <w:right w:val="none" w:sz="0" w:space="0" w:color="auto"/>
              </w:divBdr>
            </w:div>
            <w:div w:id="798956447">
              <w:marLeft w:val="0"/>
              <w:marRight w:val="0"/>
              <w:marTop w:val="0"/>
              <w:marBottom w:val="0"/>
              <w:divBdr>
                <w:top w:val="none" w:sz="0" w:space="0" w:color="auto"/>
                <w:left w:val="none" w:sz="0" w:space="0" w:color="auto"/>
                <w:bottom w:val="none" w:sz="0" w:space="0" w:color="auto"/>
                <w:right w:val="none" w:sz="0" w:space="0" w:color="auto"/>
              </w:divBdr>
            </w:div>
          </w:divsChild>
        </w:div>
        <w:div w:id="1355575241">
          <w:marLeft w:val="0"/>
          <w:marRight w:val="0"/>
          <w:marTop w:val="0"/>
          <w:marBottom w:val="0"/>
          <w:divBdr>
            <w:top w:val="none" w:sz="0" w:space="0" w:color="auto"/>
            <w:left w:val="none" w:sz="0" w:space="0" w:color="auto"/>
            <w:bottom w:val="none" w:sz="0" w:space="0" w:color="auto"/>
            <w:right w:val="none" w:sz="0" w:space="0" w:color="auto"/>
          </w:divBdr>
          <w:divsChild>
            <w:div w:id="1856576270">
              <w:marLeft w:val="0"/>
              <w:marRight w:val="0"/>
              <w:marTop w:val="0"/>
              <w:marBottom w:val="0"/>
              <w:divBdr>
                <w:top w:val="none" w:sz="0" w:space="0" w:color="auto"/>
                <w:left w:val="none" w:sz="0" w:space="0" w:color="auto"/>
                <w:bottom w:val="none" w:sz="0" w:space="0" w:color="auto"/>
                <w:right w:val="none" w:sz="0" w:space="0" w:color="auto"/>
              </w:divBdr>
            </w:div>
            <w:div w:id="102723784">
              <w:marLeft w:val="0"/>
              <w:marRight w:val="0"/>
              <w:marTop w:val="0"/>
              <w:marBottom w:val="0"/>
              <w:divBdr>
                <w:top w:val="none" w:sz="0" w:space="0" w:color="auto"/>
                <w:left w:val="none" w:sz="0" w:space="0" w:color="auto"/>
                <w:bottom w:val="none" w:sz="0" w:space="0" w:color="auto"/>
                <w:right w:val="none" w:sz="0" w:space="0" w:color="auto"/>
              </w:divBdr>
            </w:div>
          </w:divsChild>
        </w:div>
        <w:div w:id="655259954">
          <w:marLeft w:val="0"/>
          <w:marRight w:val="0"/>
          <w:marTop w:val="0"/>
          <w:marBottom w:val="0"/>
          <w:divBdr>
            <w:top w:val="none" w:sz="0" w:space="0" w:color="auto"/>
            <w:left w:val="none" w:sz="0" w:space="0" w:color="auto"/>
            <w:bottom w:val="none" w:sz="0" w:space="0" w:color="auto"/>
            <w:right w:val="none" w:sz="0" w:space="0" w:color="auto"/>
          </w:divBdr>
          <w:divsChild>
            <w:div w:id="718094518">
              <w:marLeft w:val="0"/>
              <w:marRight w:val="0"/>
              <w:marTop w:val="0"/>
              <w:marBottom w:val="0"/>
              <w:divBdr>
                <w:top w:val="none" w:sz="0" w:space="0" w:color="auto"/>
                <w:left w:val="none" w:sz="0" w:space="0" w:color="auto"/>
                <w:bottom w:val="none" w:sz="0" w:space="0" w:color="auto"/>
                <w:right w:val="none" w:sz="0" w:space="0" w:color="auto"/>
              </w:divBdr>
            </w:div>
            <w:div w:id="874655883">
              <w:marLeft w:val="0"/>
              <w:marRight w:val="0"/>
              <w:marTop w:val="0"/>
              <w:marBottom w:val="0"/>
              <w:divBdr>
                <w:top w:val="none" w:sz="0" w:space="0" w:color="auto"/>
                <w:left w:val="none" w:sz="0" w:space="0" w:color="auto"/>
                <w:bottom w:val="none" w:sz="0" w:space="0" w:color="auto"/>
                <w:right w:val="none" w:sz="0" w:space="0" w:color="auto"/>
              </w:divBdr>
            </w:div>
            <w:div w:id="1538278579">
              <w:marLeft w:val="0"/>
              <w:marRight w:val="0"/>
              <w:marTop w:val="0"/>
              <w:marBottom w:val="0"/>
              <w:divBdr>
                <w:top w:val="none" w:sz="0" w:space="0" w:color="auto"/>
                <w:left w:val="none" w:sz="0" w:space="0" w:color="auto"/>
                <w:bottom w:val="none" w:sz="0" w:space="0" w:color="auto"/>
                <w:right w:val="none" w:sz="0" w:space="0" w:color="auto"/>
              </w:divBdr>
            </w:div>
          </w:divsChild>
        </w:div>
        <w:div w:id="2121144636">
          <w:marLeft w:val="0"/>
          <w:marRight w:val="0"/>
          <w:marTop w:val="0"/>
          <w:marBottom w:val="0"/>
          <w:divBdr>
            <w:top w:val="none" w:sz="0" w:space="0" w:color="auto"/>
            <w:left w:val="none" w:sz="0" w:space="0" w:color="auto"/>
            <w:bottom w:val="none" w:sz="0" w:space="0" w:color="auto"/>
            <w:right w:val="none" w:sz="0" w:space="0" w:color="auto"/>
          </w:divBdr>
          <w:divsChild>
            <w:div w:id="333343953">
              <w:marLeft w:val="0"/>
              <w:marRight w:val="0"/>
              <w:marTop w:val="0"/>
              <w:marBottom w:val="0"/>
              <w:divBdr>
                <w:top w:val="none" w:sz="0" w:space="0" w:color="auto"/>
                <w:left w:val="none" w:sz="0" w:space="0" w:color="auto"/>
                <w:bottom w:val="none" w:sz="0" w:space="0" w:color="auto"/>
                <w:right w:val="none" w:sz="0" w:space="0" w:color="auto"/>
              </w:divBdr>
            </w:div>
            <w:div w:id="1175002500">
              <w:marLeft w:val="0"/>
              <w:marRight w:val="0"/>
              <w:marTop w:val="0"/>
              <w:marBottom w:val="0"/>
              <w:divBdr>
                <w:top w:val="none" w:sz="0" w:space="0" w:color="auto"/>
                <w:left w:val="none" w:sz="0" w:space="0" w:color="auto"/>
                <w:bottom w:val="none" w:sz="0" w:space="0" w:color="auto"/>
                <w:right w:val="none" w:sz="0" w:space="0" w:color="auto"/>
              </w:divBdr>
            </w:div>
            <w:div w:id="1423332394">
              <w:marLeft w:val="0"/>
              <w:marRight w:val="0"/>
              <w:marTop w:val="0"/>
              <w:marBottom w:val="0"/>
              <w:divBdr>
                <w:top w:val="none" w:sz="0" w:space="0" w:color="auto"/>
                <w:left w:val="none" w:sz="0" w:space="0" w:color="auto"/>
                <w:bottom w:val="none" w:sz="0" w:space="0" w:color="auto"/>
                <w:right w:val="none" w:sz="0" w:space="0" w:color="auto"/>
              </w:divBdr>
            </w:div>
          </w:divsChild>
        </w:div>
        <w:div w:id="1952126872">
          <w:marLeft w:val="0"/>
          <w:marRight w:val="0"/>
          <w:marTop w:val="0"/>
          <w:marBottom w:val="0"/>
          <w:divBdr>
            <w:top w:val="none" w:sz="0" w:space="0" w:color="auto"/>
            <w:left w:val="none" w:sz="0" w:space="0" w:color="auto"/>
            <w:bottom w:val="none" w:sz="0" w:space="0" w:color="auto"/>
            <w:right w:val="none" w:sz="0" w:space="0" w:color="auto"/>
          </w:divBdr>
          <w:divsChild>
            <w:div w:id="560989994">
              <w:marLeft w:val="0"/>
              <w:marRight w:val="0"/>
              <w:marTop w:val="0"/>
              <w:marBottom w:val="0"/>
              <w:divBdr>
                <w:top w:val="none" w:sz="0" w:space="0" w:color="auto"/>
                <w:left w:val="none" w:sz="0" w:space="0" w:color="auto"/>
                <w:bottom w:val="none" w:sz="0" w:space="0" w:color="auto"/>
                <w:right w:val="none" w:sz="0" w:space="0" w:color="auto"/>
              </w:divBdr>
            </w:div>
            <w:div w:id="1496333469">
              <w:marLeft w:val="0"/>
              <w:marRight w:val="0"/>
              <w:marTop w:val="0"/>
              <w:marBottom w:val="0"/>
              <w:divBdr>
                <w:top w:val="none" w:sz="0" w:space="0" w:color="auto"/>
                <w:left w:val="none" w:sz="0" w:space="0" w:color="auto"/>
                <w:bottom w:val="none" w:sz="0" w:space="0" w:color="auto"/>
                <w:right w:val="none" w:sz="0" w:space="0" w:color="auto"/>
              </w:divBdr>
            </w:div>
          </w:divsChild>
        </w:div>
        <w:div w:id="1690793902">
          <w:marLeft w:val="0"/>
          <w:marRight w:val="0"/>
          <w:marTop w:val="0"/>
          <w:marBottom w:val="0"/>
          <w:divBdr>
            <w:top w:val="none" w:sz="0" w:space="0" w:color="auto"/>
            <w:left w:val="none" w:sz="0" w:space="0" w:color="auto"/>
            <w:bottom w:val="none" w:sz="0" w:space="0" w:color="auto"/>
            <w:right w:val="none" w:sz="0" w:space="0" w:color="auto"/>
          </w:divBdr>
          <w:divsChild>
            <w:div w:id="695892551">
              <w:marLeft w:val="0"/>
              <w:marRight w:val="0"/>
              <w:marTop w:val="0"/>
              <w:marBottom w:val="0"/>
              <w:divBdr>
                <w:top w:val="none" w:sz="0" w:space="0" w:color="auto"/>
                <w:left w:val="none" w:sz="0" w:space="0" w:color="auto"/>
                <w:bottom w:val="none" w:sz="0" w:space="0" w:color="auto"/>
                <w:right w:val="none" w:sz="0" w:space="0" w:color="auto"/>
              </w:divBdr>
            </w:div>
            <w:div w:id="273445621">
              <w:marLeft w:val="0"/>
              <w:marRight w:val="0"/>
              <w:marTop w:val="0"/>
              <w:marBottom w:val="0"/>
              <w:divBdr>
                <w:top w:val="none" w:sz="0" w:space="0" w:color="auto"/>
                <w:left w:val="none" w:sz="0" w:space="0" w:color="auto"/>
                <w:bottom w:val="none" w:sz="0" w:space="0" w:color="auto"/>
                <w:right w:val="none" w:sz="0" w:space="0" w:color="auto"/>
              </w:divBdr>
            </w:div>
            <w:div w:id="1245264061">
              <w:marLeft w:val="0"/>
              <w:marRight w:val="0"/>
              <w:marTop w:val="0"/>
              <w:marBottom w:val="0"/>
              <w:divBdr>
                <w:top w:val="none" w:sz="0" w:space="0" w:color="auto"/>
                <w:left w:val="none" w:sz="0" w:space="0" w:color="auto"/>
                <w:bottom w:val="none" w:sz="0" w:space="0" w:color="auto"/>
                <w:right w:val="none" w:sz="0" w:space="0" w:color="auto"/>
              </w:divBdr>
            </w:div>
            <w:div w:id="1233350439">
              <w:marLeft w:val="0"/>
              <w:marRight w:val="0"/>
              <w:marTop w:val="0"/>
              <w:marBottom w:val="0"/>
              <w:divBdr>
                <w:top w:val="none" w:sz="0" w:space="0" w:color="auto"/>
                <w:left w:val="none" w:sz="0" w:space="0" w:color="auto"/>
                <w:bottom w:val="none" w:sz="0" w:space="0" w:color="auto"/>
                <w:right w:val="none" w:sz="0" w:space="0" w:color="auto"/>
              </w:divBdr>
            </w:div>
          </w:divsChild>
        </w:div>
        <w:div w:id="1699624300">
          <w:marLeft w:val="0"/>
          <w:marRight w:val="0"/>
          <w:marTop w:val="0"/>
          <w:marBottom w:val="0"/>
          <w:divBdr>
            <w:top w:val="none" w:sz="0" w:space="0" w:color="auto"/>
            <w:left w:val="none" w:sz="0" w:space="0" w:color="auto"/>
            <w:bottom w:val="none" w:sz="0" w:space="0" w:color="auto"/>
            <w:right w:val="none" w:sz="0" w:space="0" w:color="auto"/>
          </w:divBdr>
          <w:divsChild>
            <w:div w:id="1818645739">
              <w:marLeft w:val="0"/>
              <w:marRight w:val="0"/>
              <w:marTop w:val="0"/>
              <w:marBottom w:val="0"/>
              <w:divBdr>
                <w:top w:val="none" w:sz="0" w:space="0" w:color="auto"/>
                <w:left w:val="none" w:sz="0" w:space="0" w:color="auto"/>
                <w:bottom w:val="none" w:sz="0" w:space="0" w:color="auto"/>
                <w:right w:val="none" w:sz="0" w:space="0" w:color="auto"/>
              </w:divBdr>
            </w:div>
          </w:divsChild>
        </w:div>
        <w:div w:id="775519938">
          <w:marLeft w:val="0"/>
          <w:marRight w:val="0"/>
          <w:marTop w:val="0"/>
          <w:marBottom w:val="0"/>
          <w:divBdr>
            <w:top w:val="none" w:sz="0" w:space="0" w:color="auto"/>
            <w:left w:val="none" w:sz="0" w:space="0" w:color="auto"/>
            <w:bottom w:val="none" w:sz="0" w:space="0" w:color="auto"/>
            <w:right w:val="none" w:sz="0" w:space="0" w:color="auto"/>
          </w:divBdr>
          <w:divsChild>
            <w:div w:id="2017996909">
              <w:marLeft w:val="0"/>
              <w:marRight w:val="0"/>
              <w:marTop w:val="0"/>
              <w:marBottom w:val="0"/>
              <w:divBdr>
                <w:top w:val="none" w:sz="0" w:space="0" w:color="auto"/>
                <w:left w:val="none" w:sz="0" w:space="0" w:color="auto"/>
                <w:bottom w:val="none" w:sz="0" w:space="0" w:color="auto"/>
                <w:right w:val="none" w:sz="0" w:space="0" w:color="auto"/>
              </w:divBdr>
            </w:div>
            <w:div w:id="1316256689">
              <w:marLeft w:val="0"/>
              <w:marRight w:val="0"/>
              <w:marTop w:val="0"/>
              <w:marBottom w:val="0"/>
              <w:divBdr>
                <w:top w:val="none" w:sz="0" w:space="0" w:color="auto"/>
                <w:left w:val="none" w:sz="0" w:space="0" w:color="auto"/>
                <w:bottom w:val="none" w:sz="0" w:space="0" w:color="auto"/>
                <w:right w:val="none" w:sz="0" w:space="0" w:color="auto"/>
              </w:divBdr>
            </w:div>
            <w:div w:id="1654946387">
              <w:marLeft w:val="0"/>
              <w:marRight w:val="0"/>
              <w:marTop w:val="0"/>
              <w:marBottom w:val="0"/>
              <w:divBdr>
                <w:top w:val="none" w:sz="0" w:space="0" w:color="auto"/>
                <w:left w:val="none" w:sz="0" w:space="0" w:color="auto"/>
                <w:bottom w:val="none" w:sz="0" w:space="0" w:color="auto"/>
                <w:right w:val="none" w:sz="0" w:space="0" w:color="auto"/>
              </w:divBdr>
            </w:div>
            <w:div w:id="1574706684">
              <w:marLeft w:val="0"/>
              <w:marRight w:val="0"/>
              <w:marTop w:val="0"/>
              <w:marBottom w:val="0"/>
              <w:divBdr>
                <w:top w:val="none" w:sz="0" w:space="0" w:color="auto"/>
                <w:left w:val="none" w:sz="0" w:space="0" w:color="auto"/>
                <w:bottom w:val="none" w:sz="0" w:space="0" w:color="auto"/>
                <w:right w:val="none" w:sz="0" w:space="0" w:color="auto"/>
              </w:divBdr>
            </w:div>
            <w:div w:id="1448961861">
              <w:marLeft w:val="0"/>
              <w:marRight w:val="0"/>
              <w:marTop w:val="0"/>
              <w:marBottom w:val="0"/>
              <w:divBdr>
                <w:top w:val="none" w:sz="0" w:space="0" w:color="auto"/>
                <w:left w:val="none" w:sz="0" w:space="0" w:color="auto"/>
                <w:bottom w:val="none" w:sz="0" w:space="0" w:color="auto"/>
                <w:right w:val="none" w:sz="0" w:space="0" w:color="auto"/>
              </w:divBdr>
            </w:div>
            <w:div w:id="1536427506">
              <w:marLeft w:val="0"/>
              <w:marRight w:val="0"/>
              <w:marTop w:val="0"/>
              <w:marBottom w:val="0"/>
              <w:divBdr>
                <w:top w:val="none" w:sz="0" w:space="0" w:color="auto"/>
                <w:left w:val="none" w:sz="0" w:space="0" w:color="auto"/>
                <w:bottom w:val="none" w:sz="0" w:space="0" w:color="auto"/>
                <w:right w:val="none" w:sz="0" w:space="0" w:color="auto"/>
              </w:divBdr>
            </w:div>
          </w:divsChild>
        </w:div>
        <w:div w:id="1866600975">
          <w:marLeft w:val="0"/>
          <w:marRight w:val="0"/>
          <w:marTop w:val="0"/>
          <w:marBottom w:val="0"/>
          <w:divBdr>
            <w:top w:val="none" w:sz="0" w:space="0" w:color="auto"/>
            <w:left w:val="none" w:sz="0" w:space="0" w:color="auto"/>
            <w:bottom w:val="none" w:sz="0" w:space="0" w:color="auto"/>
            <w:right w:val="none" w:sz="0" w:space="0" w:color="auto"/>
          </w:divBdr>
          <w:divsChild>
            <w:div w:id="406651510">
              <w:marLeft w:val="0"/>
              <w:marRight w:val="0"/>
              <w:marTop w:val="0"/>
              <w:marBottom w:val="0"/>
              <w:divBdr>
                <w:top w:val="none" w:sz="0" w:space="0" w:color="auto"/>
                <w:left w:val="none" w:sz="0" w:space="0" w:color="auto"/>
                <w:bottom w:val="none" w:sz="0" w:space="0" w:color="auto"/>
                <w:right w:val="none" w:sz="0" w:space="0" w:color="auto"/>
              </w:divBdr>
            </w:div>
            <w:div w:id="1619680386">
              <w:marLeft w:val="0"/>
              <w:marRight w:val="0"/>
              <w:marTop w:val="0"/>
              <w:marBottom w:val="0"/>
              <w:divBdr>
                <w:top w:val="none" w:sz="0" w:space="0" w:color="auto"/>
                <w:left w:val="none" w:sz="0" w:space="0" w:color="auto"/>
                <w:bottom w:val="none" w:sz="0" w:space="0" w:color="auto"/>
                <w:right w:val="none" w:sz="0" w:space="0" w:color="auto"/>
              </w:divBdr>
            </w:div>
            <w:div w:id="210918746">
              <w:marLeft w:val="0"/>
              <w:marRight w:val="0"/>
              <w:marTop w:val="0"/>
              <w:marBottom w:val="0"/>
              <w:divBdr>
                <w:top w:val="none" w:sz="0" w:space="0" w:color="auto"/>
                <w:left w:val="none" w:sz="0" w:space="0" w:color="auto"/>
                <w:bottom w:val="none" w:sz="0" w:space="0" w:color="auto"/>
                <w:right w:val="none" w:sz="0" w:space="0" w:color="auto"/>
              </w:divBdr>
            </w:div>
          </w:divsChild>
        </w:div>
        <w:div w:id="2080247212">
          <w:marLeft w:val="0"/>
          <w:marRight w:val="0"/>
          <w:marTop w:val="0"/>
          <w:marBottom w:val="0"/>
          <w:divBdr>
            <w:top w:val="none" w:sz="0" w:space="0" w:color="auto"/>
            <w:left w:val="none" w:sz="0" w:space="0" w:color="auto"/>
            <w:bottom w:val="none" w:sz="0" w:space="0" w:color="auto"/>
            <w:right w:val="none" w:sz="0" w:space="0" w:color="auto"/>
          </w:divBdr>
          <w:divsChild>
            <w:div w:id="1306012607">
              <w:marLeft w:val="0"/>
              <w:marRight w:val="0"/>
              <w:marTop w:val="0"/>
              <w:marBottom w:val="0"/>
              <w:divBdr>
                <w:top w:val="none" w:sz="0" w:space="0" w:color="auto"/>
                <w:left w:val="none" w:sz="0" w:space="0" w:color="auto"/>
                <w:bottom w:val="none" w:sz="0" w:space="0" w:color="auto"/>
                <w:right w:val="none" w:sz="0" w:space="0" w:color="auto"/>
              </w:divBdr>
            </w:div>
            <w:div w:id="1700622434">
              <w:marLeft w:val="0"/>
              <w:marRight w:val="0"/>
              <w:marTop w:val="0"/>
              <w:marBottom w:val="0"/>
              <w:divBdr>
                <w:top w:val="none" w:sz="0" w:space="0" w:color="auto"/>
                <w:left w:val="none" w:sz="0" w:space="0" w:color="auto"/>
                <w:bottom w:val="none" w:sz="0" w:space="0" w:color="auto"/>
                <w:right w:val="none" w:sz="0" w:space="0" w:color="auto"/>
              </w:divBdr>
            </w:div>
          </w:divsChild>
        </w:div>
        <w:div w:id="1033191534">
          <w:marLeft w:val="0"/>
          <w:marRight w:val="0"/>
          <w:marTop w:val="0"/>
          <w:marBottom w:val="0"/>
          <w:divBdr>
            <w:top w:val="none" w:sz="0" w:space="0" w:color="auto"/>
            <w:left w:val="none" w:sz="0" w:space="0" w:color="auto"/>
            <w:bottom w:val="none" w:sz="0" w:space="0" w:color="auto"/>
            <w:right w:val="none" w:sz="0" w:space="0" w:color="auto"/>
          </w:divBdr>
          <w:divsChild>
            <w:div w:id="2133547839">
              <w:marLeft w:val="0"/>
              <w:marRight w:val="0"/>
              <w:marTop w:val="0"/>
              <w:marBottom w:val="0"/>
              <w:divBdr>
                <w:top w:val="none" w:sz="0" w:space="0" w:color="auto"/>
                <w:left w:val="none" w:sz="0" w:space="0" w:color="auto"/>
                <w:bottom w:val="none" w:sz="0" w:space="0" w:color="auto"/>
                <w:right w:val="none" w:sz="0" w:space="0" w:color="auto"/>
              </w:divBdr>
            </w:div>
            <w:div w:id="436218841">
              <w:marLeft w:val="0"/>
              <w:marRight w:val="0"/>
              <w:marTop w:val="0"/>
              <w:marBottom w:val="0"/>
              <w:divBdr>
                <w:top w:val="none" w:sz="0" w:space="0" w:color="auto"/>
                <w:left w:val="none" w:sz="0" w:space="0" w:color="auto"/>
                <w:bottom w:val="none" w:sz="0" w:space="0" w:color="auto"/>
                <w:right w:val="none" w:sz="0" w:space="0" w:color="auto"/>
              </w:divBdr>
            </w:div>
          </w:divsChild>
        </w:div>
        <w:div w:id="803472583">
          <w:marLeft w:val="0"/>
          <w:marRight w:val="0"/>
          <w:marTop w:val="0"/>
          <w:marBottom w:val="0"/>
          <w:divBdr>
            <w:top w:val="none" w:sz="0" w:space="0" w:color="auto"/>
            <w:left w:val="none" w:sz="0" w:space="0" w:color="auto"/>
            <w:bottom w:val="none" w:sz="0" w:space="0" w:color="auto"/>
            <w:right w:val="none" w:sz="0" w:space="0" w:color="auto"/>
          </w:divBdr>
          <w:divsChild>
            <w:div w:id="1336495629">
              <w:marLeft w:val="0"/>
              <w:marRight w:val="0"/>
              <w:marTop w:val="0"/>
              <w:marBottom w:val="0"/>
              <w:divBdr>
                <w:top w:val="none" w:sz="0" w:space="0" w:color="auto"/>
                <w:left w:val="none" w:sz="0" w:space="0" w:color="auto"/>
                <w:bottom w:val="none" w:sz="0" w:space="0" w:color="auto"/>
                <w:right w:val="none" w:sz="0" w:space="0" w:color="auto"/>
              </w:divBdr>
            </w:div>
            <w:div w:id="1628315628">
              <w:marLeft w:val="0"/>
              <w:marRight w:val="0"/>
              <w:marTop w:val="0"/>
              <w:marBottom w:val="0"/>
              <w:divBdr>
                <w:top w:val="none" w:sz="0" w:space="0" w:color="auto"/>
                <w:left w:val="none" w:sz="0" w:space="0" w:color="auto"/>
                <w:bottom w:val="none" w:sz="0" w:space="0" w:color="auto"/>
                <w:right w:val="none" w:sz="0" w:space="0" w:color="auto"/>
              </w:divBdr>
            </w:div>
            <w:div w:id="713888287">
              <w:marLeft w:val="0"/>
              <w:marRight w:val="0"/>
              <w:marTop w:val="0"/>
              <w:marBottom w:val="0"/>
              <w:divBdr>
                <w:top w:val="none" w:sz="0" w:space="0" w:color="auto"/>
                <w:left w:val="none" w:sz="0" w:space="0" w:color="auto"/>
                <w:bottom w:val="none" w:sz="0" w:space="0" w:color="auto"/>
                <w:right w:val="none" w:sz="0" w:space="0" w:color="auto"/>
              </w:divBdr>
            </w:div>
          </w:divsChild>
        </w:div>
        <w:div w:id="344674197">
          <w:marLeft w:val="0"/>
          <w:marRight w:val="0"/>
          <w:marTop w:val="0"/>
          <w:marBottom w:val="0"/>
          <w:divBdr>
            <w:top w:val="none" w:sz="0" w:space="0" w:color="auto"/>
            <w:left w:val="none" w:sz="0" w:space="0" w:color="auto"/>
            <w:bottom w:val="none" w:sz="0" w:space="0" w:color="auto"/>
            <w:right w:val="none" w:sz="0" w:space="0" w:color="auto"/>
          </w:divBdr>
          <w:divsChild>
            <w:div w:id="1324318338">
              <w:marLeft w:val="0"/>
              <w:marRight w:val="0"/>
              <w:marTop w:val="0"/>
              <w:marBottom w:val="0"/>
              <w:divBdr>
                <w:top w:val="none" w:sz="0" w:space="0" w:color="auto"/>
                <w:left w:val="none" w:sz="0" w:space="0" w:color="auto"/>
                <w:bottom w:val="none" w:sz="0" w:space="0" w:color="auto"/>
                <w:right w:val="none" w:sz="0" w:space="0" w:color="auto"/>
              </w:divBdr>
            </w:div>
            <w:div w:id="1870412711">
              <w:marLeft w:val="0"/>
              <w:marRight w:val="0"/>
              <w:marTop w:val="0"/>
              <w:marBottom w:val="0"/>
              <w:divBdr>
                <w:top w:val="none" w:sz="0" w:space="0" w:color="auto"/>
                <w:left w:val="none" w:sz="0" w:space="0" w:color="auto"/>
                <w:bottom w:val="none" w:sz="0" w:space="0" w:color="auto"/>
                <w:right w:val="none" w:sz="0" w:space="0" w:color="auto"/>
              </w:divBdr>
            </w:div>
          </w:divsChild>
        </w:div>
        <w:div w:id="1559321330">
          <w:marLeft w:val="0"/>
          <w:marRight w:val="0"/>
          <w:marTop w:val="0"/>
          <w:marBottom w:val="0"/>
          <w:divBdr>
            <w:top w:val="none" w:sz="0" w:space="0" w:color="auto"/>
            <w:left w:val="none" w:sz="0" w:space="0" w:color="auto"/>
            <w:bottom w:val="none" w:sz="0" w:space="0" w:color="auto"/>
            <w:right w:val="none" w:sz="0" w:space="0" w:color="auto"/>
          </w:divBdr>
          <w:divsChild>
            <w:div w:id="800000667">
              <w:marLeft w:val="0"/>
              <w:marRight w:val="0"/>
              <w:marTop w:val="0"/>
              <w:marBottom w:val="0"/>
              <w:divBdr>
                <w:top w:val="none" w:sz="0" w:space="0" w:color="auto"/>
                <w:left w:val="none" w:sz="0" w:space="0" w:color="auto"/>
                <w:bottom w:val="none" w:sz="0" w:space="0" w:color="auto"/>
                <w:right w:val="none" w:sz="0" w:space="0" w:color="auto"/>
              </w:divBdr>
            </w:div>
            <w:div w:id="1856505015">
              <w:marLeft w:val="0"/>
              <w:marRight w:val="0"/>
              <w:marTop w:val="0"/>
              <w:marBottom w:val="0"/>
              <w:divBdr>
                <w:top w:val="none" w:sz="0" w:space="0" w:color="auto"/>
                <w:left w:val="none" w:sz="0" w:space="0" w:color="auto"/>
                <w:bottom w:val="none" w:sz="0" w:space="0" w:color="auto"/>
                <w:right w:val="none" w:sz="0" w:space="0" w:color="auto"/>
              </w:divBdr>
            </w:div>
          </w:divsChild>
        </w:div>
        <w:div w:id="291522960">
          <w:marLeft w:val="0"/>
          <w:marRight w:val="0"/>
          <w:marTop w:val="0"/>
          <w:marBottom w:val="0"/>
          <w:divBdr>
            <w:top w:val="none" w:sz="0" w:space="0" w:color="auto"/>
            <w:left w:val="none" w:sz="0" w:space="0" w:color="auto"/>
            <w:bottom w:val="none" w:sz="0" w:space="0" w:color="auto"/>
            <w:right w:val="none" w:sz="0" w:space="0" w:color="auto"/>
          </w:divBdr>
          <w:divsChild>
            <w:div w:id="565990680">
              <w:marLeft w:val="0"/>
              <w:marRight w:val="0"/>
              <w:marTop w:val="0"/>
              <w:marBottom w:val="0"/>
              <w:divBdr>
                <w:top w:val="none" w:sz="0" w:space="0" w:color="auto"/>
                <w:left w:val="none" w:sz="0" w:space="0" w:color="auto"/>
                <w:bottom w:val="none" w:sz="0" w:space="0" w:color="auto"/>
                <w:right w:val="none" w:sz="0" w:space="0" w:color="auto"/>
              </w:divBdr>
            </w:div>
          </w:divsChild>
        </w:div>
        <w:div w:id="582685095">
          <w:marLeft w:val="0"/>
          <w:marRight w:val="0"/>
          <w:marTop w:val="0"/>
          <w:marBottom w:val="0"/>
          <w:divBdr>
            <w:top w:val="none" w:sz="0" w:space="0" w:color="auto"/>
            <w:left w:val="none" w:sz="0" w:space="0" w:color="auto"/>
            <w:bottom w:val="none" w:sz="0" w:space="0" w:color="auto"/>
            <w:right w:val="none" w:sz="0" w:space="0" w:color="auto"/>
          </w:divBdr>
          <w:divsChild>
            <w:div w:id="636834452">
              <w:marLeft w:val="0"/>
              <w:marRight w:val="0"/>
              <w:marTop w:val="0"/>
              <w:marBottom w:val="0"/>
              <w:divBdr>
                <w:top w:val="none" w:sz="0" w:space="0" w:color="auto"/>
                <w:left w:val="none" w:sz="0" w:space="0" w:color="auto"/>
                <w:bottom w:val="none" w:sz="0" w:space="0" w:color="auto"/>
                <w:right w:val="none" w:sz="0" w:space="0" w:color="auto"/>
              </w:divBdr>
            </w:div>
            <w:div w:id="724380095">
              <w:marLeft w:val="0"/>
              <w:marRight w:val="0"/>
              <w:marTop w:val="0"/>
              <w:marBottom w:val="0"/>
              <w:divBdr>
                <w:top w:val="none" w:sz="0" w:space="0" w:color="auto"/>
                <w:left w:val="none" w:sz="0" w:space="0" w:color="auto"/>
                <w:bottom w:val="none" w:sz="0" w:space="0" w:color="auto"/>
                <w:right w:val="none" w:sz="0" w:space="0" w:color="auto"/>
              </w:divBdr>
            </w:div>
          </w:divsChild>
        </w:div>
        <w:div w:id="912082604">
          <w:marLeft w:val="0"/>
          <w:marRight w:val="0"/>
          <w:marTop w:val="0"/>
          <w:marBottom w:val="0"/>
          <w:divBdr>
            <w:top w:val="none" w:sz="0" w:space="0" w:color="auto"/>
            <w:left w:val="none" w:sz="0" w:space="0" w:color="auto"/>
            <w:bottom w:val="none" w:sz="0" w:space="0" w:color="auto"/>
            <w:right w:val="none" w:sz="0" w:space="0" w:color="auto"/>
          </w:divBdr>
          <w:divsChild>
            <w:div w:id="888808376">
              <w:marLeft w:val="0"/>
              <w:marRight w:val="0"/>
              <w:marTop w:val="0"/>
              <w:marBottom w:val="0"/>
              <w:divBdr>
                <w:top w:val="none" w:sz="0" w:space="0" w:color="auto"/>
                <w:left w:val="none" w:sz="0" w:space="0" w:color="auto"/>
                <w:bottom w:val="none" w:sz="0" w:space="0" w:color="auto"/>
                <w:right w:val="none" w:sz="0" w:space="0" w:color="auto"/>
              </w:divBdr>
            </w:div>
            <w:div w:id="1280408209">
              <w:marLeft w:val="0"/>
              <w:marRight w:val="0"/>
              <w:marTop w:val="0"/>
              <w:marBottom w:val="0"/>
              <w:divBdr>
                <w:top w:val="none" w:sz="0" w:space="0" w:color="auto"/>
                <w:left w:val="none" w:sz="0" w:space="0" w:color="auto"/>
                <w:bottom w:val="none" w:sz="0" w:space="0" w:color="auto"/>
                <w:right w:val="none" w:sz="0" w:space="0" w:color="auto"/>
              </w:divBdr>
            </w:div>
          </w:divsChild>
        </w:div>
        <w:div w:id="1925143235">
          <w:marLeft w:val="0"/>
          <w:marRight w:val="0"/>
          <w:marTop w:val="0"/>
          <w:marBottom w:val="0"/>
          <w:divBdr>
            <w:top w:val="none" w:sz="0" w:space="0" w:color="auto"/>
            <w:left w:val="none" w:sz="0" w:space="0" w:color="auto"/>
            <w:bottom w:val="none" w:sz="0" w:space="0" w:color="auto"/>
            <w:right w:val="none" w:sz="0" w:space="0" w:color="auto"/>
          </w:divBdr>
          <w:divsChild>
            <w:div w:id="1312711335">
              <w:marLeft w:val="0"/>
              <w:marRight w:val="0"/>
              <w:marTop w:val="0"/>
              <w:marBottom w:val="0"/>
              <w:divBdr>
                <w:top w:val="none" w:sz="0" w:space="0" w:color="auto"/>
                <w:left w:val="none" w:sz="0" w:space="0" w:color="auto"/>
                <w:bottom w:val="none" w:sz="0" w:space="0" w:color="auto"/>
                <w:right w:val="none" w:sz="0" w:space="0" w:color="auto"/>
              </w:divBdr>
            </w:div>
            <w:div w:id="1184713272">
              <w:marLeft w:val="0"/>
              <w:marRight w:val="0"/>
              <w:marTop w:val="0"/>
              <w:marBottom w:val="0"/>
              <w:divBdr>
                <w:top w:val="none" w:sz="0" w:space="0" w:color="auto"/>
                <w:left w:val="none" w:sz="0" w:space="0" w:color="auto"/>
                <w:bottom w:val="none" w:sz="0" w:space="0" w:color="auto"/>
                <w:right w:val="none" w:sz="0" w:space="0" w:color="auto"/>
              </w:divBdr>
            </w:div>
            <w:div w:id="1679963771">
              <w:marLeft w:val="0"/>
              <w:marRight w:val="0"/>
              <w:marTop w:val="0"/>
              <w:marBottom w:val="0"/>
              <w:divBdr>
                <w:top w:val="none" w:sz="0" w:space="0" w:color="auto"/>
                <w:left w:val="none" w:sz="0" w:space="0" w:color="auto"/>
                <w:bottom w:val="none" w:sz="0" w:space="0" w:color="auto"/>
                <w:right w:val="none" w:sz="0" w:space="0" w:color="auto"/>
              </w:divBdr>
            </w:div>
            <w:div w:id="793409497">
              <w:marLeft w:val="0"/>
              <w:marRight w:val="0"/>
              <w:marTop w:val="0"/>
              <w:marBottom w:val="0"/>
              <w:divBdr>
                <w:top w:val="none" w:sz="0" w:space="0" w:color="auto"/>
                <w:left w:val="none" w:sz="0" w:space="0" w:color="auto"/>
                <w:bottom w:val="none" w:sz="0" w:space="0" w:color="auto"/>
                <w:right w:val="none" w:sz="0" w:space="0" w:color="auto"/>
              </w:divBdr>
            </w:div>
          </w:divsChild>
        </w:div>
        <w:div w:id="702249290">
          <w:marLeft w:val="0"/>
          <w:marRight w:val="0"/>
          <w:marTop w:val="0"/>
          <w:marBottom w:val="0"/>
          <w:divBdr>
            <w:top w:val="none" w:sz="0" w:space="0" w:color="auto"/>
            <w:left w:val="none" w:sz="0" w:space="0" w:color="auto"/>
            <w:bottom w:val="none" w:sz="0" w:space="0" w:color="auto"/>
            <w:right w:val="none" w:sz="0" w:space="0" w:color="auto"/>
          </w:divBdr>
          <w:divsChild>
            <w:div w:id="220410918">
              <w:marLeft w:val="0"/>
              <w:marRight w:val="0"/>
              <w:marTop w:val="0"/>
              <w:marBottom w:val="0"/>
              <w:divBdr>
                <w:top w:val="none" w:sz="0" w:space="0" w:color="auto"/>
                <w:left w:val="none" w:sz="0" w:space="0" w:color="auto"/>
                <w:bottom w:val="none" w:sz="0" w:space="0" w:color="auto"/>
                <w:right w:val="none" w:sz="0" w:space="0" w:color="auto"/>
              </w:divBdr>
            </w:div>
            <w:div w:id="748617925">
              <w:marLeft w:val="0"/>
              <w:marRight w:val="0"/>
              <w:marTop w:val="0"/>
              <w:marBottom w:val="0"/>
              <w:divBdr>
                <w:top w:val="none" w:sz="0" w:space="0" w:color="auto"/>
                <w:left w:val="none" w:sz="0" w:space="0" w:color="auto"/>
                <w:bottom w:val="none" w:sz="0" w:space="0" w:color="auto"/>
                <w:right w:val="none" w:sz="0" w:space="0" w:color="auto"/>
              </w:divBdr>
            </w:div>
            <w:div w:id="453181554">
              <w:marLeft w:val="0"/>
              <w:marRight w:val="0"/>
              <w:marTop w:val="0"/>
              <w:marBottom w:val="0"/>
              <w:divBdr>
                <w:top w:val="none" w:sz="0" w:space="0" w:color="auto"/>
                <w:left w:val="none" w:sz="0" w:space="0" w:color="auto"/>
                <w:bottom w:val="none" w:sz="0" w:space="0" w:color="auto"/>
                <w:right w:val="none" w:sz="0" w:space="0" w:color="auto"/>
              </w:divBdr>
            </w:div>
          </w:divsChild>
        </w:div>
        <w:div w:id="431515324">
          <w:marLeft w:val="0"/>
          <w:marRight w:val="0"/>
          <w:marTop w:val="0"/>
          <w:marBottom w:val="0"/>
          <w:divBdr>
            <w:top w:val="none" w:sz="0" w:space="0" w:color="auto"/>
            <w:left w:val="none" w:sz="0" w:space="0" w:color="auto"/>
            <w:bottom w:val="none" w:sz="0" w:space="0" w:color="auto"/>
            <w:right w:val="none" w:sz="0" w:space="0" w:color="auto"/>
          </w:divBdr>
          <w:divsChild>
            <w:div w:id="829638840">
              <w:marLeft w:val="0"/>
              <w:marRight w:val="0"/>
              <w:marTop w:val="0"/>
              <w:marBottom w:val="0"/>
              <w:divBdr>
                <w:top w:val="none" w:sz="0" w:space="0" w:color="auto"/>
                <w:left w:val="none" w:sz="0" w:space="0" w:color="auto"/>
                <w:bottom w:val="none" w:sz="0" w:space="0" w:color="auto"/>
                <w:right w:val="none" w:sz="0" w:space="0" w:color="auto"/>
              </w:divBdr>
            </w:div>
            <w:div w:id="1569268782">
              <w:marLeft w:val="0"/>
              <w:marRight w:val="0"/>
              <w:marTop w:val="0"/>
              <w:marBottom w:val="0"/>
              <w:divBdr>
                <w:top w:val="none" w:sz="0" w:space="0" w:color="auto"/>
                <w:left w:val="none" w:sz="0" w:space="0" w:color="auto"/>
                <w:bottom w:val="none" w:sz="0" w:space="0" w:color="auto"/>
                <w:right w:val="none" w:sz="0" w:space="0" w:color="auto"/>
              </w:divBdr>
            </w:div>
          </w:divsChild>
        </w:div>
        <w:div w:id="187960559">
          <w:marLeft w:val="0"/>
          <w:marRight w:val="0"/>
          <w:marTop w:val="0"/>
          <w:marBottom w:val="0"/>
          <w:divBdr>
            <w:top w:val="none" w:sz="0" w:space="0" w:color="auto"/>
            <w:left w:val="none" w:sz="0" w:space="0" w:color="auto"/>
            <w:bottom w:val="none" w:sz="0" w:space="0" w:color="auto"/>
            <w:right w:val="none" w:sz="0" w:space="0" w:color="auto"/>
          </w:divBdr>
          <w:divsChild>
            <w:div w:id="1903250066">
              <w:marLeft w:val="0"/>
              <w:marRight w:val="0"/>
              <w:marTop w:val="0"/>
              <w:marBottom w:val="0"/>
              <w:divBdr>
                <w:top w:val="none" w:sz="0" w:space="0" w:color="auto"/>
                <w:left w:val="none" w:sz="0" w:space="0" w:color="auto"/>
                <w:bottom w:val="none" w:sz="0" w:space="0" w:color="auto"/>
                <w:right w:val="none" w:sz="0" w:space="0" w:color="auto"/>
              </w:divBdr>
            </w:div>
            <w:div w:id="1941376721">
              <w:marLeft w:val="0"/>
              <w:marRight w:val="0"/>
              <w:marTop w:val="0"/>
              <w:marBottom w:val="0"/>
              <w:divBdr>
                <w:top w:val="none" w:sz="0" w:space="0" w:color="auto"/>
                <w:left w:val="none" w:sz="0" w:space="0" w:color="auto"/>
                <w:bottom w:val="none" w:sz="0" w:space="0" w:color="auto"/>
                <w:right w:val="none" w:sz="0" w:space="0" w:color="auto"/>
              </w:divBdr>
            </w:div>
            <w:div w:id="2107647346">
              <w:marLeft w:val="0"/>
              <w:marRight w:val="0"/>
              <w:marTop w:val="0"/>
              <w:marBottom w:val="0"/>
              <w:divBdr>
                <w:top w:val="none" w:sz="0" w:space="0" w:color="auto"/>
                <w:left w:val="none" w:sz="0" w:space="0" w:color="auto"/>
                <w:bottom w:val="none" w:sz="0" w:space="0" w:color="auto"/>
                <w:right w:val="none" w:sz="0" w:space="0" w:color="auto"/>
              </w:divBdr>
            </w:div>
            <w:div w:id="213739033">
              <w:marLeft w:val="0"/>
              <w:marRight w:val="0"/>
              <w:marTop w:val="0"/>
              <w:marBottom w:val="0"/>
              <w:divBdr>
                <w:top w:val="none" w:sz="0" w:space="0" w:color="auto"/>
                <w:left w:val="none" w:sz="0" w:space="0" w:color="auto"/>
                <w:bottom w:val="none" w:sz="0" w:space="0" w:color="auto"/>
                <w:right w:val="none" w:sz="0" w:space="0" w:color="auto"/>
              </w:divBdr>
            </w:div>
            <w:div w:id="1725712087">
              <w:marLeft w:val="0"/>
              <w:marRight w:val="0"/>
              <w:marTop w:val="0"/>
              <w:marBottom w:val="0"/>
              <w:divBdr>
                <w:top w:val="none" w:sz="0" w:space="0" w:color="auto"/>
                <w:left w:val="none" w:sz="0" w:space="0" w:color="auto"/>
                <w:bottom w:val="none" w:sz="0" w:space="0" w:color="auto"/>
                <w:right w:val="none" w:sz="0" w:space="0" w:color="auto"/>
              </w:divBdr>
            </w:div>
            <w:div w:id="986087023">
              <w:marLeft w:val="0"/>
              <w:marRight w:val="0"/>
              <w:marTop w:val="0"/>
              <w:marBottom w:val="0"/>
              <w:divBdr>
                <w:top w:val="none" w:sz="0" w:space="0" w:color="auto"/>
                <w:left w:val="none" w:sz="0" w:space="0" w:color="auto"/>
                <w:bottom w:val="none" w:sz="0" w:space="0" w:color="auto"/>
                <w:right w:val="none" w:sz="0" w:space="0" w:color="auto"/>
              </w:divBdr>
            </w:div>
          </w:divsChild>
        </w:div>
        <w:div w:id="825361033">
          <w:marLeft w:val="0"/>
          <w:marRight w:val="0"/>
          <w:marTop w:val="0"/>
          <w:marBottom w:val="0"/>
          <w:divBdr>
            <w:top w:val="none" w:sz="0" w:space="0" w:color="auto"/>
            <w:left w:val="none" w:sz="0" w:space="0" w:color="auto"/>
            <w:bottom w:val="none" w:sz="0" w:space="0" w:color="auto"/>
            <w:right w:val="none" w:sz="0" w:space="0" w:color="auto"/>
          </w:divBdr>
          <w:divsChild>
            <w:div w:id="993023512">
              <w:marLeft w:val="0"/>
              <w:marRight w:val="0"/>
              <w:marTop w:val="0"/>
              <w:marBottom w:val="0"/>
              <w:divBdr>
                <w:top w:val="none" w:sz="0" w:space="0" w:color="auto"/>
                <w:left w:val="none" w:sz="0" w:space="0" w:color="auto"/>
                <w:bottom w:val="none" w:sz="0" w:space="0" w:color="auto"/>
                <w:right w:val="none" w:sz="0" w:space="0" w:color="auto"/>
              </w:divBdr>
            </w:div>
            <w:div w:id="2116974500">
              <w:marLeft w:val="0"/>
              <w:marRight w:val="0"/>
              <w:marTop w:val="0"/>
              <w:marBottom w:val="0"/>
              <w:divBdr>
                <w:top w:val="none" w:sz="0" w:space="0" w:color="auto"/>
                <w:left w:val="none" w:sz="0" w:space="0" w:color="auto"/>
                <w:bottom w:val="none" w:sz="0" w:space="0" w:color="auto"/>
                <w:right w:val="none" w:sz="0" w:space="0" w:color="auto"/>
              </w:divBdr>
            </w:div>
            <w:div w:id="2098164641">
              <w:marLeft w:val="0"/>
              <w:marRight w:val="0"/>
              <w:marTop w:val="0"/>
              <w:marBottom w:val="0"/>
              <w:divBdr>
                <w:top w:val="none" w:sz="0" w:space="0" w:color="auto"/>
                <w:left w:val="none" w:sz="0" w:space="0" w:color="auto"/>
                <w:bottom w:val="none" w:sz="0" w:space="0" w:color="auto"/>
                <w:right w:val="none" w:sz="0" w:space="0" w:color="auto"/>
              </w:divBdr>
            </w:div>
            <w:div w:id="426847313">
              <w:marLeft w:val="0"/>
              <w:marRight w:val="0"/>
              <w:marTop w:val="0"/>
              <w:marBottom w:val="0"/>
              <w:divBdr>
                <w:top w:val="none" w:sz="0" w:space="0" w:color="auto"/>
                <w:left w:val="none" w:sz="0" w:space="0" w:color="auto"/>
                <w:bottom w:val="none" w:sz="0" w:space="0" w:color="auto"/>
                <w:right w:val="none" w:sz="0" w:space="0" w:color="auto"/>
              </w:divBdr>
            </w:div>
          </w:divsChild>
        </w:div>
        <w:div w:id="641928512">
          <w:marLeft w:val="0"/>
          <w:marRight w:val="0"/>
          <w:marTop w:val="0"/>
          <w:marBottom w:val="0"/>
          <w:divBdr>
            <w:top w:val="none" w:sz="0" w:space="0" w:color="auto"/>
            <w:left w:val="none" w:sz="0" w:space="0" w:color="auto"/>
            <w:bottom w:val="none" w:sz="0" w:space="0" w:color="auto"/>
            <w:right w:val="none" w:sz="0" w:space="0" w:color="auto"/>
          </w:divBdr>
          <w:divsChild>
            <w:div w:id="1350374542">
              <w:marLeft w:val="0"/>
              <w:marRight w:val="0"/>
              <w:marTop w:val="0"/>
              <w:marBottom w:val="0"/>
              <w:divBdr>
                <w:top w:val="none" w:sz="0" w:space="0" w:color="auto"/>
                <w:left w:val="none" w:sz="0" w:space="0" w:color="auto"/>
                <w:bottom w:val="none" w:sz="0" w:space="0" w:color="auto"/>
                <w:right w:val="none" w:sz="0" w:space="0" w:color="auto"/>
              </w:divBdr>
            </w:div>
            <w:div w:id="410932534">
              <w:marLeft w:val="0"/>
              <w:marRight w:val="0"/>
              <w:marTop w:val="0"/>
              <w:marBottom w:val="0"/>
              <w:divBdr>
                <w:top w:val="none" w:sz="0" w:space="0" w:color="auto"/>
                <w:left w:val="none" w:sz="0" w:space="0" w:color="auto"/>
                <w:bottom w:val="none" w:sz="0" w:space="0" w:color="auto"/>
                <w:right w:val="none" w:sz="0" w:space="0" w:color="auto"/>
              </w:divBdr>
            </w:div>
          </w:divsChild>
        </w:div>
        <w:div w:id="420807552">
          <w:marLeft w:val="0"/>
          <w:marRight w:val="0"/>
          <w:marTop w:val="0"/>
          <w:marBottom w:val="0"/>
          <w:divBdr>
            <w:top w:val="none" w:sz="0" w:space="0" w:color="auto"/>
            <w:left w:val="none" w:sz="0" w:space="0" w:color="auto"/>
            <w:bottom w:val="none" w:sz="0" w:space="0" w:color="auto"/>
            <w:right w:val="none" w:sz="0" w:space="0" w:color="auto"/>
          </w:divBdr>
          <w:divsChild>
            <w:div w:id="1775516996">
              <w:marLeft w:val="0"/>
              <w:marRight w:val="0"/>
              <w:marTop w:val="0"/>
              <w:marBottom w:val="0"/>
              <w:divBdr>
                <w:top w:val="none" w:sz="0" w:space="0" w:color="auto"/>
                <w:left w:val="none" w:sz="0" w:space="0" w:color="auto"/>
                <w:bottom w:val="none" w:sz="0" w:space="0" w:color="auto"/>
                <w:right w:val="none" w:sz="0" w:space="0" w:color="auto"/>
              </w:divBdr>
            </w:div>
            <w:div w:id="1820152895">
              <w:marLeft w:val="0"/>
              <w:marRight w:val="0"/>
              <w:marTop w:val="0"/>
              <w:marBottom w:val="0"/>
              <w:divBdr>
                <w:top w:val="none" w:sz="0" w:space="0" w:color="auto"/>
                <w:left w:val="none" w:sz="0" w:space="0" w:color="auto"/>
                <w:bottom w:val="none" w:sz="0" w:space="0" w:color="auto"/>
                <w:right w:val="none" w:sz="0" w:space="0" w:color="auto"/>
              </w:divBdr>
            </w:div>
            <w:div w:id="659425185">
              <w:marLeft w:val="0"/>
              <w:marRight w:val="0"/>
              <w:marTop w:val="0"/>
              <w:marBottom w:val="0"/>
              <w:divBdr>
                <w:top w:val="none" w:sz="0" w:space="0" w:color="auto"/>
                <w:left w:val="none" w:sz="0" w:space="0" w:color="auto"/>
                <w:bottom w:val="none" w:sz="0" w:space="0" w:color="auto"/>
                <w:right w:val="none" w:sz="0" w:space="0" w:color="auto"/>
              </w:divBdr>
            </w:div>
            <w:div w:id="818619338">
              <w:marLeft w:val="0"/>
              <w:marRight w:val="0"/>
              <w:marTop w:val="0"/>
              <w:marBottom w:val="0"/>
              <w:divBdr>
                <w:top w:val="none" w:sz="0" w:space="0" w:color="auto"/>
                <w:left w:val="none" w:sz="0" w:space="0" w:color="auto"/>
                <w:bottom w:val="none" w:sz="0" w:space="0" w:color="auto"/>
                <w:right w:val="none" w:sz="0" w:space="0" w:color="auto"/>
              </w:divBdr>
            </w:div>
            <w:div w:id="42141329">
              <w:marLeft w:val="0"/>
              <w:marRight w:val="0"/>
              <w:marTop w:val="0"/>
              <w:marBottom w:val="0"/>
              <w:divBdr>
                <w:top w:val="none" w:sz="0" w:space="0" w:color="auto"/>
                <w:left w:val="none" w:sz="0" w:space="0" w:color="auto"/>
                <w:bottom w:val="none" w:sz="0" w:space="0" w:color="auto"/>
                <w:right w:val="none" w:sz="0" w:space="0" w:color="auto"/>
              </w:divBdr>
            </w:div>
            <w:div w:id="1777021332">
              <w:marLeft w:val="0"/>
              <w:marRight w:val="0"/>
              <w:marTop w:val="0"/>
              <w:marBottom w:val="0"/>
              <w:divBdr>
                <w:top w:val="none" w:sz="0" w:space="0" w:color="auto"/>
                <w:left w:val="none" w:sz="0" w:space="0" w:color="auto"/>
                <w:bottom w:val="none" w:sz="0" w:space="0" w:color="auto"/>
                <w:right w:val="none" w:sz="0" w:space="0" w:color="auto"/>
              </w:divBdr>
            </w:div>
            <w:div w:id="36051662">
              <w:marLeft w:val="0"/>
              <w:marRight w:val="0"/>
              <w:marTop w:val="0"/>
              <w:marBottom w:val="0"/>
              <w:divBdr>
                <w:top w:val="none" w:sz="0" w:space="0" w:color="auto"/>
                <w:left w:val="none" w:sz="0" w:space="0" w:color="auto"/>
                <w:bottom w:val="none" w:sz="0" w:space="0" w:color="auto"/>
                <w:right w:val="none" w:sz="0" w:space="0" w:color="auto"/>
              </w:divBdr>
            </w:div>
            <w:div w:id="1312372430">
              <w:marLeft w:val="0"/>
              <w:marRight w:val="0"/>
              <w:marTop w:val="0"/>
              <w:marBottom w:val="0"/>
              <w:divBdr>
                <w:top w:val="none" w:sz="0" w:space="0" w:color="auto"/>
                <w:left w:val="none" w:sz="0" w:space="0" w:color="auto"/>
                <w:bottom w:val="none" w:sz="0" w:space="0" w:color="auto"/>
                <w:right w:val="none" w:sz="0" w:space="0" w:color="auto"/>
              </w:divBdr>
            </w:div>
            <w:div w:id="484129266">
              <w:marLeft w:val="0"/>
              <w:marRight w:val="0"/>
              <w:marTop w:val="0"/>
              <w:marBottom w:val="0"/>
              <w:divBdr>
                <w:top w:val="none" w:sz="0" w:space="0" w:color="auto"/>
                <w:left w:val="none" w:sz="0" w:space="0" w:color="auto"/>
                <w:bottom w:val="none" w:sz="0" w:space="0" w:color="auto"/>
                <w:right w:val="none" w:sz="0" w:space="0" w:color="auto"/>
              </w:divBdr>
            </w:div>
            <w:div w:id="590431007">
              <w:marLeft w:val="0"/>
              <w:marRight w:val="0"/>
              <w:marTop w:val="0"/>
              <w:marBottom w:val="0"/>
              <w:divBdr>
                <w:top w:val="none" w:sz="0" w:space="0" w:color="auto"/>
                <w:left w:val="none" w:sz="0" w:space="0" w:color="auto"/>
                <w:bottom w:val="none" w:sz="0" w:space="0" w:color="auto"/>
                <w:right w:val="none" w:sz="0" w:space="0" w:color="auto"/>
              </w:divBdr>
            </w:div>
          </w:divsChild>
        </w:div>
        <w:div w:id="446242990">
          <w:marLeft w:val="0"/>
          <w:marRight w:val="0"/>
          <w:marTop w:val="0"/>
          <w:marBottom w:val="0"/>
          <w:divBdr>
            <w:top w:val="none" w:sz="0" w:space="0" w:color="auto"/>
            <w:left w:val="none" w:sz="0" w:space="0" w:color="auto"/>
            <w:bottom w:val="none" w:sz="0" w:space="0" w:color="auto"/>
            <w:right w:val="none" w:sz="0" w:space="0" w:color="auto"/>
          </w:divBdr>
          <w:divsChild>
            <w:div w:id="1571816672">
              <w:marLeft w:val="0"/>
              <w:marRight w:val="0"/>
              <w:marTop w:val="0"/>
              <w:marBottom w:val="0"/>
              <w:divBdr>
                <w:top w:val="none" w:sz="0" w:space="0" w:color="auto"/>
                <w:left w:val="none" w:sz="0" w:space="0" w:color="auto"/>
                <w:bottom w:val="none" w:sz="0" w:space="0" w:color="auto"/>
                <w:right w:val="none" w:sz="0" w:space="0" w:color="auto"/>
              </w:divBdr>
            </w:div>
          </w:divsChild>
        </w:div>
        <w:div w:id="630064067">
          <w:marLeft w:val="0"/>
          <w:marRight w:val="0"/>
          <w:marTop w:val="0"/>
          <w:marBottom w:val="0"/>
          <w:divBdr>
            <w:top w:val="none" w:sz="0" w:space="0" w:color="auto"/>
            <w:left w:val="none" w:sz="0" w:space="0" w:color="auto"/>
            <w:bottom w:val="none" w:sz="0" w:space="0" w:color="auto"/>
            <w:right w:val="none" w:sz="0" w:space="0" w:color="auto"/>
          </w:divBdr>
          <w:divsChild>
            <w:div w:id="1207525324">
              <w:marLeft w:val="0"/>
              <w:marRight w:val="0"/>
              <w:marTop w:val="0"/>
              <w:marBottom w:val="0"/>
              <w:divBdr>
                <w:top w:val="none" w:sz="0" w:space="0" w:color="auto"/>
                <w:left w:val="none" w:sz="0" w:space="0" w:color="auto"/>
                <w:bottom w:val="none" w:sz="0" w:space="0" w:color="auto"/>
                <w:right w:val="none" w:sz="0" w:space="0" w:color="auto"/>
              </w:divBdr>
            </w:div>
            <w:div w:id="877278186">
              <w:marLeft w:val="0"/>
              <w:marRight w:val="0"/>
              <w:marTop w:val="0"/>
              <w:marBottom w:val="0"/>
              <w:divBdr>
                <w:top w:val="none" w:sz="0" w:space="0" w:color="auto"/>
                <w:left w:val="none" w:sz="0" w:space="0" w:color="auto"/>
                <w:bottom w:val="none" w:sz="0" w:space="0" w:color="auto"/>
                <w:right w:val="none" w:sz="0" w:space="0" w:color="auto"/>
              </w:divBdr>
            </w:div>
            <w:div w:id="944732472">
              <w:marLeft w:val="0"/>
              <w:marRight w:val="0"/>
              <w:marTop w:val="0"/>
              <w:marBottom w:val="0"/>
              <w:divBdr>
                <w:top w:val="none" w:sz="0" w:space="0" w:color="auto"/>
                <w:left w:val="none" w:sz="0" w:space="0" w:color="auto"/>
                <w:bottom w:val="none" w:sz="0" w:space="0" w:color="auto"/>
                <w:right w:val="none" w:sz="0" w:space="0" w:color="auto"/>
              </w:divBdr>
            </w:div>
            <w:div w:id="281155354">
              <w:marLeft w:val="0"/>
              <w:marRight w:val="0"/>
              <w:marTop w:val="0"/>
              <w:marBottom w:val="0"/>
              <w:divBdr>
                <w:top w:val="none" w:sz="0" w:space="0" w:color="auto"/>
                <w:left w:val="none" w:sz="0" w:space="0" w:color="auto"/>
                <w:bottom w:val="none" w:sz="0" w:space="0" w:color="auto"/>
                <w:right w:val="none" w:sz="0" w:space="0" w:color="auto"/>
              </w:divBdr>
            </w:div>
            <w:div w:id="1380935987">
              <w:marLeft w:val="0"/>
              <w:marRight w:val="0"/>
              <w:marTop w:val="0"/>
              <w:marBottom w:val="0"/>
              <w:divBdr>
                <w:top w:val="none" w:sz="0" w:space="0" w:color="auto"/>
                <w:left w:val="none" w:sz="0" w:space="0" w:color="auto"/>
                <w:bottom w:val="none" w:sz="0" w:space="0" w:color="auto"/>
                <w:right w:val="none" w:sz="0" w:space="0" w:color="auto"/>
              </w:divBdr>
            </w:div>
            <w:div w:id="1677078542">
              <w:marLeft w:val="0"/>
              <w:marRight w:val="0"/>
              <w:marTop w:val="0"/>
              <w:marBottom w:val="0"/>
              <w:divBdr>
                <w:top w:val="none" w:sz="0" w:space="0" w:color="auto"/>
                <w:left w:val="none" w:sz="0" w:space="0" w:color="auto"/>
                <w:bottom w:val="none" w:sz="0" w:space="0" w:color="auto"/>
                <w:right w:val="none" w:sz="0" w:space="0" w:color="auto"/>
              </w:divBdr>
            </w:div>
          </w:divsChild>
        </w:div>
        <w:div w:id="1772386068">
          <w:marLeft w:val="0"/>
          <w:marRight w:val="0"/>
          <w:marTop w:val="0"/>
          <w:marBottom w:val="0"/>
          <w:divBdr>
            <w:top w:val="none" w:sz="0" w:space="0" w:color="auto"/>
            <w:left w:val="none" w:sz="0" w:space="0" w:color="auto"/>
            <w:bottom w:val="none" w:sz="0" w:space="0" w:color="auto"/>
            <w:right w:val="none" w:sz="0" w:space="0" w:color="auto"/>
          </w:divBdr>
          <w:divsChild>
            <w:div w:id="1334067076">
              <w:marLeft w:val="0"/>
              <w:marRight w:val="0"/>
              <w:marTop w:val="0"/>
              <w:marBottom w:val="0"/>
              <w:divBdr>
                <w:top w:val="none" w:sz="0" w:space="0" w:color="auto"/>
                <w:left w:val="none" w:sz="0" w:space="0" w:color="auto"/>
                <w:bottom w:val="none" w:sz="0" w:space="0" w:color="auto"/>
                <w:right w:val="none" w:sz="0" w:space="0" w:color="auto"/>
              </w:divBdr>
            </w:div>
            <w:div w:id="946237143">
              <w:marLeft w:val="0"/>
              <w:marRight w:val="0"/>
              <w:marTop w:val="0"/>
              <w:marBottom w:val="0"/>
              <w:divBdr>
                <w:top w:val="none" w:sz="0" w:space="0" w:color="auto"/>
                <w:left w:val="none" w:sz="0" w:space="0" w:color="auto"/>
                <w:bottom w:val="none" w:sz="0" w:space="0" w:color="auto"/>
                <w:right w:val="none" w:sz="0" w:space="0" w:color="auto"/>
              </w:divBdr>
            </w:div>
          </w:divsChild>
        </w:div>
        <w:div w:id="1763182280">
          <w:marLeft w:val="0"/>
          <w:marRight w:val="0"/>
          <w:marTop w:val="0"/>
          <w:marBottom w:val="0"/>
          <w:divBdr>
            <w:top w:val="none" w:sz="0" w:space="0" w:color="auto"/>
            <w:left w:val="none" w:sz="0" w:space="0" w:color="auto"/>
            <w:bottom w:val="none" w:sz="0" w:space="0" w:color="auto"/>
            <w:right w:val="none" w:sz="0" w:space="0" w:color="auto"/>
          </w:divBdr>
          <w:divsChild>
            <w:div w:id="1602835865">
              <w:marLeft w:val="0"/>
              <w:marRight w:val="0"/>
              <w:marTop w:val="0"/>
              <w:marBottom w:val="0"/>
              <w:divBdr>
                <w:top w:val="none" w:sz="0" w:space="0" w:color="auto"/>
                <w:left w:val="none" w:sz="0" w:space="0" w:color="auto"/>
                <w:bottom w:val="none" w:sz="0" w:space="0" w:color="auto"/>
                <w:right w:val="none" w:sz="0" w:space="0" w:color="auto"/>
              </w:divBdr>
            </w:div>
            <w:div w:id="2020037714">
              <w:marLeft w:val="0"/>
              <w:marRight w:val="0"/>
              <w:marTop w:val="0"/>
              <w:marBottom w:val="0"/>
              <w:divBdr>
                <w:top w:val="none" w:sz="0" w:space="0" w:color="auto"/>
                <w:left w:val="none" w:sz="0" w:space="0" w:color="auto"/>
                <w:bottom w:val="none" w:sz="0" w:space="0" w:color="auto"/>
                <w:right w:val="none" w:sz="0" w:space="0" w:color="auto"/>
              </w:divBdr>
            </w:div>
          </w:divsChild>
        </w:div>
        <w:div w:id="1258175949">
          <w:marLeft w:val="0"/>
          <w:marRight w:val="0"/>
          <w:marTop w:val="0"/>
          <w:marBottom w:val="0"/>
          <w:divBdr>
            <w:top w:val="none" w:sz="0" w:space="0" w:color="auto"/>
            <w:left w:val="none" w:sz="0" w:space="0" w:color="auto"/>
            <w:bottom w:val="none" w:sz="0" w:space="0" w:color="auto"/>
            <w:right w:val="none" w:sz="0" w:space="0" w:color="auto"/>
          </w:divBdr>
          <w:divsChild>
            <w:div w:id="846941591">
              <w:marLeft w:val="0"/>
              <w:marRight w:val="0"/>
              <w:marTop w:val="0"/>
              <w:marBottom w:val="0"/>
              <w:divBdr>
                <w:top w:val="none" w:sz="0" w:space="0" w:color="auto"/>
                <w:left w:val="none" w:sz="0" w:space="0" w:color="auto"/>
                <w:bottom w:val="none" w:sz="0" w:space="0" w:color="auto"/>
                <w:right w:val="none" w:sz="0" w:space="0" w:color="auto"/>
              </w:divBdr>
            </w:div>
            <w:div w:id="1131676417">
              <w:marLeft w:val="0"/>
              <w:marRight w:val="0"/>
              <w:marTop w:val="0"/>
              <w:marBottom w:val="0"/>
              <w:divBdr>
                <w:top w:val="none" w:sz="0" w:space="0" w:color="auto"/>
                <w:left w:val="none" w:sz="0" w:space="0" w:color="auto"/>
                <w:bottom w:val="none" w:sz="0" w:space="0" w:color="auto"/>
                <w:right w:val="none" w:sz="0" w:space="0" w:color="auto"/>
              </w:divBdr>
            </w:div>
          </w:divsChild>
        </w:div>
        <w:div w:id="1654287747">
          <w:marLeft w:val="0"/>
          <w:marRight w:val="0"/>
          <w:marTop w:val="0"/>
          <w:marBottom w:val="0"/>
          <w:divBdr>
            <w:top w:val="none" w:sz="0" w:space="0" w:color="auto"/>
            <w:left w:val="none" w:sz="0" w:space="0" w:color="auto"/>
            <w:bottom w:val="none" w:sz="0" w:space="0" w:color="auto"/>
            <w:right w:val="none" w:sz="0" w:space="0" w:color="auto"/>
          </w:divBdr>
          <w:divsChild>
            <w:div w:id="232394846">
              <w:marLeft w:val="0"/>
              <w:marRight w:val="0"/>
              <w:marTop w:val="0"/>
              <w:marBottom w:val="0"/>
              <w:divBdr>
                <w:top w:val="none" w:sz="0" w:space="0" w:color="auto"/>
                <w:left w:val="none" w:sz="0" w:space="0" w:color="auto"/>
                <w:bottom w:val="none" w:sz="0" w:space="0" w:color="auto"/>
                <w:right w:val="none" w:sz="0" w:space="0" w:color="auto"/>
              </w:divBdr>
            </w:div>
          </w:divsChild>
        </w:div>
        <w:div w:id="1982730504">
          <w:marLeft w:val="0"/>
          <w:marRight w:val="0"/>
          <w:marTop w:val="0"/>
          <w:marBottom w:val="0"/>
          <w:divBdr>
            <w:top w:val="none" w:sz="0" w:space="0" w:color="auto"/>
            <w:left w:val="none" w:sz="0" w:space="0" w:color="auto"/>
            <w:bottom w:val="none" w:sz="0" w:space="0" w:color="auto"/>
            <w:right w:val="none" w:sz="0" w:space="0" w:color="auto"/>
          </w:divBdr>
          <w:divsChild>
            <w:div w:id="1640303653">
              <w:marLeft w:val="0"/>
              <w:marRight w:val="0"/>
              <w:marTop w:val="0"/>
              <w:marBottom w:val="0"/>
              <w:divBdr>
                <w:top w:val="none" w:sz="0" w:space="0" w:color="auto"/>
                <w:left w:val="none" w:sz="0" w:space="0" w:color="auto"/>
                <w:bottom w:val="none" w:sz="0" w:space="0" w:color="auto"/>
                <w:right w:val="none" w:sz="0" w:space="0" w:color="auto"/>
              </w:divBdr>
            </w:div>
          </w:divsChild>
        </w:div>
        <w:div w:id="170683485">
          <w:marLeft w:val="0"/>
          <w:marRight w:val="0"/>
          <w:marTop w:val="0"/>
          <w:marBottom w:val="0"/>
          <w:divBdr>
            <w:top w:val="none" w:sz="0" w:space="0" w:color="auto"/>
            <w:left w:val="none" w:sz="0" w:space="0" w:color="auto"/>
            <w:bottom w:val="none" w:sz="0" w:space="0" w:color="auto"/>
            <w:right w:val="none" w:sz="0" w:space="0" w:color="auto"/>
          </w:divBdr>
          <w:divsChild>
            <w:div w:id="1913811963">
              <w:marLeft w:val="0"/>
              <w:marRight w:val="0"/>
              <w:marTop w:val="0"/>
              <w:marBottom w:val="0"/>
              <w:divBdr>
                <w:top w:val="none" w:sz="0" w:space="0" w:color="auto"/>
                <w:left w:val="none" w:sz="0" w:space="0" w:color="auto"/>
                <w:bottom w:val="none" w:sz="0" w:space="0" w:color="auto"/>
                <w:right w:val="none" w:sz="0" w:space="0" w:color="auto"/>
              </w:divBdr>
            </w:div>
          </w:divsChild>
        </w:div>
        <w:div w:id="1366447789">
          <w:marLeft w:val="0"/>
          <w:marRight w:val="0"/>
          <w:marTop w:val="0"/>
          <w:marBottom w:val="0"/>
          <w:divBdr>
            <w:top w:val="none" w:sz="0" w:space="0" w:color="auto"/>
            <w:left w:val="none" w:sz="0" w:space="0" w:color="auto"/>
            <w:bottom w:val="none" w:sz="0" w:space="0" w:color="auto"/>
            <w:right w:val="none" w:sz="0" w:space="0" w:color="auto"/>
          </w:divBdr>
        </w:div>
        <w:div w:id="96098663">
          <w:marLeft w:val="0"/>
          <w:marRight w:val="0"/>
          <w:marTop w:val="0"/>
          <w:marBottom w:val="0"/>
          <w:divBdr>
            <w:top w:val="none" w:sz="0" w:space="0" w:color="auto"/>
            <w:left w:val="none" w:sz="0" w:space="0" w:color="auto"/>
            <w:bottom w:val="none" w:sz="0" w:space="0" w:color="auto"/>
            <w:right w:val="none" w:sz="0" w:space="0" w:color="auto"/>
          </w:divBdr>
          <w:divsChild>
            <w:div w:id="1083339457">
              <w:marLeft w:val="0"/>
              <w:marRight w:val="0"/>
              <w:marTop w:val="0"/>
              <w:marBottom w:val="0"/>
              <w:divBdr>
                <w:top w:val="none" w:sz="0" w:space="0" w:color="auto"/>
                <w:left w:val="none" w:sz="0" w:space="0" w:color="auto"/>
                <w:bottom w:val="none" w:sz="0" w:space="0" w:color="auto"/>
                <w:right w:val="none" w:sz="0" w:space="0" w:color="auto"/>
              </w:divBdr>
            </w:div>
          </w:divsChild>
        </w:div>
        <w:div w:id="945651509">
          <w:marLeft w:val="0"/>
          <w:marRight w:val="0"/>
          <w:marTop w:val="0"/>
          <w:marBottom w:val="0"/>
          <w:divBdr>
            <w:top w:val="none" w:sz="0" w:space="0" w:color="auto"/>
            <w:left w:val="none" w:sz="0" w:space="0" w:color="auto"/>
            <w:bottom w:val="none" w:sz="0" w:space="0" w:color="auto"/>
            <w:right w:val="none" w:sz="0" w:space="0" w:color="auto"/>
          </w:divBdr>
          <w:divsChild>
            <w:div w:id="1748720968">
              <w:marLeft w:val="0"/>
              <w:marRight w:val="0"/>
              <w:marTop w:val="0"/>
              <w:marBottom w:val="0"/>
              <w:divBdr>
                <w:top w:val="none" w:sz="0" w:space="0" w:color="auto"/>
                <w:left w:val="none" w:sz="0" w:space="0" w:color="auto"/>
                <w:bottom w:val="none" w:sz="0" w:space="0" w:color="auto"/>
                <w:right w:val="none" w:sz="0" w:space="0" w:color="auto"/>
              </w:divBdr>
            </w:div>
          </w:divsChild>
        </w:div>
        <w:div w:id="873155389">
          <w:marLeft w:val="0"/>
          <w:marRight w:val="0"/>
          <w:marTop w:val="0"/>
          <w:marBottom w:val="0"/>
          <w:divBdr>
            <w:top w:val="none" w:sz="0" w:space="0" w:color="auto"/>
            <w:left w:val="none" w:sz="0" w:space="0" w:color="auto"/>
            <w:bottom w:val="none" w:sz="0" w:space="0" w:color="auto"/>
            <w:right w:val="none" w:sz="0" w:space="0" w:color="auto"/>
          </w:divBdr>
        </w:div>
        <w:div w:id="219562517">
          <w:marLeft w:val="0"/>
          <w:marRight w:val="0"/>
          <w:marTop w:val="0"/>
          <w:marBottom w:val="0"/>
          <w:divBdr>
            <w:top w:val="none" w:sz="0" w:space="0" w:color="auto"/>
            <w:left w:val="none" w:sz="0" w:space="0" w:color="auto"/>
            <w:bottom w:val="none" w:sz="0" w:space="0" w:color="auto"/>
            <w:right w:val="none" w:sz="0" w:space="0" w:color="auto"/>
          </w:divBdr>
        </w:div>
        <w:div w:id="512689693">
          <w:marLeft w:val="0"/>
          <w:marRight w:val="0"/>
          <w:marTop w:val="0"/>
          <w:marBottom w:val="0"/>
          <w:divBdr>
            <w:top w:val="none" w:sz="0" w:space="0" w:color="auto"/>
            <w:left w:val="none" w:sz="0" w:space="0" w:color="auto"/>
            <w:bottom w:val="none" w:sz="0" w:space="0" w:color="auto"/>
            <w:right w:val="none" w:sz="0" w:space="0" w:color="auto"/>
          </w:divBdr>
          <w:divsChild>
            <w:div w:id="1059282164">
              <w:marLeft w:val="0"/>
              <w:marRight w:val="0"/>
              <w:marTop w:val="0"/>
              <w:marBottom w:val="0"/>
              <w:divBdr>
                <w:top w:val="none" w:sz="0" w:space="0" w:color="auto"/>
                <w:left w:val="none" w:sz="0" w:space="0" w:color="auto"/>
                <w:bottom w:val="none" w:sz="0" w:space="0" w:color="auto"/>
                <w:right w:val="none" w:sz="0" w:space="0" w:color="auto"/>
              </w:divBdr>
            </w:div>
          </w:divsChild>
        </w:div>
        <w:div w:id="1989631064">
          <w:marLeft w:val="0"/>
          <w:marRight w:val="0"/>
          <w:marTop w:val="0"/>
          <w:marBottom w:val="0"/>
          <w:divBdr>
            <w:top w:val="none" w:sz="0" w:space="0" w:color="auto"/>
            <w:left w:val="none" w:sz="0" w:space="0" w:color="auto"/>
            <w:bottom w:val="none" w:sz="0" w:space="0" w:color="auto"/>
            <w:right w:val="none" w:sz="0" w:space="0" w:color="auto"/>
          </w:divBdr>
          <w:divsChild>
            <w:div w:id="176232727">
              <w:marLeft w:val="0"/>
              <w:marRight w:val="0"/>
              <w:marTop w:val="0"/>
              <w:marBottom w:val="0"/>
              <w:divBdr>
                <w:top w:val="none" w:sz="0" w:space="0" w:color="auto"/>
                <w:left w:val="none" w:sz="0" w:space="0" w:color="auto"/>
                <w:bottom w:val="none" w:sz="0" w:space="0" w:color="auto"/>
                <w:right w:val="none" w:sz="0" w:space="0" w:color="auto"/>
              </w:divBdr>
            </w:div>
            <w:div w:id="623120695">
              <w:marLeft w:val="0"/>
              <w:marRight w:val="0"/>
              <w:marTop w:val="0"/>
              <w:marBottom w:val="0"/>
              <w:divBdr>
                <w:top w:val="none" w:sz="0" w:space="0" w:color="auto"/>
                <w:left w:val="none" w:sz="0" w:space="0" w:color="auto"/>
                <w:bottom w:val="none" w:sz="0" w:space="0" w:color="auto"/>
                <w:right w:val="none" w:sz="0" w:space="0" w:color="auto"/>
              </w:divBdr>
            </w:div>
          </w:divsChild>
        </w:div>
        <w:div w:id="327174696">
          <w:marLeft w:val="0"/>
          <w:marRight w:val="0"/>
          <w:marTop w:val="0"/>
          <w:marBottom w:val="0"/>
          <w:divBdr>
            <w:top w:val="none" w:sz="0" w:space="0" w:color="auto"/>
            <w:left w:val="none" w:sz="0" w:space="0" w:color="auto"/>
            <w:bottom w:val="none" w:sz="0" w:space="0" w:color="auto"/>
            <w:right w:val="none" w:sz="0" w:space="0" w:color="auto"/>
          </w:divBdr>
          <w:divsChild>
            <w:div w:id="831870035">
              <w:marLeft w:val="0"/>
              <w:marRight w:val="0"/>
              <w:marTop w:val="0"/>
              <w:marBottom w:val="0"/>
              <w:divBdr>
                <w:top w:val="none" w:sz="0" w:space="0" w:color="auto"/>
                <w:left w:val="none" w:sz="0" w:space="0" w:color="auto"/>
                <w:bottom w:val="none" w:sz="0" w:space="0" w:color="auto"/>
                <w:right w:val="none" w:sz="0" w:space="0" w:color="auto"/>
              </w:divBdr>
            </w:div>
          </w:divsChild>
        </w:div>
        <w:div w:id="2142843502">
          <w:marLeft w:val="0"/>
          <w:marRight w:val="0"/>
          <w:marTop w:val="0"/>
          <w:marBottom w:val="0"/>
          <w:divBdr>
            <w:top w:val="none" w:sz="0" w:space="0" w:color="auto"/>
            <w:left w:val="none" w:sz="0" w:space="0" w:color="auto"/>
            <w:bottom w:val="none" w:sz="0" w:space="0" w:color="auto"/>
            <w:right w:val="none" w:sz="0" w:space="0" w:color="auto"/>
          </w:divBdr>
          <w:divsChild>
            <w:div w:id="1826168593">
              <w:marLeft w:val="0"/>
              <w:marRight w:val="0"/>
              <w:marTop w:val="0"/>
              <w:marBottom w:val="0"/>
              <w:divBdr>
                <w:top w:val="none" w:sz="0" w:space="0" w:color="auto"/>
                <w:left w:val="none" w:sz="0" w:space="0" w:color="auto"/>
                <w:bottom w:val="none" w:sz="0" w:space="0" w:color="auto"/>
                <w:right w:val="none" w:sz="0" w:space="0" w:color="auto"/>
              </w:divBdr>
            </w:div>
            <w:div w:id="1489054349">
              <w:marLeft w:val="0"/>
              <w:marRight w:val="0"/>
              <w:marTop w:val="0"/>
              <w:marBottom w:val="0"/>
              <w:divBdr>
                <w:top w:val="none" w:sz="0" w:space="0" w:color="auto"/>
                <w:left w:val="none" w:sz="0" w:space="0" w:color="auto"/>
                <w:bottom w:val="none" w:sz="0" w:space="0" w:color="auto"/>
                <w:right w:val="none" w:sz="0" w:space="0" w:color="auto"/>
              </w:divBdr>
            </w:div>
          </w:divsChild>
        </w:div>
        <w:div w:id="287861941">
          <w:marLeft w:val="0"/>
          <w:marRight w:val="0"/>
          <w:marTop w:val="0"/>
          <w:marBottom w:val="0"/>
          <w:divBdr>
            <w:top w:val="none" w:sz="0" w:space="0" w:color="auto"/>
            <w:left w:val="none" w:sz="0" w:space="0" w:color="auto"/>
            <w:bottom w:val="none" w:sz="0" w:space="0" w:color="auto"/>
            <w:right w:val="none" w:sz="0" w:space="0" w:color="auto"/>
          </w:divBdr>
          <w:divsChild>
            <w:div w:id="1320036982">
              <w:marLeft w:val="0"/>
              <w:marRight w:val="0"/>
              <w:marTop w:val="0"/>
              <w:marBottom w:val="0"/>
              <w:divBdr>
                <w:top w:val="none" w:sz="0" w:space="0" w:color="auto"/>
                <w:left w:val="none" w:sz="0" w:space="0" w:color="auto"/>
                <w:bottom w:val="none" w:sz="0" w:space="0" w:color="auto"/>
                <w:right w:val="none" w:sz="0" w:space="0" w:color="auto"/>
              </w:divBdr>
            </w:div>
          </w:divsChild>
        </w:div>
        <w:div w:id="1093821974">
          <w:marLeft w:val="0"/>
          <w:marRight w:val="0"/>
          <w:marTop w:val="0"/>
          <w:marBottom w:val="0"/>
          <w:divBdr>
            <w:top w:val="none" w:sz="0" w:space="0" w:color="auto"/>
            <w:left w:val="none" w:sz="0" w:space="0" w:color="auto"/>
            <w:bottom w:val="none" w:sz="0" w:space="0" w:color="auto"/>
            <w:right w:val="none" w:sz="0" w:space="0" w:color="auto"/>
          </w:divBdr>
          <w:divsChild>
            <w:div w:id="224030173">
              <w:marLeft w:val="0"/>
              <w:marRight w:val="0"/>
              <w:marTop w:val="0"/>
              <w:marBottom w:val="0"/>
              <w:divBdr>
                <w:top w:val="none" w:sz="0" w:space="0" w:color="auto"/>
                <w:left w:val="none" w:sz="0" w:space="0" w:color="auto"/>
                <w:bottom w:val="none" w:sz="0" w:space="0" w:color="auto"/>
                <w:right w:val="none" w:sz="0" w:space="0" w:color="auto"/>
              </w:divBdr>
            </w:div>
            <w:div w:id="1933582867">
              <w:marLeft w:val="0"/>
              <w:marRight w:val="0"/>
              <w:marTop w:val="0"/>
              <w:marBottom w:val="0"/>
              <w:divBdr>
                <w:top w:val="none" w:sz="0" w:space="0" w:color="auto"/>
                <w:left w:val="none" w:sz="0" w:space="0" w:color="auto"/>
                <w:bottom w:val="none" w:sz="0" w:space="0" w:color="auto"/>
                <w:right w:val="none" w:sz="0" w:space="0" w:color="auto"/>
              </w:divBdr>
            </w:div>
          </w:divsChild>
        </w:div>
        <w:div w:id="1979912836">
          <w:marLeft w:val="0"/>
          <w:marRight w:val="0"/>
          <w:marTop w:val="0"/>
          <w:marBottom w:val="0"/>
          <w:divBdr>
            <w:top w:val="none" w:sz="0" w:space="0" w:color="auto"/>
            <w:left w:val="none" w:sz="0" w:space="0" w:color="auto"/>
            <w:bottom w:val="none" w:sz="0" w:space="0" w:color="auto"/>
            <w:right w:val="none" w:sz="0" w:space="0" w:color="auto"/>
          </w:divBdr>
          <w:divsChild>
            <w:div w:id="2002079451">
              <w:marLeft w:val="0"/>
              <w:marRight w:val="0"/>
              <w:marTop w:val="0"/>
              <w:marBottom w:val="0"/>
              <w:divBdr>
                <w:top w:val="none" w:sz="0" w:space="0" w:color="auto"/>
                <w:left w:val="none" w:sz="0" w:space="0" w:color="auto"/>
                <w:bottom w:val="none" w:sz="0" w:space="0" w:color="auto"/>
                <w:right w:val="none" w:sz="0" w:space="0" w:color="auto"/>
              </w:divBdr>
            </w:div>
            <w:div w:id="946035307">
              <w:marLeft w:val="0"/>
              <w:marRight w:val="0"/>
              <w:marTop w:val="0"/>
              <w:marBottom w:val="0"/>
              <w:divBdr>
                <w:top w:val="none" w:sz="0" w:space="0" w:color="auto"/>
                <w:left w:val="none" w:sz="0" w:space="0" w:color="auto"/>
                <w:bottom w:val="none" w:sz="0" w:space="0" w:color="auto"/>
                <w:right w:val="none" w:sz="0" w:space="0" w:color="auto"/>
              </w:divBdr>
            </w:div>
            <w:div w:id="1286815134">
              <w:marLeft w:val="0"/>
              <w:marRight w:val="0"/>
              <w:marTop w:val="0"/>
              <w:marBottom w:val="0"/>
              <w:divBdr>
                <w:top w:val="none" w:sz="0" w:space="0" w:color="auto"/>
                <w:left w:val="none" w:sz="0" w:space="0" w:color="auto"/>
                <w:bottom w:val="none" w:sz="0" w:space="0" w:color="auto"/>
                <w:right w:val="none" w:sz="0" w:space="0" w:color="auto"/>
              </w:divBdr>
            </w:div>
          </w:divsChild>
        </w:div>
        <w:div w:id="456721768">
          <w:marLeft w:val="0"/>
          <w:marRight w:val="0"/>
          <w:marTop w:val="0"/>
          <w:marBottom w:val="0"/>
          <w:divBdr>
            <w:top w:val="none" w:sz="0" w:space="0" w:color="auto"/>
            <w:left w:val="none" w:sz="0" w:space="0" w:color="auto"/>
            <w:bottom w:val="none" w:sz="0" w:space="0" w:color="auto"/>
            <w:right w:val="none" w:sz="0" w:space="0" w:color="auto"/>
          </w:divBdr>
          <w:divsChild>
            <w:div w:id="1457916993">
              <w:marLeft w:val="0"/>
              <w:marRight w:val="0"/>
              <w:marTop w:val="0"/>
              <w:marBottom w:val="0"/>
              <w:divBdr>
                <w:top w:val="none" w:sz="0" w:space="0" w:color="auto"/>
                <w:left w:val="none" w:sz="0" w:space="0" w:color="auto"/>
                <w:bottom w:val="none" w:sz="0" w:space="0" w:color="auto"/>
                <w:right w:val="none" w:sz="0" w:space="0" w:color="auto"/>
              </w:divBdr>
            </w:div>
          </w:divsChild>
        </w:div>
        <w:div w:id="162480599">
          <w:marLeft w:val="0"/>
          <w:marRight w:val="0"/>
          <w:marTop w:val="0"/>
          <w:marBottom w:val="0"/>
          <w:divBdr>
            <w:top w:val="none" w:sz="0" w:space="0" w:color="auto"/>
            <w:left w:val="none" w:sz="0" w:space="0" w:color="auto"/>
            <w:bottom w:val="none" w:sz="0" w:space="0" w:color="auto"/>
            <w:right w:val="none" w:sz="0" w:space="0" w:color="auto"/>
          </w:divBdr>
          <w:divsChild>
            <w:div w:id="44454521">
              <w:marLeft w:val="0"/>
              <w:marRight w:val="0"/>
              <w:marTop w:val="0"/>
              <w:marBottom w:val="0"/>
              <w:divBdr>
                <w:top w:val="none" w:sz="0" w:space="0" w:color="auto"/>
                <w:left w:val="none" w:sz="0" w:space="0" w:color="auto"/>
                <w:bottom w:val="none" w:sz="0" w:space="0" w:color="auto"/>
                <w:right w:val="none" w:sz="0" w:space="0" w:color="auto"/>
              </w:divBdr>
            </w:div>
          </w:divsChild>
        </w:div>
        <w:div w:id="1776514393">
          <w:marLeft w:val="0"/>
          <w:marRight w:val="0"/>
          <w:marTop w:val="0"/>
          <w:marBottom w:val="0"/>
          <w:divBdr>
            <w:top w:val="none" w:sz="0" w:space="0" w:color="auto"/>
            <w:left w:val="none" w:sz="0" w:space="0" w:color="auto"/>
            <w:bottom w:val="none" w:sz="0" w:space="0" w:color="auto"/>
            <w:right w:val="none" w:sz="0" w:space="0" w:color="auto"/>
          </w:divBdr>
        </w:div>
        <w:div w:id="1161460267">
          <w:marLeft w:val="0"/>
          <w:marRight w:val="0"/>
          <w:marTop w:val="0"/>
          <w:marBottom w:val="0"/>
          <w:divBdr>
            <w:top w:val="none" w:sz="0" w:space="0" w:color="auto"/>
            <w:left w:val="none" w:sz="0" w:space="0" w:color="auto"/>
            <w:bottom w:val="none" w:sz="0" w:space="0" w:color="auto"/>
            <w:right w:val="none" w:sz="0" w:space="0" w:color="auto"/>
          </w:divBdr>
          <w:divsChild>
            <w:div w:id="142507355">
              <w:marLeft w:val="0"/>
              <w:marRight w:val="0"/>
              <w:marTop w:val="0"/>
              <w:marBottom w:val="0"/>
              <w:divBdr>
                <w:top w:val="none" w:sz="0" w:space="0" w:color="auto"/>
                <w:left w:val="none" w:sz="0" w:space="0" w:color="auto"/>
                <w:bottom w:val="none" w:sz="0" w:space="0" w:color="auto"/>
                <w:right w:val="none" w:sz="0" w:space="0" w:color="auto"/>
              </w:divBdr>
              <w:divsChild>
                <w:div w:id="814227157">
                  <w:marLeft w:val="240"/>
                  <w:marRight w:val="0"/>
                  <w:marTop w:val="60"/>
                  <w:marBottom w:val="60"/>
                  <w:divBdr>
                    <w:top w:val="none" w:sz="0" w:space="0" w:color="auto"/>
                    <w:left w:val="none" w:sz="0" w:space="0" w:color="auto"/>
                    <w:bottom w:val="none" w:sz="0" w:space="0" w:color="auto"/>
                    <w:right w:val="none" w:sz="0" w:space="0" w:color="auto"/>
                  </w:divBdr>
                  <w:divsChild>
                    <w:div w:id="1014846108">
                      <w:marLeft w:val="240"/>
                      <w:marRight w:val="0"/>
                      <w:marTop w:val="60"/>
                      <w:marBottom w:val="60"/>
                      <w:divBdr>
                        <w:top w:val="none" w:sz="0" w:space="0" w:color="auto"/>
                        <w:left w:val="none" w:sz="0" w:space="0" w:color="auto"/>
                        <w:bottom w:val="none" w:sz="0" w:space="0" w:color="auto"/>
                        <w:right w:val="none" w:sz="0" w:space="0" w:color="auto"/>
                      </w:divBdr>
                      <w:divsChild>
                        <w:div w:id="262734626">
                          <w:marLeft w:val="0"/>
                          <w:marRight w:val="0"/>
                          <w:marTop w:val="0"/>
                          <w:marBottom w:val="0"/>
                          <w:divBdr>
                            <w:top w:val="none" w:sz="0" w:space="0" w:color="auto"/>
                            <w:left w:val="none" w:sz="0" w:space="0" w:color="auto"/>
                            <w:bottom w:val="none" w:sz="0" w:space="0" w:color="auto"/>
                            <w:right w:val="none" w:sz="0" w:space="0" w:color="auto"/>
                          </w:divBdr>
                        </w:div>
                      </w:divsChild>
                    </w:div>
                    <w:div w:id="1287156096">
                      <w:marLeft w:val="240"/>
                      <w:marRight w:val="0"/>
                      <w:marTop w:val="60"/>
                      <w:marBottom w:val="60"/>
                      <w:divBdr>
                        <w:top w:val="none" w:sz="0" w:space="0" w:color="auto"/>
                        <w:left w:val="none" w:sz="0" w:space="0" w:color="auto"/>
                        <w:bottom w:val="none" w:sz="0" w:space="0" w:color="auto"/>
                        <w:right w:val="none" w:sz="0" w:space="0" w:color="auto"/>
                      </w:divBdr>
                      <w:divsChild>
                        <w:div w:id="1212839299">
                          <w:marLeft w:val="0"/>
                          <w:marRight w:val="0"/>
                          <w:marTop w:val="0"/>
                          <w:marBottom w:val="0"/>
                          <w:divBdr>
                            <w:top w:val="none" w:sz="0" w:space="0" w:color="auto"/>
                            <w:left w:val="none" w:sz="0" w:space="0" w:color="auto"/>
                            <w:bottom w:val="none" w:sz="0" w:space="0" w:color="auto"/>
                            <w:right w:val="none" w:sz="0" w:space="0" w:color="auto"/>
                          </w:divBdr>
                        </w:div>
                      </w:divsChild>
                    </w:div>
                    <w:div w:id="92554416">
                      <w:marLeft w:val="240"/>
                      <w:marRight w:val="0"/>
                      <w:marTop w:val="60"/>
                      <w:marBottom w:val="60"/>
                      <w:divBdr>
                        <w:top w:val="none" w:sz="0" w:space="0" w:color="auto"/>
                        <w:left w:val="none" w:sz="0" w:space="0" w:color="auto"/>
                        <w:bottom w:val="none" w:sz="0" w:space="0" w:color="auto"/>
                        <w:right w:val="none" w:sz="0" w:space="0" w:color="auto"/>
                      </w:divBdr>
                      <w:divsChild>
                        <w:div w:id="1606040156">
                          <w:marLeft w:val="0"/>
                          <w:marRight w:val="0"/>
                          <w:marTop w:val="0"/>
                          <w:marBottom w:val="0"/>
                          <w:divBdr>
                            <w:top w:val="none" w:sz="0" w:space="0" w:color="auto"/>
                            <w:left w:val="none" w:sz="0" w:space="0" w:color="auto"/>
                            <w:bottom w:val="none" w:sz="0" w:space="0" w:color="auto"/>
                            <w:right w:val="none" w:sz="0" w:space="0" w:color="auto"/>
                          </w:divBdr>
                        </w:div>
                      </w:divsChild>
                    </w:div>
                    <w:div w:id="385492124">
                      <w:marLeft w:val="240"/>
                      <w:marRight w:val="0"/>
                      <w:marTop w:val="60"/>
                      <w:marBottom w:val="60"/>
                      <w:divBdr>
                        <w:top w:val="none" w:sz="0" w:space="0" w:color="auto"/>
                        <w:left w:val="none" w:sz="0" w:space="0" w:color="auto"/>
                        <w:bottom w:val="none" w:sz="0" w:space="0" w:color="auto"/>
                        <w:right w:val="none" w:sz="0" w:space="0" w:color="auto"/>
                      </w:divBdr>
                      <w:divsChild>
                        <w:div w:id="581917770">
                          <w:marLeft w:val="0"/>
                          <w:marRight w:val="0"/>
                          <w:marTop w:val="0"/>
                          <w:marBottom w:val="0"/>
                          <w:divBdr>
                            <w:top w:val="none" w:sz="0" w:space="0" w:color="auto"/>
                            <w:left w:val="none" w:sz="0" w:space="0" w:color="auto"/>
                            <w:bottom w:val="none" w:sz="0" w:space="0" w:color="auto"/>
                            <w:right w:val="none" w:sz="0" w:space="0" w:color="auto"/>
                          </w:divBdr>
                        </w:div>
                      </w:divsChild>
                    </w:div>
                    <w:div w:id="513811780">
                      <w:marLeft w:val="240"/>
                      <w:marRight w:val="0"/>
                      <w:marTop w:val="60"/>
                      <w:marBottom w:val="60"/>
                      <w:divBdr>
                        <w:top w:val="none" w:sz="0" w:space="0" w:color="auto"/>
                        <w:left w:val="none" w:sz="0" w:space="0" w:color="auto"/>
                        <w:bottom w:val="none" w:sz="0" w:space="0" w:color="auto"/>
                        <w:right w:val="none" w:sz="0" w:space="0" w:color="auto"/>
                      </w:divBdr>
                      <w:divsChild>
                        <w:div w:id="1366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3841">
                  <w:marLeft w:val="240"/>
                  <w:marRight w:val="0"/>
                  <w:marTop w:val="60"/>
                  <w:marBottom w:val="60"/>
                  <w:divBdr>
                    <w:top w:val="none" w:sz="0" w:space="0" w:color="auto"/>
                    <w:left w:val="none" w:sz="0" w:space="0" w:color="auto"/>
                    <w:bottom w:val="none" w:sz="0" w:space="0" w:color="auto"/>
                    <w:right w:val="none" w:sz="0" w:space="0" w:color="auto"/>
                  </w:divBdr>
                  <w:divsChild>
                    <w:div w:id="14077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6601">
          <w:marLeft w:val="0"/>
          <w:marRight w:val="0"/>
          <w:marTop w:val="0"/>
          <w:marBottom w:val="0"/>
          <w:divBdr>
            <w:top w:val="none" w:sz="0" w:space="0" w:color="auto"/>
            <w:left w:val="none" w:sz="0" w:space="0" w:color="auto"/>
            <w:bottom w:val="none" w:sz="0" w:space="0" w:color="auto"/>
            <w:right w:val="none" w:sz="0" w:space="0" w:color="auto"/>
          </w:divBdr>
          <w:divsChild>
            <w:div w:id="617759347">
              <w:marLeft w:val="0"/>
              <w:marRight w:val="0"/>
              <w:marTop w:val="0"/>
              <w:marBottom w:val="0"/>
              <w:divBdr>
                <w:top w:val="none" w:sz="0" w:space="0" w:color="auto"/>
                <w:left w:val="none" w:sz="0" w:space="0" w:color="auto"/>
                <w:bottom w:val="none" w:sz="0" w:space="0" w:color="auto"/>
                <w:right w:val="none" w:sz="0" w:space="0" w:color="auto"/>
              </w:divBdr>
              <w:divsChild>
                <w:div w:id="1830125235">
                  <w:marLeft w:val="240"/>
                  <w:marRight w:val="0"/>
                  <w:marTop w:val="60"/>
                  <w:marBottom w:val="60"/>
                  <w:divBdr>
                    <w:top w:val="none" w:sz="0" w:space="0" w:color="auto"/>
                    <w:left w:val="none" w:sz="0" w:space="0" w:color="auto"/>
                    <w:bottom w:val="none" w:sz="0" w:space="0" w:color="auto"/>
                    <w:right w:val="none" w:sz="0" w:space="0" w:color="auto"/>
                  </w:divBdr>
                  <w:divsChild>
                    <w:div w:id="138613001">
                      <w:marLeft w:val="240"/>
                      <w:marRight w:val="0"/>
                      <w:marTop w:val="60"/>
                      <w:marBottom w:val="60"/>
                      <w:divBdr>
                        <w:top w:val="none" w:sz="0" w:space="0" w:color="auto"/>
                        <w:left w:val="none" w:sz="0" w:space="0" w:color="auto"/>
                        <w:bottom w:val="none" w:sz="0" w:space="0" w:color="auto"/>
                        <w:right w:val="none" w:sz="0" w:space="0" w:color="auto"/>
                      </w:divBdr>
                      <w:divsChild>
                        <w:div w:id="1045178266">
                          <w:marLeft w:val="240"/>
                          <w:marRight w:val="0"/>
                          <w:marTop w:val="60"/>
                          <w:marBottom w:val="60"/>
                          <w:divBdr>
                            <w:top w:val="none" w:sz="0" w:space="0" w:color="auto"/>
                            <w:left w:val="none" w:sz="0" w:space="0" w:color="auto"/>
                            <w:bottom w:val="none" w:sz="0" w:space="0" w:color="auto"/>
                            <w:right w:val="none" w:sz="0" w:space="0" w:color="auto"/>
                          </w:divBdr>
                          <w:divsChild>
                            <w:div w:id="1753772355">
                              <w:marLeft w:val="0"/>
                              <w:marRight w:val="0"/>
                              <w:marTop w:val="0"/>
                              <w:marBottom w:val="0"/>
                              <w:divBdr>
                                <w:top w:val="none" w:sz="0" w:space="0" w:color="auto"/>
                                <w:left w:val="none" w:sz="0" w:space="0" w:color="auto"/>
                                <w:bottom w:val="none" w:sz="0" w:space="0" w:color="auto"/>
                                <w:right w:val="none" w:sz="0" w:space="0" w:color="auto"/>
                              </w:divBdr>
                            </w:div>
                          </w:divsChild>
                        </w:div>
                        <w:div w:id="1758089679">
                          <w:marLeft w:val="240"/>
                          <w:marRight w:val="0"/>
                          <w:marTop w:val="60"/>
                          <w:marBottom w:val="60"/>
                          <w:divBdr>
                            <w:top w:val="none" w:sz="0" w:space="0" w:color="auto"/>
                            <w:left w:val="none" w:sz="0" w:space="0" w:color="auto"/>
                            <w:bottom w:val="none" w:sz="0" w:space="0" w:color="auto"/>
                            <w:right w:val="none" w:sz="0" w:space="0" w:color="auto"/>
                          </w:divBdr>
                          <w:divsChild>
                            <w:div w:id="140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5207">
                      <w:marLeft w:val="240"/>
                      <w:marRight w:val="0"/>
                      <w:marTop w:val="60"/>
                      <w:marBottom w:val="60"/>
                      <w:divBdr>
                        <w:top w:val="none" w:sz="0" w:space="0" w:color="auto"/>
                        <w:left w:val="none" w:sz="0" w:space="0" w:color="auto"/>
                        <w:bottom w:val="none" w:sz="0" w:space="0" w:color="auto"/>
                        <w:right w:val="none" w:sz="0" w:space="0" w:color="auto"/>
                      </w:divBdr>
                      <w:divsChild>
                        <w:div w:id="1645813013">
                          <w:marLeft w:val="240"/>
                          <w:marRight w:val="0"/>
                          <w:marTop w:val="60"/>
                          <w:marBottom w:val="60"/>
                          <w:divBdr>
                            <w:top w:val="none" w:sz="0" w:space="0" w:color="auto"/>
                            <w:left w:val="none" w:sz="0" w:space="0" w:color="auto"/>
                            <w:bottom w:val="none" w:sz="0" w:space="0" w:color="auto"/>
                            <w:right w:val="none" w:sz="0" w:space="0" w:color="auto"/>
                          </w:divBdr>
                          <w:divsChild>
                            <w:div w:id="24868781">
                              <w:marLeft w:val="0"/>
                              <w:marRight w:val="0"/>
                              <w:marTop w:val="0"/>
                              <w:marBottom w:val="0"/>
                              <w:divBdr>
                                <w:top w:val="none" w:sz="0" w:space="0" w:color="auto"/>
                                <w:left w:val="none" w:sz="0" w:space="0" w:color="auto"/>
                                <w:bottom w:val="none" w:sz="0" w:space="0" w:color="auto"/>
                                <w:right w:val="none" w:sz="0" w:space="0" w:color="auto"/>
                              </w:divBdr>
                            </w:div>
                          </w:divsChild>
                        </w:div>
                        <w:div w:id="999575761">
                          <w:marLeft w:val="240"/>
                          <w:marRight w:val="0"/>
                          <w:marTop w:val="60"/>
                          <w:marBottom w:val="60"/>
                          <w:divBdr>
                            <w:top w:val="none" w:sz="0" w:space="0" w:color="auto"/>
                            <w:left w:val="none" w:sz="0" w:space="0" w:color="auto"/>
                            <w:bottom w:val="none" w:sz="0" w:space="0" w:color="auto"/>
                            <w:right w:val="none" w:sz="0" w:space="0" w:color="auto"/>
                          </w:divBdr>
                          <w:divsChild>
                            <w:div w:id="116608994">
                              <w:marLeft w:val="240"/>
                              <w:marRight w:val="0"/>
                              <w:marTop w:val="60"/>
                              <w:marBottom w:val="60"/>
                              <w:divBdr>
                                <w:top w:val="none" w:sz="0" w:space="0" w:color="auto"/>
                                <w:left w:val="none" w:sz="0" w:space="0" w:color="auto"/>
                                <w:bottom w:val="none" w:sz="0" w:space="0" w:color="auto"/>
                                <w:right w:val="none" w:sz="0" w:space="0" w:color="auto"/>
                              </w:divBdr>
                              <w:divsChild>
                                <w:div w:id="860318888">
                                  <w:marLeft w:val="0"/>
                                  <w:marRight w:val="0"/>
                                  <w:marTop w:val="0"/>
                                  <w:marBottom w:val="0"/>
                                  <w:divBdr>
                                    <w:top w:val="none" w:sz="0" w:space="0" w:color="auto"/>
                                    <w:left w:val="none" w:sz="0" w:space="0" w:color="auto"/>
                                    <w:bottom w:val="none" w:sz="0" w:space="0" w:color="auto"/>
                                    <w:right w:val="none" w:sz="0" w:space="0" w:color="auto"/>
                                  </w:divBdr>
                                </w:div>
                              </w:divsChild>
                            </w:div>
                            <w:div w:id="432628411">
                              <w:marLeft w:val="240"/>
                              <w:marRight w:val="0"/>
                              <w:marTop w:val="60"/>
                              <w:marBottom w:val="60"/>
                              <w:divBdr>
                                <w:top w:val="none" w:sz="0" w:space="0" w:color="auto"/>
                                <w:left w:val="none" w:sz="0" w:space="0" w:color="auto"/>
                                <w:bottom w:val="none" w:sz="0" w:space="0" w:color="auto"/>
                                <w:right w:val="none" w:sz="0" w:space="0" w:color="auto"/>
                              </w:divBdr>
                              <w:divsChild>
                                <w:div w:id="6266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70284">
                      <w:marLeft w:val="240"/>
                      <w:marRight w:val="0"/>
                      <w:marTop w:val="60"/>
                      <w:marBottom w:val="60"/>
                      <w:divBdr>
                        <w:top w:val="none" w:sz="0" w:space="0" w:color="auto"/>
                        <w:left w:val="none" w:sz="0" w:space="0" w:color="auto"/>
                        <w:bottom w:val="none" w:sz="0" w:space="0" w:color="auto"/>
                        <w:right w:val="none" w:sz="0" w:space="0" w:color="auto"/>
                      </w:divBdr>
                      <w:divsChild>
                        <w:div w:id="1408310923">
                          <w:marLeft w:val="240"/>
                          <w:marRight w:val="0"/>
                          <w:marTop w:val="60"/>
                          <w:marBottom w:val="60"/>
                          <w:divBdr>
                            <w:top w:val="none" w:sz="0" w:space="0" w:color="auto"/>
                            <w:left w:val="none" w:sz="0" w:space="0" w:color="auto"/>
                            <w:bottom w:val="none" w:sz="0" w:space="0" w:color="auto"/>
                            <w:right w:val="none" w:sz="0" w:space="0" w:color="auto"/>
                          </w:divBdr>
                          <w:divsChild>
                            <w:div w:id="1870022783">
                              <w:marLeft w:val="0"/>
                              <w:marRight w:val="0"/>
                              <w:marTop w:val="0"/>
                              <w:marBottom w:val="0"/>
                              <w:divBdr>
                                <w:top w:val="none" w:sz="0" w:space="0" w:color="auto"/>
                                <w:left w:val="none" w:sz="0" w:space="0" w:color="auto"/>
                                <w:bottom w:val="none" w:sz="0" w:space="0" w:color="auto"/>
                                <w:right w:val="none" w:sz="0" w:space="0" w:color="auto"/>
                              </w:divBdr>
                            </w:div>
                          </w:divsChild>
                        </w:div>
                        <w:div w:id="615214112">
                          <w:marLeft w:val="240"/>
                          <w:marRight w:val="0"/>
                          <w:marTop w:val="60"/>
                          <w:marBottom w:val="60"/>
                          <w:divBdr>
                            <w:top w:val="none" w:sz="0" w:space="0" w:color="auto"/>
                            <w:left w:val="none" w:sz="0" w:space="0" w:color="auto"/>
                            <w:bottom w:val="none" w:sz="0" w:space="0" w:color="auto"/>
                            <w:right w:val="none" w:sz="0" w:space="0" w:color="auto"/>
                          </w:divBdr>
                          <w:divsChild>
                            <w:div w:id="10012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54686">
                  <w:marLeft w:val="240"/>
                  <w:marRight w:val="0"/>
                  <w:marTop w:val="60"/>
                  <w:marBottom w:val="60"/>
                  <w:divBdr>
                    <w:top w:val="none" w:sz="0" w:space="0" w:color="auto"/>
                    <w:left w:val="none" w:sz="0" w:space="0" w:color="auto"/>
                    <w:bottom w:val="none" w:sz="0" w:space="0" w:color="auto"/>
                    <w:right w:val="none" w:sz="0" w:space="0" w:color="auto"/>
                  </w:divBdr>
                  <w:divsChild>
                    <w:div w:id="1441336986">
                      <w:marLeft w:val="240"/>
                      <w:marRight w:val="0"/>
                      <w:marTop w:val="60"/>
                      <w:marBottom w:val="60"/>
                      <w:divBdr>
                        <w:top w:val="none" w:sz="0" w:space="0" w:color="auto"/>
                        <w:left w:val="none" w:sz="0" w:space="0" w:color="auto"/>
                        <w:bottom w:val="none" w:sz="0" w:space="0" w:color="auto"/>
                        <w:right w:val="none" w:sz="0" w:space="0" w:color="auto"/>
                      </w:divBdr>
                      <w:divsChild>
                        <w:div w:id="997004547">
                          <w:marLeft w:val="240"/>
                          <w:marRight w:val="0"/>
                          <w:marTop w:val="60"/>
                          <w:marBottom w:val="60"/>
                          <w:divBdr>
                            <w:top w:val="none" w:sz="0" w:space="0" w:color="auto"/>
                            <w:left w:val="none" w:sz="0" w:space="0" w:color="auto"/>
                            <w:bottom w:val="none" w:sz="0" w:space="0" w:color="auto"/>
                            <w:right w:val="none" w:sz="0" w:space="0" w:color="auto"/>
                          </w:divBdr>
                          <w:divsChild>
                            <w:div w:id="1386294060">
                              <w:marLeft w:val="0"/>
                              <w:marRight w:val="0"/>
                              <w:marTop w:val="0"/>
                              <w:marBottom w:val="0"/>
                              <w:divBdr>
                                <w:top w:val="none" w:sz="0" w:space="0" w:color="auto"/>
                                <w:left w:val="none" w:sz="0" w:space="0" w:color="auto"/>
                                <w:bottom w:val="none" w:sz="0" w:space="0" w:color="auto"/>
                                <w:right w:val="none" w:sz="0" w:space="0" w:color="auto"/>
                              </w:divBdr>
                            </w:div>
                          </w:divsChild>
                        </w:div>
                        <w:div w:id="684865916">
                          <w:marLeft w:val="240"/>
                          <w:marRight w:val="0"/>
                          <w:marTop w:val="60"/>
                          <w:marBottom w:val="60"/>
                          <w:divBdr>
                            <w:top w:val="none" w:sz="0" w:space="0" w:color="auto"/>
                            <w:left w:val="none" w:sz="0" w:space="0" w:color="auto"/>
                            <w:bottom w:val="none" w:sz="0" w:space="0" w:color="auto"/>
                            <w:right w:val="none" w:sz="0" w:space="0" w:color="auto"/>
                          </w:divBdr>
                          <w:divsChild>
                            <w:div w:id="7251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1290">
                      <w:marLeft w:val="240"/>
                      <w:marRight w:val="0"/>
                      <w:marTop w:val="60"/>
                      <w:marBottom w:val="60"/>
                      <w:divBdr>
                        <w:top w:val="none" w:sz="0" w:space="0" w:color="auto"/>
                        <w:left w:val="none" w:sz="0" w:space="0" w:color="auto"/>
                        <w:bottom w:val="none" w:sz="0" w:space="0" w:color="auto"/>
                        <w:right w:val="none" w:sz="0" w:space="0" w:color="auto"/>
                      </w:divBdr>
                      <w:divsChild>
                        <w:div w:id="1839611136">
                          <w:marLeft w:val="240"/>
                          <w:marRight w:val="0"/>
                          <w:marTop w:val="60"/>
                          <w:marBottom w:val="60"/>
                          <w:divBdr>
                            <w:top w:val="none" w:sz="0" w:space="0" w:color="auto"/>
                            <w:left w:val="none" w:sz="0" w:space="0" w:color="auto"/>
                            <w:bottom w:val="none" w:sz="0" w:space="0" w:color="auto"/>
                            <w:right w:val="none" w:sz="0" w:space="0" w:color="auto"/>
                          </w:divBdr>
                          <w:divsChild>
                            <w:div w:id="747117753">
                              <w:marLeft w:val="0"/>
                              <w:marRight w:val="0"/>
                              <w:marTop w:val="0"/>
                              <w:marBottom w:val="0"/>
                              <w:divBdr>
                                <w:top w:val="none" w:sz="0" w:space="0" w:color="auto"/>
                                <w:left w:val="none" w:sz="0" w:space="0" w:color="auto"/>
                                <w:bottom w:val="none" w:sz="0" w:space="0" w:color="auto"/>
                                <w:right w:val="none" w:sz="0" w:space="0" w:color="auto"/>
                              </w:divBdr>
                            </w:div>
                          </w:divsChild>
                        </w:div>
                        <w:div w:id="1082070979">
                          <w:marLeft w:val="240"/>
                          <w:marRight w:val="0"/>
                          <w:marTop w:val="60"/>
                          <w:marBottom w:val="60"/>
                          <w:divBdr>
                            <w:top w:val="none" w:sz="0" w:space="0" w:color="auto"/>
                            <w:left w:val="none" w:sz="0" w:space="0" w:color="auto"/>
                            <w:bottom w:val="none" w:sz="0" w:space="0" w:color="auto"/>
                            <w:right w:val="none" w:sz="0" w:space="0" w:color="auto"/>
                          </w:divBdr>
                          <w:divsChild>
                            <w:div w:id="101360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4449">
                  <w:marLeft w:val="240"/>
                  <w:marRight w:val="0"/>
                  <w:marTop w:val="60"/>
                  <w:marBottom w:val="60"/>
                  <w:divBdr>
                    <w:top w:val="none" w:sz="0" w:space="0" w:color="auto"/>
                    <w:left w:val="none" w:sz="0" w:space="0" w:color="auto"/>
                    <w:bottom w:val="none" w:sz="0" w:space="0" w:color="auto"/>
                    <w:right w:val="none" w:sz="0" w:space="0" w:color="auto"/>
                  </w:divBdr>
                  <w:divsChild>
                    <w:div w:id="1932623379">
                      <w:marLeft w:val="0"/>
                      <w:marRight w:val="0"/>
                      <w:marTop w:val="0"/>
                      <w:marBottom w:val="0"/>
                      <w:divBdr>
                        <w:top w:val="none" w:sz="0" w:space="0" w:color="auto"/>
                        <w:left w:val="none" w:sz="0" w:space="0" w:color="auto"/>
                        <w:bottom w:val="none" w:sz="0" w:space="0" w:color="auto"/>
                        <w:right w:val="none" w:sz="0" w:space="0" w:color="auto"/>
                      </w:divBdr>
                    </w:div>
                  </w:divsChild>
                </w:div>
                <w:div w:id="654379047">
                  <w:marLeft w:val="240"/>
                  <w:marRight w:val="0"/>
                  <w:marTop w:val="60"/>
                  <w:marBottom w:val="60"/>
                  <w:divBdr>
                    <w:top w:val="none" w:sz="0" w:space="0" w:color="auto"/>
                    <w:left w:val="none" w:sz="0" w:space="0" w:color="auto"/>
                    <w:bottom w:val="none" w:sz="0" w:space="0" w:color="auto"/>
                    <w:right w:val="none" w:sz="0" w:space="0" w:color="auto"/>
                  </w:divBdr>
                  <w:divsChild>
                    <w:div w:id="96365420">
                      <w:marLeft w:val="0"/>
                      <w:marRight w:val="0"/>
                      <w:marTop w:val="0"/>
                      <w:marBottom w:val="0"/>
                      <w:divBdr>
                        <w:top w:val="none" w:sz="0" w:space="0" w:color="auto"/>
                        <w:left w:val="none" w:sz="0" w:space="0" w:color="auto"/>
                        <w:bottom w:val="none" w:sz="0" w:space="0" w:color="auto"/>
                        <w:right w:val="none" w:sz="0" w:space="0" w:color="auto"/>
                      </w:divBdr>
                    </w:div>
                  </w:divsChild>
                </w:div>
                <w:div w:id="1890147821">
                  <w:marLeft w:val="240"/>
                  <w:marRight w:val="0"/>
                  <w:marTop w:val="60"/>
                  <w:marBottom w:val="60"/>
                  <w:divBdr>
                    <w:top w:val="none" w:sz="0" w:space="0" w:color="auto"/>
                    <w:left w:val="none" w:sz="0" w:space="0" w:color="auto"/>
                    <w:bottom w:val="none" w:sz="0" w:space="0" w:color="auto"/>
                    <w:right w:val="none" w:sz="0" w:space="0" w:color="auto"/>
                  </w:divBdr>
                  <w:divsChild>
                    <w:div w:id="1350912842">
                      <w:marLeft w:val="0"/>
                      <w:marRight w:val="0"/>
                      <w:marTop w:val="0"/>
                      <w:marBottom w:val="0"/>
                      <w:divBdr>
                        <w:top w:val="none" w:sz="0" w:space="0" w:color="auto"/>
                        <w:left w:val="none" w:sz="0" w:space="0" w:color="auto"/>
                        <w:bottom w:val="none" w:sz="0" w:space="0" w:color="auto"/>
                        <w:right w:val="none" w:sz="0" w:space="0" w:color="auto"/>
                      </w:divBdr>
                    </w:div>
                  </w:divsChild>
                </w:div>
                <w:div w:id="1770812288">
                  <w:marLeft w:val="240"/>
                  <w:marRight w:val="0"/>
                  <w:marTop w:val="60"/>
                  <w:marBottom w:val="60"/>
                  <w:divBdr>
                    <w:top w:val="none" w:sz="0" w:space="0" w:color="auto"/>
                    <w:left w:val="none" w:sz="0" w:space="0" w:color="auto"/>
                    <w:bottom w:val="none" w:sz="0" w:space="0" w:color="auto"/>
                    <w:right w:val="none" w:sz="0" w:space="0" w:color="auto"/>
                  </w:divBdr>
                  <w:divsChild>
                    <w:div w:id="20378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958500">
          <w:marLeft w:val="0"/>
          <w:marRight w:val="0"/>
          <w:marTop w:val="0"/>
          <w:marBottom w:val="0"/>
          <w:divBdr>
            <w:top w:val="none" w:sz="0" w:space="0" w:color="auto"/>
            <w:left w:val="none" w:sz="0" w:space="0" w:color="auto"/>
            <w:bottom w:val="none" w:sz="0" w:space="0" w:color="auto"/>
            <w:right w:val="none" w:sz="0" w:space="0" w:color="auto"/>
          </w:divBdr>
          <w:divsChild>
            <w:div w:id="1314406926">
              <w:marLeft w:val="0"/>
              <w:marRight w:val="0"/>
              <w:marTop w:val="0"/>
              <w:marBottom w:val="0"/>
              <w:divBdr>
                <w:top w:val="none" w:sz="0" w:space="0" w:color="auto"/>
                <w:left w:val="none" w:sz="0" w:space="0" w:color="auto"/>
                <w:bottom w:val="none" w:sz="0" w:space="0" w:color="auto"/>
                <w:right w:val="none" w:sz="0" w:space="0" w:color="auto"/>
              </w:divBdr>
            </w:div>
            <w:div w:id="490953145">
              <w:marLeft w:val="0"/>
              <w:marRight w:val="0"/>
              <w:marTop w:val="0"/>
              <w:marBottom w:val="0"/>
              <w:divBdr>
                <w:top w:val="none" w:sz="0" w:space="0" w:color="auto"/>
                <w:left w:val="none" w:sz="0" w:space="0" w:color="auto"/>
                <w:bottom w:val="none" w:sz="0" w:space="0" w:color="auto"/>
                <w:right w:val="none" w:sz="0" w:space="0" w:color="auto"/>
              </w:divBdr>
            </w:div>
            <w:div w:id="748817832">
              <w:marLeft w:val="0"/>
              <w:marRight w:val="0"/>
              <w:marTop w:val="0"/>
              <w:marBottom w:val="0"/>
              <w:divBdr>
                <w:top w:val="none" w:sz="0" w:space="0" w:color="auto"/>
                <w:left w:val="none" w:sz="0" w:space="0" w:color="auto"/>
                <w:bottom w:val="none" w:sz="0" w:space="0" w:color="auto"/>
                <w:right w:val="none" w:sz="0" w:space="0" w:color="auto"/>
              </w:divBdr>
            </w:div>
            <w:div w:id="69273616">
              <w:marLeft w:val="0"/>
              <w:marRight w:val="0"/>
              <w:marTop w:val="0"/>
              <w:marBottom w:val="0"/>
              <w:divBdr>
                <w:top w:val="none" w:sz="0" w:space="0" w:color="auto"/>
                <w:left w:val="none" w:sz="0" w:space="0" w:color="auto"/>
                <w:bottom w:val="none" w:sz="0" w:space="0" w:color="auto"/>
                <w:right w:val="none" w:sz="0" w:space="0" w:color="auto"/>
              </w:divBdr>
            </w:div>
            <w:div w:id="1531147037">
              <w:marLeft w:val="0"/>
              <w:marRight w:val="0"/>
              <w:marTop w:val="0"/>
              <w:marBottom w:val="0"/>
              <w:divBdr>
                <w:top w:val="none" w:sz="0" w:space="0" w:color="auto"/>
                <w:left w:val="none" w:sz="0" w:space="0" w:color="auto"/>
                <w:bottom w:val="none" w:sz="0" w:space="0" w:color="auto"/>
                <w:right w:val="none" w:sz="0" w:space="0" w:color="auto"/>
              </w:divBdr>
            </w:div>
            <w:div w:id="1035422221">
              <w:marLeft w:val="0"/>
              <w:marRight w:val="0"/>
              <w:marTop w:val="0"/>
              <w:marBottom w:val="0"/>
              <w:divBdr>
                <w:top w:val="none" w:sz="0" w:space="0" w:color="auto"/>
                <w:left w:val="none" w:sz="0" w:space="0" w:color="auto"/>
                <w:bottom w:val="none" w:sz="0" w:space="0" w:color="auto"/>
                <w:right w:val="none" w:sz="0" w:space="0" w:color="auto"/>
              </w:divBdr>
            </w:div>
            <w:div w:id="1918978673">
              <w:marLeft w:val="0"/>
              <w:marRight w:val="0"/>
              <w:marTop w:val="0"/>
              <w:marBottom w:val="0"/>
              <w:divBdr>
                <w:top w:val="none" w:sz="0" w:space="0" w:color="auto"/>
                <w:left w:val="none" w:sz="0" w:space="0" w:color="auto"/>
                <w:bottom w:val="none" w:sz="0" w:space="0" w:color="auto"/>
                <w:right w:val="none" w:sz="0" w:space="0" w:color="auto"/>
              </w:divBdr>
            </w:div>
          </w:divsChild>
        </w:div>
        <w:div w:id="1095133655">
          <w:marLeft w:val="0"/>
          <w:marRight w:val="0"/>
          <w:marTop w:val="0"/>
          <w:marBottom w:val="0"/>
          <w:divBdr>
            <w:top w:val="none" w:sz="0" w:space="0" w:color="auto"/>
            <w:left w:val="none" w:sz="0" w:space="0" w:color="auto"/>
            <w:bottom w:val="none" w:sz="0" w:space="0" w:color="auto"/>
            <w:right w:val="none" w:sz="0" w:space="0" w:color="auto"/>
          </w:divBdr>
          <w:divsChild>
            <w:div w:id="618495053">
              <w:marLeft w:val="0"/>
              <w:marRight w:val="0"/>
              <w:marTop w:val="0"/>
              <w:marBottom w:val="0"/>
              <w:divBdr>
                <w:top w:val="none" w:sz="0" w:space="0" w:color="auto"/>
                <w:left w:val="none" w:sz="0" w:space="0" w:color="auto"/>
                <w:bottom w:val="none" w:sz="0" w:space="0" w:color="auto"/>
                <w:right w:val="none" w:sz="0" w:space="0" w:color="auto"/>
              </w:divBdr>
              <w:divsChild>
                <w:div w:id="2105224214">
                  <w:marLeft w:val="240"/>
                  <w:marRight w:val="0"/>
                  <w:marTop w:val="60"/>
                  <w:marBottom w:val="60"/>
                  <w:divBdr>
                    <w:top w:val="none" w:sz="0" w:space="0" w:color="auto"/>
                    <w:left w:val="none" w:sz="0" w:space="0" w:color="auto"/>
                    <w:bottom w:val="none" w:sz="0" w:space="0" w:color="auto"/>
                    <w:right w:val="none" w:sz="0" w:space="0" w:color="auto"/>
                  </w:divBdr>
                  <w:divsChild>
                    <w:div w:id="2041201024">
                      <w:marLeft w:val="240"/>
                      <w:marRight w:val="0"/>
                      <w:marTop w:val="60"/>
                      <w:marBottom w:val="60"/>
                      <w:divBdr>
                        <w:top w:val="none" w:sz="0" w:space="0" w:color="auto"/>
                        <w:left w:val="none" w:sz="0" w:space="0" w:color="auto"/>
                        <w:bottom w:val="none" w:sz="0" w:space="0" w:color="auto"/>
                        <w:right w:val="none" w:sz="0" w:space="0" w:color="auto"/>
                      </w:divBdr>
                      <w:divsChild>
                        <w:div w:id="407582757">
                          <w:marLeft w:val="0"/>
                          <w:marRight w:val="0"/>
                          <w:marTop w:val="0"/>
                          <w:marBottom w:val="0"/>
                          <w:divBdr>
                            <w:top w:val="none" w:sz="0" w:space="0" w:color="auto"/>
                            <w:left w:val="none" w:sz="0" w:space="0" w:color="auto"/>
                            <w:bottom w:val="none" w:sz="0" w:space="0" w:color="auto"/>
                            <w:right w:val="none" w:sz="0" w:space="0" w:color="auto"/>
                          </w:divBdr>
                        </w:div>
                      </w:divsChild>
                    </w:div>
                    <w:div w:id="688991949">
                      <w:marLeft w:val="240"/>
                      <w:marRight w:val="0"/>
                      <w:marTop w:val="60"/>
                      <w:marBottom w:val="60"/>
                      <w:divBdr>
                        <w:top w:val="none" w:sz="0" w:space="0" w:color="auto"/>
                        <w:left w:val="none" w:sz="0" w:space="0" w:color="auto"/>
                        <w:bottom w:val="none" w:sz="0" w:space="0" w:color="auto"/>
                        <w:right w:val="none" w:sz="0" w:space="0" w:color="auto"/>
                      </w:divBdr>
                      <w:divsChild>
                        <w:div w:id="14389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5549">
                  <w:marLeft w:val="240"/>
                  <w:marRight w:val="0"/>
                  <w:marTop w:val="60"/>
                  <w:marBottom w:val="60"/>
                  <w:divBdr>
                    <w:top w:val="none" w:sz="0" w:space="0" w:color="auto"/>
                    <w:left w:val="none" w:sz="0" w:space="0" w:color="auto"/>
                    <w:bottom w:val="none" w:sz="0" w:space="0" w:color="auto"/>
                    <w:right w:val="none" w:sz="0" w:space="0" w:color="auto"/>
                  </w:divBdr>
                  <w:divsChild>
                    <w:div w:id="1356691711">
                      <w:marLeft w:val="0"/>
                      <w:marRight w:val="0"/>
                      <w:marTop w:val="0"/>
                      <w:marBottom w:val="0"/>
                      <w:divBdr>
                        <w:top w:val="none" w:sz="0" w:space="0" w:color="auto"/>
                        <w:left w:val="none" w:sz="0" w:space="0" w:color="auto"/>
                        <w:bottom w:val="none" w:sz="0" w:space="0" w:color="auto"/>
                        <w:right w:val="none" w:sz="0" w:space="0" w:color="auto"/>
                      </w:divBdr>
                    </w:div>
                  </w:divsChild>
                </w:div>
                <w:div w:id="938562488">
                  <w:marLeft w:val="240"/>
                  <w:marRight w:val="0"/>
                  <w:marTop w:val="60"/>
                  <w:marBottom w:val="60"/>
                  <w:divBdr>
                    <w:top w:val="none" w:sz="0" w:space="0" w:color="auto"/>
                    <w:left w:val="none" w:sz="0" w:space="0" w:color="auto"/>
                    <w:bottom w:val="none" w:sz="0" w:space="0" w:color="auto"/>
                    <w:right w:val="none" w:sz="0" w:space="0" w:color="auto"/>
                  </w:divBdr>
                  <w:divsChild>
                    <w:div w:id="1347638106">
                      <w:marLeft w:val="0"/>
                      <w:marRight w:val="0"/>
                      <w:marTop w:val="0"/>
                      <w:marBottom w:val="0"/>
                      <w:divBdr>
                        <w:top w:val="none" w:sz="0" w:space="0" w:color="auto"/>
                        <w:left w:val="none" w:sz="0" w:space="0" w:color="auto"/>
                        <w:bottom w:val="none" w:sz="0" w:space="0" w:color="auto"/>
                        <w:right w:val="none" w:sz="0" w:space="0" w:color="auto"/>
                      </w:divBdr>
                    </w:div>
                  </w:divsChild>
                </w:div>
                <w:div w:id="1489513859">
                  <w:marLeft w:val="240"/>
                  <w:marRight w:val="0"/>
                  <w:marTop w:val="60"/>
                  <w:marBottom w:val="60"/>
                  <w:divBdr>
                    <w:top w:val="none" w:sz="0" w:space="0" w:color="auto"/>
                    <w:left w:val="none" w:sz="0" w:space="0" w:color="auto"/>
                    <w:bottom w:val="none" w:sz="0" w:space="0" w:color="auto"/>
                    <w:right w:val="none" w:sz="0" w:space="0" w:color="auto"/>
                  </w:divBdr>
                  <w:divsChild>
                    <w:div w:id="1650592491">
                      <w:marLeft w:val="0"/>
                      <w:marRight w:val="0"/>
                      <w:marTop w:val="0"/>
                      <w:marBottom w:val="0"/>
                      <w:divBdr>
                        <w:top w:val="none" w:sz="0" w:space="0" w:color="auto"/>
                        <w:left w:val="none" w:sz="0" w:space="0" w:color="auto"/>
                        <w:bottom w:val="none" w:sz="0" w:space="0" w:color="auto"/>
                        <w:right w:val="none" w:sz="0" w:space="0" w:color="auto"/>
                      </w:divBdr>
                    </w:div>
                  </w:divsChild>
                </w:div>
                <w:div w:id="1066146351">
                  <w:marLeft w:val="240"/>
                  <w:marRight w:val="0"/>
                  <w:marTop w:val="60"/>
                  <w:marBottom w:val="60"/>
                  <w:divBdr>
                    <w:top w:val="none" w:sz="0" w:space="0" w:color="auto"/>
                    <w:left w:val="none" w:sz="0" w:space="0" w:color="auto"/>
                    <w:bottom w:val="none" w:sz="0" w:space="0" w:color="auto"/>
                    <w:right w:val="none" w:sz="0" w:space="0" w:color="auto"/>
                  </w:divBdr>
                  <w:divsChild>
                    <w:div w:id="514155522">
                      <w:marLeft w:val="0"/>
                      <w:marRight w:val="0"/>
                      <w:marTop w:val="0"/>
                      <w:marBottom w:val="0"/>
                      <w:divBdr>
                        <w:top w:val="none" w:sz="0" w:space="0" w:color="auto"/>
                        <w:left w:val="none" w:sz="0" w:space="0" w:color="auto"/>
                        <w:bottom w:val="none" w:sz="0" w:space="0" w:color="auto"/>
                        <w:right w:val="none" w:sz="0" w:space="0" w:color="auto"/>
                      </w:divBdr>
                    </w:div>
                  </w:divsChild>
                </w:div>
                <w:div w:id="998264026">
                  <w:marLeft w:val="240"/>
                  <w:marRight w:val="0"/>
                  <w:marTop w:val="60"/>
                  <w:marBottom w:val="60"/>
                  <w:divBdr>
                    <w:top w:val="none" w:sz="0" w:space="0" w:color="auto"/>
                    <w:left w:val="none" w:sz="0" w:space="0" w:color="auto"/>
                    <w:bottom w:val="none" w:sz="0" w:space="0" w:color="auto"/>
                    <w:right w:val="none" w:sz="0" w:space="0" w:color="auto"/>
                  </w:divBdr>
                  <w:divsChild>
                    <w:div w:id="424304678">
                      <w:marLeft w:val="0"/>
                      <w:marRight w:val="0"/>
                      <w:marTop w:val="0"/>
                      <w:marBottom w:val="0"/>
                      <w:divBdr>
                        <w:top w:val="none" w:sz="0" w:space="0" w:color="auto"/>
                        <w:left w:val="none" w:sz="0" w:space="0" w:color="auto"/>
                        <w:bottom w:val="none" w:sz="0" w:space="0" w:color="auto"/>
                        <w:right w:val="none" w:sz="0" w:space="0" w:color="auto"/>
                      </w:divBdr>
                    </w:div>
                  </w:divsChild>
                </w:div>
                <w:div w:id="703403393">
                  <w:marLeft w:val="240"/>
                  <w:marRight w:val="0"/>
                  <w:marTop w:val="60"/>
                  <w:marBottom w:val="60"/>
                  <w:divBdr>
                    <w:top w:val="none" w:sz="0" w:space="0" w:color="auto"/>
                    <w:left w:val="none" w:sz="0" w:space="0" w:color="auto"/>
                    <w:bottom w:val="none" w:sz="0" w:space="0" w:color="auto"/>
                    <w:right w:val="none" w:sz="0" w:space="0" w:color="auto"/>
                  </w:divBdr>
                  <w:divsChild>
                    <w:div w:id="1611623896">
                      <w:marLeft w:val="0"/>
                      <w:marRight w:val="0"/>
                      <w:marTop w:val="0"/>
                      <w:marBottom w:val="0"/>
                      <w:divBdr>
                        <w:top w:val="none" w:sz="0" w:space="0" w:color="auto"/>
                        <w:left w:val="none" w:sz="0" w:space="0" w:color="auto"/>
                        <w:bottom w:val="none" w:sz="0" w:space="0" w:color="auto"/>
                        <w:right w:val="none" w:sz="0" w:space="0" w:color="auto"/>
                      </w:divBdr>
                    </w:div>
                  </w:divsChild>
                </w:div>
                <w:div w:id="538326379">
                  <w:marLeft w:val="240"/>
                  <w:marRight w:val="0"/>
                  <w:marTop w:val="60"/>
                  <w:marBottom w:val="60"/>
                  <w:divBdr>
                    <w:top w:val="none" w:sz="0" w:space="0" w:color="auto"/>
                    <w:left w:val="none" w:sz="0" w:space="0" w:color="auto"/>
                    <w:bottom w:val="none" w:sz="0" w:space="0" w:color="auto"/>
                    <w:right w:val="none" w:sz="0" w:space="0" w:color="auto"/>
                  </w:divBdr>
                  <w:divsChild>
                    <w:div w:id="1958949129">
                      <w:marLeft w:val="240"/>
                      <w:marRight w:val="0"/>
                      <w:marTop w:val="60"/>
                      <w:marBottom w:val="60"/>
                      <w:divBdr>
                        <w:top w:val="none" w:sz="0" w:space="0" w:color="auto"/>
                        <w:left w:val="none" w:sz="0" w:space="0" w:color="auto"/>
                        <w:bottom w:val="none" w:sz="0" w:space="0" w:color="auto"/>
                        <w:right w:val="none" w:sz="0" w:space="0" w:color="auto"/>
                      </w:divBdr>
                      <w:divsChild>
                        <w:div w:id="1896043212">
                          <w:marLeft w:val="0"/>
                          <w:marRight w:val="0"/>
                          <w:marTop w:val="0"/>
                          <w:marBottom w:val="0"/>
                          <w:divBdr>
                            <w:top w:val="none" w:sz="0" w:space="0" w:color="auto"/>
                            <w:left w:val="none" w:sz="0" w:space="0" w:color="auto"/>
                            <w:bottom w:val="none" w:sz="0" w:space="0" w:color="auto"/>
                            <w:right w:val="none" w:sz="0" w:space="0" w:color="auto"/>
                          </w:divBdr>
                        </w:div>
                      </w:divsChild>
                    </w:div>
                    <w:div w:id="435102924">
                      <w:marLeft w:val="240"/>
                      <w:marRight w:val="0"/>
                      <w:marTop w:val="60"/>
                      <w:marBottom w:val="60"/>
                      <w:divBdr>
                        <w:top w:val="none" w:sz="0" w:space="0" w:color="auto"/>
                        <w:left w:val="none" w:sz="0" w:space="0" w:color="auto"/>
                        <w:bottom w:val="none" w:sz="0" w:space="0" w:color="auto"/>
                        <w:right w:val="none" w:sz="0" w:space="0" w:color="auto"/>
                      </w:divBdr>
                      <w:divsChild>
                        <w:div w:id="1129975259">
                          <w:marLeft w:val="0"/>
                          <w:marRight w:val="0"/>
                          <w:marTop w:val="0"/>
                          <w:marBottom w:val="0"/>
                          <w:divBdr>
                            <w:top w:val="none" w:sz="0" w:space="0" w:color="auto"/>
                            <w:left w:val="none" w:sz="0" w:space="0" w:color="auto"/>
                            <w:bottom w:val="none" w:sz="0" w:space="0" w:color="auto"/>
                            <w:right w:val="none" w:sz="0" w:space="0" w:color="auto"/>
                          </w:divBdr>
                        </w:div>
                      </w:divsChild>
                    </w:div>
                    <w:div w:id="954869393">
                      <w:marLeft w:val="240"/>
                      <w:marRight w:val="0"/>
                      <w:marTop w:val="60"/>
                      <w:marBottom w:val="60"/>
                      <w:divBdr>
                        <w:top w:val="none" w:sz="0" w:space="0" w:color="auto"/>
                        <w:left w:val="none" w:sz="0" w:space="0" w:color="auto"/>
                        <w:bottom w:val="none" w:sz="0" w:space="0" w:color="auto"/>
                        <w:right w:val="none" w:sz="0" w:space="0" w:color="auto"/>
                      </w:divBdr>
                      <w:divsChild>
                        <w:div w:id="9301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3291">
                  <w:marLeft w:val="240"/>
                  <w:marRight w:val="0"/>
                  <w:marTop w:val="60"/>
                  <w:marBottom w:val="60"/>
                  <w:divBdr>
                    <w:top w:val="none" w:sz="0" w:space="0" w:color="auto"/>
                    <w:left w:val="none" w:sz="0" w:space="0" w:color="auto"/>
                    <w:bottom w:val="none" w:sz="0" w:space="0" w:color="auto"/>
                    <w:right w:val="none" w:sz="0" w:space="0" w:color="auto"/>
                  </w:divBdr>
                  <w:divsChild>
                    <w:div w:id="687022279">
                      <w:marLeft w:val="240"/>
                      <w:marRight w:val="0"/>
                      <w:marTop w:val="60"/>
                      <w:marBottom w:val="60"/>
                      <w:divBdr>
                        <w:top w:val="none" w:sz="0" w:space="0" w:color="auto"/>
                        <w:left w:val="none" w:sz="0" w:space="0" w:color="auto"/>
                        <w:bottom w:val="none" w:sz="0" w:space="0" w:color="auto"/>
                        <w:right w:val="none" w:sz="0" w:space="0" w:color="auto"/>
                      </w:divBdr>
                      <w:divsChild>
                        <w:div w:id="1792280250">
                          <w:marLeft w:val="0"/>
                          <w:marRight w:val="0"/>
                          <w:marTop w:val="0"/>
                          <w:marBottom w:val="0"/>
                          <w:divBdr>
                            <w:top w:val="none" w:sz="0" w:space="0" w:color="auto"/>
                            <w:left w:val="none" w:sz="0" w:space="0" w:color="auto"/>
                            <w:bottom w:val="none" w:sz="0" w:space="0" w:color="auto"/>
                            <w:right w:val="none" w:sz="0" w:space="0" w:color="auto"/>
                          </w:divBdr>
                        </w:div>
                      </w:divsChild>
                    </w:div>
                    <w:div w:id="1426733384">
                      <w:marLeft w:val="240"/>
                      <w:marRight w:val="0"/>
                      <w:marTop w:val="60"/>
                      <w:marBottom w:val="60"/>
                      <w:divBdr>
                        <w:top w:val="none" w:sz="0" w:space="0" w:color="auto"/>
                        <w:left w:val="none" w:sz="0" w:space="0" w:color="auto"/>
                        <w:bottom w:val="none" w:sz="0" w:space="0" w:color="auto"/>
                        <w:right w:val="none" w:sz="0" w:space="0" w:color="auto"/>
                      </w:divBdr>
                      <w:divsChild>
                        <w:div w:id="3874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575471">
          <w:marLeft w:val="0"/>
          <w:marRight w:val="0"/>
          <w:marTop w:val="0"/>
          <w:marBottom w:val="0"/>
          <w:divBdr>
            <w:top w:val="none" w:sz="0" w:space="0" w:color="auto"/>
            <w:left w:val="none" w:sz="0" w:space="0" w:color="auto"/>
            <w:bottom w:val="none" w:sz="0" w:space="0" w:color="auto"/>
            <w:right w:val="none" w:sz="0" w:space="0" w:color="auto"/>
          </w:divBdr>
          <w:divsChild>
            <w:div w:id="272131490">
              <w:marLeft w:val="0"/>
              <w:marRight w:val="0"/>
              <w:marTop w:val="0"/>
              <w:marBottom w:val="0"/>
              <w:divBdr>
                <w:top w:val="none" w:sz="0" w:space="0" w:color="auto"/>
                <w:left w:val="none" w:sz="0" w:space="0" w:color="auto"/>
                <w:bottom w:val="none" w:sz="0" w:space="0" w:color="auto"/>
                <w:right w:val="none" w:sz="0" w:space="0" w:color="auto"/>
              </w:divBdr>
              <w:divsChild>
                <w:div w:id="523176381">
                  <w:marLeft w:val="240"/>
                  <w:marRight w:val="0"/>
                  <w:marTop w:val="60"/>
                  <w:marBottom w:val="60"/>
                  <w:divBdr>
                    <w:top w:val="none" w:sz="0" w:space="0" w:color="auto"/>
                    <w:left w:val="none" w:sz="0" w:space="0" w:color="auto"/>
                    <w:bottom w:val="none" w:sz="0" w:space="0" w:color="auto"/>
                    <w:right w:val="none" w:sz="0" w:space="0" w:color="auto"/>
                  </w:divBdr>
                  <w:divsChild>
                    <w:div w:id="880899712">
                      <w:marLeft w:val="240"/>
                      <w:marRight w:val="0"/>
                      <w:marTop w:val="60"/>
                      <w:marBottom w:val="60"/>
                      <w:divBdr>
                        <w:top w:val="none" w:sz="0" w:space="0" w:color="auto"/>
                        <w:left w:val="none" w:sz="0" w:space="0" w:color="auto"/>
                        <w:bottom w:val="none" w:sz="0" w:space="0" w:color="auto"/>
                        <w:right w:val="none" w:sz="0" w:space="0" w:color="auto"/>
                      </w:divBdr>
                      <w:divsChild>
                        <w:div w:id="354308372">
                          <w:marLeft w:val="240"/>
                          <w:marRight w:val="0"/>
                          <w:marTop w:val="60"/>
                          <w:marBottom w:val="60"/>
                          <w:divBdr>
                            <w:top w:val="none" w:sz="0" w:space="0" w:color="auto"/>
                            <w:left w:val="none" w:sz="0" w:space="0" w:color="auto"/>
                            <w:bottom w:val="none" w:sz="0" w:space="0" w:color="auto"/>
                            <w:right w:val="none" w:sz="0" w:space="0" w:color="auto"/>
                          </w:divBdr>
                          <w:divsChild>
                            <w:div w:id="104543032">
                              <w:marLeft w:val="0"/>
                              <w:marRight w:val="0"/>
                              <w:marTop w:val="0"/>
                              <w:marBottom w:val="0"/>
                              <w:divBdr>
                                <w:top w:val="none" w:sz="0" w:space="0" w:color="auto"/>
                                <w:left w:val="none" w:sz="0" w:space="0" w:color="auto"/>
                                <w:bottom w:val="none" w:sz="0" w:space="0" w:color="auto"/>
                                <w:right w:val="none" w:sz="0" w:space="0" w:color="auto"/>
                              </w:divBdr>
                            </w:div>
                          </w:divsChild>
                        </w:div>
                        <w:div w:id="1041132329">
                          <w:marLeft w:val="240"/>
                          <w:marRight w:val="0"/>
                          <w:marTop w:val="60"/>
                          <w:marBottom w:val="60"/>
                          <w:divBdr>
                            <w:top w:val="none" w:sz="0" w:space="0" w:color="auto"/>
                            <w:left w:val="none" w:sz="0" w:space="0" w:color="auto"/>
                            <w:bottom w:val="none" w:sz="0" w:space="0" w:color="auto"/>
                            <w:right w:val="none" w:sz="0" w:space="0" w:color="auto"/>
                          </w:divBdr>
                          <w:divsChild>
                            <w:div w:id="4226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3351">
                      <w:marLeft w:val="240"/>
                      <w:marRight w:val="0"/>
                      <w:marTop w:val="60"/>
                      <w:marBottom w:val="60"/>
                      <w:divBdr>
                        <w:top w:val="none" w:sz="0" w:space="0" w:color="auto"/>
                        <w:left w:val="none" w:sz="0" w:space="0" w:color="auto"/>
                        <w:bottom w:val="none" w:sz="0" w:space="0" w:color="auto"/>
                        <w:right w:val="none" w:sz="0" w:space="0" w:color="auto"/>
                      </w:divBdr>
                      <w:divsChild>
                        <w:div w:id="930087584">
                          <w:marLeft w:val="0"/>
                          <w:marRight w:val="0"/>
                          <w:marTop w:val="0"/>
                          <w:marBottom w:val="0"/>
                          <w:divBdr>
                            <w:top w:val="none" w:sz="0" w:space="0" w:color="auto"/>
                            <w:left w:val="none" w:sz="0" w:space="0" w:color="auto"/>
                            <w:bottom w:val="none" w:sz="0" w:space="0" w:color="auto"/>
                            <w:right w:val="none" w:sz="0" w:space="0" w:color="auto"/>
                          </w:divBdr>
                        </w:div>
                      </w:divsChild>
                    </w:div>
                    <w:div w:id="1743485370">
                      <w:marLeft w:val="240"/>
                      <w:marRight w:val="0"/>
                      <w:marTop w:val="60"/>
                      <w:marBottom w:val="60"/>
                      <w:divBdr>
                        <w:top w:val="none" w:sz="0" w:space="0" w:color="auto"/>
                        <w:left w:val="none" w:sz="0" w:space="0" w:color="auto"/>
                        <w:bottom w:val="none" w:sz="0" w:space="0" w:color="auto"/>
                        <w:right w:val="none" w:sz="0" w:space="0" w:color="auto"/>
                      </w:divBdr>
                      <w:divsChild>
                        <w:div w:id="1069419166">
                          <w:marLeft w:val="0"/>
                          <w:marRight w:val="0"/>
                          <w:marTop w:val="0"/>
                          <w:marBottom w:val="0"/>
                          <w:divBdr>
                            <w:top w:val="none" w:sz="0" w:space="0" w:color="auto"/>
                            <w:left w:val="none" w:sz="0" w:space="0" w:color="auto"/>
                            <w:bottom w:val="none" w:sz="0" w:space="0" w:color="auto"/>
                            <w:right w:val="none" w:sz="0" w:space="0" w:color="auto"/>
                          </w:divBdr>
                        </w:div>
                      </w:divsChild>
                    </w:div>
                    <w:div w:id="804078824">
                      <w:marLeft w:val="240"/>
                      <w:marRight w:val="0"/>
                      <w:marTop w:val="60"/>
                      <w:marBottom w:val="60"/>
                      <w:divBdr>
                        <w:top w:val="none" w:sz="0" w:space="0" w:color="auto"/>
                        <w:left w:val="none" w:sz="0" w:space="0" w:color="auto"/>
                        <w:bottom w:val="none" w:sz="0" w:space="0" w:color="auto"/>
                        <w:right w:val="none" w:sz="0" w:space="0" w:color="auto"/>
                      </w:divBdr>
                      <w:divsChild>
                        <w:div w:id="1431394424">
                          <w:marLeft w:val="240"/>
                          <w:marRight w:val="0"/>
                          <w:marTop w:val="60"/>
                          <w:marBottom w:val="60"/>
                          <w:divBdr>
                            <w:top w:val="none" w:sz="0" w:space="0" w:color="auto"/>
                            <w:left w:val="none" w:sz="0" w:space="0" w:color="auto"/>
                            <w:bottom w:val="none" w:sz="0" w:space="0" w:color="auto"/>
                            <w:right w:val="none" w:sz="0" w:space="0" w:color="auto"/>
                          </w:divBdr>
                          <w:divsChild>
                            <w:div w:id="363285984">
                              <w:marLeft w:val="240"/>
                              <w:marRight w:val="0"/>
                              <w:marTop w:val="60"/>
                              <w:marBottom w:val="60"/>
                              <w:divBdr>
                                <w:top w:val="none" w:sz="0" w:space="0" w:color="auto"/>
                                <w:left w:val="none" w:sz="0" w:space="0" w:color="auto"/>
                                <w:bottom w:val="none" w:sz="0" w:space="0" w:color="auto"/>
                                <w:right w:val="none" w:sz="0" w:space="0" w:color="auto"/>
                              </w:divBdr>
                              <w:divsChild>
                                <w:div w:id="1853107384">
                                  <w:marLeft w:val="0"/>
                                  <w:marRight w:val="0"/>
                                  <w:marTop w:val="0"/>
                                  <w:marBottom w:val="0"/>
                                  <w:divBdr>
                                    <w:top w:val="none" w:sz="0" w:space="0" w:color="auto"/>
                                    <w:left w:val="none" w:sz="0" w:space="0" w:color="auto"/>
                                    <w:bottom w:val="none" w:sz="0" w:space="0" w:color="auto"/>
                                    <w:right w:val="none" w:sz="0" w:space="0" w:color="auto"/>
                                  </w:divBdr>
                                </w:div>
                              </w:divsChild>
                            </w:div>
                            <w:div w:id="1699356993">
                              <w:marLeft w:val="240"/>
                              <w:marRight w:val="0"/>
                              <w:marTop w:val="60"/>
                              <w:marBottom w:val="60"/>
                              <w:divBdr>
                                <w:top w:val="none" w:sz="0" w:space="0" w:color="auto"/>
                                <w:left w:val="none" w:sz="0" w:space="0" w:color="auto"/>
                                <w:bottom w:val="none" w:sz="0" w:space="0" w:color="auto"/>
                                <w:right w:val="none" w:sz="0" w:space="0" w:color="auto"/>
                              </w:divBdr>
                              <w:divsChild>
                                <w:div w:id="768618405">
                                  <w:marLeft w:val="0"/>
                                  <w:marRight w:val="0"/>
                                  <w:marTop w:val="0"/>
                                  <w:marBottom w:val="0"/>
                                  <w:divBdr>
                                    <w:top w:val="none" w:sz="0" w:space="0" w:color="auto"/>
                                    <w:left w:val="none" w:sz="0" w:space="0" w:color="auto"/>
                                    <w:bottom w:val="none" w:sz="0" w:space="0" w:color="auto"/>
                                    <w:right w:val="none" w:sz="0" w:space="0" w:color="auto"/>
                                  </w:divBdr>
                                </w:div>
                              </w:divsChild>
                            </w:div>
                            <w:div w:id="1242712985">
                              <w:marLeft w:val="501"/>
                              <w:marRight w:val="0"/>
                              <w:marTop w:val="0"/>
                              <w:marBottom w:val="0"/>
                              <w:divBdr>
                                <w:top w:val="none" w:sz="0" w:space="0" w:color="auto"/>
                                <w:left w:val="none" w:sz="0" w:space="0" w:color="auto"/>
                                <w:bottom w:val="none" w:sz="0" w:space="0" w:color="auto"/>
                                <w:right w:val="none" w:sz="0" w:space="0" w:color="auto"/>
                              </w:divBdr>
                            </w:div>
                          </w:divsChild>
                        </w:div>
                        <w:div w:id="342975170">
                          <w:marLeft w:val="240"/>
                          <w:marRight w:val="0"/>
                          <w:marTop w:val="60"/>
                          <w:marBottom w:val="60"/>
                          <w:divBdr>
                            <w:top w:val="none" w:sz="0" w:space="0" w:color="auto"/>
                            <w:left w:val="none" w:sz="0" w:space="0" w:color="auto"/>
                            <w:bottom w:val="none" w:sz="0" w:space="0" w:color="auto"/>
                            <w:right w:val="none" w:sz="0" w:space="0" w:color="auto"/>
                          </w:divBdr>
                          <w:divsChild>
                            <w:div w:id="470950594">
                              <w:marLeft w:val="240"/>
                              <w:marRight w:val="0"/>
                              <w:marTop w:val="60"/>
                              <w:marBottom w:val="60"/>
                              <w:divBdr>
                                <w:top w:val="none" w:sz="0" w:space="0" w:color="auto"/>
                                <w:left w:val="none" w:sz="0" w:space="0" w:color="auto"/>
                                <w:bottom w:val="none" w:sz="0" w:space="0" w:color="auto"/>
                                <w:right w:val="none" w:sz="0" w:space="0" w:color="auto"/>
                              </w:divBdr>
                              <w:divsChild>
                                <w:div w:id="173106854">
                                  <w:marLeft w:val="0"/>
                                  <w:marRight w:val="0"/>
                                  <w:marTop w:val="0"/>
                                  <w:marBottom w:val="0"/>
                                  <w:divBdr>
                                    <w:top w:val="none" w:sz="0" w:space="0" w:color="auto"/>
                                    <w:left w:val="none" w:sz="0" w:space="0" w:color="auto"/>
                                    <w:bottom w:val="none" w:sz="0" w:space="0" w:color="auto"/>
                                    <w:right w:val="none" w:sz="0" w:space="0" w:color="auto"/>
                                  </w:divBdr>
                                </w:div>
                              </w:divsChild>
                            </w:div>
                            <w:div w:id="1853447497">
                              <w:marLeft w:val="240"/>
                              <w:marRight w:val="0"/>
                              <w:marTop w:val="60"/>
                              <w:marBottom w:val="60"/>
                              <w:divBdr>
                                <w:top w:val="none" w:sz="0" w:space="0" w:color="auto"/>
                                <w:left w:val="none" w:sz="0" w:space="0" w:color="auto"/>
                                <w:bottom w:val="none" w:sz="0" w:space="0" w:color="auto"/>
                                <w:right w:val="none" w:sz="0" w:space="0" w:color="auto"/>
                              </w:divBdr>
                              <w:divsChild>
                                <w:div w:id="137305893">
                                  <w:marLeft w:val="0"/>
                                  <w:marRight w:val="0"/>
                                  <w:marTop w:val="0"/>
                                  <w:marBottom w:val="0"/>
                                  <w:divBdr>
                                    <w:top w:val="none" w:sz="0" w:space="0" w:color="auto"/>
                                    <w:left w:val="none" w:sz="0" w:space="0" w:color="auto"/>
                                    <w:bottom w:val="none" w:sz="0" w:space="0" w:color="auto"/>
                                    <w:right w:val="none" w:sz="0" w:space="0" w:color="auto"/>
                                  </w:divBdr>
                                </w:div>
                              </w:divsChild>
                            </w:div>
                            <w:div w:id="1916360450">
                              <w:marLeft w:val="240"/>
                              <w:marRight w:val="0"/>
                              <w:marTop w:val="60"/>
                              <w:marBottom w:val="60"/>
                              <w:divBdr>
                                <w:top w:val="none" w:sz="0" w:space="0" w:color="auto"/>
                                <w:left w:val="none" w:sz="0" w:space="0" w:color="auto"/>
                                <w:bottom w:val="none" w:sz="0" w:space="0" w:color="auto"/>
                                <w:right w:val="none" w:sz="0" w:space="0" w:color="auto"/>
                              </w:divBdr>
                              <w:divsChild>
                                <w:div w:id="14617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3394">
                          <w:marLeft w:val="240"/>
                          <w:marRight w:val="0"/>
                          <w:marTop w:val="60"/>
                          <w:marBottom w:val="60"/>
                          <w:divBdr>
                            <w:top w:val="none" w:sz="0" w:space="0" w:color="auto"/>
                            <w:left w:val="none" w:sz="0" w:space="0" w:color="auto"/>
                            <w:bottom w:val="none" w:sz="0" w:space="0" w:color="auto"/>
                            <w:right w:val="none" w:sz="0" w:space="0" w:color="auto"/>
                          </w:divBdr>
                          <w:divsChild>
                            <w:div w:id="64570423">
                              <w:marLeft w:val="240"/>
                              <w:marRight w:val="0"/>
                              <w:marTop w:val="60"/>
                              <w:marBottom w:val="60"/>
                              <w:divBdr>
                                <w:top w:val="none" w:sz="0" w:space="0" w:color="auto"/>
                                <w:left w:val="none" w:sz="0" w:space="0" w:color="auto"/>
                                <w:bottom w:val="none" w:sz="0" w:space="0" w:color="auto"/>
                                <w:right w:val="none" w:sz="0" w:space="0" w:color="auto"/>
                              </w:divBdr>
                              <w:divsChild>
                                <w:div w:id="1671517557">
                                  <w:marLeft w:val="0"/>
                                  <w:marRight w:val="0"/>
                                  <w:marTop w:val="0"/>
                                  <w:marBottom w:val="0"/>
                                  <w:divBdr>
                                    <w:top w:val="none" w:sz="0" w:space="0" w:color="auto"/>
                                    <w:left w:val="none" w:sz="0" w:space="0" w:color="auto"/>
                                    <w:bottom w:val="none" w:sz="0" w:space="0" w:color="auto"/>
                                    <w:right w:val="none" w:sz="0" w:space="0" w:color="auto"/>
                                  </w:divBdr>
                                </w:div>
                              </w:divsChild>
                            </w:div>
                            <w:div w:id="335379095">
                              <w:marLeft w:val="240"/>
                              <w:marRight w:val="0"/>
                              <w:marTop w:val="60"/>
                              <w:marBottom w:val="60"/>
                              <w:divBdr>
                                <w:top w:val="none" w:sz="0" w:space="0" w:color="auto"/>
                                <w:left w:val="none" w:sz="0" w:space="0" w:color="auto"/>
                                <w:bottom w:val="none" w:sz="0" w:space="0" w:color="auto"/>
                                <w:right w:val="none" w:sz="0" w:space="0" w:color="auto"/>
                              </w:divBdr>
                              <w:divsChild>
                                <w:div w:id="1659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813254">
          <w:marLeft w:val="0"/>
          <w:marRight w:val="0"/>
          <w:marTop w:val="0"/>
          <w:marBottom w:val="0"/>
          <w:divBdr>
            <w:top w:val="none" w:sz="0" w:space="0" w:color="auto"/>
            <w:left w:val="none" w:sz="0" w:space="0" w:color="auto"/>
            <w:bottom w:val="none" w:sz="0" w:space="0" w:color="auto"/>
            <w:right w:val="none" w:sz="0" w:space="0" w:color="auto"/>
          </w:divBdr>
          <w:divsChild>
            <w:div w:id="1359165450">
              <w:marLeft w:val="0"/>
              <w:marRight w:val="0"/>
              <w:marTop w:val="0"/>
              <w:marBottom w:val="0"/>
              <w:divBdr>
                <w:top w:val="none" w:sz="0" w:space="0" w:color="auto"/>
                <w:left w:val="none" w:sz="0" w:space="0" w:color="auto"/>
                <w:bottom w:val="none" w:sz="0" w:space="0" w:color="auto"/>
                <w:right w:val="none" w:sz="0" w:space="0" w:color="auto"/>
              </w:divBdr>
            </w:div>
          </w:divsChild>
        </w:div>
        <w:div w:id="1144469107">
          <w:marLeft w:val="0"/>
          <w:marRight w:val="0"/>
          <w:marTop w:val="0"/>
          <w:marBottom w:val="0"/>
          <w:divBdr>
            <w:top w:val="none" w:sz="0" w:space="0" w:color="auto"/>
            <w:left w:val="none" w:sz="0" w:space="0" w:color="auto"/>
            <w:bottom w:val="none" w:sz="0" w:space="0" w:color="auto"/>
            <w:right w:val="none" w:sz="0" w:space="0" w:color="auto"/>
          </w:divBdr>
          <w:divsChild>
            <w:div w:id="239028582">
              <w:marLeft w:val="0"/>
              <w:marRight w:val="0"/>
              <w:marTop w:val="0"/>
              <w:marBottom w:val="0"/>
              <w:divBdr>
                <w:top w:val="none" w:sz="0" w:space="0" w:color="auto"/>
                <w:left w:val="none" w:sz="0" w:space="0" w:color="auto"/>
                <w:bottom w:val="none" w:sz="0" w:space="0" w:color="auto"/>
                <w:right w:val="none" w:sz="0" w:space="0" w:color="auto"/>
              </w:divBdr>
              <w:divsChild>
                <w:div w:id="898907693">
                  <w:marLeft w:val="240"/>
                  <w:marRight w:val="0"/>
                  <w:marTop w:val="60"/>
                  <w:marBottom w:val="60"/>
                  <w:divBdr>
                    <w:top w:val="none" w:sz="0" w:space="0" w:color="auto"/>
                    <w:left w:val="none" w:sz="0" w:space="0" w:color="auto"/>
                    <w:bottom w:val="none" w:sz="0" w:space="0" w:color="auto"/>
                    <w:right w:val="none" w:sz="0" w:space="0" w:color="auto"/>
                  </w:divBdr>
                  <w:divsChild>
                    <w:div w:id="643661007">
                      <w:marLeft w:val="240"/>
                      <w:marRight w:val="0"/>
                      <w:marTop w:val="60"/>
                      <w:marBottom w:val="60"/>
                      <w:divBdr>
                        <w:top w:val="none" w:sz="0" w:space="0" w:color="auto"/>
                        <w:left w:val="none" w:sz="0" w:space="0" w:color="auto"/>
                        <w:bottom w:val="none" w:sz="0" w:space="0" w:color="auto"/>
                        <w:right w:val="none" w:sz="0" w:space="0" w:color="auto"/>
                      </w:divBdr>
                      <w:divsChild>
                        <w:div w:id="1686395381">
                          <w:marLeft w:val="0"/>
                          <w:marRight w:val="0"/>
                          <w:marTop w:val="0"/>
                          <w:marBottom w:val="0"/>
                          <w:divBdr>
                            <w:top w:val="none" w:sz="0" w:space="0" w:color="auto"/>
                            <w:left w:val="none" w:sz="0" w:space="0" w:color="auto"/>
                            <w:bottom w:val="none" w:sz="0" w:space="0" w:color="auto"/>
                            <w:right w:val="none" w:sz="0" w:space="0" w:color="auto"/>
                          </w:divBdr>
                        </w:div>
                      </w:divsChild>
                    </w:div>
                    <w:div w:id="1306934221">
                      <w:marLeft w:val="240"/>
                      <w:marRight w:val="0"/>
                      <w:marTop w:val="60"/>
                      <w:marBottom w:val="60"/>
                      <w:divBdr>
                        <w:top w:val="none" w:sz="0" w:space="0" w:color="auto"/>
                        <w:left w:val="none" w:sz="0" w:space="0" w:color="auto"/>
                        <w:bottom w:val="none" w:sz="0" w:space="0" w:color="auto"/>
                        <w:right w:val="none" w:sz="0" w:space="0" w:color="auto"/>
                      </w:divBdr>
                      <w:divsChild>
                        <w:div w:id="11417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7087">
                  <w:marLeft w:val="240"/>
                  <w:marRight w:val="0"/>
                  <w:marTop w:val="60"/>
                  <w:marBottom w:val="60"/>
                  <w:divBdr>
                    <w:top w:val="none" w:sz="0" w:space="0" w:color="auto"/>
                    <w:left w:val="none" w:sz="0" w:space="0" w:color="auto"/>
                    <w:bottom w:val="none" w:sz="0" w:space="0" w:color="auto"/>
                    <w:right w:val="none" w:sz="0" w:space="0" w:color="auto"/>
                  </w:divBdr>
                  <w:divsChild>
                    <w:div w:id="1372917605">
                      <w:marLeft w:val="240"/>
                      <w:marRight w:val="0"/>
                      <w:marTop w:val="60"/>
                      <w:marBottom w:val="60"/>
                      <w:divBdr>
                        <w:top w:val="none" w:sz="0" w:space="0" w:color="auto"/>
                        <w:left w:val="none" w:sz="0" w:space="0" w:color="auto"/>
                        <w:bottom w:val="none" w:sz="0" w:space="0" w:color="auto"/>
                        <w:right w:val="none" w:sz="0" w:space="0" w:color="auto"/>
                      </w:divBdr>
                      <w:divsChild>
                        <w:div w:id="1813282467">
                          <w:marLeft w:val="0"/>
                          <w:marRight w:val="0"/>
                          <w:marTop w:val="0"/>
                          <w:marBottom w:val="0"/>
                          <w:divBdr>
                            <w:top w:val="none" w:sz="0" w:space="0" w:color="auto"/>
                            <w:left w:val="none" w:sz="0" w:space="0" w:color="auto"/>
                            <w:bottom w:val="none" w:sz="0" w:space="0" w:color="auto"/>
                            <w:right w:val="none" w:sz="0" w:space="0" w:color="auto"/>
                          </w:divBdr>
                        </w:div>
                      </w:divsChild>
                    </w:div>
                    <w:div w:id="1634797384">
                      <w:marLeft w:val="240"/>
                      <w:marRight w:val="0"/>
                      <w:marTop w:val="60"/>
                      <w:marBottom w:val="60"/>
                      <w:divBdr>
                        <w:top w:val="none" w:sz="0" w:space="0" w:color="auto"/>
                        <w:left w:val="none" w:sz="0" w:space="0" w:color="auto"/>
                        <w:bottom w:val="none" w:sz="0" w:space="0" w:color="auto"/>
                        <w:right w:val="none" w:sz="0" w:space="0" w:color="auto"/>
                      </w:divBdr>
                      <w:divsChild>
                        <w:div w:id="8314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55892">
                  <w:marLeft w:val="240"/>
                  <w:marRight w:val="0"/>
                  <w:marTop w:val="60"/>
                  <w:marBottom w:val="60"/>
                  <w:divBdr>
                    <w:top w:val="none" w:sz="0" w:space="0" w:color="auto"/>
                    <w:left w:val="none" w:sz="0" w:space="0" w:color="auto"/>
                    <w:bottom w:val="none" w:sz="0" w:space="0" w:color="auto"/>
                    <w:right w:val="none" w:sz="0" w:space="0" w:color="auto"/>
                  </w:divBdr>
                  <w:divsChild>
                    <w:div w:id="1264218963">
                      <w:marLeft w:val="0"/>
                      <w:marRight w:val="0"/>
                      <w:marTop w:val="0"/>
                      <w:marBottom w:val="0"/>
                      <w:divBdr>
                        <w:top w:val="none" w:sz="0" w:space="0" w:color="auto"/>
                        <w:left w:val="none" w:sz="0" w:space="0" w:color="auto"/>
                        <w:bottom w:val="none" w:sz="0" w:space="0" w:color="auto"/>
                        <w:right w:val="none" w:sz="0" w:space="0" w:color="auto"/>
                      </w:divBdr>
                    </w:div>
                  </w:divsChild>
                </w:div>
                <w:div w:id="532888102">
                  <w:marLeft w:val="240"/>
                  <w:marRight w:val="0"/>
                  <w:marTop w:val="60"/>
                  <w:marBottom w:val="60"/>
                  <w:divBdr>
                    <w:top w:val="none" w:sz="0" w:space="0" w:color="auto"/>
                    <w:left w:val="none" w:sz="0" w:space="0" w:color="auto"/>
                    <w:bottom w:val="none" w:sz="0" w:space="0" w:color="auto"/>
                    <w:right w:val="none" w:sz="0" w:space="0" w:color="auto"/>
                  </w:divBdr>
                  <w:divsChild>
                    <w:div w:id="2119442675">
                      <w:marLeft w:val="0"/>
                      <w:marRight w:val="0"/>
                      <w:marTop w:val="0"/>
                      <w:marBottom w:val="0"/>
                      <w:divBdr>
                        <w:top w:val="none" w:sz="0" w:space="0" w:color="auto"/>
                        <w:left w:val="none" w:sz="0" w:space="0" w:color="auto"/>
                        <w:bottom w:val="none" w:sz="0" w:space="0" w:color="auto"/>
                        <w:right w:val="none" w:sz="0" w:space="0" w:color="auto"/>
                      </w:divBdr>
                    </w:div>
                  </w:divsChild>
                </w:div>
                <w:div w:id="676687757">
                  <w:marLeft w:val="240"/>
                  <w:marRight w:val="0"/>
                  <w:marTop w:val="60"/>
                  <w:marBottom w:val="60"/>
                  <w:divBdr>
                    <w:top w:val="none" w:sz="0" w:space="0" w:color="auto"/>
                    <w:left w:val="none" w:sz="0" w:space="0" w:color="auto"/>
                    <w:bottom w:val="none" w:sz="0" w:space="0" w:color="auto"/>
                    <w:right w:val="none" w:sz="0" w:space="0" w:color="auto"/>
                  </w:divBdr>
                  <w:divsChild>
                    <w:div w:id="17972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5153">
              <w:marLeft w:val="0"/>
              <w:marRight w:val="0"/>
              <w:marTop w:val="0"/>
              <w:marBottom w:val="0"/>
              <w:divBdr>
                <w:top w:val="none" w:sz="0" w:space="0" w:color="auto"/>
                <w:left w:val="none" w:sz="0" w:space="0" w:color="auto"/>
                <w:bottom w:val="none" w:sz="0" w:space="0" w:color="auto"/>
                <w:right w:val="none" w:sz="0" w:space="0" w:color="auto"/>
              </w:divBdr>
            </w:div>
          </w:divsChild>
        </w:div>
        <w:div w:id="541602306">
          <w:marLeft w:val="0"/>
          <w:marRight w:val="0"/>
          <w:marTop w:val="0"/>
          <w:marBottom w:val="0"/>
          <w:divBdr>
            <w:top w:val="none" w:sz="0" w:space="0" w:color="auto"/>
            <w:left w:val="none" w:sz="0" w:space="0" w:color="auto"/>
            <w:bottom w:val="none" w:sz="0" w:space="0" w:color="auto"/>
            <w:right w:val="none" w:sz="0" w:space="0" w:color="auto"/>
          </w:divBdr>
          <w:divsChild>
            <w:div w:id="830367131">
              <w:marLeft w:val="0"/>
              <w:marRight w:val="0"/>
              <w:marTop w:val="0"/>
              <w:marBottom w:val="0"/>
              <w:divBdr>
                <w:top w:val="none" w:sz="0" w:space="0" w:color="auto"/>
                <w:left w:val="none" w:sz="0" w:space="0" w:color="auto"/>
                <w:bottom w:val="none" w:sz="0" w:space="0" w:color="auto"/>
                <w:right w:val="none" w:sz="0" w:space="0" w:color="auto"/>
              </w:divBdr>
              <w:divsChild>
                <w:div w:id="981812244">
                  <w:marLeft w:val="240"/>
                  <w:marRight w:val="0"/>
                  <w:marTop w:val="60"/>
                  <w:marBottom w:val="60"/>
                  <w:divBdr>
                    <w:top w:val="none" w:sz="0" w:space="0" w:color="auto"/>
                    <w:left w:val="none" w:sz="0" w:space="0" w:color="auto"/>
                    <w:bottom w:val="none" w:sz="0" w:space="0" w:color="auto"/>
                    <w:right w:val="none" w:sz="0" w:space="0" w:color="auto"/>
                  </w:divBdr>
                  <w:divsChild>
                    <w:div w:id="1796485342">
                      <w:marLeft w:val="0"/>
                      <w:marRight w:val="0"/>
                      <w:marTop w:val="0"/>
                      <w:marBottom w:val="0"/>
                      <w:divBdr>
                        <w:top w:val="none" w:sz="0" w:space="0" w:color="auto"/>
                        <w:left w:val="none" w:sz="0" w:space="0" w:color="auto"/>
                        <w:bottom w:val="none" w:sz="0" w:space="0" w:color="auto"/>
                        <w:right w:val="none" w:sz="0" w:space="0" w:color="auto"/>
                      </w:divBdr>
                    </w:div>
                  </w:divsChild>
                </w:div>
                <w:div w:id="1056394799">
                  <w:marLeft w:val="240"/>
                  <w:marRight w:val="0"/>
                  <w:marTop w:val="60"/>
                  <w:marBottom w:val="60"/>
                  <w:divBdr>
                    <w:top w:val="none" w:sz="0" w:space="0" w:color="auto"/>
                    <w:left w:val="none" w:sz="0" w:space="0" w:color="auto"/>
                    <w:bottom w:val="none" w:sz="0" w:space="0" w:color="auto"/>
                    <w:right w:val="none" w:sz="0" w:space="0" w:color="auto"/>
                  </w:divBdr>
                  <w:divsChild>
                    <w:div w:id="2037270229">
                      <w:marLeft w:val="240"/>
                      <w:marRight w:val="0"/>
                      <w:marTop w:val="60"/>
                      <w:marBottom w:val="60"/>
                      <w:divBdr>
                        <w:top w:val="none" w:sz="0" w:space="0" w:color="auto"/>
                        <w:left w:val="none" w:sz="0" w:space="0" w:color="auto"/>
                        <w:bottom w:val="none" w:sz="0" w:space="0" w:color="auto"/>
                        <w:right w:val="none" w:sz="0" w:space="0" w:color="auto"/>
                      </w:divBdr>
                      <w:divsChild>
                        <w:div w:id="1396195589">
                          <w:marLeft w:val="0"/>
                          <w:marRight w:val="0"/>
                          <w:marTop w:val="0"/>
                          <w:marBottom w:val="0"/>
                          <w:divBdr>
                            <w:top w:val="none" w:sz="0" w:space="0" w:color="auto"/>
                            <w:left w:val="none" w:sz="0" w:space="0" w:color="auto"/>
                            <w:bottom w:val="none" w:sz="0" w:space="0" w:color="auto"/>
                            <w:right w:val="none" w:sz="0" w:space="0" w:color="auto"/>
                          </w:divBdr>
                        </w:div>
                      </w:divsChild>
                    </w:div>
                    <w:div w:id="1854800743">
                      <w:marLeft w:val="240"/>
                      <w:marRight w:val="0"/>
                      <w:marTop w:val="60"/>
                      <w:marBottom w:val="60"/>
                      <w:divBdr>
                        <w:top w:val="none" w:sz="0" w:space="0" w:color="auto"/>
                        <w:left w:val="none" w:sz="0" w:space="0" w:color="auto"/>
                        <w:bottom w:val="none" w:sz="0" w:space="0" w:color="auto"/>
                        <w:right w:val="none" w:sz="0" w:space="0" w:color="auto"/>
                      </w:divBdr>
                      <w:divsChild>
                        <w:div w:id="1997299491">
                          <w:marLeft w:val="0"/>
                          <w:marRight w:val="0"/>
                          <w:marTop w:val="0"/>
                          <w:marBottom w:val="0"/>
                          <w:divBdr>
                            <w:top w:val="none" w:sz="0" w:space="0" w:color="auto"/>
                            <w:left w:val="none" w:sz="0" w:space="0" w:color="auto"/>
                            <w:bottom w:val="none" w:sz="0" w:space="0" w:color="auto"/>
                            <w:right w:val="none" w:sz="0" w:space="0" w:color="auto"/>
                          </w:divBdr>
                        </w:div>
                      </w:divsChild>
                    </w:div>
                    <w:div w:id="1664430529">
                      <w:marLeft w:val="240"/>
                      <w:marRight w:val="0"/>
                      <w:marTop w:val="60"/>
                      <w:marBottom w:val="60"/>
                      <w:divBdr>
                        <w:top w:val="none" w:sz="0" w:space="0" w:color="auto"/>
                        <w:left w:val="none" w:sz="0" w:space="0" w:color="auto"/>
                        <w:bottom w:val="none" w:sz="0" w:space="0" w:color="auto"/>
                        <w:right w:val="none" w:sz="0" w:space="0" w:color="auto"/>
                      </w:divBdr>
                      <w:divsChild>
                        <w:div w:id="565454289">
                          <w:marLeft w:val="0"/>
                          <w:marRight w:val="0"/>
                          <w:marTop w:val="0"/>
                          <w:marBottom w:val="0"/>
                          <w:divBdr>
                            <w:top w:val="none" w:sz="0" w:space="0" w:color="auto"/>
                            <w:left w:val="none" w:sz="0" w:space="0" w:color="auto"/>
                            <w:bottom w:val="none" w:sz="0" w:space="0" w:color="auto"/>
                            <w:right w:val="none" w:sz="0" w:space="0" w:color="auto"/>
                          </w:divBdr>
                        </w:div>
                      </w:divsChild>
                    </w:div>
                    <w:div w:id="1518421028">
                      <w:marLeft w:val="536"/>
                      <w:marRight w:val="0"/>
                      <w:marTop w:val="0"/>
                      <w:marBottom w:val="0"/>
                      <w:divBdr>
                        <w:top w:val="none" w:sz="0" w:space="0" w:color="auto"/>
                        <w:left w:val="none" w:sz="0" w:space="0" w:color="auto"/>
                        <w:bottom w:val="none" w:sz="0" w:space="0" w:color="auto"/>
                        <w:right w:val="none" w:sz="0" w:space="0" w:color="auto"/>
                      </w:divBdr>
                    </w:div>
                  </w:divsChild>
                </w:div>
                <w:div w:id="986933771">
                  <w:marLeft w:val="240"/>
                  <w:marRight w:val="0"/>
                  <w:marTop w:val="60"/>
                  <w:marBottom w:val="60"/>
                  <w:divBdr>
                    <w:top w:val="none" w:sz="0" w:space="0" w:color="auto"/>
                    <w:left w:val="none" w:sz="0" w:space="0" w:color="auto"/>
                    <w:bottom w:val="none" w:sz="0" w:space="0" w:color="auto"/>
                    <w:right w:val="none" w:sz="0" w:space="0" w:color="auto"/>
                  </w:divBdr>
                  <w:divsChild>
                    <w:div w:id="2139760154">
                      <w:marLeft w:val="0"/>
                      <w:marRight w:val="0"/>
                      <w:marTop w:val="0"/>
                      <w:marBottom w:val="0"/>
                      <w:divBdr>
                        <w:top w:val="none" w:sz="0" w:space="0" w:color="auto"/>
                        <w:left w:val="none" w:sz="0" w:space="0" w:color="auto"/>
                        <w:bottom w:val="none" w:sz="0" w:space="0" w:color="auto"/>
                        <w:right w:val="none" w:sz="0" w:space="0" w:color="auto"/>
                      </w:divBdr>
                    </w:div>
                  </w:divsChild>
                </w:div>
                <w:div w:id="1074859782">
                  <w:marLeft w:val="240"/>
                  <w:marRight w:val="0"/>
                  <w:marTop w:val="60"/>
                  <w:marBottom w:val="60"/>
                  <w:divBdr>
                    <w:top w:val="none" w:sz="0" w:space="0" w:color="auto"/>
                    <w:left w:val="none" w:sz="0" w:space="0" w:color="auto"/>
                    <w:bottom w:val="none" w:sz="0" w:space="0" w:color="auto"/>
                    <w:right w:val="none" w:sz="0" w:space="0" w:color="auto"/>
                  </w:divBdr>
                  <w:divsChild>
                    <w:div w:id="1386178729">
                      <w:marLeft w:val="240"/>
                      <w:marRight w:val="0"/>
                      <w:marTop w:val="60"/>
                      <w:marBottom w:val="60"/>
                      <w:divBdr>
                        <w:top w:val="none" w:sz="0" w:space="0" w:color="auto"/>
                        <w:left w:val="none" w:sz="0" w:space="0" w:color="auto"/>
                        <w:bottom w:val="none" w:sz="0" w:space="0" w:color="auto"/>
                        <w:right w:val="none" w:sz="0" w:space="0" w:color="auto"/>
                      </w:divBdr>
                      <w:divsChild>
                        <w:div w:id="1650868618">
                          <w:marLeft w:val="240"/>
                          <w:marRight w:val="0"/>
                          <w:marTop w:val="60"/>
                          <w:marBottom w:val="60"/>
                          <w:divBdr>
                            <w:top w:val="none" w:sz="0" w:space="0" w:color="auto"/>
                            <w:left w:val="none" w:sz="0" w:space="0" w:color="auto"/>
                            <w:bottom w:val="none" w:sz="0" w:space="0" w:color="auto"/>
                            <w:right w:val="none" w:sz="0" w:space="0" w:color="auto"/>
                          </w:divBdr>
                          <w:divsChild>
                            <w:div w:id="1034889892">
                              <w:marLeft w:val="0"/>
                              <w:marRight w:val="0"/>
                              <w:marTop w:val="0"/>
                              <w:marBottom w:val="0"/>
                              <w:divBdr>
                                <w:top w:val="none" w:sz="0" w:space="0" w:color="auto"/>
                                <w:left w:val="none" w:sz="0" w:space="0" w:color="auto"/>
                                <w:bottom w:val="none" w:sz="0" w:space="0" w:color="auto"/>
                                <w:right w:val="none" w:sz="0" w:space="0" w:color="auto"/>
                              </w:divBdr>
                            </w:div>
                          </w:divsChild>
                        </w:div>
                        <w:div w:id="737245908">
                          <w:marLeft w:val="240"/>
                          <w:marRight w:val="0"/>
                          <w:marTop w:val="60"/>
                          <w:marBottom w:val="60"/>
                          <w:divBdr>
                            <w:top w:val="none" w:sz="0" w:space="0" w:color="auto"/>
                            <w:left w:val="none" w:sz="0" w:space="0" w:color="auto"/>
                            <w:bottom w:val="none" w:sz="0" w:space="0" w:color="auto"/>
                            <w:right w:val="none" w:sz="0" w:space="0" w:color="auto"/>
                          </w:divBdr>
                          <w:divsChild>
                            <w:div w:id="19587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5840">
                      <w:marLeft w:val="240"/>
                      <w:marRight w:val="0"/>
                      <w:marTop w:val="60"/>
                      <w:marBottom w:val="60"/>
                      <w:divBdr>
                        <w:top w:val="none" w:sz="0" w:space="0" w:color="auto"/>
                        <w:left w:val="none" w:sz="0" w:space="0" w:color="auto"/>
                        <w:bottom w:val="none" w:sz="0" w:space="0" w:color="auto"/>
                        <w:right w:val="none" w:sz="0" w:space="0" w:color="auto"/>
                      </w:divBdr>
                      <w:divsChild>
                        <w:div w:id="1089041444">
                          <w:marLeft w:val="240"/>
                          <w:marRight w:val="0"/>
                          <w:marTop w:val="60"/>
                          <w:marBottom w:val="60"/>
                          <w:divBdr>
                            <w:top w:val="none" w:sz="0" w:space="0" w:color="auto"/>
                            <w:left w:val="none" w:sz="0" w:space="0" w:color="auto"/>
                            <w:bottom w:val="none" w:sz="0" w:space="0" w:color="auto"/>
                            <w:right w:val="none" w:sz="0" w:space="0" w:color="auto"/>
                          </w:divBdr>
                          <w:divsChild>
                            <w:div w:id="1084228289">
                              <w:marLeft w:val="0"/>
                              <w:marRight w:val="0"/>
                              <w:marTop w:val="0"/>
                              <w:marBottom w:val="0"/>
                              <w:divBdr>
                                <w:top w:val="none" w:sz="0" w:space="0" w:color="auto"/>
                                <w:left w:val="none" w:sz="0" w:space="0" w:color="auto"/>
                                <w:bottom w:val="none" w:sz="0" w:space="0" w:color="auto"/>
                                <w:right w:val="none" w:sz="0" w:space="0" w:color="auto"/>
                              </w:divBdr>
                            </w:div>
                          </w:divsChild>
                        </w:div>
                        <w:div w:id="2127308688">
                          <w:marLeft w:val="240"/>
                          <w:marRight w:val="0"/>
                          <w:marTop w:val="60"/>
                          <w:marBottom w:val="60"/>
                          <w:divBdr>
                            <w:top w:val="none" w:sz="0" w:space="0" w:color="auto"/>
                            <w:left w:val="none" w:sz="0" w:space="0" w:color="auto"/>
                            <w:bottom w:val="none" w:sz="0" w:space="0" w:color="auto"/>
                            <w:right w:val="none" w:sz="0" w:space="0" w:color="auto"/>
                          </w:divBdr>
                          <w:divsChild>
                            <w:div w:id="11453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72149">
                  <w:marLeft w:val="240"/>
                  <w:marRight w:val="0"/>
                  <w:marTop w:val="60"/>
                  <w:marBottom w:val="60"/>
                  <w:divBdr>
                    <w:top w:val="none" w:sz="0" w:space="0" w:color="auto"/>
                    <w:left w:val="none" w:sz="0" w:space="0" w:color="auto"/>
                    <w:bottom w:val="none" w:sz="0" w:space="0" w:color="auto"/>
                    <w:right w:val="none" w:sz="0" w:space="0" w:color="auto"/>
                  </w:divBdr>
                  <w:divsChild>
                    <w:div w:id="2001425142">
                      <w:marLeft w:val="0"/>
                      <w:marRight w:val="0"/>
                      <w:marTop w:val="0"/>
                      <w:marBottom w:val="0"/>
                      <w:divBdr>
                        <w:top w:val="none" w:sz="0" w:space="0" w:color="auto"/>
                        <w:left w:val="none" w:sz="0" w:space="0" w:color="auto"/>
                        <w:bottom w:val="none" w:sz="0" w:space="0" w:color="auto"/>
                        <w:right w:val="none" w:sz="0" w:space="0" w:color="auto"/>
                      </w:divBdr>
                    </w:div>
                  </w:divsChild>
                </w:div>
                <w:div w:id="180240132">
                  <w:marLeft w:val="240"/>
                  <w:marRight w:val="0"/>
                  <w:marTop w:val="60"/>
                  <w:marBottom w:val="60"/>
                  <w:divBdr>
                    <w:top w:val="none" w:sz="0" w:space="0" w:color="auto"/>
                    <w:left w:val="none" w:sz="0" w:space="0" w:color="auto"/>
                    <w:bottom w:val="none" w:sz="0" w:space="0" w:color="auto"/>
                    <w:right w:val="none" w:sz="0" w:space="0" w:color="auto"/>
                  </w:divBdr>
                  <w:divsChild>
                    <w:div w:id="2140763775">
                      <w:marLeft w:val="0"/>
                      <w:marRight w:val="0"/>
                      <w:marTop w:val="0"/>
                      <w:marBottom w:val="0"/>
                      <w:divBdr>
                        <w:top w:val="none" w:sz="0" w:space="0" w:color="auto"/>
                        <w:left w:val="none" w:sz="0" w:space="0" w:color="auto"/>
                        <w:bottom w:val="none" w:sz="0" w:space="0" w:color="auto"/>
                        <w:right w:val="none" w:sz="0" w:space="0" w:color="auto"/>
                      </w:divBdr>
                    </w:div>
                  </w:divsChild>
                </w:div>
                <w:div w:id="1646273953">
                  <w:marLeft w:val="240"/>
                  <w:marRight w:val="0"/>
                  <w:marTop w:val="60"/>
                  <w:marBottom w:val="60"/>
                  <w:divBdr>
                    <w:top w:val="none" w:sz="0" w:space="0" w:color="auto"/>
                    <w:left w:val="none" w:sz="0" w:space="0" w:color="auto"/>
                    <w:bottom w:val="none" w:sz="0" w:space="0" w:color="auto"/>
                    <w:right w:val="none" w:sz="0" w:space="0" w:color="auto"/>
                  </w:divBdr>
                  <w:divsChild>
                    <w:div w:id="1860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057760">
          <w:marLeft w:val="0"/>
          <w:marRight w:val="0"/>
          <w:marTop w:val="0"/>
          <w:marBottom w:val="0"/>
          <w:divBdr>
            <w:top w:val="none" w:sz="0" w:space="0" w:color="auto"/>
            <w:left w:val="none" w:sz="0" w:space="0" w:color="auto"/>
            <w:bottom w:val="none" w:sz="0" w:space="0" w:color="auto"/>
            <w:right w:val="none" w:sz="0" w:space="0" w:color="auto"/>
          </w:divBdr>
        </w:div>
        <w:div w:id="2126076067">
          <w:marLeft w:val="0"/>
          <w:marRight w:val="0"/>
          <w:marTop w:val="0"/>
          <w:marBottom w:val="0"/>
          <w:divBdr>
            <w:top w:val="none" w:sz="0" w:space="0" w:color="auto"/>
            <w:left w:val="none" w:sz="0" w:space="0" w:color="auto"/>
            <w:bottom w:val="none" w:sz="0" w:space="0" w:color="auto"/>
            <w:right w:val="none" w:sz="0" w:space="0" w:color="auto"/>
          </w:divBdr>
          <w:divsChild>
            <w:div w:id="433742983">
              <w:marLeft w:val="0"/>
              <w:marRight w:val="0"/>
              <w:marTop w:val="0"/>
              <w:marBottom w:val="0"/>
              <w:divBdr>
                <w:top w:val="none" w:sz="0" w:space="0" w:color="auto"/>
                <w:left w:val="none" w:sz="0" w:space="0" w:color="auto"/>
                <w:bottom w:val="none" w:sz="0" w:space="0" w:color="auto"/>
                <w:right w:val="none" w:sz="0" w:space="0" w:color="auto"/>
              </w:divBdr>
              <w:divsChild>
                <w:div w:id="1126387723">
                  <w:marLeft w:val="240"/>
                  <w:marRight w:val="0"/>
                  <w:marTop w:val="60"/>
                  <w:marBottom w:val="60"/>
                  <w:divBdr>
                    <w:top w:val="none" w:sz="0" w:space="0" w:color="auto"/>
                    <w:left w:val="none" w:sz="0" w:space="0" w:color="auto"/>
                    <w:bottom w:val="none" w:sz="0" w:space="0" w:color="auto"/>
                    <w:right w:val="none" w:sz="0" w:space="0" w:color="auto"/>
                  </w:divBdr>
                  <w:divsChild>
                    <w:div w:id="723984761">
                      <w:marLeft w:val="0"/>
                      <w:marRight w:val="0"/>
                      <w:marTop w:val="0"/>
                      <w:marBottom w:val="0"/>
                      <w:divBdr>
                        <w:top w:val="none" w:sz="0" w:space="0" w:color="auto"/>
                        <w:left w:val="none" w:sz="0" w:space="0" w:color="auto"/>
                        <w:bottom w:val="none" w:sz="0" w:space="0" w:color="auto"/>
                        <w:right w:val="none" w:sz="0" w:space="0" w:color="auto"/>
                      </w:divBdr>
                    </w:div>
                  </w:divsChild>
                </w:div>
                <w:div w:id="1853379080">
                  <w:marLeft w:val="240"/>
                  <w:marRight w:val="0"/>
                  <w:marTop w:val="60"/>
                  <w:marBottom w:val="60"/>
                  <w:divBdr>
                    <w:top w:val="none" w:sz="0" w:space="0" w:color="auto"/>
                    <w:left w:val="none" w:sz="0" w:space="0" w:color="auto"/>
                    <w:bottom w:val="none" w:sz="0" w:space="0" w:color="auto"/>
                    <w:right w:val="none" w:sz="0" w:space="0" w:color="auto"/>
                  </w:divBdr>
                  <w:divsChild>
                    <w:div w:id="1555700994">
                      <w:marLeft w:val="0"/>
                      <w:marRight w:val="0"/>
                      <w:marTop w:val="0"/>
                      <w:marBottom w:val="0"/>
                      <w:divBdr>
                        <w:top w:val="none" w:sz="0" w:space="0" w:color="auto"/>
                        <w:left w:val="none" w:sz="0" w:space="0" w:color="auto"/>
                        <w:bottom w:val="none" w:sz="0" w:space="0" w:color="auto"/>
                        <w:right w:val="none" w:sz="0" w:space="0" w:color="auto"/>
                      </w:divBdr>
                    </w:div>
                  </w:divsChild>
                </w:div>
                <w:div w:id="1321227704">
                  <w:marLeft w:val="240"/>
                  <w:marRight w:val="0"/>
                  <w:marTop w:val="60"/>
                  <w:marBottom w:val="60"/>
                  <w:divBdr>
                    <w:top w:val="none" w:sz="0" w:space="0" w:color="auto"/>
                    <w:left w:val="none" w:sz="0" w:space="0" w:color="auto"/>
                    <w:bottom w:val="none" w:sz="0" w:space="0" w:color="auto"/>
                    <w:right w:val="none" w:sz="0" w:space="0" w:color="auto"/>
                  </w:divBdr>
                  <w:divsChild>
                    <w:div w:id="2759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7811">
              <w:marLeft w:val="0"/>
              <w:marRight w:val="0"/>
              <w:marTop w:val="0"/>
              <w:marBottom w:val="0"/>
              <w:divBdr>
                <w:top w:val="none" w:sz="0" w:space="0" w:color="auto"/>
                <w:left w:val="none" w:sz="0" w:space="0" w:color="auto"/>
                <w:bottom w:val="none" w:sz="0" w:space="0" w:color="auto"/>
                <w:right w:val="none" w:sz="0" w:space="0" w:color="auto"/>
              </w:divBdr>
              <w:divsChild>
                <w:div w:id="437138179">
                  <w:marLeft w:val="0"/>
                  <w:marRight w:val="0"/>
                  <w:marTop w:val="60"/>
                  <w:marBottom w:val="60"/>
                  <w:divBdr>
                    <w:top w:val="none" w:sz="0" w:space="0" w:color="auto"/>
                    <w:left w:val="none" w:sz="0" w:space="0" w:color="auto"/>
                    <w:bottom w:val="none" w:sz="0" w:space="0" w:color="auto"/>
                    <w:right w:val="none" w:sz="0" w:space="0" w:color="auto"/>
                  </w:divBdr>
                  <w:divsChild>
                    <w:div w:id="1883250499">
                      <w:marLeft w:val="240"/>
                      <w:marRight w:val="0"/>
                      <w:marTop w:val="60"/>
                      <w:marBottom w:val="60"/>
                      <w:divBdr>
                        <w:top w:val="none" w:sz="0" w:space="0" w:color="auto"/>
                        <w:left w:val="none" w:sz="0" w:space="0" w:color="auto"/>
                        <w:bottom w:val="none" w:sz="0" w:space="0" w:color="auto"/>
                        <w:right w:val="none" w:sz="0" w:space="0" w:color="auto"/>
                      </w:divBdr>
                      <w:divsChild>
                        <w:div w:id="885339700">
                          <w:marLeft w:val="0"/>
                          <w:marRight w:val="0"/>
                          <w:marTop w:val="0"/>
                          <w:marBottom w:val="0"/>
                          <w:divBdr>
                            <w:top w:val="none" w:sz="0" w:space="0" w:color="auto"/>
                            <w:left w:val="none" w:sz="0" w:space="0" w:color="auto"/>
                            <w:bottom w:val="none" w:sz="0" w:space="0" w:color="auto"/>
                            <w:right w:val="none" w:sz="0" w:space="0" w:color="auto"/>
                          </w:divBdr>
                        </w:div>
                      </w:divsChild>
                    </w:div>
                    <w:div w:id="190411789">
                      <w:marLeft w:val="240"/>
                      <w:marRight w:val="0"/>
                      <w:marTop w:val="60"/>
                      <w:marBottom w:val="60"/>
                      <w:divBdr>
                        <w:top w:val="none" w:sz="0" w:space="0" w:color="auto"/>
                        <w:left w:val="none" w:sz="0" w:space="0" w:color="auto"/>
                        <w:bottom w:val="none" w:sz="0" w:space="0" w:color="auto"/>
                        <w:right w:val="none" w:sz="0" w:space="0" w:color="auto"/>
                      </w:divBdr>
                      <w:divsChild>
                        <w:div w:id="1502040674">
                          <w:marLeft w:val="0"/>
                          <w:marRight w:val="0"/>
                          <w:marTop w:val="0"/>
                          <w:marBottom w:val="0"/>
                          <w:divBdr>
                            <w:top w:val="none" w:sz="0" w:space="0" w:color="auto"/>
                            <w:left w:val="none" w:sz="0" w:space="0" w:color="auto"/>
                            <w:bottom w:val="none" w:sz="0" w:space="0" w:color="auto"/>
                            <w:right w:val="none" w:sz="0" w:space="0" w:color="auto"/>
                          </w:divBdr>
                        </w:div>
                      </w:divsChild>
                    </w:div>
                    <w:div w:id="894002686">
                      <w:marLeft w:val="240"/>
                      <w:marRight w:val="0"/>
                      <w:marTop w:val="60"/>
                      <w:marBottom w:val="60"/>
                      <w:divBdr>
                        <w:top w:val="none" w:sz="0" w:space="0" w:color="auto"/>
                        <w:left w:val="none" w:sz="0" w:space="0" w:color="auto"/>
                        <w:bottom w:val="none" w:sz="0" w:space="0" w:color="auto"/>
                        <w:right w:val="none" w:sz="0" w:space="0" w:color="auto"/>
                      </w:divBdr>
                      <w:divsChild>
                        <w:div w:id="847060245">
                          <w:marLeft w:val="0"/>
                          <w:marRight w:val="0"/>
                          <w:marTop w:val="0"/>
                          <w:marBottom w:val="0"/>
                          <w:divBdr>
                            <w:top w:val="none" w:sz="0" w:space="0" w:color="auto"/>
                            <w:left w:val="none" w:sz="0" w:space="0" w:color="auto"/>
                            <w:bottom w:val="none" w:sz="0" w:space="0" w:color="auto"/>
                            <w:right w:val="none" w:sz="0" w:space="0" w:color="auto"/>
                          </w:divBdr>
                        </w:div>
                      </w:divsChild>
                    </w:div>
                    <w:div w:id="1558973795">
                      <w:marLeft w:val="5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159552">
          <w:marLeft w:val="0"/>
          <w:marRight w:val="0"/>
          <w:marTop w:val="0"/>
          <w:marBottom w:val="0"/>
          <w:divBdr>
            <w:top w:val="none" w:sz="0" w:space="0" w:color="auto"/>
            <w:left w:val="none" w:sz="0" w:space="0" w:color="auto"/>
            <w:bottom w:val="none" w:sz="0" w:space="0" w:color="auto"/>
            <w:right w:val="none" w:sz="0" w:space="0" w:color="auto"/>
          </w:divBdr>
          <w:divsChild>
            <w:div w:id="1643074398">
              <w:marLeft w:val="0"/>
              <w:marRight w:val="0"/>
              <w:marTop w:val="0"/>
              <w:marBottom w:val="0"/>
              <w:divBdr>
                <w:top w:val="none" w:sz="0" w:space="0" w:color="auto"/>
                <w:left w:val="none" w:sz="0" w:space="0" w:color="auto"/>
                <w:bottom w:val="none" w:sz="0" w:space="0" w:color="auto"/>
                <w:right w:val="none" w:sz="0" w:space="0" w:color="auto"/>
              </w:divBdr>
              <w:divsChild>
                <w:div w:id="886525086">
                  <w:marLeft w:val="0"/>
                  <w:marRight w:val="0"/>
                  <w:marTop w:val="60"/>
                  <w:marBottom w:val="60"/>
                  <w:divBdr>
                    <w:top w:val="none" w:sz="0" w:space="0" w:color="auto"/>
                    <w:left w:val="none" w:sz="0" w:space="0" w:color="auto"/>
                    <w:bottom w:val="none" w:sz="0" w:space="0" w:color="auto"/>
                    <w:right w:val="none" w:sz="0" w:space="0" w:color="auto"/>
                  </w:divBdr>
                  <w:divsChild>
                    <w:div w:id="977490362">
                      <w:marLeft w:val="240"/>
                      <w:marRight w:val="0"/>
                      <w:marTop w:val="60"/>
                      <w:marBottom w:val="60"/>
                      <w:divBdr>
                        <w:top w:val="none" w:sz="0" w:space="0" w:color="auto"/>
                        <w:left w:val="none" w:sz="0" w:space="0" w:color="auto"/>
                        <w:bottom w:val="none" w:sz="0" w:space="0" w:color="auto"/>
                        <w:right w:val="none" w:sz="0" w:space="0" w:color="auto"/>
                      </w:divBdr>
                      <w:divsChild>
                        <w:div w:id="406416333">
                          <w:marLeft w:val="0"/>
                          <w:marRight w:val="0"/>
                          <w:marTop w:val="0"/>
                          <w:marBottom w:val="0"/>
                          <w:divBdr>
                            <w:top w:val="none" w:sz="0" w:space="0" w:color="auto"/>
                            <w:left w:val="none" w:sz="0" w:space="0" w:color="auto"/>
                            <w:bottom w:val="none" w:sz="0" w:space="0" w:color="auto"/>
                            <w:right w:val="none" w:sz="0" w:space="0" w:color="auto"/>
                          </w:divBdr>
                        </w:div>
                      </w:divsChild>
                    </w:div>
                    <w:div w:id="708334039">
                      <w:marLeft w:val="240"/>
                      <w:marRight w:val="0"/>
                      <w:marTop w:val="60"/>
                      <w:marBottom w:val="60"/>
                      <w:divBdr>
                        <w:top w:val="none" w:sz="0" w:space="0" w:color="auto"/>
                        <w:left w:val="none" w:sz="0" w:space="0" w:color="auto"/>
                        <w:bottom w:val="none" w:sz="0" w:space="0" w:color="auto"/>
                        <w:right w:val="none" w:sz="0" w:space="0" w:color="auto"/>
                      </w:divBdr>
                      <w:divsChild>
                        <w:div w:id="1565680678">
                          <w:marLeft w:val="0"/>
                          <w:marRight w:val="0"/>
                          <w:marTop w:val="0"/>
                          <w:marBottom w:val="0"/>
                          <w:divBdr>
                            <w:top w:val="none" w:sz="0" w:space="0" w:color="auto"/>
                            <w:left w:val="none" w:sz="0" w:space="0" w:color="auto"/>
                            <w:bottom w:val="none" w:sz="0" w:space="0" w:color="auto"/>
                            <w:right w:val="none" w:sz="0" w:space="0" w:color="auto"/>
                          </w:divBdr>
                        </w:div>
                      </w:divsChild>
                    </w:div>
                    <w:div w:id="1100292997">
                      <w:marLeft w:val="5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324">
          <w:marLeft w:val="0"/>
          <w:marRight w:val="0"/>
          <w:marTop w:val="0"/>
          <w:marBottom w:val="0"/>
          <w:divBdr>
            <w:top w:val="none" w:sz="0" w:space="0" w:color="auto"/>
            <w:left w:val="none" w:sz="0" w:space="0" w:color="auto"/>
            <w:bottom w:val="none" w:sz="0" w:space="0" w:color="auto"/>
            <w:right w:val="none" w:sz="0" w:space="0" w:color="auto"/>
          </w:divBdr>
          <w:divsChild>
            <w:div w:id="1968773459">
              <w:marLeft w:val="0"/>
              <w:marRight w:val="0"/>
              <w:marTop w:val="0"/>
              <w:marBottom w:val="0"/>
              <w:divBdr>
                <w:top w:val="none" w:sz="0" w:space="0" w:color="auto"/>
                <w:left w:val="none" w:sz="0" w:space="0" w:color="auto"/>
                <w:bottom w:val="none" w:sz="0" w:space="0" w:color="auto"/>
                <w:right w:val="none" w:sz="0" w:space="0" w:color="auto"/>
              </w:divBdr>
            </w:div>
          </w:divsChild>
        </w:div>
        <w:div w:id="723140023">
          <w:marLeft w:val="0"/>
          <w:marRight w:val="0"/>
          <w:marTop w:val="0"/>
          <w:marBottom w:val="0"/>
          <w:divBdr>
            <w:top w:val="none" w:sz="0" w:space="0" w:color="auto"/>
            <w:left w:val="none" w:sz="0" w:space="0" w:color="auto"/>
            <w:bottom w:val="none" w:sz="0" w:space="0" w:color="auto"/>
            <w:right w:val="none" w:sz="0" w:space="0" w:color="auto"/>
          </w:divBdr>
          <w:divsChild>
            <w:div w:id="746995491">
              <w:marLeft w:val="0"/>
              <w:marRight w:val="0"/>
              <w:marTop w:val="0"/>
              <w:marBottom w:val="0"/>
              <w:divBdr>
                <w:top w:val="none" w:sz="0" w:space="0" w:color="auto"/>
                <w:left w:val="none" w:sz="0" w:space="0" w:color="auto"/>
                <w:bottom w:val="none" w:sz="0" w:space="0" w:color="auto"/>
                <w:right w:val="none" w:sz="0" w:space="0" w:color="auto"/>
              </w:divBdr>
              <w:divsChild>
                <w:div w:id="1874342957">
                  <w:marLeft w:val="0"/>
                  <w:marRight w:val="0"/>
                  <w:marTop w:val="60"/>
                  <w:marBottom w:val="60"/>
                  <w:divBdr>
                    <w:top w:val="none" w:sz="0" w:space="0" w:color="auto"/>
                    <w:left w:val="none" w:sz="0" w:space="0" w:color="auto"/>
                    <w:bottom w:val="none" w:sz="0" w:space="0" w:color="auto"/>
                    <w:right w:val="none" w:sz="0" w:space="0" w:color="auto"/>
                  </w:divBdr>
                  <w:divsChild>
                    <w:div w:id="647365162">
                      <w:marLeft w:val="240"/>
                      <w:marRight w:val="0"/>
                      <w:marTop w:val="60"/>
                      <w:marBottom w:val="60"/>
                      <w:divBdr>
                        <w:top w:val="none" w:sz="0" w:space="0" w:color="auto"/>
                        <w:left w:val="none" w:sz="0" w:space="0" w:color="auto"/>
                        <w:bottom w:val="none" w:sz="0" w:space="0" w:color="auto"/>
                        <w:right w:val="none" w:sz="0" w:space="0" w:color="auto"/>
                      </w:divBdr>
                      <w:divsChild>
                        <w:div w:id="646709736">
                          <w:marLeft w:val="0"/>
                          <w:marRight w:val="0"/>
                          <w:marTop w:val="0"/>
                          <w:marBottom w:val="0"/>
                          <w:divBdr>
                            <w:top w:val="none" w:sz="0" w:space="0" w:color="auto"/>
                            <w:left w:val="none" w:sz="0" w:space="0" w:color="auto"/>
                            <w:bottom w:val="none" w:sz="0" w:space="0" w:color="auto"/>
                            <w:right w:val="none" w:sz="0" w:space="0" w:color="auto"/>
                          </w:divBdr>
                        </w:div>
                      </w:divsChild>
                    </w:div>
                    <w:div w:id="1541622570">
                      <w:marLeft w:val="240"/>
                      <w:marRight w:val="0"/>
                      <w:marTop w:val="60"/>
                      <w:marBottom w:val="60"/>
                      <w:divBdr>
                        <w:top w:val="none" w:sz="0" w:space="0" w:color="auto"/>
                        <w:left w:val="none" w:sz="0" w:space="0" w:color="auto"/>
                        <w:bottom w:val="none" w:sz="0" w:space="0" w:color="auto"/>
                        <w:right w:val="none" w:sz="0" w:space="0" w:color="auto"/>
                      </w:divBdr>
                      <w:divsChild>
                        <w:div w:id="2111074664">
                          <w:marLeft w:val="0"/>
                          <w:marRight w:val="0"/>
                          <w:marTop w:val="0"/>
                          <w:marBottom w:val="0"/>
                          <w:divBdr>
                            <w:top w:val="none" w:sz="0" w:space="0" w:color="auto"/>
                            <w:left w:val="none" w:sz="0" w:space="0" w:color="auto"/>
                            <w:bottom w:val="none" w:sz="0" w:space="0" w:color="auto"/>
                            <w:right w:val="none" w:sz="0" w:space="0" w:color="auto"/>
                          </w:divBdr>
                        </w:div>
                      </w:divsChild>
                    </w:div>
                    <w:div w:id="958144474">
                      <w:marLeft w:val="5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9025">
          <w:marLeft w:val="0"/>
          <w:marRight w:val="0"/>
          <w:marTop w:val="0"/>
          <w:marBottom w:val="0"/>
          <w:divBdr>
            <w:top w:val="none" w:sz="0" w:space="0" w:color="auto"/>
            <w:left w:val="none" w:sz="0" w:space="0" w:color="auto"/>
            <w:bottom w:val="none" w:sz="0" w:space="0" w:color="auto"/>
            <w:right w:val="none" w:sz="0" w:space="0" w:color="auto"/>
          </w:divBdr>
          <w:divsChild>
            <w:div w:id="1465736490">
              <w:marLeft w:val="0"/>
              <w:marRight w:val="0"/>
              <w:marTop w:val="0"/>
              <w:marBottom w:val="0"/>
              <w:divBdr>
                <w:top w:val="none" w:sz="0" w:space="0" w:color="auto"/>
                <w:left w:val="none" w:sz="0" w:space="0" w:color="auto"/>
                <w:bottom w:val="none" w:sz="0" w:space="0" w:color="auto"/>
                <w:right w:val="none" w:sz="0" w:space="0" w:color="auto"/>
              </w:divBdr>
              <w:divsChild>
                <w:div w:id="991104288">
                  <w:marLeft w:val="240"/>
                  <w:marRight w:val="0"/>
                  <w:marTop w:val="60"/>
                  <w:marBottom w:val="60"/>
                  <w:divBdr>
                    <w:top w:val="none" w:sz="0" w:space="0" w:color="auto"/>
                    <w:left w:val="none" w:sz="0" w:space="0" w:color="auto"/>
                    <w:bottom w:val="none" w:sz="0" w:space="0" w:color="auto"/>
                    <w:right w:val="none" w:sz="0" w:space="0" w:color="auto"/>
                  </w:divBdr>
                  <w:divsChild>
                    <w:div w:id="1106391512">
                      <w:marLeft w:val="0"/>
                      <w:marRight w:val="0"/>
                      <w:marTop w:val="0"/>
                      <w:marBottom w:val="0"/>
                      <w:divBdr>
                        <w:top w:val="none" w:sz="0" w:space="0" w:color="auto"/>
                        <w:left w:val="none" w:sz="0" w:space="0" w:color="auto"/>
                        <w:bottom w:val="none" w:sz="0" w:space="0" w:color="auto"/>
                        <w:right w:val="none" w:sz="0" w:space="0" w:color="auto"/>
                      </w:divBdr>
                    </w:div>
                  </w:divsChild>
                </w:div>
                <w:div w:id="2103993139">
                  <w:marLeft w:val="240"/>
                  <w:marRight w:val="0"/>
                  <w:marTop w:val="60"/>
                  <w:marBottom w:val="60"/>
                  <w:divBdr>
                    <w:top w:val="none" w:sz="0" w:space="0" w:color="auto"/>
                    <w:left w:val="none" w:sz="0" w:space="0" w:color="auto"/>
                    <w:bottom w:val="none" w:sz="0" w:space="0" w:color="auto"/>
                    <w:right w:val="none" w:sz="0" w:space="0" w:color="auto"/>
                  </w:divBdr>
                  <w:divsChild>
                    <w:div w:id="294455069">
                      <w:marLeft w:val="0"/>
                      <w:marRight w:val="0"/>
                      <w:marTop w:val="0"/>
                      <w:marBottom w:val="0"/>
                      <w:divBdr>
                        <w:top w:val="none" w:sz="0" w:space="0" w:color="auto"/>
                        <w:left w:val="none" w:sz="0" w:space="0" w:color="auto"/>
                        <w:bottom w:val="none" w:sz="0" w:space="0" w:color="auto"/>
                        <w:right w:val="none" w:sz="0" w:space="0" w:color="auto"/>
                      </w:divBdr>
                    </w:div>
                  </w:divsChild>
                </w:div>
                <w:div w:id="2093164596">
                  <w:marLeft w:val="240"/>
                  <w:marRight w:val="0"/>
                  <w:marTop w:val="60"/>
                  <w:marBottom w:val="60"/>
                  <w:divBdr>
                    <w:top w:val="none" w:sz="0" w:space="0" w:color="auto"/>
                    <w:left w:val="none" w:sz="0" w:space="0" w:color="auto"/>
                    <w:bottom w:val="none" w:sz="0" w:space="0" w:color="auto"/>
                    <w:right w:val="none" w:sz="0" w:space="0" w:color="auto"/>
                  </w:divBdr>
                  <w:divsChild>
                    <w:div w:id="795029707">
                      <w:marLeft w:val="0"/>
                      <w:marRight w:val="0"/>
                      <w:marTop w:val="0"/>
                      <w:marBottom w:val="0"/>
                      <w:divBdr>
                        <w:top w:val="none" w:sz="0" w:space="0" w:color="auto"/>
                        <w:left w:val="none" w:sz="0" w:space="0" w:color="auto"/>
                        <w:bottom w:val="none" w:sz="0" w:space="0" w:color="auto"/>
                        <w:right w:val="none" w:sz="0" w:space="0" w:color="auto"/>
                      </w:divBdr>
                    </w:div>
                  </w:divsChild>
                </w:div>
                <w:div w:id="1892769043">
                  <w:marLeft w:val="240"/>
                  <w:marRight w:val="0"/>
                  <w:marTop w:val="60"/>
                  <w:marBottom w:val="60"/>
                  <w:divBdr>
                    <w:top w:val="none" w:sz="0" w:space="0" w:color="auto"/>
                    <w:left w:val="none" w:sz="0" w:space="0" w:color="auto"/>
                    <w:bottom w:val="none" w:sz="0" w:space="0" w:color="auto"/>
                    <w:right w:val="none" w:sz="0" w:space="0" w:color="auto"/>
                  </w:divBdr>
                  <w:divsChild>
                    <w:div w:id="15321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62516">
          <w:marLeft w:val="0"/>
          <w:marRight w:val="0"/>
          <w:marTop w:val="0"/>
          <w:marBottom w:val="0"/>
          <w:divBdr>
            <w:top w:val="none" w:sz="0" w:space="0" w:color="auto"/>
            <w:left w:val="none" w:sz="0" w:space="0" w:color="auto"/>
            <w:bottom w:val="none" w:sz="0" w:space="0" w:color="auto"/>
            <w:right w:val="none" w:sz="0" w:space="0" w:color="auto"/>
          </w:divBdr>
          <w:divsChild>
            <w:div w:id="1710182803">
              <w:marLeft w:val="0"/>
              <w:marRight w:val="0"/>
              <w:marTop w:val="0"/>
              <w:marBottom w:val="0"/>
              <w:divBdr>
                <w:top w:val="none" w:sz="0" w:space="0" w:color="auto"/>
                <w:left w:val="none" w:sz="0" w:space="0" w:color="auto"/>
                <w:bottom w:val="none" w:sz="0" w:space="0" w:color="auto"/>
                <w:right w:val="none" w:sz="0" w:space="0" w:color="auto"/>
              </w:divBdr>
            </w:div>
          </w:divsChild>
        </w:div>
        <w:div w:id="1504322303">
          <w:marLeft w:val="0"/>
          <w:marRight w:val="0"/>
          <w:marTop w:val="0"/>
          <w:marBottom w:val="0"/>
          <w:divBdr>
            <w:top w:val="none" w:sz="0" w:space="0" w:color="auto"/>
            <w:left w:val="none" w:sz="0" w:space="0" w:color="auto"/>
            <w:bottom w:val="none" w:sz="0" w:space="0" w:color="auto"/>
            <w:right w:val="none" w:sz="0" w:space="0" w:color="auto"/>
          </w:divBdr>
        </w:div>
        <w:div w:id="1351101565">
          <w:marLeft w:val="0"/>
          <w:marRight w:val="0"/>
          <w:marTop w:val="0"/>
          <w:marBottom w:val="0"/>
          <w:divBdr>
            <w:top w:val="none" w:sz="0" w:space="0" w:color="auto"/>
            <w:left w:val="none" w:sz="0" w:space="0" w:color="auto"/>
            <w:bottom w:val="none" w:sz="0" w:space="0" w:color="auto"/>
            <w:right w:val="none" w:sz="0" w:space="0" w:color="auto"/>
          </w:divBdr>
          <w:divsChild>
            <w:div w:id="1147866505">
              <w:marLeft w:val="0"/>
              <w:marRight w:val="0"/>
              <w:marTop w:val="0"/>
              <w:marBottom w:val="0"/>
              <w:divBdr>
                <w:top w:val="none" w:sz="0" w:space="0" w:color="auto"/>
                <w:left w:val="none" w:sz="0" w:space="0" w:color="auto"/>
                <w:bottom w:val="none" w:sz="0" w:space="0" w:color="auto"/>
                <w:right w:val="none" w:sz="0" w:space="0" w:color="auto"/>
              </w:divBdr>
              <w:divsChild>
                <w:div w:id="1675759765">
                  <w:marLeft w:val="240"/>
                  <w:marRight w:val="0"/>
                  <w:marTop w:val="60"/>
                  <w:marBottom w:val="60"/>
                  <w:divBdr>
                    <w:top w:val="none" w:sz="0" w:space="0" w:color="auto"/>
                    <w:left w:val="none" w:sz="0" w:space="0" w:color="auto"/>
                    <w:bottom w:val="none" w:sz="0" w:space="0" w:color="auto"/>
                    <w:right w:val="none" w:sz="0" w:space="0" w:color="auto"/>
                  </w:divBdr>
                  <w:divsChild>
                    <w:div w:id="339892703">
                      <w:marLeft w:val="0"/>
                      <w:marRight w:val="0"/>
                      <w:marTop w:val="0"/>
                      <w:marBottom w:val="0"/>
                      <w:divBdr>
                        <w:top w:val="none" w:sz="0" w:space="0" w:color="auto"/>
                        <w:left w:val="none" w:sz="0" w:space="0" w:color="auto"/>
                        <w:bottom w:val="none" w:sz="0" w:space="0" w:color="auto"/>
                        <w:right w:val="none" w:sz="0" w:space="0" w:color="auto"/>
                      </w:divBdr>
                    </w:div>
                  </w:divsChild>
                </w:div>
                <w:div w:id="966617732">
                  <w:marLeft w:val="240"/>
                  <w:marRight w:val="0"/>
                  <w:marTop w:val="60"/>
                  <w:marBottom w:val="60"/>
                  <w:divBdr>
                    <w:top w:val="none" w:sz="0" w:space="0" w:color="auto"/>
                    <w:left w:val="none" w:sz="0" w:space="0" w:color="auto"/>
                    <w:bottom w:val="none" w:sz="0" w:space="0" w:color="auto"/>
                    <w:right w:val="none" w:sz="0" w:space="0" w:color="auto"/>
                  </w:divBdr>
                  <w:divsChild>
                    <w:div w:id="887107979">
                      <w:marLeft w:val="0"/>
                      <w:marRight w:val="0"/>
                      <w:marTop w:val="0"/>
                      <w:marBottom w:val="0"/>
                      <w:divBdr>
                        <w:top w:val="none" w:sz="0" w:space="0" w:color="auto"/>
                        <w:left w:val="none" w:sz="0" w:space="0" w:color="auto"/>
                        <w:bottom w:val="none" w:sz="0" w:space="0" w:color="auto"/>
                        <w:right w:val="none" w:sz="0" w:space="0" w:color="auto"/>
                      </w:divBdr>
                    </w:div>
                  </w:divsChild>
                </w:div>
                <w:div w:id="1541435285">
                  <w:marLeft w:val="240"/>
                  <w:marRight w:val="0"/>
                  <w:marTop w:val="60"/>
                  <w:marBottom w:val="60"/>
                  <w:divBdr>
                    <w:top w:val="none" w:sz="0" w:space="0" w:color="auto"/>
                    <w:left w:val="none" w:sz="0" w:space="0" w:color="auto"/>
                    <w:bottom w:val="none" w:sz="0" w:space="0" w:color="auto"/>
                    <w:right w:val="none" w:sz="0" w:space="0" w:color="auto"/>
                  </w:divBdr>
                  <w:divsChild>
                    <w:div w:id="19108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793812">
      <w:bodyDiv w:val="1"/>
      <w:marLeft w:val="0"/>
      <w:marRight w:val="0"/>
      <w:marTop w:val="0"/>
      <w:marBottom w:val="0"/>
      <w:divBdr>
        <w:top w:val="none" w:sz="0" w:space="0" w:color="auto"/>
        <w:left w:val="none" w:sz="0" w:space="0" w:color="auto"/>
        <w:bottom w:val="none" w:sz="0" w:space="0" w:color="auto"/>
        <w:right w:val="none" w:sz="0" w:space="0" w:color="auto"/>
      </w:divBdr>
      <w:divsChild>
        <w:div w:id="1915701912">
          <w:marLeft w:val="240"/>
          <w:marRight w:val="0"/>
          <w:marTop w:val="60"/>
          <w:marBottom w:val="60"/>
          <w:divBdr>
            <w:top w:val="none" w:sz="0" w:space="0" w:color="auto"/>
            <w:left w:val="none" w:sz="0" w:space="0" w:color="auto"/>
            <w:bottom w:val="none" w:sz="0" w:space="0" w:color="auto"/>
            <w:right w:val="none" w:sz="0" w:space="0" w:color="auto"/>
          </w:divBdr>
          <w:divsChild>
            <w:div w:id="1799109849">
              <w:marLeft w:val="240"/>
              <w:marRight w:val="0"/>
              <w:marTop w:val="60"/>
              <w:marBottom w:val="60"/>
              <w:divBdr>
                <w:top w:val="none" w:sz="0" w:space="0" w:color="auto"/>
                <w:left w:val="none" w:sz="0" w:space="0" w:color="auto"/>
                <w:bottom w:val="none" w:sz="0" w:space="0" w:color="auto"/>
                <w:right w:val="none" w:sz="0" w:space="0" w:color="auto"/>
              </w:divBdr>
              <w:divsChild>
                <w:div w:id="830876157">
                  <w:marLeft w:val="0"/>
                  <w:marRight w:val="0"/>
                  <w:marTop w:val="0"/>
                  <w:marBottom w:val="0"/>
                  <w:divBdr>
                    <w:top w:val="none" w:sz="0" w:space="0" w:color="auto"/>
                    <w:left w:val="none" w:sz="0" w:space="0" w:color="auto"/>
                    <w:bottom w:val="none" w:sz="0" w:space="0" w:color="auto"/>
                    <w:right w:val="none" w:sz="0" w:space="0" w:color="auto"/>
                  </w:divBdr>
                </w:div>
              </w:divsChild>
            </w:div>
            <w:div w:id="746001572">
              <w:marLeft w:val="240"/>
              <w:marRight w:val="0"/>
              <w:marTop w:val="60"/>
              <w:marBottom w:val="60"/>
              <w:divBdr>
                <w:top w:val="none" w:sz="0" w:space="0" w:color="auto"/>
                <w:left w:val="none" w:sz="0" w:space="0" w:color="auto"/>
                <w:bottom w:val="none" w:sz="0" w:space="0" w:color="auto"/>
                <w:right w:val="none" w:sz="0" w:space="0" w:color="auto"/>
              </w:divBdr>
              <w:divsChild>
                <w:div w:id="15422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7128">
          <w:marLeft w:val="240"/>
          <w:marRight w:val="0"/>
          <w:marTop w:val="60"/>
          <w:marBottom w:val="60"/>
          <w:divBdr>
            <w:top w:val="none" w:sz="0" w:space="0" w:color="auto"/>
            <w:left w:val="none" w:sz="0" w:space="0" w:color="auto"/>
            <w:bottom w:val="none" w:sz="0" w:space="0" w:color="auto"/>
            <w:right w:val="none" w:sz="0" w:space="0" w:color="auto"/>
          </w:divBdr>
          <w:divsChild>
            <w:div w:id="1996911469">
              <w:marLeft w:val="240"/>
              <w:marRight w:val="0"/>
              <w:marTop w:val="60"/>
              <w:marBottom w:val="60"/>
              <w:divBdr>
                <w:top w:val="none" w:sz="0" w:space="0" w:color="auto"/>
                <w:left w:val="none" w:sz="0" w:space="0" w:color="auto"/>
                <w:bottom w:val="none" w:sz="0" w:space="0" w:color="auto"/>
                <w:right w:val="none" w:sz="0" w:space="0" w:color="auto"/>
              </w:divBdr>
              <w:divsChild>
                <w:div w:id="981736083">
                  <w:marLeft w:val="0"/>
                  <w:marRight w:val="0"/>
                  <w:marTop w:val="0"/>
                  <w:marBottom w:val="0"/>
                  <w:divBdr>
                    <w:top w:val="none" w:sz="0" w:space="0" w:color="auto"/>
                    <w:left w:val="none" w:sz="0" w:space="0" w:color="auto"/>
                    <w:bottom w:val="none" w:sz="0" w:space="0" w:color="auto"/>
                    <w:right w:val="none" w:sz="0" w:space="0" w:color="auto"/>
                  </w:divBdr>
                </w:div>
              </w:divsChild>
            </w:div>
            <w:div w:id="1991984925">
              <w:marLeft w:val="240"/>
              <w:marRight w:val="0"/>
              <w:marTop w:val="60"/>
              <w:marBottom w:val="60"/>
              <w:divBdr>
                <w:top w:val="none" w:sz="0" w:space="0" w:color="auto"/>
                <w:left w:val="none" w:sz="0" w:space="0" w:color="auto"/>
                <w:bottom w:val="none" w:sz="0" w:space="0" w:color="auto"/>
                <w:right w:val="none" w:sz="0" w:space="0" w:color="auto"/>
              </w:divBdr>
              <w:divsChild>
                <w:div w:id="9517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3358">
          <w:marLeft w:val="240"/>
          <w:marRight w:val="0"/>
          <w:marTop w:val="60"/>
          <w:marBottom w:val="60"/>
          <w:divBdr>
            <w:top w:val="none" w:sz="0" w:space="0" w:color="auto"/>
            <w:left w:val="none" w:sz="0" w:space="0" w:color="auto"/>
            <w:bottom w:val="none" w:sz="0" w:space="0" w:color="auto"/>
            <w:right w:val="none" w:sz="0" w:space="0" w:color="auto"/>
          </w:divBdr>
          <w:divsChild>
            <w:div w:id="634724790">
              <w:marLeft w:val="240"/>
              <w:marRight w:val="0"/>
              <w:marTop w:val="60"/>
              <w:marBottom w:val="60"/>
              <w:divBdr>
                <w:top w:val="none" w:sz="0" w:space="0" w:color="auto"/>
                <w:left w:val="none" w:sz="0" w:space="0" w:color="auto"/>
                <w:bottom w:val="none" w:sz="0" w:space="0" w:color="auto"/>
                <w:right w:val="none" w:sz="0" w:space="0" w:color="auto"/>
              </w:divBdr>
              <w:divsChild>
                <w:div w:id="1015577196">
                  <w:marLeft w:val="0"/>
                  <w:marRight w:val="0"/>
                  <w:marTop w:val="0"/>
                  <w:marBottom w:val="0"/>
                  <w:divBdr>
                    <w:top w:val="none" w:sz="0" w:space="0" w:color="auto"/>
                    <w:left w:val="none" w:sz="0" w:space="0" w:color="auto"/>
                    <w:bottom w:val="none" w:sz="0" w:space="0" w:color="auto"/>
                    <w:right w:val="none" w:sz="0" w:space="0" w:color="auto"/>
                  </w:divBdr>
                </w:div>
              </w:divsChild>
            </w:div>
            <w:div w:id="81219652">
              <w:marLeft w:val="240"/>
              <w:marRight w:val="0"/>
              <w:marTop w:val="60"/>
              <w:marBottom w:val="60"/>
              <w:divBdr>
                <w:top w:val="none" w:sz="0" w:space="0" w:color="auto"/>
                <w:left w:val="none" w:sz="0" w:space="0" w:color="auto"/>
                <w:bottom w:val="none" w:sz="0" w:space="0" w:color="auto"/>
                <w:right w:val="none" w:sz="0" w:space="0" w:color="auto"/>
              </w:divBdr>
              <w:divsChild>
                <w:div w:id="13406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55">
          <w:marLeft w:val="240"/>
          <w:marRight w:val="0"/>
          <w:marTop w:val="60"/>
          <w:marBottom w:val="60"/>
          <w:divBdr>
            <w:top w:val="none" w:sz="0" w:space="0" w:color="auto"/>
            <w:left w:val="none" w:sz="0" w:space="0" w:color="auto"/>
            <w:bottom w:val="none" w:sz="0" w:space="0" w:color="auto"/>
            <w:right w:val="none" w:sz="0" w:space="0" w:color="auto"/>
          </w:divBdr>
          <w:divsChild>
            <w:div w:id="148178849">
              <w:marLeft w:val="0"/>
              <w:marRight w:val="0"/>
              <w:marTop w:val="0"/>
              <w:marBottom w:val="0"/>
              <w:divBdr>
                <w:top w:val="none" w:sz="0" w:space="0" w:color="auto"/>
                <w:left w:val="none" w:sz="0" w:space="0" w:color="auto"/>
                <w:bottom w:val="none" w:sz="0" w:space="0" w:color="auto"/>
                <w:right w:val="none" w:sz="0" w:space="0" w:color="auto"/>
              </w:divBdr>
            </w:div>
          </w:divsChild>
        </w:div>
        <w:div w:id="1027683709">
          <w:marLeft w:val="240"/>
          <w:marRight w:val="0"/>
          <w:marTop w:val="60"/>
          <w:marBottom w:val="60"/>
          <w:divBdr>
            <w:top w:val="none" w:sz="0" w:space="0" w:color="auto"/>
            <w:left w:val="none" w:sz="0" w:space="0" w:color="auto"/>
            <w:bottom w:val="none" w:sz="0" w:space="0" w:color="auto"/>
            <w:right w:val="none" w:sz="0" w:space="0" w:color="auto"/>
          </w:divBdr>
          <w:divsChild>
            <w:div w:id="67001385">
              <w:marLeft w:val="0"/>
              <w:marRight w:val="0"/>
              <w:marTop w:val="0"/>
              <w:marBottom w:val="0"/>
              <w:divBdr>
                <w:top w:val="none" w:sz="0" w:space="0" w:color="auto"/>
                <w:left w:val="none" w:sz="0" w:space="0" w:color="auto"/>
                <w:bottom w:val="none" w:sz="0" w:space="0" w:color="auto"/>
                <w:right w:val="none" w:sz="0" w:space="0" w:color="auto"/>
              </w:divBdr>
            </w:div>
          </w:divsChild>
        </w:div>
        <w:div w:id="1173761512">
          <w:marLeft w:val="240"/>
          <w:marRight w:val="0"/>
          <w:marTop w:val="60"/>
          <w:marBottom w:val="60"/>
          <w:divBdr>
            <w:top w:val="none" w:sz="0" w:space="0" w:color="auto"/>
            <w:left w:val="none" w:sz="0" w:space="0" w:color="auto"/>
            <w:bottom w:val="none" w:sz="0" w:space="0" w:color="auto"/>
            <w:right w:val="none" w:sz="0" w:space="0" w:color="auto"/>
          </w:divBdr>
          <w:divsChild>
            <w:div w:id="568031135">
              <w:marLeft w:val="0"/>
              <w:marRight w:val="0"/>
              <w:marTop w:val="0"/>
              <w:marBottom w:val="0"/>
              <w:divBdr>
                <w:top w:val="none" w:sz="0" w:space="0" w:color="auto"/>
                <w:left w:val="none" w:sz="0" w:space="0" w:color="auto"/>
                <w:bottom w:val="none" w:sz="0" w:space="0" w:color="auto"/>
                <w:right w:val="none" w:sz="0" w:space="0" w:color="auto"/>
              </w:divBdr>
            </w:div>
          </w:divsChild>
        </w:div>
        <w:div w:id="831797281">
          <w:marLeft w:val="0"/>
          <w:marRight w:val="0"/>
          <w:marTop w:val="0"/>
          <w:marBottom w:val="0"/>
          <w:divBdr>
            <w:top w:val="none" w:sz="0" w:space="0" w:color="auto"/>
            <w:left w:val="none" w:sz="0" w:space="0" w:color="auto"/>
            <w:bottom w:val="none" w:sz="0" w:space="0" w:color="auto"/>
            <w:right w:val="none" w:sz="0" w:space="0" w:color="auto"/>
          </w:divBdr>
        </w:div>
      </w:divsChild>
    </w:div>
    <w:div w:id="1347100692">
      <w:bodyDiv w:val="1"/>
      <w:marLeft w:val="0"/>
      <w:marRight w:val="0"/>
      <w:marTop w:val="0"/>
      <w:marBottom w:val="0"/>
      <w:divBdr>
        <w:top w:val="none" w:sz="0" w:space="0" w:color="auto"/>
        <w:left w:val="none" w:sz="0" w:space="0" w:color="auto"/>
        <w:bottom w:val="none" w:sz="0" w:space="0" w:color="auto"/>
        <w:right w:val="none" w:sz="0" w:space="0" w:color="auto"/>
      </w:divBdr>
    </w:div>
    <w:div w:id="1353265389">
      <w:bodyDiv w:val="1"/>
      <w:marLeft w:val="0"/>
      <w:marRight w:val="0"/>
      <w:marTop w:val="0"/>
      <w:marBottom w:val="0"/>
      <w:divBdr>
        <w:top w:val="none" w:sz="0" w:space="0" w:color="auto"/>
        <w:left w:val="none" w:sz="0" w:space="0" w:color="auto"/>
        <w:bottom w:val="none" w:sz="0" w:space="0" w:color="auto"/>
        <w:right w:val="none" w:sz="0" w:space="0" w:color="auto"/>
      </w:divBdr>
    </w:div>
    <w:div w:id="1366523858">
      <w:bodyDiv w:val="1"/>
      <w:marLeft w:val="0"/>
      <w:marRight w:val="0"/>
      <w:marTop w:val="0"/>
      <w:marBottom w:val="0"/>
      <w:divBdr>
        <w:top w:val="none" w:sz="0" w:space="0" w:color="auto"/>
        <w:left w:val="none" w:sz="0" w:space="0" w:color="auto"/>
        <w:bottom w:val="none" w:sz="0" w:space="0" w:color="auto"/>
        <w:right w:val="none" w:sz="0" w:space="0" w:color="auto"/>
      </w:divBdr>
    </w:div>
    <w:div w:id="1376195091">
      <w:bodyDiv w:val="1"/>
      <w:marLeft w:val="0"/>
      <w:marRight w:val="0"/>
      <w:marTop w:val="0"/>
      <w:marBottom w:val="0"/>
      <w:divBdr>
        <w:top w:val="none" w:sz="0" w:space="0" w:color="auto"/>
        <w:left w:val="none" w:sz="0" w:space="0" w:color="auto"/>
        <w:bottom w:val="none" w:sz="0" w:space="0" w:color="auto"/>
        <w:right w:val="none" w:sz="0" w:space="0" w:color="auto"/>
      </w:divBdr>
    </w:div>
    <w:div w:id="1394310208">
      <w:bodyDiv w:val="1"/>
      <w:marLeft w:val="0"/>
      <w:marRight w:val="0"/>
      <w:marTop w:val="0"/>
      <w:marBottom w:val="0"/>
      <w:divBdr>
        <w:top w:val="none" w:sz="0" w:space="0" w:color="auto"/>
        <w:left w:val="none" w:sz="0" w:space="0" w:color="auto"/>
        <w:bottom w:val="none" w:sz="0" w:space="0" w:color="auto"/>
        <w:right w:val="none" w:sz="0" w:space="0" w:color="auto"/>
      </w:divBdr>
    </w:div>
    <w:div w:id="1397781850">
      <w:bodyDiv w:val="1"/>
      <w:marLeft w:val="0"/>
      <w:marRight w:val="0"/>
      <w:marTop w:val="0"/>
      <w:marBottom w:val="0"/>
      <w:divBdr>
        <w:top w:val="none" w:sz="0" w:space="0" w:color="auto"/>
        <w:left w:val="none" w:sz="0" w:space="0" w:color="auto"/>
        <w:bottom w:val="none" w:sz="0" w:space="0" w:color="auto"/>
        <w:right w:val="none" w:sz="0" w:space="0" w:color="auto"/>
      </w:divBdr>
    </w:div>
    <w:div w:id="1398086572">
      <w:bodyDiv w:val="1"/>
      <w:marLeft w:val="0"/>
      <w:marRight w:val="0"/>
      <w:marTop w:val="0"/>
      <w:marBottom w:val="0"/>
      <w:divBdr>
        <w:top w:val="none" w:sz="0" w:space="0" w:color="auto"/>
        <w:left w:val="none" w:sz="0" w:space="0" w:color="auto"/>
        <w:bottom w:val="none" w:sz="0" w:space="0" w:color="auto"/>
        <w:right w:val="none" w:sz="0" w:space="0" w:color="auto"/>
      </w:divBdr>
    </w:div>
    <w:div w:id="1407070451">
      <w:bodyDiv w:val="1"/>
      <w:marLeft w:val="0"/>
      <w:marRight w:val="0"/>
      <w:marTop w:val="0"/>
      <w:marBottom w:val="0"/>
      <w:divBdr>
        <w:top w:val="none" w:sz="0" w:space="0" w:color="auto"/>
        <w:left w:val="none" w:sz="0" w:space="0" w:color="auto"/>
        <w:bottom w:val="none" w:sz="0" w:space="0" w:color="auto"/>
        <w:right w:val="none" w:sz="0" w:space="0" w:color="auto"/>
      </w:divBdr>
    </w:div>
    <w:div w:id="1408572314">
      <w:bodyDiv w:val="1"/>
      <w:marLeft w:val="0"/>
      <w:marRight w:val="0"/>
      <w:marTop w:val="0"/>
      <w:marBottom w:val="0"/>
      <w:divBdr>
        <w:top w:val="none" w:sz="0" w:space="0" w:color="auto"/>
        <w:left w:val="none" w:sz="0" w:space="0" w:color="auto"/>
        <w:bottom w:val="none" w:sz="0" w:space="0" w:color="auto"/>
        <w:right w:val="none" w:sz="0" w:space="0" w:color="auto"/>
      </w:divBdr>
    </w:div>
    <w:div w:id="1416975774">
      <w:bodyDiv w:val="1"/>
      <w:marLeft w:val="0"/>
      <w:marRight w:val="0"/>
      <w:marTop w:val="0"/>
      <w:marBottom w:val="0"/>
      <w:divBdr>
        <w:top w:val="none" w:sz="0" w:space="0" w:color="auto"/>
        <w:left w:val="none" w:sz="0" w:space="0" w:color="auto"/>
        <w:bottom w:val="none" w:sz="0" w:space="0" w:color="auto"/>
        <w:right w:val="none" w:sz="0" w:space="0" w:color="auto"/>
      </w:divBdr>
    </w:div>
    <w:div w:id="1418870157">
      <w:bodyDiv w:val="1"/>
      <w:marLeft w:val="0"/>
      <w:marRight w:val="0"/>
      <w:marTop w:val="0"/>
      <w:marBottom w:val="0"/>
      <w:divBdr>
        <w:top w:val="none" w:sz="0" w:space="0" w:color="auto"/>
        <w:left w:val="none" w:sz="0" w:space="0" w:color="auto"/>
        <w:bottom w:val="none" w:sz="0" w:space="0" w:color="auto"/>
        <w:right w:val="none" w:sz="0" w:space="0" w:color="auto"/>
      </w:divBdr>
    </w:div>
    <w:div w:id="1420368099">
      <w:bodyDiv w:val="1"/>
      <w:marLeft w:val="0"/>
      <w:marRight w:val="0"/>
      <w:marTop w:val="0"/>
      <w:marBottom w:val="0"/>
      <w:divBdr>
        <w:top w:val="none" w:sz="0" w:space="0" w:color="auto"/>
        <w:left w:val="none" w:sz="0" w:space="0" w:color="auto"/>
        <w:bottom w:val="none" w:sz="0" w:space="0" w:color="auto"/>
        <w:right w:val="none" w:sz="0" w:space="0" w:color="auto"/>
      </w:divBdr>
    </w:div>
    <w:div w:id="1420784571">
      <w:bodyDiv w:val="1"/>
      <w:marLeft w:val="0"/>
      <w:marRight w:val="0"/>
      <w:marTop w:val="0"/>
      <w:marBottom w:val="0"/>
      <w:divBdr>
        <w:top w:val="none" w:sz="0" w:space="0" w:color="auto"/>
        <w:left w:val="none" w:sz="0" w:space="0" w:color="auto"/>
        <w:bottom w:val="none" w:sz="0" w:space="0" w:color="auto"/>
        <w:right w:val="none" w:sz="0" w:space="0" w:color="auto"/>
      </w:divBdr>
    </w:div>
    <w:div w:id="1434738851">
      <w:bodyDiv w:val="1"/>
      <w:marLeft w:val="0"/>
      <w:marRight w:val="0"/>
      <w:marTop w:val="0"/>
      <w:marBottom w:val="0"/>
      <w:divBdr>
        <w:top w:val="none" w:sz="0" w:space="0" w:color="auto"/>
        <w:left w:val="none" w:sz="0" w:space="0" w:color="auto"/>
        <w:bottom w:val="none" w:sz="0" w:space="0" w:color="auto"/>
        <w:right w:val="none" w:sz="0" w:space="0" w:color="auto"/>
      </w:divBdr>
    </w:div>
    <w:div w:id="1461071858">
      <w:bodyDiv w:val="1"/>
      <w:marLeft w:val="0"/>
      <w:marRight w:val="0"/>
      <w:marTop w:val="0"/>
      <w:marBottom w:val="0"/>
      <w:divBdr>
        <w:top w:val="none" w:sz="0" w:space="0" w:color="auto"/>
        <w:left w:val="none" w:sz="0" w:space="0" w:color="auto"/>
        <w:bottom w:val="none" w:sz="0" w:space="0" w:color="auto"/>
        <w:right w:val="none" w:sz="0" w:space="0" w:color="auto"/>
      </w:divBdr>
    </w:div>
    <w:div w:id="1464343310">
      <w:bodyDiv w:val="1"/>
      <w:marLeft w:val="0"/>
      <w:marRight w:val="0"/>
      <w:marTop w:val="0"/>
      <w:marBottom w:val="0"/>
      <w:divBdr>
        <w:top w:val="none" w:sz="0" w:space="0" w:color="auto"/>
        <w:left w:val="none" w:sz="0" w:space="0" w:color="auto"/>
        <w:bottom w:val="none" w:sz="0" w:space="0" w:color="auto"/>
        <w:right w:val="none" w:sz="0" w:space="0" w:color="auto"/>
      </w:divBdr>
    </w:div>
    <w:div w:id="1468090454">
      <w:bodyDiv w:val="1"/>
      <w:marLeft w:val="0"/>
      <w:marRight w:val="0"/>
      <w:marTop w:val="0"/>
      <w:marBottom w:val="0"/>
      <w:divBdr>
        <w:top w:val="none" w:sz="0" w:space="0" w:color="auto"/>
        <w:left w:val="none" w:sz="0" w:space="0" w:color="auto"/>
        <w:bottom w:val="none" w:sz="0" w:space="0" w:color="auto"/>
        <w:right w:val="none" w:sz="0" w:space="0" w:color="auto"/>
      </w:divBdr>
    </w:div>
    <w:div w:id="1470198020">
      <w:bodyDiv w:val="1"/>
      <w:marLeft w:val="0"/>
      <w:marRight w:val="0"/>
      <w:marTop w:val="0"/>
      <w:marBottom w:val="0"/>
      <w:divBdr>
        <w:top w:val="none" w:sz="0" w:space="0" w:color="auto"/>
        <w:left w:val="none" w:sz="0" w:space="0" w:color="auto"/>
        <w:bottom w:val="none" w:sz="0" w:space="0" w:color="auto"/>
        <w:right w:val="none" w:sz="0" w:space="0" w:color="auto"/>
      </w:divBdr>
    </w:div>
    <w:div w:id="1489711078">
      <w:bodyDiv w:val="1"/>
      <w:marLeft w:val="0"/>
      <w:marRight w:val="0"/>
      <w:marTop w:val="0"/>
      <w:marBottom w:val="0"/>
      <w:divBdr>
        <w:top w:val="none" w:sz="0" w:space="0" w:color="auto"/>
        <w:left w:val="none" w:sz="0" w:space="0" w:color="auto"/>
        <w:bottom w:val="none" w:sz="0" w:space="0" w:color="auto"/>
        <w:right w:val="none" w:sz="0" w:space="0" w:color="auto"/>
      </w:divBdr>
    </w:div>
    <w:div w:id="1494562360">
      <w:bodyDiv w:val="1"/>
      <w:marLeft w:val="0"/>
      <w:marRight w:val="0"/>
      <w:marTop w:val="0"/>
      <w:marBottom w:val="0"/>
      <w:divBdr>
        <w:top w:val="none" w:sz="0" w:space="0" w:color="auto"/>
        <w:left w:val="none" w:sz="0" w:space="0" w:color="auto"/>
        <w:bottom w:val="none" w:sz="0" w:space="0" w:color="auto"/>
        <w:right w:val="none" w:sz="0" w:space="0" w:color="auto"/>
      </w:divBdr>
    </w:div>
    <w:div w:id="1495025810">
      <w:bodyDiv w:val="1"/>
      <w:marLeft w:val="0"/>
      <w:marRight w:val="0"/>
      <w:marTop w:val="0"/>
      <w:marBottom w:val="0"/>
      <w:divBdr>
        <w:top w:val="none" w:sz="0" w:space="0" w:color="auto"/>
        <w:left w:val="none" w:sz="0" w:space="0" w:color="auto"/>
        <w:bottom w:val="none" w:sz="0" w:space="0" w:color="auto"/>
        <w:right w:val="none" w:sz="0" w:space="0" w:color="auto"/>
      </w:divBdr>
    </w:div>
    <w:div w:id="1495678699">
      <w:bodyDiv w:val="1"/>
      <w:marLeft w:val="0"/>
      <w:marRight w:val="0"/>
      <w:marTop w:val="0"/>
      <w:marBottom w:val="0"/>
      <w:divBdr>
        <w:top w:val="none" w:sz="0" w:space="0" w:color="auto"/>
        <w:left w:val="none" w:sz="0" w:space="0" w:color="auto"/>
        <w:bottom w:val="none" w:sz="0" w:space="0" w:color="auto"/>
        <w:right w:val="none" w:sz="0" w:space="0" w:color="auto"/>
      </w:divBdr>
    </w:div>
    <w:div w:id="1509447575">
      <w:bodyDiv w:val="1"/>
      <w:marLeft w:val="0"/>
      <w:marRight w:val="0"/>
      <w:marTop w:val="0"/>
      <w:marBottom w:val="0"/>
      <w:divBdr>
        <w:top w:val="none" w:sz="0" w:space="0" w:color="auto"/>
        <w:left w:val="none" w:sz="0" w:space="0" w:color="auto"/>
        <w:bottom w:val="none" w:sz="0" w:space="0" w:color="auto"/>
        <w:right w:val="none" w:sz="0" w:space="0" w:color="auto"/>
      </w:divBdr>
    </w:div>
    <w:div w:id="1509908922">
      <w:bodyDiv w:val="1"/>
      <w:marLeft w:val="0"/>
      <w:marRight w:val="0"/>
      <w:marTop w:val="0"/>
      <w:marBottom w:val="0"/>
      <w:divBdr>
        <w:top w:val="none" w:sz="0" w:space="0" w:color="auto"/>
        <w:left w:val="none" w:sz="0" w:space="0" w:color="auto"/>
        <w:bottom w:val="none" w:sz="0" w:space="0" w:color="auto"/>
        <w:right w:val="none" w:sz="0" w:space="0" w:color="auto"/>
      </w:divBdr>
      <w:divsChild>
        <w:div w:id="260799661">
          <w:marLeft w:val="240"/>
          <w:marRight w:val="0"/>
          <w:marTop w:val="60"/>
          <w:marBottom w:val="60"/>
          <w:divBdr>
            <w:top w:val="none" w:sz="0" w:space="0" w:color="auto"/>
            <w:left w:val="none" w:sz="0" w:space="0" w:color="auto"/>
            <w:bottom w:val="none" w:sz="0" w:space="0" w:color="auto"/>
            <w:right w:val="none" w:sz="0" w:space="0" w:color="auto"/>
          </w:divBdr>
          <w:divsChild>
            <w:div w:id="635448303">
              <w:marLeft w:val="0"/>
              <w:marRight w:val="0"/>
              <w:marTop w:val="0"/>
              <w:marBottom w:val="0"/>
              <w:divBdr>
                <w:top w:val="none" w:sz="0" w:space="0" w:color="auto"/>
                <w:left w:val="none" w:sz="0" w:space="0" w:color="auto"/>
                <w:bottom w:val="none" w:sz="0" w:space="0" w:color="auto"/>
                <w:right w:val="none" w:sz="0" w:space="0" w:color="auto"/>
              </w:divBdr>
            </w:div>
          </w:divsChild>
        </w:div>
        <w:div w:id="419328211">
          <w:marLeft w:val="240"/>
          <w:marRight w:val="0"/>
          <w:marTop w:val="60"/>
          <w:marBottom w:val="60"/>
          <w:divBdr>
            <w:top w:val="none" w:sz="0" w:space="0" w:color="auto"/>
            <w:left w:val="none" w:sz="0" w:space="0" w:color="auto"/>
            <w:bottom w:val="none" w:sz="0" w:space="0" w:color="auto"/>
            <w:right w:val="none" w:sz="0" w:space="0" w:color="auto"/>
          </w:divBdr>
          <w:divsChild>
            <w:div w:id="734665587">
              <w:marLeft w:val="0"/>
              <w:marRight w:val="0"/>
              <w:marTop w:val="0"/>
              <w:marBottom w:val="0"/>
              <w:divBdr>
                <w:top w:val="none" w:sz="0" w:space="0" w:color="auto"/>
                <w:left w:val="none" w:sz="0" w:space="0" w:color="auto"/>
                <w:bottom w:val="none" w:sz="0" w:space="0" w:color="auto"/>
                <w:right w:val="none" w:sz="0" w:space="0" w:color="auto"/>
              </w:divBdr>
            </w:div>
          </w:divsChild>
        </w:div>
        <w:div w:id="419759685">
          <w:marLeft w:val="240"/>
          <w:marRight w:val="0"/>
          <w:marTop w:val="60"/>
          <w:marBottom w:val="60"/>
          <w:divBdr>
            <w:top w:val="none" w:sz="0" w:space="0" w:color="auto"/>
            <w:left w:val="none" w:sz="0" w:space="0" w:color="auto"/>
            <w:bottom w:val="none" w:sz="0" w:space="0" w:color="auto"/>
            <w:right w:val="none" w:sz="0" w:space="0" w:color="auto"/>
          </w:divBdr>
          <w:divsChild>
            <w:div w:id="1934901520">
              <w:marLeft w:val="0"/>
              <w:marRight w:val="0"/>
              <w:marTop w:val="0"/>
              <w:marBottom w:val="0"/>
              <w:divBdr>
                <w:top w:val="none" w:sz="0" w:space="0" w:color="auto"/>
                <w:left w:val="none" w:sz="0" w:space="0" w:color="auto"/>
                <w:bottom w:val="none" w:sz="0" w:space="0" w:color="auto"/>
                <w:right w:val="none" w:sz="0" w:space="0" w:color="auto"/>
              </w:divBdr>
            </w:div>
          </w:divsChild>
        </w:div>
        <w:div w:id="1968312079">
          <w:marLeft w:val="240"/>
          <w:marRight w:val="0"/>
          <w:marTop w:val="60"/>
          <w:marBottom w:val="60"/>
          <w:divBdr>
            <w:top w:val="none" w:sz="0" w:space="0" w:color="auto"/>
            <w:left w:val="none" w:sz="0" w:space="0" w:color="auto"/>
            <w:bottom w:val="none" w:sz="0" w:space="0" w:color="auto"/>
            <w:right w:val="none" w:sz="0" w:space="0" w:color="auto"/>
          </w:divBdr>
          <w:divsChild>
            <w:div w:id="435296187">
              <w:marLeft w:val="0"/>
              <w:marRight w:val="0"/>
              <w:marTop w:val="0"/>
              <w:marBottom w:val="0"/>
              <w:divBdr>
                <w:top w:val="none" w:sz="0" w:space="0" w:color="auto"/>
                <w:left w:val="none" w:sz="0" w:space="0" w:color="auto"/>
                <w:bottom w:val="none" w:sz="0" w:space="0" w:color="auto"/>
                <w:right w:val="none" w:sz="0" w:space="0" w:color="auto"/>
              </w:divBdr>
            </w:div>
          </w:divsChild>
        </w:div>
        <w:div w:id="1175613477">
          <w:marLeft w:val="0"/>
          <w:marRight w:val="0"/>
          <w:marTop w:val="0"/>
          <w:marBottom w:val="0"/>
          <w:divBdr>
            <w:top w:val="none" w:sz="0" w:space="0" w:color="auto"/>
            <w:left w:val="none" w:sz="0" w:space="0" w:color="auto"/>
            <w:bottom w:val="none" w:sz="0" w:space="0" w:color="auto"/>
            <w:right w:val="none" w:sz="0" w:space="0" w:color="auto"/>
          </w:divBdr>
        </w:div>
      </w:divsChild>
    </w:div>
    <w:div w:id="1522863832">
      <w:bodyDiv w:val="1"/>
      <w:marLeft w:val="0"/>
      <w:marRight w:val="0"/>
      <w:marTop w:val="0"/>
      <w:marBottom w:val="0"/>
      <w:divBdr>
        <w:top w:val="none" w:sz="0" w:space="0" w:color="auto"/>
        <w:left w:val="none" w:sz="0" w:space="0" w:color="auto"/>
        <w:bottom w:val="none" w:sz="0" w:space="0" w:color="auto"/>
        <w:right w:val="none" w:sz="0" w:space="0" w:color="auto"/>
      </w:divBdr>
    </w:div>
    <w:div w:id="1531069346">
      <w:bodyDiv w:val="1"/>
      <w:marLeft w:val="0"/>
      <w:marRight w:val="0"/>
      <w:marTop w:val="0"/>
      <w:marBottom w:val="0"/>
      <w:divBdr>
        <w:top w:val="none" w:sz="0" w:space="0" w:color="auto"/>
        <w:left w:val="none" w:sz="0" w:space="0" w:color="auto"/>
        <w:bottom w:val="none" w:sz="0" w:space="0" w:color="auto"/>
        <w:right w:val="none" w:sz="0" w:space="0" w:color="auto"/>
      </w:divBdr>
    </w:div>
    <w:div w:id="1534925231">
      <w:bodyDiv w:val="1"/>
      <w:marLeft w:val="0"/>
      <w:marRight w:val="0"/>
      <w:marTop w:val="0"/>
      <w:marBottom w:val="0"/>
      <w:divBdr>
        <w:top w:val="none" w:sz="0" w:space="0" w:color="auto"/>
        <w:left w:val="none" w:sz="0" w:space="0" w:color="auto"/>
        <w:bottom w:val="none" w:sz="0" w:space="0" w:color="auto"/>
        <w:right w:val="none" w:sz="0" w:space="0" w:color="auto"/>
      </w:divBdr>
    </w:div>
    <w:div w:id="1542745119">
      <w:bodyDiv w:val="1"/>
      <w:marLeft w:val="0"/>
      <w:marRight w:val="0"/>
      <w:marTop w:val="0"/>
      <w:marBottom w:val="0"/>
      <w:divBdr>
        <w:top w:val="none" w:sz="0" w:space="0" w:color="auto"/>
        <w:left w:val="none" w:sz="0" w:space="0" w:color="auto"/>
        <w:bottom w:val="none" w:sz="0" w:space="0" w:color="auto"/>
        <w:right w:val="none" w:sz="0" w:space="0" w:color="auto"/>
      </w:divBdr>
    </w:div>
    <w:div w:id="1569611590">
      <w:bodyDiv w:val="1"/>
      <w:marLeft w:val="0"/>
      <w:marRight w:val="0"/>
      <w:marTop w:val="0"/>
      <w:marBottom w:val="0"/>
      <w:divBdr>
        <w:top w:val="none" w:sz="0" w:space="0" w:color="auto"/>
        <w:left w:val="none" w:sz="0" w:space="0" w:color="auto"/>
        <w:bottom w:val="none" w:sz="0" w:space="0" w:color="auto"/>
        <w:right w:val="none" w:sz="0" w:space="0" w:color="auto"/>
      </w:divBdr>
    </w:div>
    <w:div w:id="1581862612">
      <w:bodyDiv w:val="1"/>
      <w:marLeft w:val="0"/>
      <w:marRight w:val="0"/>
      <w:marTop w:val="0"/>
      <w:marBottom w:val="0"/>
      <w:divBdr>
        <w:top w:val="none" w:sz="0" w:space="0" w:color="auto"/>
        <w:left w:val="none" w:sz="0" w:space="0" w:color="auto"/>
        <w:bottom w:val="none" w:sz="0" w:space="0" w:color="auto"/>
        <w:right w:val="none" w:sz="0" w:space="0" w:color="auto"/>
      </w:divBdr>
    </w:div>
    <w:div w:id="1587034279">
      <w:bodyDiv w:val="1"/>
      <w:marLeft w:val="0"/>
      <w:marRight w:val="0"/>
      <w:marTop w:val="0"/>
      <w:marBottom w:val="0"/>
      <w:divBdr>
        <w:top w:val="none" w:sz="0" w:space="0" w:color="auto"/>
        <w:left w:val="none" w:sz="0" w:space="0" w:color="auto"/>
        <w:bottom w:val="none" w:sz="0" w:space="0" w:color="auto"/>
        <w:right w:val="none" w:sz="0" w:space="0" w:color="auto"/>
      </w:divBdr>
    </w:div>
    <w:div w:id="1589391206">
      <w:bodyDiv w:val="1"/>
      <w:marLeft w:val="0"/>
      <w:marRight w:val="0"/>
      <w:marTop w:val="0"/>
      <w:marBottom w:val="0"/>
      <w:divBdr>
        <w:top w:val="none" w:sz="0" w:space="0" w:color="auto"/>
        <w:left w:val="none" w:sz="0" w:space="0" w:color="auto"/>
        <w:bottom w:val="none" w:sz="0" w:space="0" w:color="auto"/>
        <w:right w:val="none" w:sz="0" w:space="0" w:color="auto"/>
      </w:divBdr>
    </w:div>
    <w:div w:id="1606300832">
      <w:bodyDiv w:val="1"/>
      <w:marLeft w:val="0"/>
      <w:marRight w:val="0"/>
      <w:marTop w:val="0"/>
      <w:marBottom w:val="0"/>
      <w:divBdr>
        <w:top w:val="none" w:sz="0" w:space="0" w:color="auto"/>
        <w:left w:val="none" w:sz="0" w:space="0" w:color="auto"/>
        <w:bottom w:val="none" w:sz="0" w:space="0" w:color="auto"/>
        <w:right w:val="none" w:sz="0" w:space="0" w:color="auto"/>
      </w:divBdr>
    </w:div>
    <w:div w:id="1608077996">
      <w:bodyDiv w:val="1"/>
      <w:marLeft w:val="0"/>
      <w:marRight w:val="0"/>
      <w:marTop w:val="0"/>
      <w:marBottom w:val="0"/>
      <w:divBdr>
        <w:top w:val="none" w:sz="0" w:space="0" w:color="auto"/>
        <w:left w:val="none" w:sz="0" w:space="0" w:color="auto"/>
        <w:bottom w:val="none" w:sz="0" w:space="0" w:color="auto"/>
        <w:right w:val="none" w:sz="0" w:space="0" w:color="auto"/>
      </w:divBdr>
    </w:div>
    <w:div w:id="1626156661">
      <w:bodyDiv w:val="1"/>
      <w:marLeft w:val="0"/>
      <w:marRight w:val="0"/>
      <w:marTop w:val="0"/>
      <w:marBottom w:val="0"/>
      <w:divBdr>
        <w:top w:val="none" w:sz="0" w:space="0" w:color="auto"/>
        <w:left w:val="none" w:sz="0" w:space="0" w:color="auto"/>
        <w:bottom w:val="none" w:sz="0" w:space="0" w:color="auto"/>
        <w:right w:val="none" w:sz="0" w:space="0" w:color="auto"/>
      </w:divBdr>
    </w:div>
    <w:div w:id="1632250253">
      <w:bodyDiv w:val="1"/>
      <w:marLeft w:val="0"/>
      <w:marRight w:val="0"/>
      <w:marTop w:val="0"/>
      <w:marBottom w:val="0"/>
      <w:divBdr>
        <w:top w:val="none" w:sz="0" w:space="0" w:color="auto"/>
        <w:left w:val="none" w:sz="0" w:space="0" w:color="auto"/>
        <w:bottom w:val="none" w:sz="0" w:space="0" w:color="auto"/>
        <w:right w:val="none" w:sz="0" w:space="0" w:color="auto"/>
      </w:divBdr>
    </w:div>
    <w:div w:id="1638800866">
      <w:bodyDiv w:val="1"/>
      <w:marLeft w:val="0"/>
      <w:marRight w:val="0"/>
      <w:marTop w:val="0"/>
      <w:marBottom w:val="0"/>
      <w:divBdr>
        <w:top w:val="none" w:sz="0" w:space="0" w:color="auto"/>
        <w:left w:val="none" w:sz="0" w:space="0" w:color="auto"/>
        <w:bottom w:val="none" w:sz="0" w:space="0" w:color="auto"/>
        <w:right w:val="none" w:sz="0" w:space="0" w:color="auto"/>
      </w:divBdr>
    </w:div>
    <w:div w:id="1658027025">
      <w:bodyDiv w:val="1"/>
      <w:marLeft w:val="0"/>
      <w:marRight w:val="0"/>
      <w:marTop w:val="0"/>
      <w:marBottom w:val="0"/>
      <w:divBdr>
        <w:top w:val="none" w:sz="0" w:space="0" w:color="auto"/>
        <w:left w:val="none" w:sz="0" w:space="0" w:color="auto"/>
        <w:bottom w:val="none" w:sz="0" w:space="0" w:color="auto"/>
        <w:right w:val="none" w:sz="0" w:space="0" w:color="auto"/>
      </w:divBdr>
      <w:divsChild>
        <w:div w:id="599721107">
          <w:marLeft w:val="240"/>
          <w:marRight w:val="0"/>
          <w:marTop w:val="60"/>
          <w:marBottom w:val="60"/>
          <w:divBdr>
            <w:top w:val="none" w:sz="0" w:space="0" w:color="auto"/>
            <w:left w:val="none" w:sz="0" w:space="0" w:color="auto"/>
            <w:bottom w:val="none" w:sz="0" w:space="0" w:color="auto"/>
            <w:right w:val="none" w:sz="0" w:space="0" w:color="auto"/>
          </w:divBdr>
          <w:divsChild>
            <w:div w:id="1869365649">
              <w:marLeft w:val="240"/>
              <w:marRight w:val="0"/>
              <w:marTop w:val="60"/>
              <w:marBottom w:val="60"/>
              <w:divBdr>
                <w:top w:val="none" w:sz="0" w:space="0" w:color="auto"/>
                <w:left w:val="none" w:sz="0" w:space="0" w:color="auto"/>
                <w:bottom w:val="none" w:sz="0" w:space="0" w:color="auto"/>
                <w:right w:val="none" w:sz="0" w:space="0" w:color="auto"/>
              </w:divBdr>
              <w:divsChild>
                <w:div w:id="1526792255">
                  <w:marLeft w:val="240"/>
                  <w:marRight w:val="0"/>
                  <w:marTop w:val="60"/>
                  <w:marBottom w:val="60"/>
                  <w:divBdr>
                    <w:top w:val="none" w:sz="0" w:space="0" w:color="auto"/>
                    <w:left w:val="none" w:sz="0" w:space="0" w:color="auto"/>
                    <w:bottom w:val="none" w:sz="0" w:space="0" w:color="auto"/>
                    <w:right w:val="none" w:sz="0" w:space="0" w:color="auto"/>
                  </w:divBdr>
                  <w:divsChild>
                    <w:div w:id="1150488236">
                      <w:marLeft w:val="0"/>
                      <w:marRight w:val="0"/>
                      <w:marTop w:val="0"/>
                      <w:marBottom w:val="0"/>
                      <w:divBdr>
                        <w:top w:val="none" w:sz="0" w:space="0" w:color="auto"/>
                        <w:left w:val="none" w:sz="0" w:space="0" w:color="auto"/>
                        <w:bottom w:val="none" w:sz="0" w:space="0" w:color="auto"/>
                        <w:right w:val="none" w:sz="0" w:space="0" w:color="auto"/>
                      </w:divBdr>
                    </w:div>
                  </w:divsChild>
                </w:div>
                <w:div w:id="73431296">
                  <w:marLeft w:val="240"/>
                  <w:marRight w:val="0"/>
                  <w:marTop w:val="60"/>
                  <w:marBottom w:val="60"/>
                  <w:divBdr>
                    <w:top w:val="none" w:sz="0" w:space="0" w:color="auto"/>
                    <w:left w:val="none" w:sz="0" w:space="0" w:color="auto"/>
                    <w:bottom w:val="none" w:sz="0" w:space="0" w:color="auto"/>
                    <w:right w:val="none" w:sz="0" w:space="0" w:color="auto"/>
                  </w:divBdr>
                  <w:divsChild>
                    <w:div w:id="1788305768">
                      <w:marLeft w:val="0"/>
                      <w:marRight w:val="0"/>
                      <w:marTop w:val="0"/>
                      <w:marBottom w:val="0"/>
                      <w:divBdr>
                        <w:top w:val="none" w:sz="0" w:space="0" w:color="auto"/>
                        <w:left w:val="none" w:sz="0" w:space="0" w:color="auto"/>
                        <w:bottom w:val="none" w:sz="0" w:space="0" w:color="auto"/>
                        <w:right w:val="none" w:sz="0" w:space="0" w:color="auto"/>
                      </w:divBdr>
                    </w:div>
                  </w:divsChild>
                </w:div>
                <w:div w:id="317927210">
                  <w:marLeft w:val="522"/>
                  <w:marRight w:val="0"/>
                  <w:marTop w:val="0"/>
                  <w:marBottom w:val="0"/>
                  <w:divBdr>
                    <w:top w:val="none" w:sz="0" w:space="0" w:color="auto"/>
                    <w:left w:val="none" w:sz="0" w:space="0" w:color="auto"/>
                    <w:bottom w:val="none" w:sz="0" w:space="0" w:color="auto"/>
                    <w:right w:val="none" w:sz="0" w:space="0" w:color="auto"/>
                  </w:divBdr>
                </w:div>
              </w:divsChild>
            </w:div>
            <w:div w:id="1469782824">
              <w:marLeft w:val="240"/>
              <w:marRight w:val="0"/>
              <w:marTop w:val="60"/>
              <w:marBottom w:val="60"/>
              <w:divBdr>
                <w:top w:val="none" w:sz="0" w:space="0" w:color="auto"/>
                <w:left w:val="none" w:sz="0" w:space="0" w:color="auto"/>
                <w:bottom w:val="none" w:sz="0" w:space="0" w:color="auto"/>
                <w:right w:val="none" w:sz="0" w:space="0" w:color="auto"/>
              </w:divBdr>
              <w:divsChild>
                <w:div w:id="1336684827">
                  <w:marLeft w:val="240"/>
                  <w:marRight w:val="0"/>
                  <w:marTop w:val="60"/>
                  <w:marBottom w:val="60"/>
                  <w:divBdr>
                    <w:top w:val="none" w:sz="0" w:space="0" w:color="auto"/>
                    <w:left w:val="none" w:sz="0" w:space="0" w:color="auto"/>
                    <w:bottom w:val="none" w:sz="0" w:space="0" w:color="auto"/>
                    <w:right w:val="none" w:sz="0" w:space="0" w:color="auto"/>
                  </w:divBdr>
                  <w:divsChild>
                    <w:div w:id="1828012289">
                      <w:marLeft w:val="0"/>
                      <w:marRight w:val="0"/>
                      <w:marTop w:val="0"/>
                      <w:marBottom w:val="0"/>
                      <w:divBdr>
                        <w:top w:val="none" w:sz="0" w:space="0" w:color="auto"/>
                        <w:left w:val="none" w:sz="0" w:space="0" w:color="auto"/>
                        <w:bottom w:val="none" w:sz="0" w:space="0" w:color="auto"/>
                        <w:right w:val="none" w:sz="0" w:space="0" w:color="auto"/>
                      </w:divBdr>
                    </w:div>
                  </w:divsChild>
                </w:div>
                <w:div w:id="273682378">
                  <w:marLeft w:val="240"/>
                  <w:marRight w:val="0"/>
                  <w:marTop w:val="60"/>
                  <w:marBottom w:val="60"/>
                  <w:divBdr>
                    <w:top w:val="none" w:sz="0" w:space="0" w:color="auto"/>
                    <w:left w:val="none" w:sz="0" w:space="0" w:color="auto"/>
                    <w:bottom w:val="none" w:sz="0" w:space="0" w:color="auto"/>
                    <w:right w:val="none" w:sz="0" w:space="0" w:color="auto"/>
                  </w:divBdr>
                  <w:divsChild>
                    <w:div w:id="177243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08629">
              <w:marLeft w:val="240"/>
              <w:marRight w:val="0"/>
              <w:marTop w:val="60"/>
              <w:marBottom w:val="60"/>
              <w:divBdr>
                <w:top w:val="none" w:sz="0" w:space="0" w:color="auto"/>
                <w:left w:val="none" w:sz="0" w:space="0" w:color="auto"/>
                <w:bottom w:val="none" w:sz="0" w:space="0" w:color="auto"/>
                <w:right w:val="none" w:sz="0" w:space="0" w:color="auto"/>
              </w:divBdr>
              <w:divsChild>
                <w:div w:id="682242958">
                  <w:marLeft w:val="240"/>
                  <w:marRight w:val="0"/>
                  <w:marTop w:val="60"/>
                  <w:marBottom w:val="60"/>
                  <w:divBdr>
                    <w:top w:val="none" w:sz="0" w:space="0" w:color="auto"/>
                    <w:left w:val="none" w:sz="0" w:space="0" w:color="auto"/>
                    <w:bottom w:val="none" w:sz="0" w:space="0" w:color="auto"/>
                    <w:right w:val="none" w:sz="0" w:space="0" w:color="auto"/>
                  </w:divBdr>
                  <w:divsChild>
                    <w:div w:id="1802452267">
                      <w:marLeft w:val="0"/>
                      <w:marRight w:val="0"/>
                      <w:marTop w:val="0"/>
                      <w:marBottom w:val="0"/>
                      <w:divBdr>
                        <w:top w:val="none" w:sz="0" w:space="0" w:color="auto"/>
                        <w:left w:val="none" w:sz="0" w:space="0" w:color="auto"/>
                        <w:bottom w:val="none" w:sz="0" w:space="0" w:color="auto"/>
                        <w:right w:val="none" w:sz="0" w:space="0" w:color="auto"/>
                      </w:divBdr>
                    </w:div>
                  </w:divsChild>
                </w:div>
                <w:div w:id="1898590054">
                  <w:marLeft w:val="240"/>
                  <w:marRight w:val="0"/>
                  <w:marTop w:val="60"/>
                  <w:marBottom w:val="60"/>
                  <w:divBdr>
                    <w:top w:val="none" w:sz="0" w:space="0" w:color="auto"/>
                    <w:left w:val="none" w:sz="0" w:space="0" w:color="auto"/>
                    <w:bottom w:val="none" w:sz="0" w:space="0" w:color="auto"/>
                    <w:right w:val="none" w:sz="0" w:space="0" w:color="auto"/>
                  </w:divBdr>
                  <w:divsChild>
                    <w:div w:id="1871261549">
                      <w:marLeft w:val="0"/>
                      <w:marRight w:val="0"/>
                      <w:marTop w:val="0"/>
                      <w:marBottom w:val="0"/>
                      <w:divBdr>
                        <w:top w:val="none" w:sz="0" w:space="0" w:color="auto"/>
                        <w:left w:val="none" w:sz="0" w:space="0" w:color="auto"/>
                        <w:bottom w:val="none" w:sz="0" w:space="0" w:color="auto"/>
                        <w:right w:val="none" w:sz="0" w:space="0" w:color="auto"/>
                      </w:divBdr>
                    </w:div>
                  </w:divsChild>
                </w:div>
                <w:div w:id="1881892226">
                  <w:marLeft w:val="522"/>
                  <w:marRight w:val="0"/>
                  <w:marTop w:val="0"/>
                  <w:marBottom w:val="0"/>
                  <w:divBdr>
                    <w:top w:val="none" w:sz="0" w:space="0" w:color="auto"/>
                    <w:left w:val="none" w:sz="0" w:space="0" w:color="auto"/>
                    <w:bottom w:val="none" w:sz="0" w:space="0" w:color="auto"/>
                    <w:right w:val="none" w:sz="0" w:space="0" w:color="auto"/>
                  </w:divBdr>
                </w:div>
              </w:divsChild>
            </w:div>
          </w:divsChild>
        </w:div>
        <w:div w:id="1716853481">
          <w:marLeft w:val="240"/>
          <w:marRight w:val="0"/>
          <w:marTop w:val="60"/>
          <w:marBottom w:val="60"/>
          <w:divBdr>
            <w:top w:val="none" w:sz="0" w:space="0" w:color="auto"/>
            <w:left w:val="none" w:sz="0" w:space="0" w:color="auto"/>
            <w:bottom w:val="none" w:sz="0" w:space="0" w:color="auto"/>
            <w:right w:val="none" w:sz="0" w:space="0" w:color="auto"/>
          </w:divBdr>
          <w:divsChild>
            <w:div w:id="448014595">
              <w:marLeft w:val="240"/>
              <w:marRight w:val="0"/>
              <w:marTop w:val="60"/>
              <w:marBottom w:val="60"/>
              <w:divBdr>
                <w:top w:val="none" w:sz="0" w:space="0" w:color="auto"/>
                <w:left w:val="none" w:sz="0" w:space="0" w:color="auto"/>
                <w:bottom w:val="none" w:sz="0" w:space="0" w:color="auto"/>
                <w:right w:val="none" w:sz="0" w:space="0" w:color="auto"/>
              </w:divBdr>
              <w:divsChild>
                <w:div w:id="266549543">
                  <w:marLeft w:val="0"/>
                  <w:marRight w:val="0"/>
                  <w:marTop w:val="0"/>
                  <w:marBottom w:val="0"/>
                  <w:divBdr>
                    <w:top w:val="none" w:sz="0" w:space="0" w:color="auto"/>
                    <w:left w:val="none" w:sz="0" w:space="0" w:color="auto"/>
                    <w:bottom w:val="none" w:sz="0" w:space="0" w:color="auto"/>
                    <w:right w:val="none" w:sz="0" w:space="0" w:color="auto"/>
                  </w:divBdr>
                </w:div>
              </w:divsChild>
            </w:div>
            <w:div w:id="112023808">
              <w:marLeft w:val="240"/>
              <w:marRight w:val="0"/>
              <w:marTop w:val="60"/>
              <w:marBottom w:val="60"/>
              <w:divBdr>
                <w:top w:val="none" w:sz="0" w:space="0" w:color="auto"/>
                <w:left w:val="none" w:sz="0" w:space="0" w:color="auto"/>
                <w:bottom w:val="none" w:sz="0" w:space="0" w:color="auto"/>
                <w:right w:val="none" w:sz="0" w:space="0" w:color="auto"/>
              </w:divBdr>
              <w:divsChild>
                <w:div w:id="20129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02876">
          <w:marLeft w:val="240"/>
          <w:marRight w:val="0"/>
          <w:marTop w:val="60"/>
          <w:marBottom w:val="60"/>
          <w:divBdr>
            <w:top w:val="none" w:sz="0" w:space="0" w:color="auto"/>
            <w:left w:val="none" w:sz="0" w:space="0" w:color="auto"/>
            <w:bottom w:val="none" w:sz="0" w:space="0" w:color="auto"/>
            <w:right w:val="none" w:sz="0" w:space="0" w:color="auto"/>
          </w:divBdr>
          <w:divsChild>
            <w:div w:id="550730683">
              <w:marLeft w:val="240"/>
              <w:marRight w:val="0"/>
              <w:marTop w:val="60"/>
              <w:marBottom w:val="60"/>
              <w:divBdr>
                <w:top w:val="none" w:sz="0" w:space="0" w:color="auto"/>
                <w:left w:val="none" w:sz="0" w:space="0" w:color="auto"/>
                <w:bottom w:val="none" w:sz="0" w:space="0" w:color="auto"/>
                <w:right w:val="none" w:sz="0" w:space="0" w:color="auto"/>
              </w:divBdr>
              <w:divsChild>
                <w:div w:id="1850827740">
                  <w:marLeft w:val="0"/>
                  <w:marRight w:val="0"/>
                  <w:marTop w:val="0"/>
                  <w:marBottom w:val="0"/>
                  <w:divBdr>
                    <w:top w:val="none" w:sz="0" w:space="0" w:color="auto"/>
                    <w:left w:val="none" w:sz="0" w:space="0" w:color="auto"/>
                    <w:bottom w:val="none" w:sz="0" w:space="0" w:color="auto"/>
                    <w:right w:val="none" w:sz="0" w:space="0" w:color="auto"/>
                  </w:divBdr>
                </w:div>
              </w:divsChild>
            </w:div>
            <w:div w:id="112486454">
              <w:marLeft w:val="240"/>
              <w:marRight w:val="0"/>
              <w:marTop w:val="60"/>
              <w:marBottom w:val="60"/>
              <w:divBdr>
                <w:top w:val="none" w:sz="0" w:space="0" w:color="auto"/>
                <w:left w:val="none" w:sz="0" w:space="0" w:color="auto"/>
                <w:bottom w:val="none" w:sz="0" w:space="0" w:color="auto"/>
                <w:right w:val="none" w:sz="0" w:space="0" w:color="auto"/>
              </w:divBdr>
              <w:divsChild>
                <w:div w:id="1669602239">
                  <w:marLeft w:val="0"/>
                  <w:marRight w:val="0"/>
                  <w:marTop w:val="0"/>
                  <w:marBottom w:val="0"/>
                  <w:divBdr>
                    <w:top w:val="none" w:sz="0" w:space="0" w:color="auto"/>
                    <w:left w:val="none" w:sz="0" w:space="0" w:color="auto"/>
                    <w:bottom w:val="none" w:sz="0" w:space="0" w:color="auto"/>
                    <w:right w:val="none" w:sz="0" w:space="0" w:color="auto"/>
                  </w:divBdr>
                </w:div>
              </w:divsChild>
            </w:div>
            <w:div w:id="889339749">
              <w:marLeft w:val="240"/>
              <w:marRight w:val="0"/>
              <w:marTop w:val="60"/>
              <w:marBottom w:val="60"/>
              <w:divBdr>
                <w:top w:val="none" w:sz="0" w:space="0" w:color="auto"/>
                <w:left w:val="none" w:sz="0" w:space="0" w:color="auto"/>
                <w:bottom w:val="none" w:sz="0" w:space="0" w:color="auto"/>
                <w:right w:val="none" w:sz="0" w:space="0" w:color="auto"/>
              </w:divBdr>
              <w:divsChild>
                <w:div w:id="2228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13466">
          <w:marLeft w:val="240"/>
          <w:marRight w:val="0"/>
          <w:marTop w:val="60"/>
          <w:marBottom w:val="60"/>
          <w:divBdr>
            <w:top w:val="none" w:sz="0" w:space="0" w:color="auto"/>
            <w:left w:val="none" w:sz="0" w:space="0" w:color="auto"/>
            <w:bottom w:val="none" w:sz="0" w:space="0" w:color="auto"/>
            <w:right w:val="none" w:sz="0" w:space="0" w:color="auto"/>
          </w:divBdr>
          <w:divsChild>
            <w:div w:id="66197589">
              <w:marLeft w:val="240"/>
              <w:marRight w:val="0"/>
              <w:marTop w:val="60"/>
              <w:marBottom w:val="60"/>
              <w:divBdr>
                <w:top w:val="none" w:sz="0" w:space="0" w:color="auto"/>
                <w:left w:val="none" w:sz="0" w:space="0" w:color="auto"/>
                <w:bottom w:val="none" w:sz="0" w:space="0" w:color="auto"/>
                <w:right w:val="none" w:sz="0" w:space="0" w:color="auto"/>
              </w:divBdr>
              <w:divsChild>
                <w:div w:id="1276910072">
                  <w:marLeft w:val="240"/>
                  <w:marRight w:val="0"/>
                  <w:marTop w:val="60"/>
                  <w:marBottom w:val="60"/>
                  <w:divBdr>
                    <w:top w:val="none" w:sz="0" w:space="0" w:color="auto"/>
                    <w:left w:val="none" w:sz="0" w:space="0" w:color="auto"/>
                    <w:bottom w:val="none" w:sz="0" w:space="0" w:color="auto"/>
                    <w:right w:val="none" w:sz="0" w:space="0" w:color="auto"/>
                  </w:divBdr>
                  <w:divsChild>
                    <w:div w:id="350181821">
                      <w:marLeft w:val="0"/>
                      <w:marRight w:val="0"/>
                      <w:marTop w:val="0"/>
                      <w:marBottom w:val="0"/>
                      <w:divBdr>
                        <w:top w:val="none" w:sz="0" w:space="0" w:color="auto"/>
                        <w:left w:val="none" w:sz="0" w:space="0" w:color="auto"/>
                        <w:bottom w:val="none" w:sz="0" w:space="0" w:color="auto"/>
                        <w:right w:val="none" w:sz="0" w:space="0" w:color="auto"/>
                      </w:divBdr>
                    </w:div>
                  </w:divsChild>
                </w:div>
                <w:div w:id="409157773">
                  <w:marLeft w:val="240"/>
                  <w:marRight w:val="0"/>
                  <w:marTop w:val="60"/>
                  <w:marBottom w:val="60"/>
                  <w:divBdr>
                    <w:top w:val="none" w:sz="0" w:space="0" w:color="auto"/>
                    <w:left w:val="none" w:sz="0" w:space="0" w:color="auto"/>
                    <w:bottom w:val="none" w:sz="0" w:space="0" w:color="auto"/>
                    <w:right w:val="none" w:sz="0" w:space="0" w:color="auto"/>
                  </w:divBdr>
                  <w:divsChild>
                    <w:div w:id="138360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3155">
              <w:marLeft w:val="240"/>
              <w:marRight w:val="0"/>
              <w:marTop w:val="60"/>
              <w:marBottom w:val="60"/>
              <w:divBdr>
                <w:top w:val="none" w:sz="0" w:space="0" w:color="auto"/>
                <w:left w:val="none" w:sz="0" w:space="0" w:color="auto"/>
                <w:bottom w:val="none" w:sz="0" w:space="0" w:color="auto"/>
                <w:right w:val="none" w:sz="0" w:space="0" w:color="auto"/>
              </w:divBdr>
              <w:divsChild>
                <w:div w:id="1204098620">
                  <w:marLeft w:val="240"/>
                  <w:marRight w:val="0"/>
                  <w:marTop w:val="60"/>
                  <w:marBottom w:val="60"/>
                  <w:divBdr>
                    <w:top w:val="none" w:sz="0" w:space="0" w:color="auto"/>
                    <w:left w:val="none" w:sz="0" w:space="0" w:color="auto"/>
                    <w:bottom w:val="none" w:sz="0" w:space="0" w:color="auto"/>
                    <w:right w:val="none" w:sz="0" w:space="0" w:color="auto"/>
                  </w:divBdr>
                  <w:divsChild>
                    <w:div w:id="1397911">
                      <w:marLeft w:val="0"/>
                      <w:marRight w:val="0"/>
                      <w:marTop w:val="0"/>
                      <w:marBottom w:val="0"/>
                      <w:divBdr>
                        <w:top w:val="none" w:sz="0" w:space="0" w:color="auto"/>
                        <w:left w:val="none" w:sz="0" w:space="0" w:color="auto"/>
                        <w:bottom w:val="none" w:sz="0" w:space="0" w:color="auto"/>
                        <w:right w:val="none" w:sz="0" w:space="0" w:color="auto"/>
                      </w:divBdr>
                    </w:div>
                  </w:divsChild>
                </w:div>
                <w:div w:id="710762931">
                  <w:marLeft w:val="240"/>
                  <w:marRight w:val="0"/>
                  <w:marTop w:val="60"/>
                  <w:marBottom w:val="60"/>
                  <w:divBdr>
                    <w:top w:val="none" w:sz="0" w:space="0" w:color="auto"/>
                    <w:left w:val="none" w:sz="0" w:space="0" w:color="auto"/>
                    <w:bottom w:val="none" w:sz="0" w:space="0" w:color="auto"/>
                    <w:right w:val="none" w:sz="0" w:space="0" w:color="auto"/>
                  </w:divBdr>
                  <w:divsChild>
                    <w:div w:id="2012833160">
                      <w:marLeft w:val="0"/>
                      <w:marRight w:val="0"/>
                      <w:marTop w:val="0"/>
                      <w:marBottom w:val="0"/>
                      <w:divBdr>
                        <w:top w:val="none" w:sz="0" w:space="0" w:color="auto"/>
                        <w:left w:val="none" w:sz="0" w:space="0" w:color="auto"/>
                        <w:bottom w:val="none" w:sz="0" w:space="0" w:color="auto"/>
                        <w:right w:val="none" w:sz="0" w:space="0" w:color="auto"/>
                      </w:divBdr>
                    </w:div>
                  </w:divsChild>
                </w:div>
                <w:div w:id="680356320">
                  <w:marLeft w:val="240"/>
                  <w:marRight w:val="0"/>
                  <w:marTop w:val="60"/>
                  <w:marBottom w:val="60"/>
                  <w:divBdr>
                    <w:top w:val="none" w:sz="0" w:space="0" w:color="auto"/>
                    <w:left w:val="none" w:sz="0" w:space="0" w:color="auto"/>
                    <w:bottom w:val="none" w:sz="0" w:space="0" w:color="auto"/>
                    <w:right w:val="none" w:sz="0" w:space="0" w:color="auto"/>
                  </w:divBdr>
                  <w:divsChild>
                    <w:div w:id="8272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41419">
              <w:marLeft w:val="240"/>
              <w:marRight w:val="0"/>
              <w:marTop w:val="60"/>
              <w:marBottom w:val="60"/>
              <w:divBdr>
                <w:top w:val="none" w:sz="0" w:space="0" w:color="auto"/>
                <w:left w:val="none" w:sz="0" w:space="0" w:color="auto"/>
                <w:bottom w:val="none" w:sz="0" w:space="0" w:color="auto"/>
                <w:right w:val="none" w:sz="0" w:space="0" w:color="auto"/>
              </w:divBdr>
              <w:divsChild>
                <w:div w:id="17797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4115">
          <w:marLeft w:val="240"/>
          <w:marRight w:val="0"/>
          <w:marTop w:val="60"/>
          <w:marBottom w:val="60"/>
          <w:divBdr>
            <w:top w:val="none" w:sz="0" w:space="0" w:color="auto"/>
            <w:left w:val="none" w:sz="0" w:space="0" w:color="auto"/>
            <w:bottom w:val="none" w:sz="0" w:space="0" w:color="auto"/>
            <w:right w:val="none" w:sz="0" w:space="0" w:color="auto"/>
          </w:divBdr>
          <w:divsChild>
            <w:div w:id="63187012">
              <w:marLeft w:val="240"/>
              <w:marRight w:val="0"/>
              <w:marTop w:val="60"/>
              <w:marBottom w:val="60"/>
              <w:divBdr>
                <w:top w:val="none" w:sz="0" w:space="0" w:color="auto"/>
                <w:left w:val="none" w:sz="0" w:space="0" w:color="auto"/>
                <w:bottom w:val="none" w:sz="0" w:space="0" w:color="auto"/>
                <w:right w:val="none" w:sz="0" w:space="0" w:color="auto"/>
              </w:divBdr>
              <w:divsChild>
                <w:div w:id="319504292">
                  <w:marLeft w:val="0"/>
                  <w:marRight w:val="0"/>
                  <w:marTop w:val="0"/>
                  <w:marBottom w:val="0"/>
                  <w:divBdr>
                    <w:top w:val="none" w:sz="0" w:space="0" w:color="auto"/>
                    <w:left w:val="none" w:sz="0" w:space="0" w:color="auto"/>
                    <w:bottom w:val="none" w:sz="0" w:space="0" w:color="auto"/>
                    <w:right w:val="none" w:sz="0" w:space="0" w:color="auto"/>
                  </w:divBdr>
                </w:div>
              </w:divsChild>
            </w:div>
            <w:div w:id="333192611">
              <w:marLeft w:val="240"/>
              <w:marRight w:val="0"/>
              <w:marTop w:val="60"/>
              <w:marBottom w:val="60"/>
              <w:divBdr>
                <w:top w:val="none" w:sz="0" w:space="0" w:color="auto"/>
                <w:left w:val="none" w:sz="0" w:space="0" w:color="auto"/>
                <w:bottom w:val="none" w:sz="0" w:space="0" w:color="auto"/>
                <w:right w:val="none" w:sz="0" w:space="0" w:color="auto"/>
              </w:divBdr>
              <w:divsChild>
                <w:div w:id="1170146845">
                  <w:marLeft w:val="0"/>
                  <w:marRight w:val="0"/>
                  <w:marTop w:val="0"/>
                  <w:marBottom w:val="0"/>
                  <w:divBdr>
                    <w:top w:val="none" w:sz="0" w:space="0" w:color="auto"/>
                    <w:left w:val="none" w:sz="0" w:space="0" w:color="auto"/>
                    <w:bottom w:val="none" w:sz="0" w:space="0" w:color="auto"/>
                    <w:right w:val="none" w:sz="0" w:space="0" w:color="auto"/>
                  </w:divBdr>
                </w:div>
              </w:divsChild>
            </w:div>
            <w:div w:id="84887880">
              <w:marLeft w:val="240"/>
              <w:marRight w:val="0"/>
              <w:marTop w:val="60"/>
              <w:marBottom w:val="60"/>
              <w:divBdr>
                <w:top w:val="none" w:sz="0" w:space="0" w:color="auto"/>
                <w:left w:val="none" w:sz="0" w:space="0" w:color="auto"/>
                <w:bottom w:val="none" w:sz="0" w:space="0" w:color="auto"/>
                <w:right w:val="none" w:sz="0" w:space="0" w:color="auto"/>
              </w:divBdr>
              <w:divsChild>
                <w:div w:id="3899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12456">
          <w:marLeft w:val="240"/>
          <w:marRight w:val="0"/>
          <w:marTop w:val="60"/>
          <w:marBottom w:val="60"/>
          <w:divBdr>
            <w:top w:val="none" w:sz="0" w:space="0" w:color="auto"/>
            <w:left w:val="none" w:sz="0" w:space="0" w:color="auto"/>
            <w:bottom w:val="none" w:sz="0" w:space="0" w:color="auto"/>
            <w:right w:val="none" w:sz="0" w:space="0" w:color="auto"/>
          </w:divBdr>
          <w:divsChild>
            <w:div w:id="1087729266">
              <w:marLeft w:val="0"/>
              <w:marRight w:val="0"/>
              <w:marTop w:val="0"/>
              <w:marBottom w:val="0"/>
              <w:divBdr>
                <w:top w:val="none" w:sz="0" w:space="0" w:color="auto"/>
                <w:left w:val="none" w:sz="0" w:space="0" w:color="auto"/>
                <w:bottom w:val="none" w:sz="0" w:space="0" w:color="auto"/>
                <w:right w:val="none" w:sz="0" w:space="0" w:color="auto"/>
              </w:divBdr>
            </w:div>
          </w:divsChild>
        </w:div>
        <w:div w:id="568424135">
          <w:marLeft w:val="240"/>
          <w:marRight w:val="0"/>
          <w:marTop w:val="60"/>
          <w:marBottom w:val="60"/>
          <w:divBdr>
            <w:top w:val="none" w:sz="0" w:space="0" w:color="auto"/>
            <w:left w:val="none" w:sz="0" w:space="0" w:color="auto"/>
            <w:bottom w:val="none" w:sz="0" w:space="0" w:color="auto"/>
            <w:right w:val="none" w:sz="0" w:space="0" w:color="auto"/>
          </w:divBdr>
          <w:divsChild>
            <w:div w:id="104228989">
              <w:marLeft w:val="0"/>
              <w:marRight w:val="0"/>
              <w:marTop w:val="0"/>
              <w:marBottom w:val="0"/>
              <w:divBdr>
                <w:top w:val="none" w:sz="0" w:space="0" w:color="auto"/>
                <w:left w:val="none" w:sz="0" w:space="0" w:color="auto"/>
                <w:bottom w:val="none" w:sz="0" w:space="0" w:color="auto"/>
                <w:right w:val="none" w:sz="0" w:space="0" w:color="auto"/>
              </w:divBdr>
            </w:div>
          </w:divsChild>
        </w:div>
        <w:div w:id="1424498976">
          <w:marLeft w:val="240"/>
          <w:marRight w:val="0"/>
          <w:marTop w:val="60"/>
          <w:marBottom w:val="60"/>
          <w:divBdr>
            <w:top w:val="none" w:sz="0" w:space="0" w:color="auto"/>
            <w:left w:val="none" w:sz="0" w:space="0" w:color="auto"/>
            <w:bottom w:val="none" w:sz="0" w:space="0" w:color="auto"/>
            <w:right w:val="none" w:sz="0" w:space="0" w:color="auto"/>
          </w:divBdr>
          <w:divsChild>
            <w:div w:id="1417089718">
              <w:marLeft w:val="0"/>
              <w:marRight w:val="0"/>
              <w:marTop w:val="0"/>
              <w:marBottom w:val="0"/>
              <w:divBdr>
                <w:top w:val="none" w:sz="0" w:space="0" w:color="auto"/>
                <w:left w:val="none" w:sz="0" w:space="0" w:color="auto"/>
                <w:bottom w:val="none" w:sz="0" w:space="0" w:color="auto"/>
                <w:right w:val="none" w:sz="0" w:space="0" w:color="auto"/>
              </w:divBdr>
            </w:div>
          </w:divsChild>
        </w:div>
        <w:div w:id="1289361098">
          <w:marLeft w:val="0"/>
          <w:marRight w:val="0"/>
          <w:marTop w:val="0"/>
          <w:marBottom w:val="0"/>
          <w:divBdr>
            <w:top w:val="none" w:sz="0" w:space="0" w:color="auto"/>
            <w:left w:val="none" w:sz="0" w:space="0" w:color="auto"/>
            <w:bottom w:val="none" w:sz="0" w:space="0" w:color="auto"/>
            <w:right w:val="none" w:sz="0" w:space="0" w:color="auto"/>
          </w:divBdr>
        </w:div>
      </w:divsChild>
    </w:div>
    <w:div w:id="1662538337">
      <w:bodyDiv w:val="1"/>
      <w:marLeft w:val="0"/>
      <w:marRight w:val="0"/>
      <w:marTop w:val="0"/>
      <w:marBottom w:val="0"/>
      <w:divBdr>
        <w:top w:val="none" w:sz="0" w:space="0" w:color="auto"/>
        <w:left w:val="none" w:sz="0" w:space="0" w:color="auto"/>
        <w:bottom w:val="none" w:sz="0" w:space="0" w:color="auto"/>
        <w:right w:val="none" w:sz="0" w:space="0" w:color="auto"/>
      </w:divBdr>
    </w:div>
    <w:div w:id="1663582993">
      <w:bodyDiv w:val="1"/>
      <w:marLeft w:val="0"/>
      <w:marRight w:val="0"/>
      <w:marTop w:val="0"/>
      <w:marBottom w:val="0"/>
      <w:divBdr>
        <w:top w:val="none" w:sz="0" w:space="0" w:color="auto"/>
        <w:left w:val="none" w:sz="0" w:space="0" w:color="auto"/>
        <w:bottom w:val="none" w:sz="0" w:space="0" w:color="auto"/>
        <w:right w:val="none" w:sz="0" w:space="0" w:color="auto"/>
      </w:divBdr>
    </w:div>
    <w:div w:id="1669863628">
      <w:bodyDiv w:val="1"/>
      <w:marLeft w:val="0"/>
      <w:marRight w:val="0"/>
      <w:marTop w:val="0"/>
      <w:marBottom w:val="0"/>
      <w:divBdr>
        <w:top w:val="none" w:sz="0" w:space="0" w:color="auto"/>
        <w:left w:val="none" w:sz="0" w:space="0" w:color="auto"/>
        <w:bottom w:val="none" w:sz="0" w:space="0" w:color="auto"/>
        <w:right w:val="none" w:sz="0" w:space="0" w:color="auto"/>
      </w:divBdr>
    </w:div>
    <w:div w:id="1674995536">
      <w:bodyDiv w:val="1"/>
      <w:marLeft w:val="0"/>
      <w:marRight w:val="0"/>
      <w:marTop w:val="0"/>
      <w:marBottom w:val="0"/>
      <w:divBdr>
        <w:top w:val="none" w:sz="0" w:space="0" w:color="auto"/>
        <w:left w:val="none" w:sz="0" w:space="0" w:color="auto"/>
        <w:bottom w:val="none" w:sz="0" w:space="0" w:color="auto"/>
        <w:right w:val="none" w:sz="0" w:space="0" w:color="auto"/>
      </w:divBdr>
    </w:div>
    <w:div w:id="1687555957">
      <w:bodyDiv w:val="1"/>
      <w:marLeft w:val="0"/>
      <w:marRight w:val="0"/>
      <w:marTop w:val="0"/>
      <w:marBottom w:val="0"/>
      <w:divBdr>
        <w:top w:val="none" w:sz="0" w:space="0" w:color="auto"/>
        <w:left w:val="none" w:sz="0" w:space="0" w:color="auto"/>
        <w:bottom w:val="none" w:sz="0" w:space="0" w:color="auto"/>
        <w:right w:val="none" w:sz="0" w:space="0" w:color="auto"/>
      </w:divBdr>
    </w:div>
    <w:div w:id="1688755470">
      <w:bodyDiv w:val="1"/>
      <w:marLeft w:val="0"/>
      <w:marRight w:val="0"/>
      <w:marTop w:val="0"/>
      <w:marBottom w:val="0"/>
      <w:divBdr>
        <w:top w:val="none" w:sz="0" w:space="0" w:color="auto"/>
        <w:left w:val="none" w:sz="0" w:space="0" w:color="auto"/>
        <w:bottom w:val="none" w:sz="0" w:space="0" w:color="auto"/>
        <w:right w:val="none" w:sz="0" w:space="0" w:color="auto"/>
      </w:divBdr>
    </w:div>
    <w:div w:id="1692098922">
      <w:bodyDiv w:val="1"/>
      <w:marLeft w:val="0"/>
      <w:marRight w:val="0"/>
      <w:marTop w:val="0"/>
      <w:marBottom w:val="0"/>
      <w:divBdr>
        <w:top w:val="none" w:sz="0" w:space="0" w:color="auto"/>
        <w:left w:val="none" w:sz="0" w:space="0" w:color="auto"/>
        <w:bottom w:val="none" w:sz="0" w:space="0" w:color="auto"/>
        <w:right w:val="none" w:sz="0" w:space="0" w:color="auto"/>
      </w:divBdr>
    </w:div>
    <w:div w:id="1692609622">
      <w:bodyDiv w:val="1"/>
      <w:marLeft w:val="0"/>
      <w:marRight w:val="0"/>
      <w:marTop w:val="0"/>
      <w:marBottom w:val="0"/>
      <w:divBdr>
        <w:top w:val="none" w:sz="0" w:space="0" w:color="auto"/>
        <w:left w:val="none" w:sz="0" w:space="0" w:color="auto"/>
        <w:bottom w:val="none" w:sz="0" w:space="0" w:color="auto"/>
        <w:right w:val="none" w:sz="0" w:space="0" w:color="auto"/>
      </w:divBdr>
    </w:div>
    <w:div w:id="1707950459">
      <w:bodyDiv w:val="1"/>
      <w:marLeft w:val="0"/>
      <w:marRight w:val="0"/>
      <w:marTop w:val="0"/>
      <w:marBottom w:val="0"/>
      <w:divBdr>
        <w:top w:val="none" w:sz="0" w:space="0" w:color="auto"/>
        <w:left w:val="none" w:sz="0" w:space="0" w:color="auto"/>
        <w:bottom w:val="none" w:sz="0" w:space="0" w:color="auto"/>
        <w:right w:val="none" w:sz="0" w:space="0" w:color="auto"/>
      </w:divBdr>
      <w:divsChild>
        <w:div w:id="1619486283">
          <w:marLeft w:val="240"/>
          <w:marRight w:val="0"/>
          <w:marTop w:val="60"/>
          <w:marBottom w:val="60"/>
          <w:divBdr>
            <w:top w:val="none" w:sz="0" w:space="0" w:color="auto"/>
            <w:left w:val="none" w:sz="0" w:space="0" w:color="auto"/>
            <w:bottom w:val="none" w:sz="0" w:space="0" w:color="auto"/>
            <w:right w:val="none" w:sz="0" w:space="0" w:color="auto"/>
          </w:divBdr>
          <w:divsChild>
            <w:div w:id="1421220761">
              <w:marLeft w:val="240"/>
              <w:marRight w:val="0"/>
              <w:marTop w:val="60"/>
              <w:marBottom w:val="60"/>
              <w:divBdr>
                <w:top w:val="none" w:sz="0" w:space="0" w:color="auto"/>
                <w:left w:val="none" w:sz="0" w:space="0" w:color="auto"/>
                <w:bottom w:val="none" w:sz="0" w:space="0" w:color="auto"/>
                <w:right w:val="none" w:sz="0" w:space="0" w:color="auto"/>
              </w:divBdr>
              <w:divsChild>
                <w:div w:id="268243955">
                  <w:marLeft w:val="0"/>
                  <w:marRight w:val="0"/>
                  <w:marTop w:val="0"/>
                  <w:marBottom w:val="0"/>
                  <w:divBdr>
                    <w:top w:val="none" w:sz="0" w:space="0" w:color="auto"/>
                    <w:left w:val="none" w:sz="0" w:space="0" w:color="auto"/>
                    <w:bottom w:val="none" w:sz="0" w:space="0" w:color="auto"/>
                    <w:right w:val="none" w:sz="0" w:space="0" w:color="auto"/>
                  </w:divBdr>
                </w:div>
              </w:divsChild>
            </w:div>
            <w:div w:id="554858257">
              <w:marLeft w:val="240"/>
              <w:marRight w:val="0"/>
              <w:marTop w:val="60"/>
              <w:marBottom w:val="60"/>
              <w:divBdr>
                <w:top w:val="none" w:sz="0" w:space="0" w:color="auto"/>
                <w:left w:val="none" w:sz="0" w:space="0" w:color="auto"/>
                <w:bottom w:val="none" w:sz="0" w:space="0" w:color="auto"/>
                <w:right w:val="none" w:sz="0" w:space="0" w:color="auto"/>
              </w:divBdr>
              <w:divsChild>
                <w:div w:id="12492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97742">
          <w:marLeft w:val="240"/>
          <w:marRight w:val="0"/>
          <w:marTop w:val="60"/>
          <w:marBottom w:val="60"/>
          <w:divBdr>
            <w:top w:val="none" w:sz="0" w:space="0" w:color="auto"/>
            <w:left w:val="none" w:sz="0" w:space="0" w:color="auto"/>
            <w:bottom w:val="none" w:sz="0" w:space="0" w:color="auto"/>
            <w:right w:val="none" w:sz="0" w:space="0" w:color="auto"/>
          </w:divBdr>
          <w:divsChild>
            <w:div w:id="1633436354">
              <w:marLeft w:val="240"/>
              <w:marRight w:val="0"/>
              <w:marTop w:val="60"/>
              <w:marBottom w:val="60"/>
              <w:divBdr>
                <w:top w:val="none" w:sz="0" w:space="0" w:color="auto"/>
                <w:left w:val="none" w:sz="0" w:space="0" w:color="auto"/>
                <w:bottom w:val="none" w:sz="0" w:space="0" w:color="auto"/>
                <w:right w:val="none" w:sz="0" w:space="0" w:color="auto"/>
              </w:divBdr>
              <w:divsChild>
                <w:div w:id="2119838075">
                  <w:marLeft w:val="0"/>
                  <w:marRight w:val="0"/>
                  <w:marTop w:val="0"/>
                  <w:marBottom w:val="0"/>
                  <w:divBdr>
                    <w:top w:val="none" w:sz="0" w:space="0" w:color="auto"/>
                    <w:left w:val="none" w:sz="0" w:space="0" w:color="auto"/>
                    <w:bottom w:val="none" w:sz="0" w:space="0" w:color="auto"/>
                    <w:right w:val="none" w:sz="0" w:space="0" w:color="auto"/>
                  </w:divBdr>
                </w:div>
              </w:divsChild>
            </w:div>
            <w:div w:id="1545873367">
              <w:marLeft w:val="240"/>
              <w:marRight w:val="0"/>
              <w:marTop w:val="60"/>
              <w:marBottom w:val="60"/>
              <w:divBdr>
                <w:top w:val="none" w:sz="0" w:space="0" w:color="auto"/>
                <w:left w:val="none" w:sz="0" w:space="0" w:color="auto"/>
                <w:bottom w:val="none" w:sz="0" w:space="0" w:color="auto"/>
                <w:right w:val="none" w:sz="0" w:space="0" w:color="auto"/>
              </w:divBdr>
              <w:divsChild>
                <w:div w:id="452940017">
                  <w:marLeft w:val="0"/>
                  <w:marRight w:val="0"/>
                  <w:marTop w:val="0"/>
                  <w:marBottom w:val="0"/>
                  <w:divBdr>
                    <w:top w:val="none" w:sz="0" w:space="0" w:color="auto"/>
                    <w:left w:val="none" w:sz="0" w:space="0" w:color="auto"/>
                    <w:bottom w:val="none" w:sz="0" w:space="0" w:color="auto"/>
                    <w:right w:val="none" w:sz="0" w:space="0" w:color="auto"/>
                  </w:divBdr>
                </w:div>
              </w:divsChild>
            </w:div>
            <w:div w:id="981619679">
              <w:marLeft w:val="240"/>
              <w:marRight w:val="0"/>
              <w:marTop w:val="60"/>
              <w:marBottom w:val="60"/>
              <w:divBdr>
                <w:top w:val="none" w:sz="0" w:space="0" w:color="auto"/>
                <w:left w:val="none" w:sz="0" w:space="0" w:color="auto"/>
                <w:bottom w:val="none" w:sz="0" w:space="0" w:color="auto"/>
                <w:right w:val="none" w:sz="0" w:space="0" w:color="auto"/>
              </w:divBdr>
              <w:divsChild>
                <w:div w:id="413824231">
                  <w:marLeft w:val="240"/>
                  <w:marRight w:val="0"/>
                  <w:marTop w:val="60"/>
                  <w:marBottom w:val="60"/>
                  <w:divBdr>
                    <w:top w:val="none" w:sz="0" w:space="0" w:color="auto"/>
                    <w:left w:val="none" w:sz="0" w:space="0" w:color="auto"/>
                    <w:bottom w:val="none" w:sz="0" w:space="0" w:color="auto"/>
                    <w:right w:val="none" w:sz="0" w:space="0" w:color="auto"/>
                  </w:divBdr>
                  <w:divsChild>
                    <w:div w:id="1954243034">
                      <w:marLeft w:val="0"/>
                      <w:marRight w:val="0"/>
                      <w:marTop w:val="0"/>
                      <w:marBottom w:val="0"/>
                      <w:divBdr>
                        <w:top w:val="none" w:sz="0" w:space="0" w:color="auto"/>
                        <w:left w:val="none" w:sz="0" w:space="0" w:color="auto"/>
                        <w:bottom w:val="none" w:sz="0" w:space="0" w:color="auto"/>
                        <w:right w:val="none" w:sz="0" w:space="0" w:color="auto"/>
                      </w:divBdr>
                    </w:div>
                  </w:divsChild>
                </w:div>
                <w:div w:id="989863944">
                  <w:marLeft w:val="240"/>
                  <w:marRight w:val="0"/>
                  <w:marTop w:val="60"/>
                  <w:marBottom w:val="60"/>
                  <w:divBdr>
                    <w:top w:val="none" w:sz="0" w:space="0" w:color="auto"/>
                    <w:left w:val="none" w:sz="0" w:space="0" w:color="auto"/>
                    <w:bottom w:val="none" w:sz="0" w:space="0" w:color="auto"/>
                    <w:right w:val="none" w:sz="0" w:space="0" w:color="auto"/>
                  </w:divBdr>
                  <w:divsChild>
                    <w:div w:id="1995209571">
                      <w:marLeft w:val="0"/>
                      <w:marRight w:val="0"/>
                      <w:marTop w:val="0"/>
                      <w:marBottom w:val="0"/>
                      <w:divBdr>
                        <w:top w:val="none" w:sz="0" w:space="0" w:color="auto"/>
                        <w:left w:val="none" w:sz="0" w:space="0" w:color="auto"/>
                        <w:bottom w:val="none" w:sz="0" w:space="0" w:color="auto"/>
                        <w:right w:val="none" w:sz="0" w:space="0" w:color="auto"/>
                      </w:divBdr>
                    </w:div>
                  </w:divsChild>
                </w:div>
                <w:div w:id="835193758">
                  <w:marLeft w:val="240"/>
                  <w:marRight w:val="0"/>
                  <w:marTop w:val="60"/>
                  <w:marBottom w:val="60"/>
                  <w:divBdr>
                    <w:top w:val="none" w:sz="0" w:space="0" w:color="auto"/>
                    <w:left w:val="none" w:sz="0" w:space="0" w:color="auto"/>
                    <w:bottom w:val="none" w:sz="0" w:space="0" w:color="auto"/>
                    <w:right w:val="none" w:sz="0" w:space="0" w:color="auto"/>
                  </w:divBdr>
                  <w:divsChild>
                    <w:div w:id="16507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79796">
          <w:marLeft w:val="240"/>
          <w:marRight w:val="0"/>
          <w:marTop w:val="60"/>
          <w:marBottom w:val="60"/>
          <w:divBdr>
            <w:top w:val="none" w:sz="0" w:space="0" w:color="auto"/>
            <w:left w:val="none" w:sz="0" w:space="0" w:color="auto"/>
            <w:bottom w:val="none" w:sz="0" w:space="0" w:color="auto"/>
            <w:right w:val="none" w:sz="0" w:space="0" w:color="auto"/>
          </w:divBdr>
          <w:divsChild>
            <w:div w:id="1581674107">
              <w:marLeft w:val="240"/>
              <w:marRight w:val="0"/>
              <w:marTop w:val="60"/>
              <w:marBottom w:val="60"/>
              <w:divBdr>
                <w:top w:val="none" w:sz="0" w:space="0" w:color="auto"/>
                <w:left w:val="none" w:sz="0" w:space="0" w:color="auto"/>
                <w:bottom w:val="none" w:sz="0" w:space="0" w:color="auto"/>
                <w:right w:val="none" w:sz="0" w:space="0" w:color="auto"/>
              </w:divBdr>
              <w:divsChild>
                <w:div w:id="672488199">
                  <w:marLeft w:val="240"/>
                  <w:marRight w:val="0"/>
                  <w:marTop w:val="60"/>
                  <w:marBottom w:val="60"/>
                  <w:divBdr>
                    <w:top w:val="none" w:sz="0" w:space="0" w:color="auto"/>
                    <w:left w:val="none" w:sz="0" w:space="0" w:color="auto"/>
                    <w:bottom w:val="none" w:sz="0" w:space="0" w:color="auto"/>
                    <w:right w:val="none" w:sz="0" w:space="0" w:color="auto"/>
                  </w:divBdr>
                  <w:divsChild>
                    <w:div w:id="1920673732">
                      <w:marLeft w:val="0"/>
                      <w:marRight w:val="0"/>
                      <w:marTop w:val="0"/>
                      <w:marBottom w:val="0"/>
                      <w:divBdr>
                        <w:top w:val="none" w:sz="0" w:space="0" w:color="auto"/>
                        <w:left w:val="none" w:sz="0" w:space="0" w:color="auto"/>
                        <w:bottom w:val="none" w:sz="0" w:space="0" w:color="auto"/>
                        <w:right w:val="none" w:sz="0" w:space="0" w:color="auto"/>
                      </w:divBdr>
                    </w:div>
                  </w:divsChild>
                </w:div>
                <w:div w:id="999314806">
                  <w:marLeft w:val="240"/>
                  <w:marRight w:val="0"/>
                  <w:marTop w:val="60"/>
                  <w:marBottom w:val="60"/>
                  <w:divBdr>
                    <w:top w:val="none" w:sz="0" w:space="0" w:color="auto"/>
                    <w:left w:val="none" w:sz="0" w:space="0" w:color="auto"/>
                    <w:bottom w:val="none" w:sz="0" w:space="0" w:color="auto"/>
                    <w:right w:val="none" w:sz="0" w:space="0" w:color="auto"/>
                  </w:divBdr>
                  <w:divsChild>
                    <w:div w:id="862328451">
                      <w:marLeft w:val="0"/>
                      <w:marRight w:val="0"/>
                      <w:marTop w:val="0"/>
                      <w:marBottom w:val="0"/>
                      <w:divBdr>
                        <w:top w:val="none" w:sz="0" w:space="0" w:color="auto"/>
                        <w:left w:val="none" w:sz="0" w:space="0" w:color="auto"/>
                        <w:bottom w:val="none" w:sz="0" w:space="0" w:color="auto"/>
                        <w:right w:val="none" w:sz="0" w:space="0" w:color="auto"/>
                      </w:divBdr>
                    </w:div>
                  </w:divsChild>
                </w:div>
                <w:div w:id="1886482465">
                  <w:marLeft w:val="240"/>
                  <w:marRight w:val="0"/>
                  <w:marTop w:val="60"/>
                  <w:marBottom w:val="60"/>
                  <w:divBdr>
                    <w:top w:val="none" w:sz="0" w:space="0" w:color="auto"/>
                    <w:left w:val="none" w:sz="0" w:space="0" w:color="auto"/>
                    <w:bottom w:val="none" w:sz="0" w:space="0" w:color="auto"/>
                    <w:right w:val="none" w:sz="0" w:space="0" w:color="auto"/>
                  </w:divBdr>
                  <w:divsChild>
                    <w:div w:id="7515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4420">
              <w:marLeft w:val="240"/>
              <w:marRight w:val="0"/>
              <w:marTop w:val="60"/>
              <w:marBottom w:val="60"/>
              <w:divBdr>
                <w:top w:val="none" w:sz="0" w:space="0" w:color="auto"/>
                <w:left w:val="none" w:sz="0" w:space="0" w:color="auto"/>
                <w:bottom w:val="none" w:sz="0" w:space="0" w:color="auto"/>
                <w:right w:val="none" w:sz="0" w:space="0" w:color="auto"/>
              </w:divBdr>
              <w:divsChild>
                <w:div w:id="380251146">
                  <w:marLeft w:val="240"/>
                  <w:marRight w:val="0"/>
                  <w:marTop w:val="60"/>
                  <w:marBottom w:val="60"/>
                  <w:divBdr>
                    <w:top w:val="none" w:sz="0" w:space="0" w:color="auto"/>
                    <w:left w:val="none" w:sz="0" w:space="0" w:color="auto"/>
                    <w:bottom w:val="none" w:sz="0" w:space="0" w:color="auto"/>
                    <w:right w:val="none" w:sz="0" w:space="0" w:color="auto"/>
                  </w:divBdr>
                  <w:divsChild>
                    <w:div w:id="114907123">
                      <w:marLeft w:val="0"/>
                      <w:marRight w:val="0"/>
                      <w:marTop w:val="0"/>
                      <w:marBottom w:val="0"/>
                      <w:divBdr>
                        <w:top w:val="none" w:sz="0" w:space="0" w:color="auto"/>
                        <w:left w:val="none" w:sz="0" w:space="0" w:color="auto"/>
                        <w:bottom w:val="none" w:sz="0" w:space="0" w:color="auto"/>
                        <w:right w:val="none" w:sz="0" w:space="0" w:color="auto"/>
                      </w:divBdr>
                    </w:div>
                  </w:divsChild>
                </w:div>
                <w:div w:id="360472902">
                  <w:marLeft w:val="240"/>
                  <w:marRight w:val="0"/>
                  <w:marTop w:val="60"/>
                  <w:marBottom w:val="60"/>
                  <w:divBdr>
                    <w:top w:val="none" w:sz="0" w:space="0" w:color="auto"/>
                    <w:left w:val="none" w:sz="0" w:space="0" w:color="auto"/>
                    <w:bottom w:val="none" w:sz="0" w:space="0" w:color="auto"/>
                    <w:right w:val="none" w:sz="0" w:space="0" w:color="auto"/>
                  </w:divBdr>
                  <w:divsChild>
                    <w:div w:id="197276239">
                      <w:marLeft w:val="0"/>
                      <w:marRight w:val="0"/>
                      <w:marTop w:val="0"/>
                      <w:marBottom w:val="0"/>
                      <w:divBdr>
                        <w:top w:val="none" w:sz="0" w:space="0" w:color="auto"/>
                        <w:left w:val="none" w:sz="0" w:space="0" w:color="auto"/>
                        <w:bottom w:val="none" w:sz="0" w:space="0" w:color="auto"/>
                        <w:right w:val="none" w:sz="0" w:space="0" w:color="auto"/>
                      </w:divBdr>
                    </w:div>
                  </w:divsChild>
                </w:div>
                <w:div w:id="583104832">
                  <w:marLeft w:val="240"/>
                  <w:marRight w:val="0"/>
                  <w:marTop w:val="60"/>
                  <w:marBottom w:val="60"/>
                  <w:divBdr>
                    <w:top w:val="none" w:sz="0" w:space="0" w:color="auto"/>
                    <w:left w:val="none" w:sz="0" w:space="0" w:color="auto"/>
                    <w:bottom w:val="none" w:sz="0" w:space="0" w:color="auto"/>
                    <w:right w:val="none" w:sz="0" w:space="0" w:color="auto"/>
                  </w:divBdr>
                  <w:divsChild>
                    <w:div w:id="14383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64">
              <w:marLeft w:val="240"/>
              <w:marRight w:val="0"/>
              <w:marTop w:val="60"/>
              <w:marBottom w:val="60"/>
              <w:divBdr>
                <w:top w:val="none" w:sz="0" w:space="0" w:color="auto"/>
                <w:left w:val="none" w:sz="0" w:space="0" w:color="auto"/>
                <w:bottom w:val="none" w:sz="0" w:space="0" w:color="auto"/>
                <w:right w:val="none" w:sz="0" w:space="0" w:color="auto"/>
              </w:divBdr>
              <w:divsChild>
                <w:div w:id="1611814424">
                  <w:marLeft w:val="240"/>
                  <w:marRight w:val="0"/>
                  <w:marTop w:val="60"/>
                  <w:marBottom w:val="60"/>
                  <w:divBdr>
                    <w:top w:val="none" w:sz="0" w:space="0" w:color="auto"/>
                    <w:left w:val="none" w:sz="0" w:space="0" w:color="auto"/>
                    <w:bottom w:val="none" w:sz="0" w:space="0" w:color="auto"/>
                    <w:right w:val="none" w:sz="0" w:space="0" w:color="auto"/>
                  </w:divBdr>
                  <w:divsChild>
                    <w:div w:id="288829022">
                      <w:marLeft w:val="0"/>
                      <w:marRight w:val="0"/>
                      <w:marTop w:val="0"/>
                      <w:marBottom w:val="0"/>
                      <w:divBdr>
                        <w:top w:val="none" w:sz="0" w:space="0" w:color="auto"/>
                        <w:left w:val="none" w:sz="0" w:space="0" w:color="auto"/>
                        <w:bottom w:val="none" w:sz="0" w:space="0" w:color="auto"/>
                        <w:right w:val="none" w:sz="0" w:space="0" w:color="auto"/>
                      </w:divBdr>
                    </w:div>
                  </w:divsChild>
                </w:div>
                <w:div w:id="245843377">
                  <w:marLeft w:val="240"/>
                  <w:marRight w:val="0"/>
                  <w:marTop w:val="60"/>
                  <w:marBottom w:val="60"/>
                  <w:divBdr>
                    <w:top w:val="none" w:sz="0" w:space="0" w:color="auto"/>
                    <w:left w:val="none" w:sz="0" w:space="0" w:color="auto"/>
                    <w:bottom w:val="none" w:sz="0" w:space="0" w:color="auto"/>
                    <w:right w:val="none" w:sz="0" w:space="0" w:color="auto"/>
                  </w:divBdr>
                  <w:divsChild>
                    <w:div w:id="1977561242">
                      <w:marLeft w:val="0"/>
                      <w:marRight w:val="0"/>
                      <w:marTop w:val="0"/>
                      <w:marBottom w:val="0"/>
                      <w:divBdr>
                        <w:top w:val="none" w:sz="0" w:space="0" w:color="auto"/>
                        <w:left w:val="none" w:sz="0" w:space="0" w:color="auto"/>
                        <w:bottom w:val="none" w:sz="0" w:space="0" w:color="auto"/>
                        <w:right w:val="none" w:sz="0" w:space="0" w:color="auto"/>
                      </w:divBdr>
                    </w:div>
                  </w:divsChild>
                </w:div>
                <w:div w:id="1157767858">
                  <w:marLeft w:val="240"/>
                  <w:marRight w:val="0"/>
                  <w:marTop w:val="60"/>
                  <w:marBottom w:val="60"/>
                  <w:divBdr>
                    <w:top w:val="none" w:sz="0" w:space="0" w:color="auto"/>
                    <w:left w:val="none" w:sz="0" w:space="0" w:color="auto"/>
                    <w:bottom w:val="none" w:sz="0" w:space="0" w:color="auto"/>
                    <w:right w:val="none" w:sz="0" w:space="0" w:color="auto"/>
                  </w:divBdr>
                  <w:divsChild>
                    <w:div w:id="1036925291">
                      <w:marLeft w:val="0"/>
                      <w:marRight w:val="0"/>
                      <w:marTop w:val="0"/>
                      <w:marBottom w:val="0"/>
                      <w:divBdr>
                        <w:top w:val="none" w:sz="0" w:space="0" w:color="auto"/>
                        <w:left w:val="none" w:sz="0" w:space="0" w:color="auto"/>
                        <w:bottom w:val="none" w:sz="0" w:space="0" w:color="auto"/>
                        <w:right w:val="none" w:sz="0" w:space="0" w:color="auto"/>
                      </w:divBdr>
                    </w:div>
                  </w:divsChild>
                </w:div>
                <w:div w:id="1390810987">
                  <w:marLeft w:val="240"/>
                  <w:marRight w:val="0"/>
                  <w:marTop w:val="60"/>
                  <w:marBottom w:val="60"/>
                  <w:divBdr>
                    <w:top w:val="none" w:sz="0" w:space="0" w:color="auto"/>
                    <w:left w:val="none" w:sz="0" w:space="0" w:color="auto"/>
                    <w:bottom w:val="none" w:sz="0" w:space="0" w:color="auto"/>
                    <w:right w:val="none" w:sz="0" w:space="0" w:color="auto"/>
                  </w:divBdr>
                  <w:divsChild>
                    <w:div w:id="6306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619">
              <w:marLeft w:val="240"/>
              <w:marRight w:val="0"/>
              <w:marTop w:val="60"/>
              <w:marBottom w:val="60"/>
              <w:divBdr>
                <w:top w:val="none" w:sz="0" w:space="0" w:color="auto"/>
                <w:left w:val="none" w:sz="0" w:space="0" w:color="auto"/>
                <w:bottom w:val="none" w:sz="0" w:space="0" w:color="auto"/>
                <w:right w:val="none" w:sz="0" w:space="0" w:color="auto"/>
              </w:divBdr>
              <w:divsChild>
                <w:div w:id="3324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9758">
          <w:marLeft w:val="240"/>
          <w:marRight w:val="0"/>
          <w:marTop w:val="60"/>
          <w:marBottom w:val="60"/>
          <w:divBdr>
            <w:top w:val="none" w:sz="0" w:space="0" w:color="auto"/>
            <w:left w:val="none" w:sz="0" w:space="0" w:color="auto"/>
            <w:bottom w:val="none" w:sz="0" w:space="0" w:color="auto"/>
            <w:right w:val="none" w:sz="0" w:space="0" w:color="auto"/>
          </w:divBdr>
          <w:divsChild>
            <w:div w:id="2111660624">
              <w:marLeft w:val="240"/>
              <w:marRight w:val="0"/>
              <w:marTop w:val="60"/>
              <w:marBottom w:val="60"/>
              <w:divBdr>
                <w:top w:val="none" w:sz="0" w:space="0" w:color="auto"/>
                <w:left w:val="none" w:sz="0" w:space="0" w:color="auto"/>
                <w:bottom w:val="none" w:sz="0" w:space="0" w:color="auto"/>
                <w:right w:val="none" w:sz="0" w:space="0" w:color="auto"/>
              </w:divBdr>
              <w:divsChild>
                <w:div w:id="510068642">
                  <w:marLeft w:val="240"/>
                  <w:marRight w:val="0"/>
                  <w:marTop w:val="60"/>
                  <w:marBottom w:val="60"/>
                  <w:divBdr>
                    <w:top w:val="none" w:sz="0" w:space="0" w:color="auto"/>
                    <w:left w:val="none" w:sz="0" w:space="0" w:color="auto"/>
                    <w:bottom w:val="none" w:sz="0" w:space="0" w:color="auto"/>
                    <w:right w:val="none" w:sz="0" w:space="0" w:color="auto"/>
                  </w:divBdr>
                  <w:divsChild>
                    <w:div w:id="1814326454">
                      <w:marLeft w:val="0"/>
                      <w:marRight w:val="0"/>
                      <w:marTop w:val="0"/>
                      <w:marBottom w:val="0"/>
                      <w:divBdr>
                        <w:top w:val="none" w:sz="0" w:space="0" w:color="auto"/>
                        <w:left w:val="none" w:sz="0" w:space="0" w:color="auto"/>
                        <w:bottom w:val="none" w:sz="0" w:space="0" w:color="auto"/>
                        <w:right w:val="none" w:sz="0" w:space="0" w:color="auto"/>
                      </w:divBdr>
                    </w:div>
                  </w:divsChild>
                </w:div>
                <w:div w:id="39256282">
                  <w:marLeft w:val="240"/>
                  <w:marRight w:val="0"/>
                  <w:marTop w:val="60"/>
                  <w:marBottom w:val="60"/>
                  <w:divBdr>
                    <w:top w:val="none" w:sz="0" w:space="0" w:color="auto"/>
                    <w:left w:val="none" w:sz="0" w:space="0" w:color="auto"/>
                    <w:bottom w:val="none" w:sz="0" w:space="0" w:color="auto"/>
                    <w:right w:val="none" w:sz="0" w:space="0" w:color="auto"/>
                  </w:divBdr>
                  <w:divsChild>
                    <w:div w:id="1766874769">
                      <w:marLeft w:val="0"/>
                      <w:marRight w:val="0"/>
                      <w:marTop w:val="0"/>
                      <w:marBottom w:val="0"/>
                      <w:divBdr>
                        <w:top w:val="none" w:sz="0" w:space="0" w:color="auto"/>
                        <w:left w:val="none" w:sz="0" w:space="0" w:color="auto"/>
                        <w:bottom w:val="none" w:sz="0" w:space="0" w:color="auto"/>
                        <w:right w:val="none" w:sz="0" w:space="0" w:color="auto"/>
                      </w:divBdr>
                    </w:div>
                  </w:divsChild>
                </w:div>
                <w:div w:id="914241026">
                  <w:marLeft w:val="522"/>
                  <w:marRight w:val="0"/>
                  <w:marTop w:val="0"/>
                  <w:marBottom w:val="0"/>
                  <w:divBdr>
                    <w:top w:val="none" w:sz="0" w:space="0" w:color="auto"/>
                    <w:left w:val="none" w:sz="0" w:space="0" w:color="auto"/>
                    <w:bottom w:val="none" w:sz="0" w:space="0" w:color="auto"/>
                    <w:right w:val="none" w:sz="0" w:space="0" w:color="auto"/>
                  </w:divBdr>
                </w:div>
              </w:divsChild>
            </w:div>
            <w:div w:id="96756443">
              <w:marLeft w:val="240"/>
              <w:marRight w:val="0"/>
              <w:marTop w:val="60"/>
              <w:marBottom w:val="60"/>
              <w:divBdr>
                <w:top w:val="none" w:sz="0" w:space="0" w:color="auto"/>
                <w:left w:val="none" w:sz="0" w:space="0" w:color="auto"/>
                <w:bottom w:val="none" w:sz="0" w:space="0" w:color="auto"/>
                <w:right w:val="none" w:sz="0" w:space="0" w:color="auto"/>
              </w:divBdr>
              <w:divsChild>
                <w:div w:id="2060281364">
                  <w:marLeft w:val="240"/>
                  <w:marRight w:val="0"/>
                  <w:marTop w:val="60"/>
                  <w:marBottom w:val="60"/>
                  <w:divBdr>
                    <w:top w:val="none" w:sz="0" w:space="0" w:color="auto"/>
                    <w:left w:val="none" w:sz="0" w:space="0" w:color="auto"/>
                    <w:bottom w:val="none" w:sz="0" w:space="0" w:color="auto"/>
                    <w:right w:val="none" w:sz="0" w:space="0" w:color="auto"/>
                  </w:divBdr>
                  <w:divsChild>
                    <w:div w:id="1376929892">
                      <w:marLeft w:val="240"/>
                      <w:marRight w:val="0"/>
                      <w:marTop w:val="60"/>
                      <w:marBottom w:val="60"/>
                      <w:divBdr>
                        <w:top w:val="none" w:sz="0" w:space="0" w:color="auto"/>
                        <w:left w:val="none" w:sz="0" w:space="0" w:color="auto"/>
                        <w:bottom w:val="none" w:sz="0" w:space="0" w:color="auto"/>
                        <w:right w:val="none" w:sz="0" w:space="0" w:color="auto"/>
                      </w:divBdr>
                      <w:divsChild>
                        <w:div w:id="1307933530">
                          <w:marLeft w:val="0"/>
                          <w:marRight w:val="0"/>
                          <w:marTop w:val="0"/>
                          <w:marBottom w:val="0"/>
                          <w:divBdr>
                            <w:top w:val="none" w:sz="0" w:space="0" w:color="auto"/>
                            <w:left w:val="none" w:sz="0" w:space="0" w:color="auto"/>
                            <w:bottom w:val="none" w:sz="0" w:space="0" w:color="auto"/>
                            <w:right w:val="none" w:sz="0" w:space="0" w:color="auto"/>
                          </w:divBdr>
                        </w:div>
                      </w:divsChild>
                    </w:div>
                    <w:div w:id="1250120413">
                      <w:marLeft w:val="240"/>
                      <w:marRight w:val="0"/>
                      <w:marTop w:val="60"/>
                      <w:marBottom w:val="60"/>
                      <w:divBdr>
                        <w:top w:val="none" w:sz="0" w:space="0" w:color="auto"/>
                        <w:left w:val="none" w:sz="0" w:space="0" w:color="auto"/>
                        <w:bottom w:val="none" w:sz="0" w:space="0" w:color="auto"/>
                        <w:right w:val="none" w:sz="0" w:space="0" w:color="auto"/>
                      </w:divBdr>
                      <w:divsChild>
                        <w:div w:id="1228764787">
                          <w:marLeft w:val="0"/>
                          <w:marRight w:val="0"/>
                          <w:marTop w:val="0"/>
                          <w:marBottom w:val="0"/>
                          <w:divBdr>
                            <w:top w:val="none" w:sz="0" w:space="0" w:color="auto"/>
                            <w:left w:val="none" w:sz="0" w:space="0" w:color="auto"/>
                            <w:bottom w:val="none" w:sz="0" w:space="0" w:color="auto"/>
                            <w:right w:val="none" w:sz="0" w:space="0" w:color="auto"/>
                          </w:divBdr>
                        </w:div>
                      </w:divsChild>
                    </w:div>
                    <w:div w:id="105775584">
                      <w:marLeft w:val="240"/>
                      <w:marRight w:val="0"/>
                      <w:marTop w:val="60"/>
                      <w:marBottom w:val="60"/>
                      <w:divBdr>
                        <w:top w:val="none" w:sz="0" w:space="0" w:color="auto"/>
                        <w:left w:val="none" w:sz="0" w:space="0" w:color="auto"/>
                        <w:bottom w:val="none" w:sz="0" w:space="0" w:color="auto"/>
                        <w:right w:val="none" w:sz="0" w:space="0" w:color="auto"/>
                      </w:divBdr>
                      <w:divsChild>
                        <w:div w:id="46670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51771">
                  <w:marLeft w:val="240"/>
                  <w:marRight w:val="0"/>
                  <w:marTop w:val="60"/>
                  <w:marBottom w:val="60"/>
                  <w:divBdr>
                    <w:top w:val="none" w:sz="0" w:space="0" w:color="auto"/>
                    <w:left w:val="none" w:sz="0" w:space="0" w:color="auto"/>
                    <w:bottom w:val="none" w:sz="0" w:space="0" w:color="auto"/>
                    <w:right w:val="none" w:sz="0" w:space="0" w:color="auto"/>
                  </w:divBdr>
                  <w:divsChild>
                    <w:div w:id="1995600393">
                      <w:marLeft w:val="240"/>
                      <w:marRight w:val="0"/>
                      <w:marTop w:val="60"/>
                      <w:marBottom w:val="60"/>
                      <w:divBdr>
                        <w:top w:val="none" w:sz="0" w:space="0" w:color="auto"/>
                        <w:left w:val="none" w:sz="0" w:space="0" w:color="auto"/>
                        <w:bottom w:val="none" w:sz="0" w:space="0" w:color="auto"/>
                        <w:right w:val="none" w:sz="0" w:space="0" w:color="auto"/>
                      </w:divBdr>
                      <w:divsChild>
                        <w:div w:id="972367888">
                          <w:marLeft w:val="0"/>
                          <w:marRight w:val="0"/>
                          <w:marTop w:val="0"/>
                          <w:marBottom w:val="0"/>
                          <w:divBdr>
                            <w:top w:val="none" w:sz="0" w:space="0" w:color="auto"/>
                            <w:left w:val="none" w:sz="0" w:space="0" w:color="auto"/>
                            <w:bottom w:val="none" w:sz="0" w:space="0" w:color="auto"/>
                            <w:right w:val="none" w:sz="0" w:space="0" w:color="auto"/>
                          </w:divBdr>
                        </w:div>
                      </w:divsChild>
                    </w:div>
                    <w:div w:id="400560158">
                      <w:marLeft w:val="240"/>
                      <w:marRight w:val="0"/>
                      <w:marTop w:val="60"/>
                      <w:marBottom w:val="60"/>
                      <w:divBdr>
                        <w:top w:val="none" w:sz="0" w:space="0" w:color="auto"/>
                        <w:left w:val="none" w:sz="0" w:space="0" w:color="auto"/>
                        <w:bottom w:val="none" w:sz="0" w:space="0" w:color="auto"/>
                        <w:right w:val="none" w:sz="0" w:space="0" w:color="auto"/>
                      </w:divBdr>
                      <w:divsChild>
                        <w:div w:id="165683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1103">
                  <w:marLeft w:val="240"/>
                  <w:marRight w:val="0"/>
                  <w:marTop w:val="60"/>
                  <w:marBottom w:val="60"/>
                  <w:divBdr>
                    <w:top w:val="none" w:sz="0" w:space="0" w:color="auto"/>
                    <w:left w:val="none" w:sz="0" w:space="0" w:color="auto"/>
                    <w:bottom w:val="none" w:sz="0" w:space="0" w:color="auto"/>
                    <w:right w:val="none" w:sz="0" w:space="0" w:color="auto"/>
                  </w:divBdr>
                  <w:divsChild>
                    <w:div w:id="804738046">
                      <w:marLeft w:val="240"/>
                      <w:marRight w:val="0"/>
                      <w:marTop w:val="60"/>
                      <w:marBottom w:val="60"/>
                      <w:divBdr>
                        <w:top w:val="none" w:sz="0" w:space="0" w:color="auto"/>
                        <w:left w:val="none" w:sz="0" w:space="0" w:color="auto"/>
                        <w:bottom w:val="none" w:sz="0" w:space="0" w:color="auto"/>
                        <w:right w:val="none" w:sz="0" w:space="0" w:color="auto"/>
                      </w:divBdr>
                      <w:divsChild>
                        <w:div w:id="799423276">
                          <w:marLeft w:val="0"/>
                          <w:marRight w:val="0"/>
                          <w:marTop w:val="0"/>
                          <w:marBottom w:val="0"/>
                          <w:divBdr>
                            <w:top w:val="none" w:sz="0" w:space="0" w:color="auto"/>
                            <w:left w:val="none" w:sz="0" w:space="0" w:color="auto"/>
                            <w:bottom w:val="none" w:sz="0" w:space="0" w:color="auto"/>
                            <w:right w:val="none" w:sz="0" w:space="0" w:color="auto"/>
                          </w:divBdr>
                        </w:div>
                      </w:divsChild>
                    </w:div>
                    <w:div w:id="1786344304">
                      <w:marLeft w:val="240"/>
                      <w:marRight w:val="0"/>
                      <w:marTop w:val="60"/>
                      <w:marBottom w:val="60"/>
                      <w:divBdr>
                        <w:top w:val="none" w:sz="0" w:space="0" w:color="auto"/>
                        <w:left w:val="none" w:sz="0" w:space="0" w:color="auto"/>
                        <w:bottom w:val="none" w:sz="0" w:space="0" w:color="auto"/>
                        <w:right w:val="none" w:sz="0" w:space="0" w:color="auto"/>
                      </w:divBdr>
                      <w:divsChild>
                        <w:div w:id="14128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73235">
              <w:marLeft w:val="240"/>
              <w:marRight w:val="0"/>
              <w:marTop w:val="60"/>
              <w:marBottom w:val="60"/>
              <w:divBdr>
                <w:top w:val="none" w:sz="0" w:space="0" w:color="auto"/>
                <w:left w:val="none" w:sz="0" w:space="0" w:color="auto"/>
                <w:bottom w:val="none" w:sz="0" w:space="0" w:color="auto"/>
                <w:right w:val="none" w:sz="0" w:space="0" w:color="auto"/>
              </w:divBdr>
              <w:divsChild>
                <w:div w:id="1791313077">
                  <w:marLeft w:val="240"/>
                  <w:marRight w:val="0"/>
                  <w:marTop w:val="60"/>
                  <w:marBottom w:val="60"/>
                  <w:divBdr>
                    <w:top w:val="none" w:sz="0" w:space="0" w:color="auto"/>
                    <w:left w:val="none" w:sz="0" w:space="0" w:color="auto"/>
                    <w:bottom w:val="none" w:sz="0" w:space="0" w:color="auto"/>
                    <w:right w:val="none" w:sz="0" w:space="0" w:color="auto"/>
                  </w:divBdr>
                  <w:divsChild>
                    <w:div w:id="207571996">
                      <w:marLeft w:val="0"/>
                      <w:marRight w:val="0"/>
                      <w:marTop w:val="0"/>
                      <w:marBottom w:val="0"/>
                      <w:divBdr>
                        <w:top w:val="none" w:sz="0" w:space="0" w:color="auto"/>
                        <w:left w:val="none" w:sz="0" w:space="0" w:color="auto"/>
                        <w:bottom w:val="none" w:sz="0" w:space="0" w:color="auto"/>
                        <w:right w:val="none" w:sz="0" w:space="0" w:color="auto"/>
                      </w:divBdr>
                    </w:div>
                  </w:divsChild>
                </w:div>
                <w:div w:id="1212963410">
                  <w:marLeft w:val="240"/>
                  <w:marRight w:val="0"/>
                  <w:marTop w:val="60"/>
                  <w:marBottom w:val="60"/>
                  <w:divBdr>
                    <w:top w:val="none" w:sz="0" w:space="0" w:color="auto"/>
                    <w:left w:val="none" w:sz="0" w:space="0" w:color="auto"/>
                    <w:bottom w:val="none" w:sz="0" w:space="0" w:color="auto"/>
                    <w:right w:val="none" w:sz="0" w:space="0" w:color="auto"/>
                  </w:divBdr>
                  <w:divsChild>
                    <w:div w:id="1672297568">
                      <w:marLeft w:val="0"/>
                      <w:marRight w:val="0"/>
                      <w:marTop w:val="0"/>
                      <w:marBottom w:val="0"/>
                      <w:divBdr>
                        <w:top w:val="none" w:sz="0" w:space="0" w:color="auto"/>
                        <w:left w:val="none" w:sz="0" w:space="0" w:color="auto"/>
                        <w:bottom w:val="none" w:sz="0" w:space="0" w:color="auto"/>
                        <w:right w:val="none" w:sz="0" w:space="0" w:color="auto"/>
                      </w:divBdr>
                    </w:div>
                  </w:divsChild>
                </w:div>
                <w:div w:id="1509712073">
                  <w:marLeft w:val="240"/>
                  <w:marRight w:val="0"/>
                  <w:marTop w:val="60"/>
                  <w:marBottom w:val="60"/>
                  <w:divBdr>
                    <w:top w:val="none" w:sz="0" w:space="0" w:color="auto"/>
                    <w:left w:val="none" w:sz="0" w:space="0" w:color="auto"/>
                    <w:bottom w:val="none" w:sz="0" w:space="0" w:color="auto"/>
                    <w:right w:val="none" w:sz="0" w:space="0" w:color="auto"/>
                  </w:divBdr>
                  <w:divsChild>
                    <w:div w:id="723406225">
                      <w:marLeft w:val="0"/>
                      <w:marRight w:val="0"/>
                      <w:marTop w:val="0"/>
                      <w:marBottom w:val="0"/>
                      <w:divBdr>
                        <w:top w:val="none" w:sz="0" w:space="0" w:color="auto"/>
                        <w:left w:val="none" w:sz="0" w:space="0" w:color="auto"/>
                        <w:bottom w:val="none" w:sz="0" w:space="0" w:color="auto"/>
                        <w:right w:val="none" w:sz="0" w:space="0" w:color="auto"/>
                      </w:divBdr>
                    </w:div>
                  </w:divsChild>
                </w:div>
                <w:div w:id="431243684">
                  <w:marLeft w:val="240"/>
                  <w:marRight w:val="0"/>
                  <w:marTop w:val="60"/>
                  <w:marBottom w:val="60"/>
                  <w:divBdr>
                    <w:top w:val="none" w:sz="0" w:space="0" w:color="auto"/>
                    <w:left w:val="none" w:sz="0" w:space="0" w:color="auto"/>
                    <w:bottom w:val="none" w:sz="0" w:space="0" w:color="auto"/>
                    <w:right w:val="none" w:sz="0" w:space="0" w:color="auto"/>
                  </w:divBdr>
                  <w:divsChild>
                    <w:div w:id="605575658">
                      <w:marLeft w:val="0"/>
                      <w:marRight w:val="0"/>
                      <w:marTop w:val="0"/>
                      <w:marBottom w:val="0"/>
                      <w:divBdr>
                        <w:top w:val="none" w:sz="0" w:space="0" w:color="auto"/>
                        <w:left w:val="none" w:sz="0" w:space="0" w:color="auto"/>
                        <w:bottom w:val="none" w:sz="0" w:space="0" w:color="auto"/>
                        <w:right w:val="none" w:sz="0" w:space="0" w:color="auto"/>
                      </w:divBdr>
                    </w:div>
                  </w:divsChild>
                </w:div>
                <w:div w:id="1583221261">
                  <w:marLeft w:val="240"/>
                  <w:marRight w:val="0"/>
                  <w:marTop w:val="60"/>
                  <w:marBottom w:val="60"/>
                  <w:divBdr>
                    <w:top w:val="none" w:sz="0" w:space="0" w:color="auto"/>
                    <w:left w:val="none" w:sz="0" w:space="0" w:color="auto"/>
                    <w:bottom w:val="none" w:sz="0" w:space="0" w:color="auto"/>
                    <w:right w:val="none" w:sz="0" w:space="0" w:color="auto"/>
                  </w:divBdr>
                  <w:divsChild>
                    <w:div w:id="10884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4228">
              <w:marLeft w:val="240"/>
              <w:marRight w:val="0"/>
              <w:marTop w:val="60"/>
              <w:marBottom w:val="60"/>
              <w:divBdr>
                <w:top w:val="none" w:sz="0" w:space="0" w:color="auto"/>
                <w:left w:val="none" w:sz="0" w:space="0" w:color="auto"/>
                <w:bottom w:val="none" w:sz="0" w:space="0" w:color="auto"/>
                <w:right w:val="none" w:sz="0" w:space="0" w:color="auto"/>
              </w:divBdr>
              <w:divsChild>
                <w:div w:id="427586062">
                  <w:marLeft w:val="0"/>
                  <w:marRight w:val="0"/>
                  <w:marTop w:val="0"/>
                  <w:marBottom w:val="0"/>
                  <w:divBdr>
                    <w:top w:val="none" w:sz="0" w:space="0" w:color="auto"/>
                    <w:left w:val="none" w:sz="0" w:space="0" w:color="auto"/>
                    <w:bottom w:val="none" w:sz="0" w:space="0" w:color="auto"/>
                    <w:right w:val="none" w:sz="0" w:space="0" w:color="auto"/>
                  </w:divBdr>
                </w:div>
              </w:divsChild>
            </w:div>
            <w:div w:id="468323230">
              <w:marLeft w:val="240"/>
              <w:marRight w:val="0"/>
              <w:marTop w:val="60"/>
              <w:marBottom w:val="60"/>
              <w:divBdr>
                <w:top w:val="none" w:sz="0" w:space="0" w:color="auto"/>
                <w:left w:val="none" w:sz="0" w:space="0" w:color="auto"/>
                <w:bottom w:val="none" w:sz="0" w:space="0" w:color="auto"/>
                <w:right w:val="none" w:sz="0" w:space="0" w:color="auto"/>
              </w:divBdr>
              <w:divsChild>
                <w:div w:id="1891768409">
                  <w:marLeft w:val="0"/>
                  <w:marRight w:val="0"/>
                  <w:marTop w:val="0"/>
                  <w:marBottom w:val="0"/>
                  <w:divBdr>
                    <w:top w:val="none" w:sz="0" w:space="0" w:color="auto"/>
                    <w:left w:val="none" w:sz="0" w:space="0" w:color="auto"/>
                    <w:bottom w:val="none" w:sz="0" w:space="0" w:color="auto"/>
                    <w:right w:val="none" w:sz="0" w:space="0" w:color="auto"/>
                  </w:divBdr>
                </w:div>
              </w:divsChild>
            </w:div>
            <w:div w:id="1632441737">
              <w:marLeft w:val="240"/>
              <w:marRight w:val="0"/>
              <w:marTop w:val="60"/>
              <w:marBottom w:val="60"/>
              <w:divBdr>
                <w:top w:val="none" w:sz="0" w:space="0" w:color="auto"/>
                <w:left w:val="none" w:sz="0" w:space="0" w:color="auto"/>
                <w:bottom w:val="none" w:sz="0" w:space="0" w:color="auto"/>
                <w:right w:val="none" w:sz="0" w:space="0" w:color="auto"/>
              </w:divBdr>
              <w:divsChild>
                <w:div w:id="11019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3327">
          <w:marLeft w:val="240"/>
          <w:marRight w:val="0"/>
          <w:marTop w:val="60"/>
          <w:marBottom w:val="60"/>
          <w:divBdr>
            <w:top w:val="none" w:sz="0" w:space="0" w:color="auto"/>
            <w:left w:val="none" w:sz="0" w:space="0" w:color="auto"/>
            <w:bottom w:val="none" w:sz="0" w:space="0" w:color="auto"/>
            <w:right w:val="none" w:sz="0" w:space="0" w:color="auto"/>
          </w:divBdr>
          <w:divsChild>
            <w:div w:id="1890721290">
              <w:marLeft w:val="240"/>
              <w:marRight w:val="0"/>
              <w:marTop w:val="60"/>
              <w:marBottom w:val="60"/>
              <w:divBdr>
                <w:top w:val="none" w:sz="0" w:space="0" w:color="auto"/>
                <w:left w:val="none" w:sz="0" w:space="0" w:color="auto"/>
                <w:bottom w:val="none" w:sz="0" w:space="0" w:color="auto"/>
                <w:right w:val="none" w:sz="0" w:space="0" w:color="auto"/>
              </w:divBdr>
              <w:divsChild>
                <w:div w:id="852575763">
                  <w:marLeft w:val="0"/>
                  <w:marRight w:val="0"/>
                  <w:marTop w:val="0"/>
                  <w:marBottom w:val="0"/>
                  <w:divBdr>
                    <w:top w:val="none" w:sz="0" w:space="0" w:color="auto"/>
                    <w:left w:val="none" w:sz="0" w:space="0" w:color="auto"/>
                    <w:bottom w:val="none" w:sz="0" w:space="0" w:color="auto"/>
                    <w:right w:val="none" w:sz="0" w:space="0" w:color="auto"/>
                  </w:divBdr>
                </w:div>
              </w:divsChild>
            </w:div>
            <w:div w:id="1476684819">
              <w:marLeft w:val="240"/>
              <w:marRight w:val="0"/>
              <w:marTop w:val="60"/>
              <w:marBottom w:val="60"/>
              <w:divBdr>
                <w:top w:val="none" w:sz="0" w:space="0" w:color="auto"/>
                <w:left w:val="none" w:sz="0" w:space="0" w:color="auto"/>
                <w:bottom w:val="none" w:sz="0" w:space="0" w:color="auto"/>
                <w:right w:val="none" w:sz="0" w:space="0" w:color="auto"/>
              </w:divBdr>
              <w:divsChild>
                <w:div w:id="140200226">
                  <w:marLeft w:val="240"/>
                  <w:marRight w:val="0"/>
                  <w:marTop w:val="60"/>
                  <w:marBottom w:val="60"/>
                  <w:divBdr>
                    <w:top w:val="none" w:sz="0" w:space="0" w:color="auto"/>
                    <w:left w:val="none" w:sz="0" w:space="0" w:color="auto"/>
                    <w:bottom w:val="none" w:sz="0" w:space="0" w:color="auto"/>
                    <w:right w:val="none" w:sz="0" w:space="0" w:color="auto"/>
                  </w:divBdr>
                  <w:divsChild>
                    <w:div w:id="1825773546">
                      <w:marLeft w:val="0"/>
                      <w:marRight w:val="0"/>
                      <w:marTop w:val="0"/>
                      <w:marBottom w:val="0"/>
                      <w:divBdr>
                        <w:top w:val="none" w:sz="0" w:space="0" w:color="auto"/>
                        <w:left w:val="none" w:sz="0" w:space="0" w:color="auto"/>
                        <w:bottom w:val="none" w:sz="0" w:space="0" w:color="auto"/>
                        <w:right w:val="none" w:sz="0" w:space="0" w:color="auto"/>
                      </w:divBdr>
                    </w:div>
                  </w:divsChild>
                </w:div>
                <w:div w:id="1804350700">
                  <w:marLeft w:val="240"/>
                  <w:marRight w:val="0"/>
                  <w:marTop w:val="60"/>
                  <w:marBottom w:val="60"/>
                  <w:divBdr>
                    <w:top w:val="none" w:sz="0" w:space="0" w:color="auto"/>
                    <w:left w:val="none" w:sz="0" w:space="0" w:color="auto"/>
                    <w:bottom w:val="none" w:sz="0" w:space="0" w:color="auto"/>
                    <w:right w:val="none" w:sz="0" w:space="0" w:color="auto"/>
                  </w:divBdr>
                  <w:divsChild>
                    <w:div w:id="12722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31449">
              <w:marLeft w:val="240"/>
              <w:marRight w:val="0"/>
              <w:marTop w:val="60"/>
              <w:marBottom w:val="60"/>
              <w:divBdr>
                <w:top w:val="none" w:sz="0" w:space="0" w:color="auto"/>
                <w:left w:val="none" w:sz="0" w:space="0" w:color="auto"/>
                <w:bottom w:val="none" w:sz="0" w:space="0" w:color="auto"/>
                <w:right w:val="none" w:sz="0" w:space="0" w:color="auto"/>
              </w:divBdr>
              <w:divsChild>
                <w:div w:id="10896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80496">
          <w:marLeft w:val="240"/>
          <w:marRight w:val="0"/>
          <w:marTop w:val="60"/>
          <w:marBottom w:val="60"/>
          <w:divBdr>
            <w:top w:val="none" w:sz="0" w:space="0" w:color="auto"/>
            <w:left w:val="none" w:sz="0" w:space="0" w:color="auto"/>
            <w:bottom w:val="none" w:sz="0" w:space="0" w:color="auto"/>
            <w:right w:val="none" w:sz="0" w:space="0" w:color="auto"/>
          </w:divBdr>
          <w:divsChild>
            <w:div w:id="766388348">
              <w:marLeft w:val="0"/>
              <w:marRight w:val="0"/>
              <w:marTop w:val="0"/>
              <w:marBottom w:val="0"/>
              <w:divBdr>
                <w:top w:val="none" w:sz="0" w:space="0" w:color="auto"/>
                <w:left w:val="none" w:sz="0" w:space="0" w:color="auto"/>
                <w:bottom w:val="none" w:sz="0" w:space="0" w:color="auto"/>
                <w:right w:val="none" w:sz="0" w:space="0" w:color="auto"/>
              </w:divBdr>
            </w:div>
          </w:divsChild>
        </w:div>
        <w:div w:id="2139450737">
          <w:marLeft w:val="240"/>
          <w:marRight w:val="0"/>
          <w:marTop w:val="60"/>
          <w:marBottom w:val="60"/>
          <w:divBdr>
            <w:top w:val="none" w:sz="0" w:space="0" w:color="auto"/>
            <w:left w:val="none" w:sz="0" w:space="0" w:color="auto"/>
            <w:bottom w:val="none" w:sz="0" w:space="0" w:color="auto"/>
            <w:right w:val="none" w:sz="0" w:space="0" w:color="auto"/>
          </w:divBdr>
          <w:divsChild>
            <w:div w:id="1031805680">
              <w:marLeft w:val="240"/>
              <w:marRight w:val="0"/>
              <w:marTop w:val="60"/>
              <w:marBottom w:val="60"/>
              <w:divBdr>
                <w:top w:val="none" w:sz="0" w:space="0" w:color="auto"/>
                <w:left w:val="none" w:sz="0" w:space="0" w:color="auto"/>
                <w:bottom w:val="none" w:sz="0" w:space="0" w:color="auto"/>
                <w:right w:val="none" w:sz="0" w:space="0" w:color="auto"/>
              </w:divBdr>
              <w:divsChild>
                <w:div w:id="1293445679">
                  <w:marLeft w:val="0"/>
                  <w:marRight w:val="0"/>
                  <w:marTop w:val="0"/>
                  <w:marBottom w:val="0"/>
                  <w:divBdr>
                    <w:top w:val="none" w:sz="0" w:space="0" w:color="auto"/>
                    <w:left w:val="none" w:sz="0" w:space="0" w:color="auto"/>
                    <w:bottom w:val="none" w:sz="0" w:space="0" w:color="auto"/>
                    <w:right w:val="none" w:sz="0" w:space="0" w:color="auto"/>
                  </w:divBdr>
                </w:div>
              </w:divsChild>
            </w:div>
            <w:div w:id="1931546518">
              <w:marLeft w:val="240"/>
              <w:marRight w:val="0"/>
              <w:marTop w:val="60"/>
              <w:marBottom w:val="60"/>
              <w:divBdr>
                <w:top w:val="none" w:sz="0" w:space="0" w:color="auto"/>
                <w:left w:val="none" w:sz="0" w:space="0" w:color="auto"/>
                <w:bottom w:val="none" w:sz="0" w:space="0" w:color="auto"/>
                <w:right w:val="none" w:sz="0" w:space="0" w:color="auto"/>
              </w:divBdr>
              <w:divsChild>
                <w:div w:id="17516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078">
          <w:marLeft w:val="0"/>
          <w:marRight w:val="0"/>
          <w:marTop w:val="0"/>
          <w:marBottom w:val="0"/>
          <w:divBdr>
            <w:top w:val="none" w:sz="0" w:space="0" w:color="auto"/>
            <w:left w:val="none" w:sz="0" w:space="0" w:color="auto"/>
            <w:bottom w:val="none" w:sz="0" w:space="0" w:color="auto"/>
            <w:right w:val="none" w:sz="0" w:space="0" w:color="auto"/>
          </w:divBdr>
        </w:div>
      </w:divsChild>
    </w:div>
    <w:div w:id="1726447344">
      <w:bodyDiv w:val="1"/>
      <w:marLeft w:val="0"/>
      <w:marRight w:val="0"/>
      <w:marTop w:val="0"/>
      <w:marBottom w:val="0"/>
      <w:divBdr>
        <w:top w:val="none" w:sz="0" w:space="0" w:color="auto"/>
        <w:left w:val="none" w:sz="0" w:space="0" w:color="auto"/>
        <w:bottom w:val="none" w:sz="0" w:space="0" w:color="auto"/>
        <w:right w:val="none" w:sz="0" w:space="0" w:color="auto"/>
      </w:divBdr>
    </w:div>
    <w:div w:id="1732970423">
      <w:bodyDiv w:val="1"/>
      <w:marLeft w:val="0"/>
      <w:marRight w:val="0"/>
      <w:marTop w:val="0"/>
      <w:marBottom w:val="0"/>
      <w:divBdr>
        <w:top w:val="none" w:sz="0" w:space="0" w:color="auto"/>
        <w:left w:val="none" w:sz="0" w:space="0" w:color="auto"/>
        <w:bottom w:val="none" w:sz="0" w:space="0" w:color="auto"/>
        <w:right w:val="none" w:sz="0" w:space="0" w:color="auto"/>
      </w:divBdr>
    </w:div>
    <w:div w:id="1738014891">
      <w:bodyDiv w:val="1"/>
      <w:marLeft w:val="0"/>
      <w:marRight w:val="0"/>
      <w:marTop w:val="0"/>
      <w:marBottom w:val="0"/>
      <w:divBdr>
        <w:top w:val="none" w:sz="0" w:space="0" w:color="auto"/>
        <w:left w:val="none" w:sz="0" w:space="0" w:color="auto"/>
        <w:bottom w:val="none" w:sz="0" w:space="0" w:color="auto"/>
        <w:right w:val="none" w:sz="0" w:space="0" w:color="auto"/>
      </w:divBdr>
    </w:div>
    <w:div w:id="1746948201">
      <w:bodyDiv w:val="1"/>
      <w:marLeft w:val="0"/>
      <w:marRight w:val="0"/>
      <w:marTop w:val="0"/>
      <w:marBottom w:val="0"/>
      <w:divBdr>
        <w:top w:val="none" w:sz="0" w:space="0" w:color="auto"/>
        <w:left w:val="none" w:sz="0" w:space="0" w:color="auto"/>
        <w:bottom w:val="none" w:sz="0" w:space="0" w:color="auto"/>
        <w:right w:val="none" w:sz="0" w:space="0" w:color="auto"/>
      </w:divBdr>
    </w:div>
    <w:div w:id="1747418328">
      <w:bodyDiv w:val="1"/>
      <w:marLeft w:val="0"/>
      <w:marRight w:val="0"/>
      <w:marTop w:val="0"/>
      <w:marBottom w:val="0"/>
      <w:divBdr>
        <w:top w:val="none" w:sz="0" w:space="0" w:color="auto"/>
        <w:left w:val="none" w:sz="0" w:space="0" w:color="auto"/>
        <w:bottom w:val="none" w:sz="0" w:space="0" w:color="auto"/>
        <w:right w:val="none" w:sz="0" w:space="0" w:color="auto"/>
      </w:divBdr>
    </w:div>
    <w:div w:id="1753695110">
      <w:bodyDiv w:val="1"/>
      <w:marLeft w:val="0"/>
      <w:marRight w:val="0"/>
      <w:marTop w:val="0"/>
      <w:marBottom w:val="0"/>
      <w:divBdr>
        <w:top w:val="none" w:sz="0" w:space="0" w:color="auto"/>
        <w:left w:val="none" w:sz="0" w:space="0" w:color="auto"/>
        <w:bottom w:val="none" w:sz="0" w:space="0" w:color="auto"/>
        <w:right w:val="none" w:sz="0" w:space="0" w:color="auto"/>
      </w:divBdr>
    </w:div>
    <w:div w:id="1760061182">
      <w:bodyDiv w:val="1"/>
      <w:marLeft w:val="0"/>
      <w:marRight w:val="0"/>
      <w:marTop w:val="0"/>
      <w:marBottom w:val="0"/>
      <w:divBdr>
        <w:top w:val="none" w:sz="0" w:space="0" w:color="auto"/>
        <w:left w:val="none" w:sz="0" w:space="0" w:color="auto"/>
        <w:bottom w:val="none" w:sz="0" w:space="0" w:color="auto"/>
        <w:right w:val="none" w:sz="0" w:space="0" w:color="auto"/>
      </w:divBdr>
    </w:div>
    <w:div w:id="1778405754">
      <w:bodyDiv w:val="1"/>
      <w:marLeft w:val="0"/>
      <w:marRight w:val="0"/>
      <w:marTop w:val="0"/>
      <w:marBottom w:val="0"/>
      <w:divBdr>
        <w:top w:val="none" w:sz="0" w:space="0" w:color="auto"/>
        <w:left w:val="none" w:sz="0" w:space="0" w:color="auto"/>
        <w:bottom w:val="none" w:sz="0" w:space="0" w:color="auto"/>
        <w:right w:val="none" w:sz="0" w:space="0" w:color="auto"/>
      </w:divBdr>
    </w:div>
    <w:div w:id="1780443728">
      <w:bodyDiv w:val="1"/>
      <w:marLeft w:val="0"/>
      <w:marRight w:val="0"/>
      <w:marTop w:val="0"/>
      <w:marBottom w:val="0"/>
      <w:divBdr>
        <w:top w:val="none" w:sz="0" w:space="0" w:color="auto"/>
        <w:left w:val="none" w:sz="0" w:space="0" w:color="auto"/>
        <w:bottom w:val="none" w:sz="0" w:space="0" w:color="auto"/>
        <w:right w:val="none" w:sz="0" w:space="0" w:color="auto"/>
      </w:divBdr>
    </w:div>
    <w:div w:id="1791238297">
      <w:bodyDiv w:val="1"/>
      <w:marLeft w:val="0"/>
      <w:marRight w:val="0"/>
      <w:marTop w:val="0"/>
      <w:marBottom w:val="0"/>
      <w:divBdr>
        <w:top w:val="none" w:sz="0" w:space="0" w:color="auto"/>
        <w:left w:val="none" w:sz="0" w:space="0" w:color="auto"/>
        <w:bottom w:val="none" w:sz="0" w:space="0" w:color="auto"/>
        <w:right w:val="none" w:sz="0" w:space="0" w:color="auto"/>
      </w:divBdr>
    </w:div>
    <w:div w:id="1801681201">
      <w:bodyDiv w:val="1"/>
      <w:marLeft w:val="0"/>
      <w:marRight w:val="0"/>
      <w:marTop w:val="0"/>
      <w:marBottom w:val="0"/>
      <w:divBdr>
        <w:top w:val="none" w:sz="0" w:space="0" w:color="auto"/>
        <w:left w:val="none" w:sz="0" w:space="0" w:color="auto"/>
        <w:bottom w:val="none" w:sz="0" w:space="0" w:color="auto"/>
        <w:right w:val="none" w:sz="0" w:space="0" w:color="auto"/>
      </w:divBdr>
    </w:div>
    <w:div w:id="1827236355">
      <w:bodyDiv w:val="1"/>
      <w:marLeft w:val="0"/>
      <w:marRight w:val="0"/>
      <w:marTop w:val="0"/>
      <w:marBottom w:val="0"/>
      <w:divBdr>
        <w:top w:val="none" w:sz="0" w:space="0" w:color="auto"/>
        <w:left w:val="none" w:sz="0" w:space="0" w:color="auto"/>
        <w:bottom w:val="none" w:sz="0" w:space="0" w:color="auto"/>
        <w:right w:val="none" w:sz="0" w:space="0" w:color="auto"/>
      </w:divBdr>
      <w:divsChild>
        <w:div w:id="2019304844">
          <w:marLeft w:val="240"/>
          <w:marRight w:val="0"/>
          <w:marTop w:val="60"/>
          <w:marBottom w:val="60"/>
          <w:divBdr>
            <w:top w:val="none" w:sz="0" w:space="0" w:color="auto"/>
            <w:left w:val="none" w:sz="0" w:space="0" w:color="auto"/>
            <w:bottom w:val="none" w:sz="0" w:space="0" w:color="auto"/>
            <w:right w:val="none" w:sz="0" w:space="0" w:color="auto"/>
          </w:divBdr>
          <w:divsChild>
            <w:div w:id="1367024088">
              <w:marLeft w:val="0"/>
              <w:marRight w:val="0"/>
              <w:marTop w:val="0"/>
              <w:marBottom w:val="0"/>
              <w:divBdr>
                <w:top w:val="none" w:sz="0" w:space="0" w:color="auto"/>
                <w:left w:val="none" w:sz="0" w:space="0" w:color="auto"/>
                <w:bottom w:val="none" w:sz="0" w:space="0" w:color="auto"/>
                <w:right w:val="none" w:sz="0" w:space="0" w:color="auto"/>
              </w:divBdr>
            </w:div>
          </w:divsChild>
        </w:div>
        <w:div w:id="1806776875">
          <w:marLeft w:val="240"/>
          <w:marRight w:val="0"/>
          <w:marTop w:val="60"/>
          <w:marBottom w:val="60"/>
          <w:divBdr>
            <w:top w:val="none" w:sz="0" w:space="0" w:color="auto"/>
            <w:left w:val="none" w:sz="0" w:space="0" w:color="auto"/>
            <w:bottom w:val="none" w:sz="0" w:space="0" w:color="auto"/>
            <w:right w:val="none" w:sz="0" w:space="0" w:color="auto"/>
          </w:divBdr>
          <w:divsChild>
            <w:div w:id="1035692453">
              <w:marLeft w:val="240"/>
              <w:marRight w:val="0"/>
              <w:marTop w:val="60"/>
              <w:marBottom w:val="60"/>
              <w:divBdr>
                <w:top w:val="none" w:sz="0" w:space="0" w:color="auto"/>
                <w:left w:val="none" w:sz="0" w:space="0" w:color="auto"/>
                <w:bottom w:val="none" w:sz="0" w:space="0" w:color="auto"/>
                <w:right w:val="none" w:sz="0" w:space="0" w:color="auto"/>
              </w:divBdr>
              <w:divsChild>
                <w:div w:id="85270039">
                  <w:marLeft w:val="240"/>
                  <w:marRight w:val="0"/>
                  <w:marTop w:val="60"/>
                  <w:marBottom w:val="60"/>
                  <w:divBdr>
                    <w:top w:val="none" w:sz="0" w:space="0" w:color="auto"/>
                    <w:left w:val="none" w:sz="0" w:space="0" w:color="auto"/>
                    <w:bottom w:val="none" w:sz="0" w:space="0" w:color="auto"/>
                    <w:right w:val="none" w:sz="0" w:space="0" w:color="auto"/>
                  </w:divBdr>
                  <w:divsChild>
                    <w:div w:id="1987322776">
                      <w:marLeft w:val="0"/>
                      <w:marRight w:val="0"/>
                      <w:marTop w:val="0"/>
                      <w:marBottom w:val="0"/>
                      <w:divBdr>
                        <w:top w:val="none" w:sz="0" w:space="0" w:color="auto"/>
                        <w:left w:val="none" w:sz="0" w:space="0" w:color="auto"/>
                        <w:bottom w:val="none" w:sz="0" w:space="0" w:color="auto"/>
                        <w:right w:val="none" w:sz="0" w:space="0" w:color="auto"/>
                      </w:divBdr>
                    </w:div>
                  </w:divsChild>
                </w:div>
                <w:div w:id="1295600835">
                  <w:marLeft w:val="240"/>
                  <w:marRight w:val="0"/>
                  <w:marTop w:val="60"/>
                  <w:marBottom w:val="60"/>
                  <w:divBdr>
                    <w:top w:val="none" w:sz="0" w:space="0" w:color="auto"/>
                    <w:left w:val="none" w:sz="0" w:space="0" w:color="auto"/>
                    <w:bottom w:val="none" w:sz="0" w:space="0" w:color="auto"/>
                    <w:right w:val="none" w:sz="0" w:space="0" w:color="auto"/>
                  </w:divBdr>
                  <w:divsChild>
                    <w:div w:id="1935018130">
                      <w:marLeft w:val="0"/>
                      <w:marRight w:val="0"/>
                      <w:marTop w:val="0"/>
                      <w:marBottom w:val="0"/>
                      <w:divBdr>
                        <w:top w:val="none" w:sz="0" w:space="0" w:color="auto"/>
                        <w:left w:val="none" w:sz="0" w:space="0" w:color="auto"/>
                        <w:bottom w:val="none" w:sz="0" w:space="0" w:color="auto"/>
                        <w:right w:val="none" w:sz="0" w:space="0" w:color="auto"/>
                      </w:divBdr>
                    </w:div>
                  </w:divsChild>
                </w:div>
                <w:div w:id="380591750">
                  <w:marLeft w:val="240"/>
                  <w:marRight w:val="0"/>
                  <w:marTop w:val="60"/>
                  <w:marBottom w:val="60"/>
                  <w:divBdr>
                    <w:top w:val="none" w:sz="0" w:space="0" w:color="auto"/>
                    <w:left w:val="none" w:sz="0" w:space="0" w:color="auto"/>
                    <w:bottom w:val="none" w:sz="0" w:space="0" w:color="auto"/>
                    <w:right w:val="none" w:sz="0" w:space="0" w:color="auto"/>
                  </w:divBdr>
                  <w:divsChild>
                    <w:div w:id="1889803827">
                      <w:marLeft w:val="0"/>
                      <w:marRight w:val="0"/>
                      <w:marTop w:val="0"/>
                      <w:marBottom w:val="0"/>
                      <w:divBdr>
                        <w:top w:val="none" w:sz="0" w:space="0" w:color="auto"/>
                        <w:left w:val="none" w:sz="0" w:space="0" w:color="auto"/>
                        <w:bottom w:val="none" w:sz="0" w:space="0" w:color="auto"/>
                        <w:right w:val="none" w:sz="0" w:space="0" w:color="auto"/>
                      </w:divBdr>
                    </w:div>
                  </w:divsChild>
                </w:div>
                <w:div w:id="492187096">
                  <w:marLeft w:val="240"/>
                  <w:marRight w:val="0"/>
                  <w:marTop w:val="60"/>
                  <w:marBottom w:val="60"/>
                  <w:divBdr>
                    <w:top w:val="none" w:sz="0" w:space="0" w:color="auto"/>
                    <w:left w:val="none" w:sz="0" w:space="0" w:color="auto"/>
                    <w:bottom w:val="none" w:sz="0" w:space="0" w:color="auto"/>
                    <w:right w:val="none" w:sz="0" w:space="0" w:color="auto"/>
                  </w:divBdr>
                  <w:divsChild>
                    <w:div w:id="16298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22818">
              <w:marLeft w:val="240"/>
              <w:marRight w:val="0"/>
              <w:marTop w:val="60"/>
              <w:marBottom w:val="60"/>
              <w:divBdr>
                <w:top w:val="none" w:sz="0" w:space="0" w:color="auto"/>
                <w:left w:val="none" w:sz="0" w:space="0" w:color="auto"/>
                <w:bottom w:val="none" w:sz="0" w:space="0" w:color="auto"/>
                <w:right w:val="none" w:sz="0" w:space="0" w:color="auto"/>
              </w:divBdr>
              <w:divsChild>
                <w:div w:id="314845247">
                  <w:marLeft w:val="240"/>
                  <w:marRight w:val="0"/>
                  <w:marTop w:val="60"/>
                  <w:marBottom w:val="60"/>
                  <w:divBdr>
                    <w:top w:val="none" w:sz="0" w:space="0" w:color="auto"/>
                    <w:left w:val="none" w:sz="0" w:space="0" w:color="auto"/>
                    <w:bottom w:val="none" w:sz="0" w:space="0" w:color="auto"/>
                    <w:right w:val="none" w:sz="0" w:space="0" w:color="auto"/>
                  </w:divBdr>
                  <w:divsChild>
                    <w:div w:id="18557258">
                      <w:marLeft w:val="0"/>
                      <w:marRight w:val="0"/>
                      <w:marTop w:val="0"/>
                      <w:marBottom w:val="0"/>
                      <w:divBdr>
                        <w:top w:val="none" w:sz="0" w:space="0" w:color="auto"/>
                        <w:left w:val="none" w:sz="0" w:space="0" w:color="auto"/>
                        <w:bottom w:val="none" w:sz="0" w:space="0" w:color="auto"/>
                        <w:right w:val="none" w:sz="0" w:space="0" w:color="auto"/>
                      </w:divBdr>
                    </w:div>
                  </w:divsChild>
                </w:div>
                <w:div w:id="2079086130">
                  <w:marLeft w:val="240"/>
                  <w:marRight w:val="0"/>
                  <w:marTop w:val="60"/>
                  <w:marBottom w:val="60"/>
                  <w:divBdr>
                    <w:top w:val="none" w:sz="0" w:space="0" w:color="auto"/>
                    <w:left w:val="none" w:sz="0" w:space="0" w:color="auto"/>
                    <w:bottom w:val="none" w:sz="0" w:space="0" w:color="auto"/>
                    <w:right w:val="none" w:sz="0" w:space="0" w:color="auto"/>
                  </w:divBdr>
                  <w:divsChild>
                    <w:div w:id="21121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5677">
              <w:marLeft w:val="240"/>
              <w:marRight w:val="0"/>
              <w:marTop w:val="60"/>
              <w:marBottom w:val="60"/>
              <w:divBdr>
                <w:top w:val="none" w:sz="0" w:space="0" w:color="auto"/>
                <w:left w:val="none" w:sz="0" w:space="0" w:color="auto"/>
                <w:bottom w:val="none" w:sz="0" w:space="0" w:color="auto"/>
                <w:right w:val="none" w:sz="0" w:space="0" w:color="auto"/>
              </w:divBdr>
              <w:divsChild>
                <w:div w:id="2103908797">
                  <w:marLeft w:val="240"/>
                  <w:marRight w:val="0"/>
                  <w:marTop w:val="60"/>
                  <w:marBottom w:val="60"/>
                  <w:divBdr>
                    <w:top w:val="none" w:sz="0" w:space="0" w:color="auto"/>
                    <w:left w:val="none" w:sz="0" w:space="0" w:color="auto"/>
                    <w:bottom w:val="none" w:sz="0" w:space="0" w:color="auto"/>
                    <w:right w:val="none" w:sz="0" w:space="0" w:color="auto"/>
                  </w:divBdr>
                  <w:divsChild>
                    <w:div w:id="387999107">
                      <w:marLeft w:val="0"/>
                      <w:marRight w:val="0"/>
                      <w:marTop w:val="0"/>
                      <w:marBottom w:val="0"/>
                      <w:divBdr>
                        <w:top w:val="none" w:sz="0" w:space="0" w:color="auto"/>
                        <w:left w:val="none" w:sz="0" w:space="0" w:color="auto"/>
                        <w:bottom w:val="none" w:sz="0" w:space="0" w:color="auto"/>
                        <w:right w:val="none" w:sz="0" w:space="0" w:color="auto"/>
                      </w:divBdr>
                    </w:div>
                  </w:divsChild>
                </w:div>
                <w:div w:id="1199590221">
                  <w:marLeft w:val="240"/>
                  <w:marRight w:val="0"/>
                  <w:marTop w:val="60"/>
                  <w:marBottom w:val="60"/>
                  <w:divBdr>
                    <w:top w:val="none" w:sz="0" w:space="0" w:color="auto"/>
                    <w:left w:val="none" w:sz="0" w:space="0" w:color="auto"/>
                    <w:bottom w:val="none" w:sz="0" w:space="0" w:color="auto"/>
                    <w:right w:val="none" w:sz="0" w:space="0" w:color="auto"/>
                  </w:divBdr>
                  <w:divsChild>
                    <w:div w:id="45490534">
                      <w:marLeft w:val="0"/>
                      <w:marRight w:val="0"/>
                      <w:marTop w:val="0"/>
                      <w:marBottom w:val="0"/>
                      <w:divBdr>
                        <w:top w:val="none" w:sz="0" w:space="0" w:color="auto"/>
                        <w:left w:val="none" w:sz="0" w:space="0" w:color="auto"/>
                        <w:bottom w:val="none" w:sz="0" w:space="0" w:color="auto"/>
                        <w:right w:val="none" w:sz="0" w:space="0" w:color="auto"/>
                      </w:divBdr>
                    </w:div>
                  </w:divsChild>
                </w:div>
                <w:div w:id="1606498890">
                  <w:marLeft w:val="522"/>
                  <w:marRight w:val="0"/>
                  <w:marTop w:val="0"/>
                  <w:marBottom w:val="0"/>
                  <w:divBdr>
                    <w:top w:val="none" w:sz="0" w:space="0" w:color="auto"/>
                    <w:left w:val="none" w:sz="0" w:space="0" w:color="auto"/>
                    <w:bottom w:val="none" w:sz="0" w:space="0" w:color="auto"/>
                    <w:right w:val="none" w:sz="0" w:space="0" w:color="auto"/>
                  </w:divBdr>
                </w:div>
              </w:divsChild>
            </w:div>
          </w:divsChild>
        </w:div>
        <w:div w:id="496462975">
          <w:marLeft w:val="240"/>
          <w:marRight w:val="0"/>
          <w:marTop w:val="60"/>
          <w:marBottom w:val="60"/>
          <w:divBdr>
            <w:top w:val="none" w:sz="0" w:space="0" w:color="auto"/>
            <w:left w:val="none" w:sz="0" w:space="0" w:color="auto"/>
            <w:bottom w:val="none" w:sz="0" w:space="0" w:color="auto"/>
            <w:right w:val="none" w:sz="0" w:space="0" w:color="auto"/>
          </w:divBdr>
          <w:divsChild>
            <w:div w:id="520781662">
              <w:marLeft w:val="240"/>
              <w:marRight w:val="0"/>
              <w:marTop w:val="60"/>
              <w:marBottom w:val="60"/>
              <w:divBdr>
                <w:top w:val="none" w:sz="0" w:space="0" w:color="auto"/>
                <w:left w:val="none" w:sz="0" w:space="0" w:color="auto"/>
                <w:bottom w:val="none" w:sz="0" w:space="0" w:color="auto"/>
                <w:right w:val="none" w:sz="0" w:space="0" w:color="auto"/>
              </w:divBdr>
              <w:divsChild>
                <w:div w:id="283390890">
                  <w:marLeft w:val="0"/>
                  <w:marRight w:val="0"/>
                  <w:marTop w:val="0"/>
                  <w:marBottom w:val="0"/>
                  <w:divBdr>
                    <w:top w:val="none" w:sz="0" w:space="0" w:color="auto"/>
                    <w:left w:val="none" w:sz="0" w:space="0" w:color="auto"/>
                    <w:bottom w:val="none" w:sz="0" w:space="0" w:color="auto"/>
                    <w:right w:val="none" w:sz="0" w:space="0" w:color="auto"/>
                  </w:divBdr>
                </w:div>
              </w:divsChild>
            </w:div>
            <w:div w:id="1147622243">
              <w:marLeft w:val="240"/>
              <w:marRight w:val="0"/>
              <w:marTop w:val="60"/>
              <w:marBottom w:val="60"/>
              <w:divBdr>
                <w:top w:val="none" w:sz="0" w:space="0" w:color="auto"/>
                <w:left w:val="none" w:sz="0" w:space="0" w:color="auto"/>
                <w:bottom w:val="none" w:sz="0" w:space="0" w:color="auto"/>
                <w:right w:val="none" w:sz="0" w:space="0" w:color="auto"/>
              </w:divBdr>
              <w:divsChild>
                <w:div w:id="368536647">
                  <w:marLeft w:val="240"/>
                  <w:marRight w:val="0"/>
                  <w:marTop w:val="60"/>
                  <w:marBottom w:val="60"/>
                  <w:divBdr>
                    <w:top w:val="none" w:sz="0" w:space="0" w:color="auto"/>
                    <w:left w:val="none" w:sz="0" w:space="0" w:color="auto"/>
                    <w:bottom w:val="none" w:sz="0" w:space="0" w:color="auto"/>
                    <w:right w:val="none" w:sz="0" w:space="0" w:color="auto"/>
                  </w:divBdr>
                  <w:divsChild>
                    <w:div w:id="2023434864">
                      <w:marLeft w:val="0"/>
                      <w:marRight w:val="0"/>
                      <w:marTop w:val="0"/>
                      <w:marBottom w:val="0"/>
                      <w:divBdr>
                        <w:top w:val="none" w:sz="0" w:space="0" w:color="auto"/>
                        <w:left w:val="none" w:sz="0" w:space="0" w:color="auto"/>
                        <w:bottom w:val="none" w:sz="0" w:space="0" w:color="auto"/>
                        <w:right w:val="none" w:sz="0" w:space="0" w:color="auto"/>
                      </w:divBdr>
                    </w:div>
                  </w:divsChild>
                </w:div>
                <w:div w:id="68624395">
                  <w:marLeft w:val="240"/>
                  <w:marRight w:val="0"/>
                  <w:marTop w:val="60"/>
                  <w:marBottom w:val="60"/>
                  <w:divBdr>
                    <w:top w:val="none" w:sz="0" w:space="0" w:color="auto"/>
                    <w:left w:val="none" w:sz="0" w:space="0" w:color="auto"/>
                    <w:bottom w:val="none" w:sz="0" w:space="0" w:color="auto"/>
                    <w:right w:val="none" w:sz="0" w:space="0" w:color="auto"/>
                  </w:divBdr>
                  <w:divsChild>
                    <w:div w:id="2937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6524">
          <w:marLeft w:val="240"/>
          <w:marRight w:val="0"/>
          <w:marTop w:val="60"/>
          <w:marBottom w:val="60"/>
          <w:divBdr>
            <w:top w:val="none" w:sz="0" w:space="0" w:color="auto"/>
            <w:left w:val="none" w:sz="0" w:space="0" w:color="auto"/>
            <w:bottom w:val="none" w:sz="0" w:space="0" w:color="auto"/>
            <w:right w:val="none" w:sz="0" w:space="0" w:color="auto"/>
          </w:divBdr>
          <w:divsChild>
            <w:div w:id="316685559">
              <w:marLeft w:val="240"/>
              <w:marRight w:val="0"/>
              <w:marTop w:val="60"/>
              <w:marBottom w:val="60"/>
              <w:divBdr>
                <w:top w:val="none" w:sz="0" w:space="0" w:color="auto"/>
                <w:left w:val="none" w:sz="0" w:space="0" w:color="auto"/>
                <w:bottom w:val="none" w:sz="0" w:space="0" w:color="auto"/>
                <w:right w:val="none" w:sz="0" w:space="0" w:color="auto"/>
              </w:divBdr>
              <w:divsChild>
                <w:div w:id="2020544826">
                  <w:marLeft w:val="240"/>
                  <w:marRight w:val="0"/>
                  <w:marTop w:val="60"/>
                  <w:marBottom w:val="60"/>
                  <w:divBdr>
                    <w:top w:val="none" w:sz="0" w:space="0" w:color="auto"/>
                    <w:left w:val="none" w:sz="0" w:space="0" w:color="auto"/>
                    <w:bottom w:val="none" w:sz="0" w:space="0" w:color="auto"/>
                    <w:right w:val="none" w:sz="0" w:space="0" w:color="auto"/>
                  </w:divBdr>
                  <w:divsChild>
                    <w:div w:id="1813401825">
                      <w:marLeft w:val="0"/>
                      <w:marRight w:val="0"/>
                      <w:marTop w:val="0"/>
                      <w:marBottom w:val="0"/>
                      <w:divBdr>
                        <w:top w:val="none" w:sz="0" w:space="0" w:color="auto"/>
                        <w:left w:val="none" w:sz="0" w:space="0" w:color="auto"/>
                        <w:bottom w:val="none" w:sz="0" w:space="0" w:color="auto"/>
                        <w:right w:val="none" w:sz="0" w:space="0" w:color="auto"/>
                      </w:divBdr>
                    </w:div>
                  </w:divsChild>
                </w:div>
                <w:div w:id="1320310629">
                  <w:marLeft w:val="240"/>
                  <w:marRight w:val="0"/>
                  <w:marTop w:val="60"/>
                  <w:marBottom w:val="60"/>
                  <w:divBdr>
                    <w:top w:val="none" w:sz="0" w:space="0" w:color="auto"/>
                    <w:left w:val="none" w:sz="0" w:space="0" w:color="auto"/>
                    <w:bottom w:val="none" w:sz="0" w:space="0" w:color="auto"/>
                    <w:right w:val="none" w:sz="0" w:space="0" w:color="auto"/>
                  </w:divBdr>
                  <w:divsChild>
                    <w:div w:id="2092383732">
                      <w:marLeft w:val="240"/>
                      <w:marRight w:val="0"/>
                      <w:marTop w:val="60"/>
                      <w:marBottom w:val="60"/>
                      <w:divBdr>
                        <w:top w:val="none" w:sz="0" w:space="0" w:color="auto"/>
                        <w:left w:val="none" w:sz="0" w:space="0" w:color="auto"/>
                        <w:bottom w:val="none" w:sz="0" w:space="0" w:color="auto"/>
                        <w:right w:val="none" w:sz="0" w:space="0" w:color="auto"/>
                      </w:divBdr>
                      <w:divsChild>
                        <w:div w:id="1665209245">
                          <w:marLeft w:val="0"/>
                          <w:marRight w:val="0"/>
                          <w:marTop w:val="0"/>
                          <w:marBottom w:val="0"/>
                          <w:divBdr>
                            <w:top w:val="none" w:sz="0" w:space="0" w:color="auto"/>
                            <w:left w:val="none" w:sz="0" w:space="0" w:color="auto"/>
                            <w:bottom w:val="none" w:sz="0" w:space="0" w:color="auto"/>
                            <w:right w:val="none" w:sz="0" w:space="0" w:color="auto"/>
                          </w:divBdr>
                        </w:div>
                      </w:divsChild>
                    </w:div>
                    <w:div w:id="1373309227">
                      <w:marLeft w:val="240"/>
                      <w:marRight w:val="0"/>
                      <w:marTop w:val="60"/>
                      <w:marBottom w:val="60"/>
                      <w:divBdr>
                        <w:top w:val="none" w:sz="0" w:space="0" w:color="auto"/>
                        <w:left w:val="none" w:sz="0" w:space="0" w:color="auto"/>
                        <w:bottom w:val="none" w:sz="0" w:space="0" w:color="auto"/>
                        <w:right w:val="none" w:sz="0" w:space="0" w:color="auto"/>
                      </w:divBdr>
                      <w:divsChild>
                        <w:div w:id="121585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321">
                  <w:marLeft w:val="240"/>
                  <w:marRight w:val="0"/>
                  <w:marTop w:val="60"/>
                  <w:marBottom w:val="60"/>
                  <w:divBdr>
                    <w:top w:val="none" w:sz="0" w:space="0" w:color="auto"/>
                    <w:left w:val="none" w:sz="0" w:space="0" w:color="auto"/>
                    <w:bottom w:val="none" w:sz="0" w:space="0" w:color="auto"/>
                    <w:right w:val="none" w:sz="0" w:space="0" w:color="auto"/>
                  </w:divBdr>
                  <w:divsChild>
                    <w:div w:id="1875725818">
                      <w:marLeft w:val="0"/>
                      <w:marRight w:val="0"/>
                      <w:marTop w:val="0"/>
                      <w:marBottom w:val="0"/>
                      <w:divBdr>
                        <w:top w:val="none" w:sz="0" w:space="0" w:color="auto"/>
                        <w:left w:val="none" w:sz="0" w:space="0" w:color="auto"/>
                        <w:bottom w:val="none" w:sz="0" w:space="0" w:color="auto"/>
                        <w:right w:val="none" w:sz="0" w:space="0" w:color="auto"/>
                      </w:divBdr>
                    </w:div>
                  </w:divsChild>
                </w:div>
                <w:div w:id="667905973">
                  <w:marLeft w:val="240"/>
                  <w:marRight w:val="0"/>
                  <w:marTop w:val="60"/>
                  <w:marBottom w:val="60"/>
                  <w:divBdr>
                    <w:top w:val="none" w:sz="0" w:space="0" w:color="auto"/>
                    <w:left w:val="none" w:sz="0" w:space="0" w:color="auto"/>
                    <w:bottom w:val="none" w:sz="0" w:space="0" w:color="auto"/>
                    <w:right w:val="none" w:sz="0" w:space="0" w:color="auto"/>
                  </w:divBdr>
                  <w:divsChild>
                    <w:div w:id="392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166177">
              <w:marLeft w:val="240"/>
              <w:marRight w:val="0"/>
              <w:marTop w:val="60"/>
              <w:marBottom w:val="60"/>
              <w:divBdr>
                <w:top w:val="none" w:sz="0" w:space="0" w:color="auto"/>
                <w:left w:val="none" w:sz="0" w:space="0" w:color="auto"/>
                <w:bottom w:val="none" w:sz="0" w:space="0" w:color="auto"/>
                <w:right w:val="none" w:sz="0" w:space="0" w:color="auto"/>
              </w:divBdr>
              <w:divsChild>
                <w:div w:id="666786434">
                  <w:marLeft w:val="240"/>
                  <w:marRight w:val="0"/>
                  <w:marTop w:val="60"/>
                  <w:marBottom w:val="60"/>
                  <w:divBdr>
                    <w:top w:val="none" w:sz="0" w:space="0" w:color="auto"/>
                    <w:left w:val="none" w:sz="0" w:space="0" w:color="auto"/>
                    <w:bottom w:val="none" w:sz="0" w:space="0" w:color="auto"/>
                    <w:right w:val="none" w:sz="0" w:space="0" w:color="auto"/>
                  </w:divBdr>
                  <w:divsChild>
                    <w:div w:id="1857303913">
                      <w:marLeft w:val="0"/>
                      <w:marRight w:val="0"/>
                      <w:marTop w:val="0"/>
                      <w:marBottom w:val="0"/>
                      <w:divBdr>
                        <w:top w:val="none" w:sz="0" w:space="0" w:color="auto"/>
                        <w:left w:val="none" w:sz="0" w:space="0" w:color="auto"/>
                        <w:bottom w:val="none" w:sz="0" w:space="0" w:color="auto"/>
                        <w:right w:val="none" w:sz="0" w:space="0" w:color="auto"/>
                      </w:divBdr>
                    </w:div>
                  </w:divsChild>
                </w:div>
                <w:div w:id="2321102">
                  <w:marLeft w:val="240"/>
                  <w:marRight w:val="0"/>
                  <w:marTop w:val="60"/>
                  <w:marBottom w:val="60"/>
                  <w:divBdr>
                    <w:top w:val="none" w:sz="0" w:space="0" w:color="auto"/>
                    <w:left w:val="none" w:sz="0" w:space="0" w:color="auto"/>
                    <w:bottom w:val="none" w:sz="0" w:space="0" w:color="auto"/>
                    <w:right w:val="none" w:sz="0" w:space="0" w:color="auto"/>
                  </w:divBdr>
                  <w:divsChild>
                    <w:div w:id="1768769858">
                      <w:marLeft w:val="240"/>
                      <w:marRight w:val="0"/>
                      <w:marTop w:val="60"/>
                      <w:marBottom w:val="60"/>
                      <w:divBdr>
                        <w:top w:val="none" w:sz="0" w:space="0" w:color="auto"/>
                        <w:left w:val="none" w:sz="0" w:space="0" w:color="auto"/>
                        <w:bottom w:val="none" w:sz="0" w:space="0" w:color="auto"/>
                        <w:right w:val="none" w:sz="0" w:space="0" w:color="auto"/>
                      </w:divBdr>
                      <w:divsChild>
                        <w:div w:id="1320160216">
                          <w:marLeft w:val="0"/>
                          <w:marRight w:val="0"/>
                          <w:marTop w:val="0"/>
                          <w:marBottom w:val="0"/>
                          <w:divBdr>
                            <w:top w:val="none" w:sz="0" w:space="0" w:color="auto"/>
                            <w:left w:val="none" w:sz="0" w:space="0" w:color="auto"/>
                            <w:bottom w:val="none" w:sz="0" w:space="0" w:color="auto"/>
                            <w:right w:val="none" w:sz="0" w:space="0" w:color="auto"/>
                          </w:divBdr>
                        </w:div>
                      </w:divsChild>
                    </w:div>
                    <w:div w:id="1347904361">
                      <w:marLeft w:val="240"/>
                      <w:marRight w:val="0"/>
                      <w:marTop w:val="60"/>
                      <w:marBottom w:val="60"/>
                      <w:divBdr>
                        <w:top w:val="none" w:sz="0" w:space="0" w:color="auto"/>
                        <w:left w:val="none" w:sz="0" w:space="0" w:color="auto"/>
                        <w:bottom w:val="none" w:sz="0" w:space="0" w:color="auto"/>
                        <w:right w:val="none" w:sz="0" w:space="0" w:color="auto"/>
                      </w:divBdr>
                      <w:divsChild>
                        <w:div w:id="252130113">
                          <w:marLeft w:val="0"/>
                          <w:marRight w:val="0"/>
                          <w:marTop w:val="0"/>
                          <w:marBottom w:val="0"/>
                          <w:divBdr>
                            <w:top w:val="none" w:sz="0" w:space="0" w:color="auto"/>
                            <w:left w:val="none" w:sz="0" w:space="0" w:color="auto"/>
                            <w:bottom w:val="none" w:sz="0" w:space="0" w:color="auto"/>
                            <w:right w:val="none" w:sz="0" w:space="0" w:color="auto"/>
                          </w:divBdr>
                        </w:div>
                      </w:divsChild>
                    </w:div>
                    <w:div w:id="1999533381">
                      <w:marLeft w:val="240"/>
                      <w:marRight w:val="0"/>
                      <w:marTop w:val="60"/>
                      <w:marBottom w:val="60"/>
                      <w:divBdr>
                        <w:top w:val="none" w:sz="0" w:space="0" w:color="auto"/>
                        <w:left w:val="none" w:sz="0" w:space="0" w:color="auto"/>
                        <w:bottom w:val="none" w:sz="0" w:space="0" w:color="auto"/>
                        <w:right w:val="none" w:sz="0" w:space="0" w:color="auto"/>
                      </w:divBdr>
                      <w:divsChild>
                        <w:div w:id="12082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4392">
                  <w:marLeft w:val="240"/>
                  <w:marRight w:val="0"/>
                  <w:marTop w:val="60"/>
                  <w:marBottom w:val="60"/>
                  <w:divBdr>
                    <w:top w:val="none" w:sz="0" w:space="0" w:color="auto"/>
                    <w:left w:val="none" w:sz="0" w:space="0" w:color="auto"/>
                    <w:bottom w:val="none" w:sz="0" w:space="0" w:color="auto"/>
                    <w:right w:val="none" w:sz="0" w:space="0" w:color="auto"/>
                  </w:divBdr>
                  <w:divsChild>
                    <w:div w:id="1741976700">
                      <w:marLeft w:val="240"/>
                      <w:marRight w:val="0"/>
                      <w:marTop w:val="60"/>
                      <w:marBottom w:val="60"/>
                      <w:divBdr>
                        <w:top w:val="none" w:sz="0" w:space="0" w:color="auto"/>
                        <w:left w:val="none" w:sz="0" w:space="0" w:color="auto"/>
                        <w:bottom w:val="none" w:sz="0" w:space="0" w:color="auto"/>
                        <w:right w:val="none" w:sz="0" w:space="0" w:color="auto"/>
                      </w:divBdr>
                      <w:divsChild>
                        <w:div w:id="319774559">
                          <w:marLeft w:val="0"/>
                          <w:marRight w:val="0"/>
                          <w:marTop w:val="0"/>
                          <w:marBottom w:val="0"/>
                          <w:divBdr>
                            <w:top w:val="none" w:sz="0" w:space="0" w:color="auto"/>
                            <w:left w:val="none" w:sz="0" w:space="0" w:color="auto"/>
                            <w:bottom w:val="none" w:sz="0" w:space="0" w:color="auto"/>
                            <w:right w:val="none" w:sz="0" w:space="0" w:color="auto"/>
                          </w:divBdr>
                        </w:div>
                      </w:divsChild>
                    </w:div>
                    <w:div w:id="43408179">
                      <w:marLeft w:val="240"/>
                      <w:marRight w:val="0"/>
                      <w:marTop w:val="60"/>
                      <w:marBottom w:val="60"/>
                      <w:divBdr>
                        <w:top w:val="none" w:sz="0" w:space="0" w:color="auto"/>
                        <w:left w:val="none" w:sz="0" w:space="0" w:color="auto"/>
                        <w:bottom w:val="none" w:sz="0" w:space="0" w:color="auto"/>
                        <w:right w:val="none" w:sz="0" w:space="0" w:color="auto"/>
                      </w:divBdr>
                      <w:divsChild>
                        <w:div w:id="18255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965">
                  <w:marLeft w:val="240"/>
                  <w:marRight w:val="0"/>
                  <w:marTop w:val="60"/>
                  <w:marBottom w:val="60"/>
                  <w:divBdr>
                    <w:top w:val="none" w:sz="0" w:space="0" w:color="auto"/>
                    <w:left w:val="none" w:sz="0" w:space="0" w:color="auto"/>
                    <w:bottom w:val="none" w:sz="0" w:space="0" w:color="auto"/>
                    <w:right w:val="none" w:sz="0" w:space="0" w:color="auto"/>
                  </w:divBdr>
                  <w:divsChild>
                    <w:div w:id="12912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30486">
          <w:marLeft w:val="240"/>
          <w:marRight w:val="0"/>
          <w:marTop w:val="60"/>
          <w:marBottom w:val="60"/>
          <w:divBdr>
            <w:top w:val="none" w:sz="0" w:space="0" w:color="auto"/>
            <w:left w:val="none" w:sz="0" w:space="0" w:color="auto"/>
            <w:bottom w:val="none" w:sz="0" w:space="0" w:color="auto"/>
            <w:right w:val="none" w:sz="0" w:space="0" w:color="auto"/>
          </w:divBdr>
          <w:divsChild>
            <w:div w:id="114561574">
              <w:marLeft w:val="0"/>
              <w:marRight w:val="0"/>
              <w:marTop w:val="0"/>
              <w:marBottom w:val="0"/>
              <w:divBdr>
                <w:top w:val="none" w:sz="0" w:space="0" w:color="auto"/>
                <w:left w:val="none" w:sz="0" w:space="0" w:color="auto"/>
                <w:bottom w:val="none" w:sz="0" w:space="0" w:color="auto"/>
                <w:right w:val="none" w:sz="0" w:space="0" w:color="auto"/>
              </w:divBdr>
            </w:div>
          </w:divsChild>
        </w:div>
        <w:div w:id="1171605669">
          <w:marLeft w:val="240"/>
          <w:marRight w:val="0"/>
          <w:marTop w:val="60"/>
          <w:marBottom w:val="60"/>
          <w:divBdr>
            <w:top w:val="none" w:sz="0" w:space="0" w:color="auto"/>
            <w:left w:val="none" w:sz="0" w:space="0" w:color="auto"/>
            <w:bottom w:val="none" w:sz="0" w:space="0" w:color="auto"/>
            <w:right w:val="none" w:sz="0" w:space="0" w:color="auto"/>
          </w:divBdr>
          <w:divsChild>
            <w:div w:id="2039114054">
              <w:marLeft w:val="0"/>
              <w:marRight w:val="0"/>
              <w:marTop w:val="0"/>
              <w:marBottom w:val="0"/>
              <w:divBdr>
                <w:top w:val="none" w:sz="0" w:space="0" w:color="auto"/>
                <w:left w:val="none" w:sz="0" w:space="0" w:color="auto"/>
                <w:bottom w:val="none" w:sz="0" w:space="0" w:color="auto"/>
                <w:right w:val="none" w:sz="0" w:space="0" w:color="auto"/>
              </w:divBdr>
            </w:div>
          </w:divsChild>
        </w:div>
        <w:div w:id="91518507">
          <w:marLeft w:val="0"/>
          <w:marRight w:val="0"/>
          <w:marTop w:val="0"/>
          <w:marBottom w:val="0"/>
          <w:divBdr>
            <w:top w:val="none" w:sz="0" w:space="0" w:color="auto"/>
            <w:left w:val="none" w:sz="0" w:space="0" w:color="auto"/>
            <w:bottom w:val="none" w:sz="0" w:space="0" w:color="auto"/>
            <w:right w:val="none" w:sz="0" w:space="0" w:color="auto"/>
          </w:divBdr>
        </w:div>
      </w:divsChild>
    </w:div>
    <w:div w:id="1829780782">
      <w:bodyDiv w:val="1"/>
      <w:marLeft w:val="0"/>
      <w:marRight w:val="0"/>
      <w:marTop w:val="0"/>
      <w:marBottom w:val="0"/>
      <w:divBdr>
        <w:top w:val="none" w:sz="0" w:space="0" w:color="auto"/>
        <w:left w:val="none" w:sz="0" w:space="0" w:color="auto"/>
        <w:bottom w:val="none" w:sz="0" w:space="0" w:color="auto"/>
        <w:right w:val="none" w:sz="0" w:space="0" w:color="auto"/>
      </w:divBdr>
    </w:div>
    <w:div w:id="1840807355">
      <w:bodyDiv w:val="1"/>
      <w:marLeft w:val="0"/>
      <w:marRight w:val="0"/>
      <w:marTop w:val="0"/>
      <w:marBottom w:val="0"/>
      <w:divBdr>
        <w:top w:val="none" w:sz="0" w:space="0" w:color="auto"/>
        <w:left w:val="none" w:sz="0" w:space="0" w:color="auto"/>
        <w:bottom w:val="none" w:sz="0" w:space="0" w:color="auto"/>
        <w:right w:val="none" w:sz="0" w:space="0" w:color="auto"/>
      </w:divBdr>
    </w:div>
    <w:div w:id="1848714108">
      <w:bodyDiv w:val="1"/>
      <w:marLeft w:val="0"/>
      <w:marRight w:val="0"/>
      <w:marTop w:val="0"/>
      <w:marBottom w:val="0"/>
      <w:divBdr>
        <w:top w:val="none" w:sz="0" w:space="0" w:color="auto"/>
        <w:left w:val="none" w:sz="0" w:space="0" w:color="auto"/>
        <w:bottom w:val="none" w:sz="0" w:space="0" w:color="auto"/>
        <w:right w:val="none" w:sz="0" w:space="0" w:color="auto"/>
      </w:divBdr>
    </w:div>
    <w:div w:id="1855878347">
      <w:bodyDiv w:val="1"/>
      <w:marLeft w:val="0"/>
      <w:marRight w:val="0"/>
      <w:marTop w:val="0"/>
      <w:marBottom w:val="0"/>
      <w:divBdr>
        <w:top w:val="none" w:sz="0" w:space="0" w:color="auto"/>
        <w:left w:val="none" w:sz="0" w:space="0" w:color="auto"/>
        <w:bottom w:val="none" w:sz="0" w:space="0" w:color="auto"/>
        <w:right w:val="none" w:sz="0" w:space="0" w:color="auto"/>
      </w:divBdr>
    </w:div>
    <w:div w:id="1856307750">
      <w:bodyDiv w:val="1"/>
      <w:marLeft w:val="0"/>
      <w:marRight w:val="0"/>
      <w:marTop w:val="0"/>
      <w:marBottom w:val="0"/>
      <w:divBdr>
        <w:top w:val="none" w:sz="0" w:space="0" w:color="auto"/>
        <w:left w:val="none" w:sz="0" w:space="0" w:color="auto"/>
        <w:bottom w:val="none" w:sz="0" w:space="0" w:color="auto"/>
        <w:right w:val="none" w:sz="0" w:space="0" w:color="auto"/>
      </w:divBdr>
    </w:div>
    <w:div w:id="1859081032">
      <w:bodyDiv w:val="1"/>
      <w:marLeft w:val="0"/>
      <w:marRight w:val="0"/>
      <w:marTop w:val="0"/>
      <w:marBottom w:val="0"/>
      <w:divBdr>
        <w:top w:val="none" w:sz="0" w:space="0" w:color="auto"/>
        <w:left w:val="none" w:sz="0" w:space="0" w:color="auto"/>
        <w:bottom w:val="none" w:sz="0" w:space="0" w:color="auto"/>
        <w:right w:val="none" w:sz="0" w:space="0" w:color="auto"/>
      </w:divBdr>
    </w:div>
    <w:div w:id="1860436249">
      <w:bodyDiv w:val="1"/>
      <w:marLeft w:val="0"/>
      <w:marRight w:val="0"/>
      <w:marTop w:val="0"/>
      <w:marBottom w:val="0"/>
      <w:divBdr>
        <w:top w:val="none" w:sz="0" w:space="0" w:color="auto"/>
        <w:left w:val="none" w:sz="0" w:space="0" w:color="auto"/>
        <w:bottom w:val="none" w:sz="0" w:space="0" w:color="auto"/>
        <w:right w:val="none" w:sz="0" w:space="0" w:color="auto"/>
      </w:divBdr>
    </w:div>
    <w:div w:id="1872959009">
      <w:bodyDiv w:val="1"/>
      <w:marLeft w:val="0"/>
      <w:marRight w:val="0"/>
      <w:marTop w:val="0"/>
      <w:marBottom w:val="0"/>
      <w:divBdr>
        <w:top w:val="none" w:sz="0" w:space="0" w:color="auto"/>
        <w:left w:val="none" w:sz="0" w:space="0" w:color="auto"/>
        <w:bottom w:val="none" w:sz="0" w:space="0" w:color="auto"/>
        <w:right w:val="none" w:sz="0" w:space="0" w:color="auto"/>
      </w:divBdr>
    </w:div>
    <w:div w:id="1875726784">
      <w:bodyDiv w:val="1"/>
      <w:marLeft w:val="0"/>
      <w:marRight w:val="0"/>
      <w:marTop w:val="0"/>
      <w:marBottom w:val="0"/>
      <w:divBdr>
        <w:top w:val="none" w:sz="0" w:space="0" w:color="auto"/>
        <w:left w:val="none" w:sz="0" w:space="0" w:color="auto"/>
        <w:bottom w:val="none" w:sz="0" w:space="0" w:color="auto"/>
        <w:right w:val="none" w:sz="0" w:space="0" w:color="auto"/>
      </w:divBdr>
    </w:div>
    <w:div w:id="1888175695">
      <w:bodyDiv w:val="1"/>
      <w:marLeft w:val="0"/>
      <w:marRight w:val="0"/>
      <w:marTop w:val="0"/>
      <w:marBottom w:val="0"/>
      <w:divBdr>
        <w:top w:val="none" w:sz="0" w:space="0" w:color="auto"/>
        <w:left w:val="none" w:sz="0" w:space="0" w:color="auto"/>
        <w:bottom w:val="none" w:sz="0" w:space="0" w:color="auto"/>
        <w:right w:val="none" w:sz="0" w:space="0" w:color="auto"/>
      </w:divBdr>
    </w:div>
    <w:div w:id="1889485671">
      <w:bodyDiv w:val="1"/>
      <w:marLeft w:val="0"/>
      <w:marRight w:val="0"/>
      <w:marTop w:val="0"/>
      <w:marBottom w:val="0"/>
      <w:divBdr>
        <w:top w:val="none" w:sz="0" w:space="0" w:color="auto"/>
        <w:left w:val="none" w:sz="0" w:space="0" w:color="auto"/>
        <w:bottom w:val="none" w:sz="0" w:space="0" w:color="auto"/>
        <w:right w:val="none" w:sz="0" w:space="0" w:color="auto"/>
      </w:divBdr>
    </w:div>
    <w:div w:id="1906455704">
      <w:bodyDiv w:val="1"/>
      <w:marLeft w:val="0"/>
      <w:marRight w:val="0"/>
      <w:marTop w:val="0"/>
      <w:marBottom w:val="0"/>
      <w:divBdr>
        <w:top w:val="none" w:sz="0" w:space="0" w:color="auto"/>
        <w:left w:val="none" w:sz="0" w:space="0" w:color="auto"/>
        <w:bottom w:val="none" w:sz="0" w:space="0" w:color="auto"/>
        <w:right w:val="none" w:sz="0" w:space="0" w:color="auto"/>
      </w:divBdr>
    </w:div>
    <w:div w:id="1913391955">
      <w:bodyDiv w:val="1"/>
      <w:marLeft w:val="0"/>
      <w:marRight w:val="0"/>
      <w:marTop w:val="0"/>
      <w:marBottom w:val="0"/>
      <w:divBdr>
        <w:top w:val="none" w:sz="0" w:space="0" w:color="auto"/>
        <w:left w:val="none" w:sz="0" w:space="0" w:color="auto"/>
        <w:bottom w:val="none" w:sz="0" w:space="0" w:color="auto"/>
        <w:right w:val="none" w:sz="0" w:space="0" w:color="auto"/>
      </w:divBdr>
    </w:div>
    <w:div w:id="1929537242">
      <w:bodyDiv w:val="1"/>
      <w:marLeft w:val="0"/>
      <w:marRight w:val="0"/>
      <w:marTop w:val="0"/>
      <w:marBottom w:val="0"/>
      <w:divBdr>
        <w:top w:val="none" w:sz="0" w:space="0" w:color="auto"/>
        <w:left w:val="none" w:sz="0" w:space="0" w:color="auto"/>
        <w:bottom w:val="none" w:sz="0" w:space="0" w:color="auto"/>
        <w:right w:val="none" w:sz="0" w:space="0" w:color="auto"/>
      </w:divBdr>
    </w:div>
    <w:div w:id="1945336741">
      <w:bodyDiv w:val="1"/>
      <w:marLeft w:val="0"/>
      <w:marRight w:val="0"/>
      <w:marTop w:val="0"/>
      <w:marBottom w:val="0"/>
      <w:divBdr>
        <w:top w:val="none" w:sz="0" w:space="0" w:color="auto"/>
        <w:left w:val="none" w:sz="0" w:space="0" w:color="auto"/>
        <w:bottom w:val="none" w:sz="0" w:space="0" w:color="auto"/>
        <w:right w:val="none" w:sz="0" w:space="0" w:color="auto"/>
      </w:divBdr>
    </w:div>
    <w:div w:id="1949851521">
      <w:bodyDiv w:val="1"/>
      <w:marLeft w:val="0"/>
      <w:marRight w:val="0"/>
      <w:marTop w:val="0"/>
      <w:marBottom w:val="0"/>
      <w:divBdr>
        <w:top w:val="none" w:sz="0" w:space="0" w:color="auto"/>
        <w:left w:val="none" w:sz="0" w:space="0" w:color="auto"/>
        <w:bottom w:val="none" w:sz="0" w:space="0" w:color="auto"/>
        <w:right w:val="none" w:sz="0" w:space="0" w:color="auto"/>
      </w:divBdr>
    </w:div>
    <w:div w:id="1960717368">
      <w:bodyDiv w:val="1"/>
      <w:marLeft w:val="0"/>
      <w:marRight w:val="0"/>
      <w:marTop w:val="0"/>
      <w:marBottom w:val="0"/>
      <w:divBdr>
        <w:top w:val="none" w:sz="0" w:space="0" w:color="auto"/>
        <w:left w:val="none" w:sz="0" w:space="0" w:color="auto"/>
        <w:bottom w:val="none" w:sz="0" w:space="0" w:color="auto"/>
        <w:right w:val="none" w:sz="0" w:space="0" w:color="auto"/>
      </w:divBdr>
    </w:div>
    <w:div w:id="1965379278">
      <w:bodyDiv w:val="1"/>
      <w:marLeft w:val="0"/>
      <w:marRight w:val="0"/>
      <w:marTop w:val="0"/>
      <w:marBottom w:val="0"/>
      <w:divBdr>
        <w:top w:val="none" w:sz="0" w:space="0" w:color="auto"/>
        <w:left w:val="none" w:sz="0" w:space="0" w:color="auto"/>
        <w:bottom w:val="none" w:sz="0" w:space="0" w:color="auto"/>
        <w:right w:val="none" w:sz="0" w:space="0" w:color="auto"/>
      </w:divBdr>
    </w:div>
    <w:div w:id="1969162524">
      <w:bodyDiv w:val="1"/>
      <w:marLeft w:val="0"/>
      <w:marRight w:val="0"/>
      <w:marTop w:val="0"/>
      <w:marBottom w:val="0"/>
      <w:divBdr>
        <w:top w:val="none" w:sz="0" w:space="0" w:color="auto"/>
        <w:left w:val="none" w:sz="0" w:space="0" w:color="auto"/>
        <w:bottom w:val="none" w:sz="0" w:space="0" w:color="auto"/>
        <w:right w:val="none" w:sz="0" w:space="0" w:color="auto"/>
      </w:divBdr>
    </w:div>
    <w:div w:id="1969508867">
      <w:bodyDiv w:val="1"/>
      <w:marLeft w:val="0"/>
      <w:marRight w:val="0"/>
      <w:marTop w:val="0"/>
      <w:marBottom w:val="0"/>
      <w:divBdr>
        <w:top w:val="none" w:sz="0" w:space="0" w:color="auto"/>
        <w:left w:val="none" w:sz="0" w:space="0" w:color="auto"/>
        <w:bottom w:val="none" w:sz="0" w:space="0" w:color="auto"/>
        <w:right w:val="none" w:sz="0" w:space="0" w:color="auto"/>
      </w:divBdr>
    </w:div>
    <w:div w:id="1973637062">
      <w:bodyDiv w:val="1"/>
      <w:marLeft w:val="0"/>
      <w:marRight w:val="0"/>
      <w:marTop w:val="0"/>
      <w:marBottom w:val="0"/>
      <w:divBdr>
        <w:top w:val="none" w:sz="0" w:space="0" w:color="auto"/>
        <w:left w:val="none" w:sz="0" w:space="0" w:color="auto"/>
        <w:bottom w:val="none" w:sz="0" w:space="0" w:color="auto"/>
        <w:right w:val="none" w:sz="0" w:space="0" w:color="auto"/>
      </w:divBdr>
    </w:div>
    <w:div w:id="1974290716">
      <w:bodyDiv w:val="1"/>
      <w:marLeft w:val="0"/>
      <w:marRight w:val="0"/>
      <w:marTop w:val="0"/>
      <w:marBottom w:val="0"/>
      <w:divBdr>
        <w:top w:val="none" w:sz="0" w:space="0" w:color="auto"/>
        <w:left w:val="none" w:sz="0" w:space="0" w:color="auto"/>
        <w:bottom w:val="none" w:sz="0" w:space="0" w:color="auto"/>
        <w:right w:val="none" w:sz="0" w:space="0" w:color="auto"/>
      </w:divBdr>
    </w:div>
    <w:div w:id="1990746075">
      <w:bodyDiv w:val="1"/>
      <w:marLeft w:val="0"/>
      <w:marRight w:val="0"/>
      <w:marTop w:val="0"/>
      <w:marBottom w:val="0"/>
      <w:divBdr>
        <w:top w:val="none" w:sz="0" w:space="0" w:color="auto"/>
        <w:left w:val="none" w:sz="0" w:space="0" w:color="auto"/>
        <w:bottom w:val="none" w:sz="0" w:space="0" w:color="auto"/>
        <w:right w:val="none" w:sz="0" w:space="0" w:color="auto"/>
      </w:divBdr>
    </w:div>
    <w:div w:id="1994024461">
      <w:bodyDiv w:val="1"/>
      <w:marLeft w:val="0"/>
      <w:marRight w:val="0"/>
      <w:marTop w:val="0"/>
      <w:marBottom w:val="0"/>
      <w:divBdr>
        <w:top w:val="none" w:sz="0" w:space="0" w:color="auto"/>
        <w:left w:val="none" w:sz="0" w:space="0" w:color="auto"/>
        <w:bottom w:val="none" w:sz="0" w:space="0" w:color="auto"/>
        <w:right w:val="none" w:sz="0" w:space="0" w:color="auto"/>
      </w:divBdr>
    </w:div>
    <w:div w:id="1994487954">
      <w:bodyDiv w:val="1"/>
      <w:marLeft w:val="0"/>
      <w:marRight w:val="0"/>
      <w:marTop w:val="0"/>
      <w:marBottom w:val="0"/>
      <w:divBdr>
        <w:top w:val="none" w:sz="0" w:space="0" w:color="auto"/>
        <w:left w:val="none" w:sz="0" w:space="0" w:color="auto"/>
        <w:bottom w:val="none" w:sz="0" w:space="0" w:color="auto"/>
        <w:right w:val="none" w:sz="0" w:space="0" w:color="auto"/>
      </w:divBdr>
    </w:div>
    <w:div w:id="2002846571">
      <w:bodyDiv w:val="1"/>
      <w:marLeft w:val="0"/>
      <w:marRight w:val="0"/>
      <w:marTop w:val="0"/>
      <w:marBottom w:val="0"/>
      <w:divBdr>
        <w:top w:val="none" w:sz="0" w:space="0" w:color="auto"/>
        <w:left w:val="none" w:sz="0" w:space="0" w:color="auto"/>
        <w:bottom w:val="none" w:sz="0" w:space="0" w:color="auto"/>
        <w:right w:val="none" w:sz="0" w:space="0" w:color="auto"/>
      </w:divBdr>
    </w:div>
    <w:div w:id="2015111139">
      <w:bodyDiv w:val="1"/>
      <w:marLeft w:val="0"/>
      <w:marRight w:val="0"/>
      <w:marTop w:val="0"/>
      <w:marBottom w:val="0"/>
      <w:divBdr>
        <w:top w:val="none" w:sz="0" w:space="0" w:color="auto"/>
        <w:left w:val="none" w:sz="0" w:space="0" w:color="auto"/>
        <w:bottom w:val="none" w:sz="0" w:space="0" w:color="auto"/>
        <w:right w:val="none" w:sz="0" w:space="0" w:color="auto"/>
      </w:divBdr>
    </w:div>
    <w:div w:id="2015262045">
      <w:bodyDiv w:val="1"/>
      <w:marLeft w:val="0"/>
      <w:marRight w:val="0"/>
      <w:marTop w:val="0"/>
      <w:marBottom w:val="0"/>
      <w:divBdr>
        <w:top w:val="none" w:sz="0" w:space="0" w:color="auto"/>
        <w:left w:val="none" w:sz="0" w:space="0" w:color="auto"/>
        <w:bottom w:val="none" w:sz="0" w:space="0" w:color="auto"/>
        <w:right w:val="none" w:sz="0" w:space="0" w:color="auto"/>
      </w:divBdr>
    </w:div>
    <w:div w:id="2017926919">
      <w:bodyDiv w:val="1"/>
      <w:marLeft w:val="0"/>
      <w:marRight w:val="0"/>
      <w:marTop w:val="0"/>
      <w:marBottom w:val="0"/>
      <w:divBdr>
        <w:top w:val="none" w:sz="0" w:space="0" w:color="auto"/>
        <w:left w:val="none" w:sz="0" w:space="0" w:color="auto"/>
        <w:bottom w:val="none" w:sz="0" w:space="0" w:color="auto"/>
        <w:right w:val="none" w:sz="0" w:space="0" w:color="auto"/>
      </w:divBdr>
    </w:div>
    <w:div w:id="2026204443">
      <w:bodyDiv w:val="1"/>
      <w:marLeft w:val="0"/>
      <w:marRight w:val="0"/>
      <w:marTop w:val="0"/>
      <w:marBottom w:val="0"/>
      <w:divBdr>
        <w:top w:val="none" w:sz="0" w:space="0" w:color="auto"/>
        <w:left w:val="none" w:sz="0" w:space="0" w:color="auto"/>
        <w:bottom w:val="none" w:sz="0" w:space="0" w:color="auto"/>
        <w:right w:val="none" w:sz="0" w:space="0" w:color="auto"/>
      </w:divBdr>
    </w:div>
    <w:div w:id="2033065653">
      <w:bodyDiv w:val="1"/>
      <w:marLeft w:val="0"/>
      <w:marRight w:val="0"/>
      <w:marTop w:val="0"/>
      <w:marBottom w:val="0"/>
      <w:divBdr>
        <w:top w:val="none" w:sz="0" w:space="0" w:color="auto"/>
        <w:left w:val="none" w:sz="0" w:space="0" w:color="auto"/>
        <w:bottom w:val="none" w:sz="0" w:space="0" w:color="auto"/>
        <w:right w:val="none" w:sz="0" w:space="0" w:color="auto"/>
      </w:divBdr>
    </w:div>
    <w:div w:id="2033534715">
      <w:bodyDiv w:val="1"/>
      <w:marLeft w:val="0"/>
      <w:marRight w:val="0"/>
      <w:marTop w:val="0"/>
      <w:marBottom w:val="0"/>
      <w:divBdr>
        <w:top w:val="none" w:sz="0" w:space="0" w:color="auto"/>
        <w:left w:val="none" w:sz="0" w:space="0" w:color="auto"/>
        <w:bottom w:val="none" w:sz="0" w:space="0" w:color="auto"/>
        <w:right w:val="none" w:sz="0" w:space="0" w:color="auto"/>
      </w:divBdr>
    </w:div>
    <w:div w:id="2049915487">
      <w:bodyDiv w:val="1"/>
      <w:marLeft w:val="0"/>
      <w:marRight w:val="0"/>
      <w:marTop w:val="0"/>
      <w:marBottom w:val="0"/>
      <w:divBdr>
        <w:top w:val="none" w:sz="0" w:space="0" w:color="auto"/>
        <w:left w:val="none" w:sz="0" w:space="0" w:color="auto"/>
        <w:bottom w:val="none" w:sz="0" w:space="0" w:color="auto"/>
        <w:right w:val="none" w:sz="0" w:space="0" w:color="auto"/>
      </w:divBdr>
    </w:div>
    <w:div w:id="2051874406">
      <w:bodyDiv w:val="1"/>
      <w:marLeft w:val="0"/>
      <w:marRight w:val="0"/>
      <w:marTop w:val="0"/>
      <w:marBottom w:val="0"/>
      <w:divBdr>
        <w:top w:val="none" w:sz="0" w:space="0" w:color="auto"/>
        <w:left w:val="none" w:sz="0" w:space="0" w:color="auto"/>
        <w:bottom w:val="none" w:sz="0" w:space="0" w:color="auto"/>
        <w:right w:val="none" w:sz="0" w:space="0" w:color="auto"/>
      </w:divBdr>
    </w:div>
    <w:div w:id="2051958171">
      <w:bodyDiv w:val="1"/>
      <w:marLeft w:val="0"/>
      <w:marRight w:val="0"/>
      <w:marTop w:val="0"/>
      <w:marBottom w:val="0"/>
      <w:divBdr>
        <w:top w:val="none" w:sz="0" w:space="0" w:color="auto"/>
        <w:left w:val="none" w:sz="0" w:space="0" w:color="auto"/>
        <w:bottom w:val="none" w:sz="0" w:space="0" w:color="auto"/>
        <w:right w:val="none" w:sz="0" w:space="0" w:color="auto"/>
      </w:divBdr>
    </w:div>
    <w:div w:id="2059472104">
      <w:bodyDiv w:val="1"/>
      <w:marLeft w:val="0"/>
      <w:marRight w:val="0"/>
      <w:marTop w:val="0"/>
      <w:marBottom w:val="0"/>
      <w:divBdr>
        <w:top w:val="none" w:sz="0" w:space="0" w:color="auto"/>
        <w:left w:val="none" w:sz="0" w:space="0" w:color="auto"/>
        <w:bottom w:val="none" w:sz="0" w:space="0" w:color="auto"/>
        <w:right w:val="none" w:sz="0" w:space="0" w:color="auto"/>
      </w:divBdr>
    </w:div>
    <w:div w:id="2062122507">
      <w:bodyDiv w:val="1"/>
      <w:marLeft w:val="0"/>
      <w:marRight w:val="0"/>
      <w:marTop w:val="0"/>
      <w:marBottom w:val="0"/>
      <w:divBdr>
        <w:top w:val="none" w:sz="0" w:space="0" w:color="auto"/>
        <w:left w:val="none" w:sz="0" w:space="0" w:color="auto"/>
        <w:bottom w:val="none" w:sz="0" w:space="0" w:color="auto"/>
        <w:right w:val="none" w:sz="0" w:space="0" w:color="auto"/>
      </w:divBdr>
    </w:div>
    <w:div w:id="2064061858">
      <w:bodyDiv w:val="1"/>
      <w:marLeft w:val="0"/>
      <w:marRight w:val="0"/>
      <w:marTop w:val="0"/>
      <w:marBottom w:val="0"/>
      <w:divBdr>
        <w:top w:val="none" w:sz="0" w:space="0" w:color="auto"/>
        <w:left w:val="none" w:sz="0" w:space="0" w:color="auto"/>
        <w:bottom w:val="none" w:sz="0" w:space="0" w:color="auto"/>
        <w:right w:val="none" w:sz="0" w:space="0" w:color="auto"/>
      </w:divBdr>
    </w:div>
    <w:div w:id="2072998830">
      <w:bodyDiv w:val="1"/>
      <w:marLeft w:val="0"/>
      <w:marRight w:val="0"/>
      <w:marTop w:val="0"/>
      <w:marBottom w:val="0"/>
      <w:divBdr>
        <w:top w:val="none" w:sz="0" w:space="0" w:color="auto"/>
        <w:left w:val="none" w:sz="0" w:space="0" w:color="auto"/>
        <w:bottom w:val="none" w:sz="0" w:space="0" w:color="auto"/>
        <w:right w:val="none" w:sz="0" w:space="0" w:color="auto"/>
      </w:divBdr>
    </w:div>
    <w:div w:id="2075010649">
      <w:bodyDiv w:val="1"/>
      <w:marLeft w:val="0"/>
      <w:marRight w:val="0"/>
      <w:marTop w:val="0"/>
      <w:marBottom w:val="0"/>
      <w:divBdr>
        <w:top w:val="none" w:sz="0" w:space="0" w:color="auto"/>
        <w:left w:val="none" w:sz="0" w:space="0" w:color="auto"/>
        <w:bottom w:val="none" w:sz="0" w:space="0" w:color="auto"/>
        <w:right w:val="none" w:sz="0" w:space="0" w:color="auto"/>
      </w:divBdr>
    </w:div>
    <w:div w:id="2077506715">
      <w:bodyDiv w:val="1"/>
      <w:marLeft w:val="0"/>
      <w:marRight w:val="0"/>
      <w:marTop w:val="0"/>
      <w:marBottom w:val="0"/>
      <w:divBdr>
        <w:top w:val="none" w:sz="0" w:space="0" w:color="auto"/>
        <w:left w:val="none" w:sz="0" w:space="0" w:color="auto"/>
        <w:bottom w:val="none" w:sz="0" w:space="0" w:color="auto"/>
        <w:right w:val="none" w:sz="0" w:space="0" w:color="auto"/>
      </w:divBdr>
    </w:div>
    <w:div w:id="2083139816">
      <w:bodyDiv w:val="1"/>
      <w:marLeft w:val="0"/>
      <w:marRight w:val="0"/>
      <w:marTop w:val="0"/>
      <w:marBottom w:val="0"/>
      <w:divBdr>
        <w:top w:val="none" w:sz="0" w:space="0" w:color="auto"/>
        <w:left w:val="none" w:sz="0" w:space="0" w:color="auto"/>
        <w:bottom w:val="none" w:sz="0" w:space="0" w:color="auto"/>
        <w:right w:val="none" w:sz="0" w:space="0" w:color="auto"/>
      </w:divBdr>
    </w:div>
    <w:div w:id="2083478665">
      <w:bodyDiv w:val="1"/>
      <w:marLeft w:val="0"/>
      <w:marRight w:val="0"/>
      <w:marTop w:val="0"/>
      <w:marBottom w:val="0"/>
      <w:divBdr>
        <w:top w:val="none" w:sz="0" w:space="0" w:color="auto"/>
        <w:left w:val="none" w:sz="0" w:space="0" w:color="auto"/>
        <w:bottom w:val="none" w:sz="0" w:space="0" w:color="auto"/>
        <w:right w:val="none" w:sz="0" w:space="0" w:color="auto"/>
      </w:divBdr>
    </w:div>
    <w:div w:id="2093773757">
      <w:bodyDiv w:val="1"/>
      <w:marLeft w:val="0"/>
      <w:marRight w:val="0"/>
      <w:marTop w:val="0"/>
      <w:marBottom w:val="0"/>
      <w:divBdr>
        <w:top w:val="none" w:sz="0" w:space="0" w:color="auto"/>
        <w:left w:val="none" w:sz="0" w:space="0" w:color="auto"/>
        <w:bottom w:val="none" w:sz="0" w:space="0" w:color="auto"/>
        <w:right w:val="none" w:sz="0" w:space="0" w:color="auto"/>
      </w:divBdr>
      <w:divsChild>
        <w:div w:id="330908812">
          <w:marLeft w:val="240"/>
          <w:marRight w:val="0"/>
          <w:marTop w:val="60"/>
          <w:marBottom w:val="60"/>
          <w:divBdr>
            <w:top w:val="none" w:sz="0" w:space="0" w:color="auto"/>
            <w:left w:val="none" w:sz="0" w:space="0" w:color="auto"/>
            <w:bottom w:val="none" w:sz="0" w:space="0" w:color="auto"/>
            <w:right w:val="none" w:sz="0" w:space="0" w:color="auto"/>
          </w:divBdr>
          <w:divsChild>
            <w:div w:id="1276135029">
              <w:marLeft w:val="0"/>
              <w:marRight w:val="0"/>
              <w:marTop w:val="0"/>
              <w:marBottom w:val="0"/>
              <w:divBdr>
                <w:top w:val="none" w:sz="0" w:space="0" w:color="auto"/>
                <w:left w:val="none" w:sz="0" w:space="0" w:color="auto"/>
                <w:bottom w:val="none" w:sz="0" w:space="0" w:color="auto"/>
                <w:right w:val="none" w:sz="0" w:space="0" w:color="auto"/>
              </w:divBdr>
            </w:div>
          </w:divsChild>
        </w:div>
        <w:div w:id="963852677">
          <w:marLeft w:val="240"/>
          <w:marRight w:val="0"/>
          <w:marTop w:val="60"/>
          <w:marBottom w:val="60"/>
          <w:divBdr>
            <w:top w:val="none" w:sz="0" w:space="0" w:color="auto"/>
            <w:left w:val="none" w:sz="0" w:space="0" w:color="auto"/>
            <w:bottom w:val="none" w:sz="0" w:space="0" w:color="auto"/>
            <w:right w:val="none" w:sz="0" w:space="0" w:color="auto"/>
          </w:divBdr>
          <w:divsChild>
            <w:div w:id="918833433">
              <w:marLeft w:val="240"/>
              <w:marRight w:val="0"/>
              <w:marTop w:val="60"/>
              <w:marBottom w:val="60"/>
              <w:divBdr>
                <w:top w:val="none" w:sz="0" w:space="0" w:color="auto"/>
                <w:left w:val="none" w:sz="0" w:space="0" w:color="auto"/>
                <w:bottom w:val="none" w:sz="0" w:space="0" w:color="auto"/>
                <w:right w:val="none" w:sz="0" w:space="0" w:color="auto"/>
              </w:divBdr>
              <w:divsChild>
                <w:div w:id="1573004215">
                  <w:marLeft w:val="0"/>
                  <w:marRight w:val="0"/>
                  <w:marTop w:val="0"/>
                  <w:marBottom w:val="0"/>
                  <w:divBdr>
                    <w:top w:val="none" w:sz="0" w:space="0" w:color="auto"/>
                    <w:left w:val="none" w:sz="0" w:space="0" w:color="auto"/>
                    <w:bottom w:val="none" w:sz="0" w:space="0" w:color="auto"/>
                    <w:right w:val="none" w:sz="0" w:space="0" w:color="auto"/>
                  </w:divBdr>
                </w:div>
              </w:divsChild>
            </w:div>
            <w:div w:id="108552040">
              <w:marLeft w:val="240"/>
              <w:marRight w:val="0"/>
              <w:marTop w:val="60"/>
              <w:marBottom w:val="60"/>
              <w:divBdr>
                <w:top w:val="none" w:sz="0" w:space="0" w:color="auto"/>
                <w:left w:val="none" w:sz="0" w:space="0" w:color="auto"/>
                <w:bottom w:val="none" w:sz="0" w:space="0" w:color="auto"/>
                <w:right w:val="none" w:sz="0" w:space="0" w:color="auto"/>
              </w:divBdr>
              <w:divsChild>
                <w:div w:id="18817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0202">
          <w:marLeft w:val="240"/>
          <w:marRight w:val="0"/>
          <w:marTop w:val="60"/>
          <w:marBottom w:val="60"/>
          <w:divBdr>
            <w:top w:val="none" w:sz="0" w:space="0" w:color="auto"/>
            <w:left w:val="none" w:sz="0" w:space="0" w:color="auto"/>
            <w:bottom w:val="none" w:sz="0" w:space="0" w:color="auto"/>
            <w:right w:val="none" w:sz="0" w:space="0" w:color="auto"/>
          </w:divBdr>
          <w:divsChild>
            <w:div w:id="1796754733">
              <w:marLeft w:val="240"/>
              <w:marRight w:val="0"/>
              <w:marTop w:val="60"/>
              <w:marBottom w:val="60"/>
              <w:divBdr>
                <w:top w:val="none" w:sz="0" w:space="0" w:color="auto"/>
                <w:left w:val="none" w:sz="0" w:space="0" w:color="auto"/>
                <w:bottom w:val="none" w:sz="0" w:space="0" w:color="auto"/>
                <w:right w:val="none" w:sz="0" w:space="0" w:color="auto"/>
              </w:divBdr>
              <w:divsChild>
                <w:div w:id="1256018759">
                  <w:marLeft w:val="0"/>
                  <w:marRight w:val="0"/>
                  <w:marTop w:val="0"/>
                  <w:marBottom w:val="0"/>
                  <w:divBdr>
                    <w:top w:val="none" w:sz="0" w:space="0" w:color="auto"/>
                    <w:left w:val="none" w:sz="0" w:space="0" w:color="auto"/>
                    <w:bottom w:val="none" w:sz="0" w:space="0" w:color="auto"/>
                    <w:right w:val="none" w:sz="0" w:space="0" w:color="auto"/>
                  </w:divBdr>
                </w:div>
              </w:divsChild>
            </w:div>
            <w:div w:id="1204445828">
              <w:marLeft w:val="240"/>
              <w:marRight w:val="0"/>
              <w:marTop w:val="60"/>
              <w:marBottom w:val="60"/>
              <w:divBdr>
                <w:top w:val="none" w:sz="0" w:space="0" w:color="auto"/>
                <w:left w:val="none" w:sz="0" w:space="0" w:color="auto"/>
                <w:bottom w:val="none" w:sz="0" w:space="0" w:color="auto"/>
                <w:right w:val="none" w:sz="0" w:space="0" w:color="auto"/>
              </w:divBdr>
              <w:divsChild>
                <w:div w:id="1599606805">
                  <w:marLeft w:val="240"/>
                  <w:marRight w:val="0"/>
                  <w:marTop w:val="60"/>
                  <w:marBottom w:val="60"/>
                  <w:divBdr>
                    <w:top w:val="none" w:sz="0" w:space="0" w:color="auto"/>
                    <w:left w:val="none" w:sz="0" w:space="0" w:color="auto"/>
                    <w:bottom w:val="none" w:sz="0" w:space="0" w:color="auto"/>
                    <w:right w:val="none" w:sz="0" w:space="0" w:color="auto"/>
                  </w:divBdr>
                  <w:divsChild>
                    <w:div w:id="1702439264">
                      <w:marLeft w:val="0"/>
                      <w:marRight w:val="0"/>
                      <w:marTop w:val="0"/>
                      <w:marBottom w:val="0"/>
                      <w:divBdr>
                        <w:top w:val="none" w:sz="0" w:space="0" w:color="auto"/>
                        <w:left w:val="none" w:sz="0" w:space="0" w:color="auto"/>
                        <w:bottom w:val="none" w:sz="0" w:space="0" w:color="auto"/>
                        <w:right w:val="none" w:sz="0" w:space="0" w:color="auto"/>
                      </w:divBdr>
                    </w:div>
                  </w:divsChild>
                </w:div>
                <w:div w:id="1176071942">
                  <w:marLeft w:val="240"/>
                  <w:marRight w:val="0"/>
                  <w:marTop w:val="60"/>
                  <w:marBottom w:val="60"/>
                  <w:divBdr>
                    <w:top w:val="none" w:sz="0" w:space="0" w:color="auto"/>
                    <w:left w:val="none" w:sz="0" w:space="0" w:color="auto"/>
                    <w:bottom w:val="none" w:sz="0" w:space="0" w:color="auto"/>
                    <w:right w:val="none" w:sz="0" w:space="0" w:color="auto"/>
                  </w:divBdr>
                  <w:divsChild>
                    <w:div w:id="386145053">
                      <w:marLeft w:val="240"/>
                      <w:marRight w:val="0"/>
                      <w:marTop w:val="60"/>
                      <w:marBottom w:val="60"/>
                      <w:divBdr>
                        <w:top w:val="none" w:sz="0" w:space="0" w:color="auto"/>
                        <w:left w:val="none" w:sz="0" w:space="0" w:color="auto"/>
                        <w:bottom w:val="none" w:sz="0" w:space="0" w:color="auto"/>
                        <w:right w:val="none" w:sz="0" w:space="0" w:color="auto"/>
                      </w:divBdr>
                      <w:divsChild>
                        <w:div w:id="1866363022">
                          <w:marLeft w:val="0"/>
                          <w:marRight w:val="0"/>
                          <w:marTop w:val="0"/>
                          <w:marBottom w:val="0"/>
                          <w:divBdr>
                            <w:top w:val="none" w:sz="0" w:space="0" w:color="auto"/>
                            <w:left w:val="none" w:sz="0" w:space="0" w:color="auto"/>
                            <w:bottom w:val="none" w:sz="0" w:space="0" w:color="auto"/>
                            <w:right w:val="none" w:sz="0" w:space="0" w:color="auto"/>
                          </w:divBdr>
                        </w:div>
                      </w:divsChild>
                    </w:div>
                    <w:div w:id="1042093449">
                      <w:marLeft w:val="240"/>
                      <w:marRight w:val="0"/>
                      <w:marTop w:val="60"/>
                      <w:marBottom w:val="60"/>
                      <w:divBdr>
                        <w:top w:val="none" w:sz="0" w:space="0" w:color="auto"/>
                        <w:left w:val="none" w:sz="0" w:space="0" w:color="auto"/>
                        <w:bottom w:val="none" w:sz="0" w:space="0" w:color="auto"/>
                        <w:right w:val="none" w:sz="0" w:space="0" w:color="auto"/>
                      </w:divBdr>
                      <w:divsChild>
                        <w:div w:id="6345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847607">
                  <w:marLeft w:val="240"/>
                  <w:marRight w:val="0"/>
                  <w:marTop w:val="60"/>
                  <w:marBottom w:val="60"/>
                  <w:divBdr>
                    <w:top w:val="none" w:sz="0" w:space="0" w:color="auto"/>
                    <w:left w:val="none" w:sz="0" w:space="0" w:color="auto"/>
                    <w:bottom w:val="none" w:sz="0" w:space="0" w:color="auto"/>
                    <w:right w:val="none" w:sz="0" w:space="0" w:color="auto"/>
                  </w:divBdr>
                  <w:divsChild>
                    <w:div w:id="1562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4114">
          <w:marLeft w:val="240"/>
          <w:marRight w:val="0"/>
          <w:marTop w:val="60"/>
          <w:marBottom w:val="60"/>
          <w:divBdr>
            <w:top w:val="none" w:sz="0" w:space="0" w:color="auto"/>
            <w:left w:val="none" w:sz="0" w:space="0" w:color="auto"/>
            <w:bottom w:val="none" w:sz="0" w:space="0" w:color="auto"/>
            <w:right w:val="none" w:sz="0" w:space="0" w:color="auto"/>
          </w:divBdr>
          <w:divsChild>
            <w:div w:id="1523009165">
              <w:marLeft w:val="240"/>
              <w:marRight w:val="0"/>
              <w:marTop w:val="60"/>
              <w:marBottom w:val="60"/>
              <w:divBdr>
                <w:top w:val="none" w:sz="0" w:space="0" w:color="auto"/>
                <w:left w:val="none" w:sz="0" w:space="0" w:color="auto"/>
                <w:bottom w:val="none" w:sz="0" w:space="0" w:color="auto"/>
                <w:right w:val="none" w:sz="0" w:space="0" w:color="auto"/>
              </w:divBdr>
              <w:divsChild>
                <w:div w:id="380831266">
                  <w:marLeft w:val="0"/>
                  <w:marRight w:val="0"/>
                  <w:marTop w:val="0"/>
                  <w:marBottom w:val="0"/>
                  <w:divBdr>
                    <w:top w:val="none" w:sz="0" w:space="0" w:color="auto"/>
                    <w:left w:val="none" w:sz="0" w:space="0" w:color="auto"/>
                    <w:bottom w:val="none" w:sz="0" w:space="0" w:color="auto"/>
                    <w:right w:val="none" w:sz="0" w:space="0" w:color="auto"/>
                  </w:divBdr>
                </w:div>
              </w:divsChild>
            </w:div>
            <w:div w:id="2134403529">
              <w:marLeft w:val="240"/>
              <w:marRight w:val="0"/>
              <w:marTop w:val="60"/>
              <w:marBottom w:val="60"/>
              <w:divBdr>
                <w:top w:val="none" w:sz="0" w:space="0" w:color="auto"/>
                <w:left w:val="none" w:sz="0" w:space="0" w:color="auto"/>
                <w:bottom w:val="none" w:sz="0" w:space="0" w:color="auto"/>
                <w:right w:val="none" w:sz="0" w:space="0" w:color="auto"/>
              </w:divBdr>
              <w:divsChild>
                <w:div w:id="1381905302">
                  <w:marLeft w:val="240"/>
                  <w:marRight w:val="0"/>
                  <w:marTop w:val="60"/>
                  <w:marBottom w:val="60"/>
                  <w:divBdr>
                    <w:top w:val="none" w:sz="0" w:space="0" w:color="auto"/>
                    <w:left w:val="none" w:sz="0" w:space="0" w:color="auto"/>
                    <w:bottom w:val="none" w:sz="0" w:space="0" w:color="auto"/>
                    <w:right w:val="none" w:sz="0" w:space="0" w:color="auto"/>
                  </w:divBdr>
                  <w:divsChild>
                    <w:div w:id="877813682">
                      <w:marLeft w:val="0"/>
                      <w:marRight w:val="0"/>
                      <w:marTop w:val="0"/>
                      <w:marBottom w:val="0"/>
                      <w:divBdr>
                        <w:top w:val="none" w:sz="0" w:space="0" w:color="auto"/>
                        <w:left w:val="none" w:sz="0" w:space="0" w:color="auto"/>
                        <w:bottom w:val="none" w:sz="0" w:space="0" w:color="auto"/>
                        <w:right w:val="none" w:sz="0" w:space="0" w:color="auto"/>
                      </w:divBdr>
                    </w:div>
                  </w:divsChild>
                </w:div>
                <w:div w:id="1075054652">
                  <w:marLeft w:val="240"/>
                  <w:marRight w:val="0"/>
                  <w:marTop w:val="60"/>
                  <w:marBottom w:val="60"/>
                  <w:divBdr>
                    <w:top w:val="none" w:sz="0" w:space="0" w:color="auto"/>
                    <w:left w:val="none" w:sz="0" w:space="0" w:color="auto"/>
                    <w:bottom w:val="none" w:sz="0" w:space="0" w:color="auto"/>
                    <w:right w:val="none" w:sz="0" w:space="0" w:color="auto"/>
                  </w:divBdr>
                  <w:divsChild>
                    <w:div w:id="1417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353">
          <w:marLeft w:val="240"/>
          <w:marRight w:val="0"/>
          <w:marTop w:val="60"/>
          <w:marBottom w:val="60"/>
          <w:divBdr>
            <w:top w:val="none" w:sz="0" w:space="0" w:color="auto"/>
            <w:left w:val="none" w:sz="0" w:space="0" w:color="auto"/>
            <w:bottom w:val="none" w:sz="0" w:space="0" w:color="auto"/>
            <w:right w:val="none" w:sz="0" w:space="0" w:color="auto"/>
          </w:divBdr>
          <w:divsChild>
            <w:div w:id="87040579">
              <w:marLeft w:val="240"/>
              <w:marRight w:val="0"/>
              <w:marTop w:val="60"/>
              <w:marBottom w:val="60"/>
              <w:divBdr>
                <w:top w:val="none" w:sz="0" w:space="0" w:color="auto"/>
                <w:left w:val="none" w:sz="0" w:space="0" w:color="auto"/>
                <w:bottom w:val="none" w:sz="0" w:space="0" w:color="auto"/>
                <w:right w:val="none" w:sz="0" w:space="0" w:color="auto"/>
              </w:divBdr>
              <w:divsChild>
                <w:div w:id="282423914">
                  <w:marLeft w:val="0"/>
                  <w:marRight w:val="0"/>
                  <w:marTop w:val="0"/>
                  <w:marBottom w:val="0"/>
                  <w:divBdr>
                    <w:top w:val="none" w:sz="0" w:space="0" w:color="auto"/>
                    <w:left w:val="none" w:sz="0" w:space="0" w:color="auto"/>
                    <w:bottom w:val="none" w:sz="0" w:space="0" w:color="auto"/>
                    <w:right w:val="none" w:sz="0" w:space="0" w:color="auto"/>
                  </w:divBdr>
                </w:div>
              </w:divsChild>
            </w:div>
            <w:div w:id="1925071315">
              <w:marLeft w:val="240"/>
              <w:marRight w:val="0"/>
              <w:marTop w:val="60"/>
              <w:marBottom w:val="60"/>
              <w:divBdr>
                <w:top w:val="none" w:sz="0" w:space="0" w:color="auto"/>
                <w:left w:val="none" w:sz="0" w:space="0" w:color="auto"/>
                <w:bottom w:val="none" w:sz="0" w:space="0" w:color="auto"/>
                <w:right w:val="none" w:sz="0" w:space="0" w:color="auto"/>
              </w:divBdr>
              <w:divsChild>
                <w:div w:id="1959528385">
                  <w:marLeft w:val="0"/>
                  <w:marRight w:val="0"/>
                  <w:marTop w:val="0"/>
                  <w:marBottom w:val="0"/>
                  <w:divBdr>
                    <w:top w:val="none" w:sz="0" w:space="0" w:color="auto"/>
                    <w:left w:val="none" w:sz="0" w:space="0" w:color="auto"/>
                    <w:bottom w:val="none" w:sz="0" w:space="0" w:color="auto"/>
                    <w:right w:val="none" w:sz="0" w:space="0" w:color="auto"/>
                  </w:divBdr>
                </w:div>
              </w:divsChild>
            </w:div>
            <w:div w:id="1229264442">
              <w:marLeft w:val="240"/>
              <w:marRight w:val="0"/>
              <w:marTop w:val="60"/>
              <w:marBottom w:val="60"/>
              <w:divBdr>
                <w:top w:val="none" w:sz="0" w:space="0" w:color="auto"/>
                <w:left w:val="none" w:sz="0" w:space="0" w:color="auto"/>
                <w:bottom w:val="none" w:sz="0" w:space="0" w:color="auto"/>
                <w:right w:val="none" w:sz="0" w:space="0" w:color="auto"/>
              </w:divBdr>
              <w:divsChild>
                <w:div w:id="1596860150">
                  <w:marLeft w:val="0"/>
                  <w:marRight w:val="0"/>
                  <w:marTop w:val="0"/>
                  <w:marBottom w:val="0"/>
                  <w:divBdr>
                    <w:top w:val="none" w:sz="0" w:space="0" w:color="auto"/>
                    <w:left w:val="none" w:sz="0" w:space="0" w:color="auto"/>
                    <w:bottom w:val="none" w:sz="0" w:space="0" w:color="auto"/>
                    <w:right w:val="none" w:sz="0" w:space="0" w:color="auto"/>
                  </w:divBdr>
                </w:div>
              </w:divsChild>
            </w:div>
            <w:div w:id="1718895623">
              <w:marLeft w:val="240"/>
              <w:marRight w:val="0"/>
              <w:marTop w:val="60"/>
              <w:marBottom w:val="60"/>
              <w:divBdr>
                <w:top w:val="none" w:sz="0" w:space="0" w:color="auto"/>
                <w:left w:val="none" w:sz="0" w:space="0" w:color="auto"/>
                <w:bottom w:val="none" w:sz="0" w:space="0" w:color="auto"/>
                <w:right w:val="none" w:sz="0" w:space="0" w:color="auto"/>
              </w:divBdr>
              <w:divsChild>
                <w:div w:id="913197567">
                  <w:marLeft w:val="0"/>
                  <w:marRight w:val="0"/>
                  <w:marTop w:val="0"/>
                  <w:marBottom w:val="0"/>
                  <w:divBdr>
                    <w:top w:val="none" w:sz="0" w:space="0" w:color="auto"/>
                    <w:left w:val="none" w:sz="0" w:space="0" w:color="auto"/>
                    <w:bottom w:val="none" w:sz="0" w:space="0" w:color="auto"/>
                    <w:right w:val="none" w:sz="0" w:space="0" w:color="auto"/>
                  </w:divBdr>
                </w:div>
              </w:divsChild>
            </w:div>
            <w:div w:id="1193881105">
              <w:marLeft w:val="240"/>
              <w:marRight w:val="0"/>
              <w:marTop w:val="60"/>
              <w:marBottom w:val="60"/>
              <w:divBdr>
                <w:top w:val="none" w:sz="0" w:space="0" w:color="auto"/>
                <w:left w:val="none" w:sz="0" w:space="0" w:color="auto"/>
                <w:bottom w:val="none" w:sz="0" w:space="0" w:color="auto"/>
                <w:right w:val="none" w:sz="0" w:space="0" w:color="auto"/>
              </w:divBdr>
              <w:divsChild>
                <w:div w:id="1336303608">
                  <w:marLeft w:val="0"/>
                  <w:marRight w:val="0"/>
                  <w:marTop w:val="0"/>
                  <w:marBottom w:val="0"/>
                  <w:divBdr>
                    <w:top w:val="none" w:sz="0" w:space="0" w:color="auto"/>
                    <w:left w:val="none" w:sz="0" w:space="0" w:color="auto"/>
                    <w:bottom w:val="none" w:sz="0" w:space="0" w:color="auto"/>
                    <w:right w:val="none" w:sz="0" w:space="0" w:color="auto"/>
                  </w:divBdr>
                </w:div>
              </w:divsChild>
            </w:div>
            <w:div w:id="1249847731">
              <w:marLeft w:val="240"/>
              <w:marRight w:val="0"/>
              <w:marTop w:val="60"/>
              <w:marBottom w:val="60"/>
              <w:divBdr>
                <w:top w:val="none" w:sz="0" w:space="0" w:color="auto"/>
                <w:left w:val="none" w:sz="0" w:space="0" w:color="auto"/>
                <w:bottom w:val="none" w:sz="0" w:space="0" w:color="auto"/>
                <w:right w:val="none" w:sz="0" w:space="0" w:color="auto"/>
              </w:divBdr>
              <w:divsChild>
                <w:div w:id="1383024176">
                  <w:marLeft w:val="240"/>
                  <w:marRight w:val="0"/>
                  <w:marTop w:val="60"/>
                  <w:marBottom w:val="60"/>
                  <w:divBdr>
                    <w:top w:val="none" w:sz="0" w:space="0" w:color="auto"/>
                    <w:left w:val="none" w:sz="0" w:space="0" w:color="auto"/>
                    <w:bottom w:val="none" w:sz="0" w:space="0" w:color="auto"/>
                    <w:right w:val="none" w:sz="0" w:space="0" w:color="auto"/>
                  </w:divBdr>
                  <w:divsChild>
                    <w:div w:id="2041971844">
                      <w:marLeft w:val="240"/>
                      <w:marRight w:val="0"/>
                      <w:marTop w:val="60"/>
                      <w:marBottom w:val="60"/>
                      <w:divBdr>
                        <w:top w:val="none" w:sz="0" w:space="0" w:color="auto"/>
                        <w:left w:val="none" w:sz="0" w:space="0" w:color="auto"/>
                        <w:bottom w:val="none" w:sz="0" w:space="0" w:color="auto"/>
                        <w:right w:val="none" w:sz="0" w:space="0" w:color="auto"/>
                      </w:divBdr>
                      <w:divsChild>
                        <w:div w:id="1714310523">
                          <w:marLeft w:val="0"/>
                          <w:marRight w:val="0"/>
                          <w:marTop w:val="0"/>
                          <w:marBottom w:val="0"/>
                          <w:divBdr>
                            <w:top w:val="none" w:sz="0" w:space="0" w:color="auto"/>
                            <w:left w:val="none" w:sz="0" w:space="0" w:color="auto"/>
                            <w:bottom w:val="none" w:sz="0" w:space="0" w:color="auto"/>
                            <w:right w:val="none" w:sz="0" w:space="0" w:color="auto"/>
                          </w:divBdr>
                        </w:div>
                      </w:divsChild>
                    </w:div>
                    <w:div w:id="785462342">
                      <w:marLeft w:val="240"/>
                      <w:marRight w:val="0"/>
                      <w:marTop w:val="60"/>
                      <w:marBottom w:val="60"/>
                      <w:divBdr>
                        <w:top w:val="none" w:sz="0" w:space="0" w:color="auto"/>
                        <w:left w:val="none" w:sz="0" w:space="0" w:color="auto"/>
                        <w:bottom w:val="none" w:sz="0" w:space="0" w:color="auto"/>
                        <w:right w:val="none" w:sz="0" w:space="0" w:color="auto"/>
                      </w:divBdr>
                      <w:divsChild>
                        <w:div w:id="1026447200">
                          <w:marLeft w:val="0"/>
                          <w:marRight w:val="0"/>
                          <w:marTop w:val="0"/>
                          <w:marBottom w:val="0"/>
                          <w:divBdr>
                            <w:top w:val="none" w:sz="0" w:space="0" w:color="auto"/>
                            <w:left w:val="none" w:sz="0" w:space="0" w:color="auto"/>
                            <w:bottom w:val="none" w:sz="0" w:space="0" w:color="auto"/>
                            <w:right w:val="none" w:sz="0" w:space="0" w:color="auto"/>
                          </w:divBdr>
                        </w:div>
                      </w:divsChild>
                    </w:div>
                    <w:div w:id="993068098">
                      <w:marLeft w:val="240"/>
                      <w:marRight w:val="0"/>
                      <w:marTop w:val="60"/>
                      <w:marBottom w:val="60"/>
                      <w:divBdr>
                        <w:top w:val="none" w:sz="0" w:space="0" w:color="auto"/>
                        <w:left w:val="none" w:sz="0" w:space="0" w:color="auto"/>
                        <w:bottom w:val="none" w:sz="0" w:space="0" w:color="auto"/>
                        <w:right w:val="none" w:sz="0" w:space="0" w:color="auto"/>
                      </w:divBdr>
                      <w:divsChild>
                        <w:div w:id="18354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2334">
                  <w:marLeft w:val="240"/>
                  <w:marRight w:val="0"/>
                  <w:marTop w:val="60"/>
                  <w:marBottom w:val="60"/>
                  <w:divBdr>
                    <w:top w:val="none" w:sz="0" w:space="0" w:color="auto"/>
                    <w:left w:val="none" w:sz="0" w:space="0" w:color="auto"/>
                    <w:bottom w:val="none" w:sz="0" w:space="0" w:color="auto"/>
                    <w:right w:val="none" w:sz="0" w:space="0" w:color="auto"/>
                  </w:divBdr>
                  <w:divsChild>
                    <w:div w:id="8150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8532">
              <w:marLeft w:val="240"/>
              <w:marRight w:val="0"/>
              <w:marTop w:val="60"/>
              <w:marBottom w:val="60"/>
              <w:divBdr>
                <w:top w:val="none" w:sz="0" w:space="0" w:color="auto"/>
                <w:left w:val="none" w:sz="0" w:space="0" w:color="auto"/>
                <w:bottom w:val="none" w:sz="0" w:space="0" w:color="auto"/>
                <w:right w:val="none" w:sz="0" w:space="0" w:color="auto"/>
              </w:divBdr>
              <w:divsChild>
                <w:div w:id="15770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169">
          <w:marLeft w:val="240"/>
          <w:marRight w:val="0"/>
          <w:marTop w:val="60"/>
          <w:marBottom w:val="60"/>
          <w:divBdr>
            <w:top w:val="none" w:sz="0" w:space="0" w:color="auto"/>
            <w:left w:val="none" w:sz="0" w:space="0" w:color="auto"/>
            <w:bottom w:val="none" w:sz="0" w:space="0" w:color="auto"/>
            <w:right w:val="none" w:sz="0" w:space="0" w:color="auto"/>
          </w:divBdr>
          <w:divsChild>
            <w:div w:id="1840925272">
              <w:marLeft w:val="0"/>
              <w:marRight w:val="0"/>
              <w:marTop w:val="0"/>
              <w:marBottom w:val="0"/>
              <w:divBdr>
                <w:top w:val="none" w:sz="0" w:space="0" w:color="auto"/>
                <w:left w:val="none" w:sz="0" w:space="0" w:color="auto"/>
                <w:bottom w:val="none" w:sz="0" w:space="0" w:color="auto"/>
                <w:right w:val="none" w:sz="0" w:space="0" w:color="auto"/>
              </w:divBdr>
            </w:div>
          </w:divsChild>
        </w:div>
        <w:div w:id="491801675">
          <w:marLeft w:val="240"/>
          <w:marRight w:val="0"/>
          <w:marTop w:val="60"/>
          <w:marBottom w:val="60"/>
          <w:divBdr>
            <w:top w:val="none" w:sz="0" w:space="0" w:color="auto"/>
            <w:left w:val="none" w:sz="0" w:space="0" w:color="auto"/>
            <w:bottom w:val="none" w:sz="0" w:space="0" w:color="auto"/>
            <w:right w:val="none" w:sz="0" w:space="0" w:color="auto"/>
          </w:divBdr>
          <w:divsChild>
            <w:div w:id="849490438">
              <w:marLeft w:val="0"/>
              <w:marRight w:val="0"/>
              <w:marTop w:val="0"/>
              <w:marBottom w:val="0"/>
              <w:divBdr>
                <w:top w:val="none" w:sz="0" w:space="0" w:color="auto"/>
                <w:left w:val="none" w:sz="0" w:space="0" w:color="auto"/>
                <w:bottom w:val="none" w:sz="0" w:space="0" w:color="auto"/>
                <w:right w:val="none" w:sz="0" w:space="0" w:color="auto"/>
              </w:divBdr>
            </w:div>
          </w:divsChild>
        </w:div>
        <w:div w:id="55590616">
          <w:marLeft w:val="0"/>
          <w:marRight w:val="0"/>
          <w:marTop w:val="0"/>
          <w:marBottom w:val="0"/>
          <w:divBdr>
            <w:top w:val="none" w:sz="0" w:space="0" w:color="auto"/>
            <w:left w:val="none" w:sz="0" w:space="0" w:color="auto"/>
            <w:bottom w:val="none" w:sz="0" w:space="0" w:color="auto"/>
            <w:right w:val="none" w:sz="0" w:space="0" w:color="auto"/>
          </w:divBdr>
        </w:div>
      </w:divsChild>
    </w:div>
    <w:div w:id="2093816587">
      <w:bodyDiv w:val="1"/>
      <w:marLeft w:val="0"/>
      <w:marRight w:val="0"/>
      <w:marTop w:val="0"/>
      <w:marBottom w:val="0"/>
      <w:divBdr>
        <w:top w:val="none" w:sz="0" w:space="0" w:color="auto"/>
        <w:left w:val="none" w:sz="0" w:space="0" w:color="auto"/>
        <w:bottom w:val="none" w:sz="0" w:space="0" w:color="auto"/>
        <w:right w:val="none" w:sz="0" w:space="0" w:color="auto"/>
      </w:divBdr>
    </w:div>
    <w:div w:id="2095710441">
      <w:bodyDiv w:val="1"/>
      <w:marLeft w:val="0"/>
      <w:marRight w:val="0"/>
      <w:marTop w:val="0"/>
      <w:marBottom w:val="0"/>
      <w:divBdr>
        <w:top w:val="none" w:sz="0" w:space="0" w:color="auto"/>
        <w:left w:val="none" w:sz="0" w:space="0" w:color="auto"/>
        <w:bottom w:val="none" w:sz="0" w:space="0" w:color="auto"/>
        <w:right w:val="none" w:sz="0" w:space="0" w:color="auto"/>
      </w:divBdr>
    </w:div>
    <w:div w:id="2097243367">
      <w:bodyDiv w:val="1"/>
      <w:marLeft w:val="0"/>
      <w:marRight w:val="0"/>
      <w:marTop w:val="0"/>
      <w:marBottom w:val="0"/>
      <w:divBdr>
        <w:top w:val="none" w:sz="0" w:space="0" w:color="auto"/>
        <w:left w:val="none" w:sz="0" w:space="0" w:color="auto"/>
        <w:bottom w:val="none" w:sz="0" w:space="0" w:color="auto"/>
        <w:right w:val="none" w:sz="0" w:space="0" w:color="auto"/>
      </w:divBdr>
    </w:div>
    <w:div w:id="2103601651">
      <w:bodyDiv w:val="1"/>
      <w:marLeft w:val="0"/>
      <w:marRight w:val="0"/>
      <w:marTop w:val="0"/>
      <w:marBottom w:val="0"/>
      <w:divBdr>
        <w:top w:val="none" w:sz="0" w:space="0" w:color="auto"/>
        <w:left w:val="none" w:sz="0" w:space="0" w:color="auto"/>
        <w:bottom w:val="none" w:sz="0" w:space="0" w:color="auto"/>
        <w:right w:val="none" w:sz="0" w:space="0" w:color="auto"/>
      </w:divBdr>
    </w:div>
    <w:div w:id="2109154311">
      <w:bodyDiv w:val="1"/>
      <w:marLeft w:val="0"/>
      <w:marRight w:val="0"/>
      <w:marTop w:val="0"/>
      <w:marBottom w:val="0"/>
      <w:divBdr>
        <w:top w:val="none" w:sz="0" w:space="0" w:color="auto"/>
        <w:left w:val="none" w:sz="0" w:space="0" w:color="auto"/>
        <w:bottom w:val="none" w:sz="0" w:space="0" w:color="auto"/>
        <w:right w:val="none" w:sz="0" w:space="0" w:color="auto"/>
      </w:divBdr>
    </w:div>
    <w:div w:id="2125152226">
      <w:bodyDiv w:val="1"/>
      <w:marLeft w:val="0"/>
      <w:marRight w:val="0"/>
      <w:marTop w:val="0"/>
      <w:marBottom w:val="0"/>
      <w:divBdr>
        <w:top w:val="none" w:sz="0" w:space="0" w:color="auto"/>
        <w:left w:val="none" w:sz="0" w:space="0" w:color="auto"/>
        <w:bottom w:val="none" w:sz="0" w:space="0" w:color="auto"/>
        <w:right w:val="none" w:sz="0" w:space="0" w:color="auto"/>
      </w:divBdr>
      <w:divsChild>
        <w:div w:id="1893228490">
          <w:marLeft w:val="0"/>
          <w:marRight w:val="0"/>
          <w:marTop w:val="0"/>
          <w:marBottom w:val="0"/>
          <w:divBdr>
            <w:top w:val="none" w:sz="0" w:space="0" w:color="auto"/>
            <w:left w:val="none" w:sz="0" w:space="0" w:color="auto"/>
            <w:bottom w:val="none" w:sz="0" w:space="0" w:color="auto"/>
            <w:right w:val="none" w:sz="0" w:space="0" w:color="auto"/>
          </w:divBdr>
        </w:div>
      </w:divsChild>
    </w:div>
    <w:div w:id="213787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ajusn@gmail.com" TargetMode="External"/><Relationship Id="rId5" Type="http://schemas.openxmlformats.org/officeDocument/2006/relationships/hyperlink" Target="mailto:carajus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220</Pages>
  <Words>67352</Words>
  <Characters>383907</Characters>
  <Application>Microsoft Office Word</Application>
  <DocSecurity>0</DocSecurity>
  <Lines>3199</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5</cp:revision>
  <dcterms:created xsi:type="dcterms:W3CDTF">2018-10-14T09:03:00Z</dcterms:created>
  <dcterms:modified xsi:type="dcterms:W3CDTF">2018-10-28T14:10:00Z</dcterms:modified>
</cp:coreProperties>
</file>