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0A5" w:rsidRPr="005B6217" w:rsidRDefault="00C360A5" w:rsidP="00C360A5">
      <w:pPr>
        <w:spacing w:after="150" w:line="300" w:lineRule="atLeast"/>
        <w:jc w:val="center"/>
        <w:rPr>
          <w:rFonts w:ascii="Arial" w:eastAsia="Times New Roman" w:hAnsi="Arial" w:cs="Arial"/>
          <w:b/>
          <w:bCs/>
          <w:color w:val="5F497A" w:themeColor="accent4" w:themeShade="BF"/>
          <w:sz w:val="21"/>
          <w:u w:val="single"/>
        </w:rPr>
      </w:pPr>
      <w:r w:rsidRPr="005B6217">
        <w:rPr>
          <w:rFonts w:ascii="Arial" w:eastAsia="Times New Roman" w:hAnsi="Arial" w:cs="Arial"/>
          <w:b/>
          <w:bCs/>
          <w:color w:val="5F497A" w:themeColor="accent4" w:themeShade="BF"/>
          <w:sz w:val="21"/>
          <w:u w:val="single"/>
        </w:rPr>
        <w:t>THINGS TO KNOW ABOUT SOVEREIGN GOLD BOND SCHEME 2015</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 Eligibility for Investment:</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The Bonds under this Scheme may be held by a person resident in India, being an</w:t>
      </w:r>
      <w:r w:rsidRPr="00C360A5">
        <w:rPr>
          <w:rFonts w:ascii="Arial" w:eastAsia="Times New Roman" w:hAnsi="Arial" w:cs="Arial"/>
          <w:color w:val="333333"/>
          <w:sz w:val="21"/>
        </w:rPr>
        <w:t> individual</w:t>
      </w:r>
      <w:r w:rsidRPr="00C360A5">
        <w:rPr>
          <w:rFonts w:ascii="Arial" w:eastAsia="Times New Roman" w:hAnsi="Arial" w:cs="Arial"/>
          <w:color w:val="333333"/>
          <w:sz w:val="21"/>
          <w:szCs w:val="21"/>
        </w:rPr>
        <w:t>, in his capacity as such individual, or on behalf of minor child, or jointly with any other individual. “Person resident in India” is defined under section 2(v) read with section 2 (u) of the Foreign Exchange Management Act, 1999.</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2. Form of Security</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 xml:space="preserve">The Bonds shall be issued in the form of Government of India Stock in accordance with section 3 of the Government Securities Act, 2006. The investors will be issued a Holding Certificate (Form C). The Bonds shall be eligible for conversion into </w:t>
      </w:r>
      <w:proofErr w:type="spellStart"/>
      <w:r w:rsidRPr="00C360A5">
        <w:rPr>
          <w:rFonts w:ascii="Arial" w:eastAsia="Times New Roman" w:hAnsi="Arial" w:cs="Arial"/>
          <w:color w:val="333333"/>
          <w:sz w:val="21"/>
          <w:szCs w:val="21"/>
        </w:rPr>
        <w:t>de</w:t>
      </w:r>
      <w:proofErr w:type="spellEnd"/>
      <w:r w:rsidRPr="00C360A5">
        <w:rPr>
          <w:rFonts w:ascii="Arial" w:eastAsia="Times New Roman" w:hAnsi="Arial" w:cs="Arial"/>
          <w:color w:val="333333"/>
          <w:sz w:val="21"/>
          <w:szCs w:val="21"/>
        </w:rPr>
        <w:t>-mat form.</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3. Date of Issue</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color w:val="333333"/>
          <w:sz w:val="21"/>
          <w:szCs w:val="21"/>
        </w:rPr>
        <w:t>Date of issuance shall be November 26, 2015.</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The investors can apply for the Bonds in receiving offices from November 05, 2015 to November 20, 2015. The issuance can be closed by Government of India earlier than November 20, 2015 with a prior notice.</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4. Denomination</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The Bonds shall be denominated in units of one gram of gold and multiples thereof. Minimum investment in the Bonds shall be 2 grams with a maximum subscription of 500 grams per person per fiscal year (April – March). In case of joint holding, the limit applies to the first applicant.</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5. Issue Price</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 xml:space="preserve">Price of the Bonds shall be fixed in Indian Rupees on the basis of the previous week’s (Monday – Friday) simple average closing price for gold </w:t>
      </w:r>
      <w:proofErr w:type="gramStart"/>
      <w:r w:rsidRPr="00C360A5">
        <w:rPr>
          <w:rFonts w:ascii="Arial" w:eastAsia="Times New Roman" w:hAnsi="Arial" w:cs="Arial"/>
          <w:color w:val="333333"/>
          <w:sz w:val="21"/>
          <w:szCs w:val="21"/>
        </w:rPr>
        <w:t xml:space="preserve">of 999 purity, published by the India Bullion and </w:t>
      </w:r>
      <w:proofErr w:type="spellStart"/>
      <w:r w:rsidRPr="00C360A5">
        <w:rPr>
          <w:rFonts w:ascii="Arial" w:eastAsia="Times New Roman" w:hAnsi="Arial" w:cs="Arial"/>
          <w:color w:val="333333"/>
          <w:sz w:val="21"/>
          <w:szCs w:val="21"/>
        </w:rPr>
        <w:t>Jewellers</w:t>
      </w:r>
      <w:proofErr w:type="spellEnd"/>
      <w:r w:rsidRPr="00C360A5">
        <w:rPr>
          <w:rFonts w:ascii="Arial" w:eastAsia="Times New Roman" w:hAnsi="Arial" w:cs="Arial"/>
          <w:color w:val="333333"/>
          <w:sz w:val="21"/>
        </w:rPr>
        <w:t> Association </w:t>
      </w:r>
      <w:r w:rsidRPr="00C360A5">
        <w:rPr>
          <w:rFonts w:ascii="Arial" w:eastAsia="Times New Roman" w:hAnsi="Arial" w:cs="Arial"/>
          <w:color w:val="333333"/>
          <w:sz w:val="21"/>
          <w:szCs w:val="21"/>
        </w:rPr>
        <w:t>Ltd. (IBJA)</w:t>
      </w:r>
      <w:proofErr w:type="gramEnd"/>
      <w:r w:rsidRPr="00C360A5">
        <w:rPr>
          <w:rFonts w:ascii="Arial" w:eastAsia="Times New Roman" w:hAnsi="Arial" w:cs="Arial"/>
          <w:color w:val="333333"/>
          <w:sz w:val="21"/>
          <w:szCs w:val="21"/>
        </w:rPr>
        <w:t>.</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6. Interest</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The Bonds shall bear interest at the rate of 2.75 per cent (fixed rate) per annum on the amount of initial investment. Interest shall be paid in half-yearly rests and the last interest shall be payable on maturity along with the principal.</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7. Receiving Offices</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Scheduled commercial banks (excluding RRBs) and designated Post Offices (as may be notified) are authorized to receive applications for the Bonds either directly or through</w:t>
      </w:r>
      <w:r w:rsidRPr="00C360A5">
        <w:rPr>
          <w:rFonts w:ascii="Arial" w:eastAsia="Times New Roman" w:hAnsi="Arial" w:cs="Arial"/>
          <w:color w:val="333333"/>
          <w:sz w:val="21"/>
        </w:rPr>
        <w:t> agents</w:t>
      </w:r>
      <w:r w:rsidRPr="00C360A5">
        <w:rPr>
          <w:rFonts w:ascii="Arial" w:eastAsia="Times New Roman" w:hAnsi="Arial" w:cs="Arial"/>
          <w:color w:val="333333"/>
          <w:sz w:val="21"/>
          <w:szCs w:val="21"/>
        </w:rPr>
        <w:t>.</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8. Payment Options</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 xml:space="preserve">Payment shall be accepted in Indian Rupees through Cash or Demand Drafts or </w:t>
      </w:r>
      <w:proofErr w:type="spellStart"/>
      <w:r w:rsidRPr="00C360A5">
        <w:rPr>
          <w:rFonts w:ascii="Arial" w:eastAsia="Times New Roman" w:hAnsi="Arial" w:cs="Arial"/>
          <w:color w:val="333333"/>
          <w:sz w:val="21"/>
          <w:szCs w:val="21"/>
        </w:rPr>
        <w:t>Cheque</w:t>
      </w:r>
      <w:proofErr w:type="spellEnd"/>
      <w:r w:rsidRPr="00C360A5">
        <w:rPr>
          <w:rFonts w:ascii="Arial" w:eastAsia="Times New Roman" w:hAnsi="Arial" w:cs="Arial"/>
          <w:color w:val="333333"/>
          <w:sz w:val="21"/>
          <w:szCs w:val="21"/>
        </w:rPr>
        <w:t xml:space="preserve"> or Electronic banking. </w:t>
      </w:r>
      <w:proofErr w:type="spellStart"/>
      <w:r w:rsidRPr="00C360A5">
        <w:rPr>
          <w:rFonts w:ascii="Arial" w:eastAsia="Times New Roman" w:hAnsi="Arial" w:cs="Arial"/>
          <w:color w:val="333333"/>
          <w:sz w:val="21"/>
          <w:szCs w:val="21"/>
        </w:rPr>
        <w:t>Cheque</w:t>
      </w:r>
      <w:proofErr w:type="spellEnd"/>
      <w:r w:rsidRPr="00C360A5">
        <w:rPr>
          <w:rFonts w:ascii="Arial" w:eastAsia="Times New Roman" w:hAnsi="Arial" w:cs="Arial"/>
          <w:color w:val="333333"/>
          <w:sz w:val="21"/>
          <w:szCs w:val="21"/>
        </w:rPr>
        <w:t xml:space="preserve"> or draft should be drawn in </w:t>
      </w:r>
      <w:proofErr w:type="spellStart"/>
      <w:r w:rsidRPr="00C360A5">
        <w:rPr>
          <w:rFonts w:ascii="Arial" w:eastAsia="Times New Roman" w:hAnsi="Arial" w:cs="Arial"/>
          <w:color w:val="333333"/>
          <w:sz w:val="21"/>
          <w:szCs w:val="21"/>
        </w:rPr>
        <w:t>favour</w:t>
      </w:r>
      <w:proofErr w:type="spellEnd"/>
      <w:r w:rsidRPr="00C360A5">
        <w:rPr>
          <w:rFonts w:ascii="Arial" w:eastAsia="Times New Roman" w:hAnsi="Arial" w:cs="Arial"/>
          <w:color w:val="333333"/>
          <w:sz w:val="21"/>
          <w:szCs w:val="21"/>
        </w:rPr>
        <w:t xml:space="preserve"> of the bank / post office (Receiving </w:t>
      </w:r>
      <w:r w:rsidRPr="00C360A5">
        <w:rPr>
          <w:rFonts w:ascii="Arial" w:eastAsia="Times New Roman" w:hAnsi="Arial" w:cs="Arial"/>
          <w:color w:val="333333"/>
          <w:sz w:val="21"/>
          <w:szCs w:val="21"/>
        </w:rPr>
        <w:lastRenderedPageBreak/>
        <w:t>Office), specified in paragraph 7 above and payable at the place where the applications are tendered.</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9. Redemption</w:t>
      </w:r>
    </w:p>
    <w:p w:rsidR="00C360A5" w:rsidRPr="00C360A5" w:rsidRDefault="00C360A5" w:rsidP="00C360A5">
      <w:pPr>
        <w:numPr>
          <w:ilvl w:val="0"/>
          <w:numId w:val="1"/>
        </w:numPr>
        <w:spacing w:before="100" w:beforeAutospacing="1" w:after="100" w:afterAutospacing="1" w:line="300" w:lineRule="atLeast"/>
        <w:rPr>
          <w:rFonts w:ascii="Arial" w:eastAsia="Times New Roman" w:hAnsi="Arial" w:cs="Arial"/>
          <w:color w:val="333333"/>
          <w:sz w:val="21"/>
          <w:szCs w:val="21"/>
        </w:rPr>
      </w:pPr>
      <w:r w:rsidRPr="00C360A5">
        <w:rPr>
          <w:rFonts w:ascii="Arial" w:eastAsia="Times New Roman" w:hAnsi="Arial" w:cs="Arial"/>
          <w:color w:val="333333"/>
          <w:sz w:val="21"/>
          <w:szCs w:val="21"/>
        </w:rPr>
        <w:t>The Bonds shall be repayable on the expiration of eight years from the date of issue. Pre-mature redemption of the Bond is allowed from fifth year of the date of issue on the interest payment dates.</w:t>
      </w:r>
    </w:p>
    <w:p w:rsidR="00C360A5" w:rsidRPr="00C360A5" w:rsidRDefault="00C360A5" w:rsidP="00C360A5">
      <w:pPr>
        <w:numPr>
          <w:ilvl w:val="0"/>
          <w:numId w:val="1"/>
        </w:numPr>
        <w:spacing w:before="100" w:beforeAutospacing="1" w:after="100" w:afterAutospacing="1"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 xml:space="preserve">The redemption price shall be fixed in Indian Rupees on the basis of the previous week’s (Monday – Friday) simple average closing price for gold </w:t>
      </w:r>
      <w:proofErr w:type="gramStart"/>
      <w:r w:rsidRPr="00C360A5">
        <w:rPr>
          <w:rFonts w:ascii="Arial" w:eastAsia="Times New Roman" w:hAnsi="Arial" w:cs="Arial"/>
          <w:color w:val="333333"/>
          <w:sz w:val="21"/>
          <w:szCs w:val="21"/>
        </w:rPr>
        <w:t>of 999 purity, published by IBJA</w:t>
      </w:r>
      <w:proofErr w:type="gramEnd"/>
      <w:r w:rsidRPr="00C360A5">
        <w:rPr>
          <w:rFonts w:ascii="Arial" w:eastAsia="Times New Roman" w:hAnsi="Arial" w:cs="Arial"/>
          <w:color w:val="333333"/>
          <w:sz w:val="21"/>
          <w:szCs w:val="21"/>
        </w:rPr>
        <w:t>.</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10. Repayment</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color w:val="333333"/>
          <w:sz w:val="21"/>
          <w:szCs w:val="21"/>
        </w:rPr>
        <w:t>The receiving office shall inform the investor of the date of maturity of the Bonds, one month before its maturity.</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color w:val="333333"/>
          <w:sz w:val="21"/>
          <w:szCs w:val="21"/>
        </w:rPr>
        <w:t>11. Eligibility for Statutory Liquidity Ratio (SLR)</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color w:val="333333"/>
          <w:sz w:val="21"/>
          <w:szCs w:val="21"/>
        </w:rPr>
        <w:t>The investment in the Bonds shall be eligible for SLR.</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12. Loan against Bonds</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The Bonds may be used as collateral for loans. The Loan to Value ratio will be as applicable to ordinary gold loan mandated by the RBI from time to time. The lien on the Bonds shall be marked in the depository by the authorized banks.</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13. Tax Treatment</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Interest on the Bonds shall be taxable as per the provisions of the Income-tax Act, 1961. Capital gains tax treatment will be the same as that for physical gold.</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14. Applications</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Subscription for the Bonds may be made in the</w:t>
      </w:r>
      <w:r w:rsidRPr="00C360A5">
        <w:rPr>
          <w:rFonts w:ascii="Arial" w:eastAsia="Times New Roman" w:hAnsi="Arial" w:cs="Arial"/>
          <w:color w:val="333333"/>
          <w:sz w:val="21"/>
        </w:rPr>
        <w:t> prescribed application form </w:t>
      </w:r>
      <w:r w:rsidRPr="00C360A5">
        <w:rPr>
          <w:rFonts w:ascii="Arial" w:eastAsia="Times New Roman" w:hAnsi="Arial" w:cs="Arial"/>
          <w:color w:val="333333"/>
          <w:sz w:val="21"/>
          <w:szCs w:val="21"/>
        </w:rPr>
        <w:t>(Form ‘A’)  or in any other form as near as thereto stating clearly the grams of gold and the full name and address of the applicant. The receiving office shall issue an acknowledgment receipt in Form ‘B’ to the applicant.</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15. Nomination</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Nomination and its cancellation shall be made in Form ‘D’ and Form ‘E’, respectively, in accordance with the provisions of the Government Securities  Act, 2006 (38 of 2006) and the Government Securities Regulations, 2007, published in part III, Section 4 of the Gazette of India dated the 1st December, 2007.</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16. Transferability</w:t>
      </w:r>
    </w:p>
    <w:p w:rsidR="00C360A5" w:rsidRPr="00C360A5" w:rsidRDefault="00C360A5" w:rsidP="00C360A5">
      <w:pPr>
        <w:spacing w:after="150" w:line="300" w:lineRule="atLeast"/>
        <w:jc w:val="both"/>
        <w:rPr>
          <w:rFonts w:ascii="Arial" w:eastAsia="Times New Roman" w:hAnsi="Arial" w:cs="Arial"/>
          <w:color w:val="333333"/>
          <w:sz w:val="21"/>
          <w:szCs w:val="21"/>
        </w:rPr>
      </w:pPr>
      <w:r w:rsidRPr="00C360A5">
        <w:rPr>
          <w:rFonts w:ascii="Arial" w:eastAsia="Times New Roman" w:hAnsi="Arial" w:cs="Arial"/>
          <w:color w:val="333333"/>
          <w:sz w:val="21"/>
          <w:szCs w:val="21"/>
        </w:rPr>
        <w:t>The Bonds shall be transferable by execution of an Instrument of transfer as in Form ‘F’, in accordance with the provisions of the Government Securities Act, 2006 (38 of 2006) and the Government Securities Regulations, 2007, published in part III, Section 4 of the Gazette of India dated the 1st December, 2007.</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lastRenderedPageBreak/>
        <w:t>17. Tradability in Bonds</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color w:val="333333"/>
          <w:sz w:val="21"/>
          <w:szCs w:val="21"/>
        </w:rPr>
        <w:t>The Bonds shall be eligible for trading from such date as may be notified by the Reserve Bank of India.</w:t>
      </w:r>
    </w:p>
    <w:p w:rsidR="00C360A5" w:rsidRPr="00C360A5" w:rsidRDefault="00C360A5" w:rsidP="00C360A5">
      <w:pPr>
        <w:spacing w:after="150" w:line="300" w:lineRule="atLeast"/>
        <w:rPr>
          <w:rFonts w:ascii="Arial" w:eastAsia="Times New Roman" w:hAnsi="Arial" w:cs="Arial"/>
          <w:color w:val="333333"/>
          <w:sz w:val="21"/>
          <w:szCs w:val="21"/>
        </w:rPr>
      </w:pPr>
      <w:r w:rsidRPr="00C360A5">
        <w:rPr>
          <w:rFonts w:ascii="Arial" w:eastAsia="Times New Roman" w:hAnsi="Arial" w:cs="Arial"/>
          <w:b/>
          <w:bCs/>
          <w:color w:val="333333"/>
          <w:sz w:val="21"/>
        </w:rPr>
        <w:t>18. Commission for distribution</w:t>
      </w:r>
    </w:p>
    <w:p w:rsidR="00C360A5" w:rsidRPr="00C360A5" w:rsidRDefault="00C360A5" w:rsidP="00C360A5">
      <w:pPr>
        <w:spacing w:after="150" w:line="300" w:lineRule="atLeast"/>
        <w:jc w:val="both"/>
        <w:rPr>
          <w:rFonts w:ascii="Arial" w:eastAsia="Times New Roman" w:hAnsi="Arial" w:cs="Arial"/>
          <w:color w:val="5F497A" w:themeColor="accent4" w:themeShade="BF"/>
          <w:sz w:val="21"/>
          <w:szCs w:val="21"/>
        </w:rPr>
      </w:pPr>
      <w:r w:rsidRPr="00C360A5">
        <w:rPr>
          <w:rFonts w:ascii="Arial" w:eastAsia="Times New Roman" w:hAnsi="Arial" w:cs="Arial"/>
          <w:color w:val="333333"/>
          <w:sz w:val="21"/>
          <w:szCs w:val="21"/>
        </w:rPr>
        <w:t>Commission for distribution shall be paid at the rate of rupee one per hundred of the total subscription received by the receiving offices on the applications received and receiving offices shall share at least 50% of the commission so received with the agents or sub-agents for the business procured through them.</w:t>
      </w:r>
    </w:p>
    <w:sectPr w:rsidR="00C360A5" w:rsidRPr="00C360A5" w:rsidSect="00CB55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D51C7"/>
    <w:multiLevelType w:val="multilevel"/>
    <w:tmpl w:val="398E532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60A5"/>
    <w:rsid w:val="002070B5"/>
    <w:rsid w:val="005338A4"/>
    <w:rsid w:val="005B6217"/>
    <w:rsid w:val="00C32BF2"/>
    <w:rsid w:val="00C360A5"/>
    <w:rsid w:val="00C74C29"/>
    <w:rsid w:val="00CB55A9"/>
    <w:rsid w:val="00CF63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60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60A5"/>
    <w:rPr>
      <w:b/>
      <w:bCs/>
    </w:rPr>
  </w:style>
  <w:style w:type="paragraph" w:customStyle="1" w:styleId="head">
    <w:name w:val="head"/>
    <w:basedOn w:val="Normal"/>
    <w:rsid w:val="00C360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60A5"/>
  </w:style>
  <w:style w:type="character" w:customStyle="1" w:styleId="ilad">
    <w:name w:val="il_ad"/>
    <w:basedOn w:val="DefaultParagraphFont"/>
    <w:rsid w:val="00C360A5"/>
  </w:style>
</w:styles>
</file>

<file path=word/webSettings.xml><?xml version="1.0" encoding="utf-8"?>
<w:webSettings xmlns:r="http://schemas.openxmlformats.org/officeDocument/2006/relationships" xmlns:w="http://schemas.openxmlformats.org/wordprocessingml/2006/main">
  <w:divs>
    <w:div w:id="1213807999">
      <w:bodyDiv w:val="1"/>
      <w:marLeft w:val="0"/>
      <w:marRight w:val="0"/>
      <w:marTop w:val="0"/>
      <w:marBottom w:val="0"/>
      <w:divBdr>
        <w:top w:val="none" w:sz="0" w:space="0" w:color="auto"/>
        <w:left w:val="none" w:sz="0" w:space="0" w:color="auto"/>
        <w:bottom w:val="none" w:sz="0" w:space="0" w:color="auto"/>
        <w:right w:val="none" w:sz="0" w:space="0" w:color="auto"/>
      </w:divBdr>
    </w:div>
    <w:div w:id="124776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711</Words>
  <Characters>4058</Characters>
  <Application>Microsoft Office Word</Application>
  <DocSecurity>0</DocSecurity>
  <Lines>33</Lines>
  <Paragraphs>9</Paragraphs>
  <ScaleCrop>false</ScaleCrop>
  <Company/>
  <LinksUpToDate>false</LinksUpToDate>
  <CharactersWithSpaces>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Kanchan</dc:creator>
  <cp:lastModifiedBy>Kanchan</cp:lastModifiedBy>
  <cp:revision>3</cp:revision>
  <dcterms:created xsi:type="dcterms:W3CDTF">2016-06-07T08:52:00Z</dcterms:created>
  <dcterms:modified xsi:type="dcterms:W3CDTF">2016-06-07T08:59:00Z</dcterms:modified>
</cp:coreProperties>
</file>