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1.No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changes in slab rates for individual taxation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2.Tax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rebate for individuals having income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upto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Rs. 5,00,000 under section 87A raised from Rs. 2000 to Rs. 5000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3.Deduction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of rent for non-salaried u/s 80GG increased to 60,000 from 24000 per annum,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4.Turnover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limit u/s  44AD is increase  to Rs. 2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crores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form Rs.  1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crores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5.The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presumptive taxation scheme extended  to professionals with gross receipts up to Rs. 50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lakh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with profit deemed to be 50%;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6.Accelerated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depreciation wherever provided in IT Act will be limited to maximum 40% from 1.4.2017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7.Benefit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of deductions u/s 35 for Research would be limited to 150% from 1.4.2017 and 100% from 1.4.2020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8.Benefit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of section 10AA to new SEZ units will be available to those units which commence activity before 31.3.2020;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9.The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weighted deduction under section 35CCD for skill development will continue up to 1.4.2020;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10. New manufacturing companies incorporated on or after 1.3.2016 to be given an option to be taxed at 25% + surcharge and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cess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provided they do not claim profit linked or investment linked deductions investment allowance or accelerated depreciation.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11.Lower the corporate tax rate for the next financial year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i.e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companies with turnover not exceeding Rs 5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crore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, to 29% plus surcharge and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cess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12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.Startups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setup during April, 2016 to March, 2019 to be eligible for 100% deduction of profits for 3 out of 5 years. MAT to be still applicable;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lastRenderedPageBreak/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13.10% rate of tax on income from worldwide exploitation of patents developed and registered in India by a resident;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14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.Complete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pass through of income-tax to securitization trusts including trusts of ARCs.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Securitisation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trusts required to deduct tax at source;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15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.Period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for getting benefit of LTCG regime in case of unlisted companies is proposed to be reduced from 3 to 2 years;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16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.NBFC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shall be eligible for deduction to the extent of 5% of its income in respect of provision for bad and doubtful debts;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17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.Deduction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under Section 80JJAA ( Deduction for wages of Additional workmen)  of the Income Tax Act will be available to all assesses who are subject to statutory audit under the Act;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18.100% deduction for profits to an undertaking in housing project for flats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upto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30 sq.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metres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in four metro cities and 60 sq.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metres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in other 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cities,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approved during June 2016 to March 2019 and completed in three years. MAT to apply;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19. Deduction for additional interest of 50,000 per annum for loans up to Rs. 35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lakh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sanctioned in 2016-17 for first time home buyers, where house cost does not exceed Rs. 50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lakh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;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20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.Additional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tax @ 10% of gross amount of dividend will be payable by the recipients receiving dividend in excess of Rs 10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lakh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per annum;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21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.Surcharge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to be raised from 12% to 15% on persons, other than companies, firms and cooperative societies having income above  Rs. 1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crore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22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.Higher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rate of Tax for non-furnishing of PAN not to apply to Non-residents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lastRenderedPageBreak/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23.Tax to be collected at source at the rate of 1 % on purchase of luxury cars exceeding value of Rs. 10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lakh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and purchase of goods and services in cash exceeding two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lakh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;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24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.STT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in case of ‘Options’ is proposed to be increased from .017% to .05%;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25.Domestic taxpayers can declare undisclosed income or such income represented in the form of any asset by paying tax at 30%, and surcharge at 7.5% and penalty at 7.5%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ie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. 45%.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Declarants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will have immunity from prosecution;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26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.Surcharge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levied at 7.5% of undisclosed income will be called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Krishi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Kalyan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surcharge to be used for agriculture and rural economy;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27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.New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Dispute Resolution Scheme to be introduced. No penalty in respect of cases with disputed tax up to Rs. 10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lakh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. 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Cases with disputed tax exceeding Rs. 10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lakh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to be subjected to 25% of the minimum of the imposable penalty.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Any pending appeal against a penalty order can also be settled by paying 25% of the minimum of the imposable penalty and tax interest on quantum addition;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28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.Penalty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rates rationalized to 50% of tax in case of underreporting of income and 200% of tax where there is misreporting of facts;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29.Disallowance will be limited to 1% of the average monthly value of investments yielding exempt income, but not exceeding the actual expenditure claimed under rule 8D of Section 14A of Income Tax Act;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30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.Automatic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 stay of demand when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assessee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pays 15% of disputed demand &amp; issue is pending before CIT(A);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6D30C3" w:rsidRPr="006D30C3" w:rsidRDefault="006D30C3" w:rsidP="006D30C3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31</w:t>
      </w:r>
      <w:proofErr w:type="gram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.Expansion</w:t>
      </w:r>
      <w:proofErr w:type="gram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in the scope of e-assessments to all 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assessees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in 7 mega cities in the coming years and also ‘e-</w:t>
      </w:r>
      <w:proofErr w:type="spellStart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Sahyog</w:t>
      </w:r>
      <w:proofErr w:type="spellEnd"/>
      <w:r w:rsidRPr="006D30C3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’ to be expanded to reduce compliance cost.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lastRenderedPageBreak/>
        <w:t>32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.Krishi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Kalyan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Cess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, @ 0.5% on all taxable services,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w.e.f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. 1 June 2016,  Input tax credit of this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cess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will be available for payment of this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cess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;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33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.Exemption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from service tax on construction of affordable houses up to 60 square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metres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under any scheme of the Central or State Government including PPP Schemes;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34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.Exemption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of service tax on services provided under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Deen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Dayal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Upadhyay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Grameen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Kaushalya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Yojana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and services provided by Assessing Bodies empanelled by Ministry of Skill Development &amp; Entrepreneurship;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35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.Additional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options to banking companies and financial institutions, including NBFCs, for reversal of input tax credits with respect to non- taxable services;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36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.Reduce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service tax on Single premium Annuity (Insurance) Policies from 3.5% to 1.4% of the premium paid in certain cases;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37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.Exemption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of Service tax on general insurance services provided under ‘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Niramaya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’ Health Insurance Scheme launched by National Trust for the Welfare of Persons with Autism, Cerebral Palsy, Mental Retardation and Multiple Disability;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38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.Revision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of return extended to Central Excise assesses;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39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.Customs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Act to provide for deferred payment of customs duties for  importers and exporters with proven track record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40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.Basic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custom and excise duty on refrigerated containers reduced to 5% and 6%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41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.Customs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Single Window Project to be implemented at major ports and airports starting from beginning of next financial year;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42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.Filing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of baggage Declaration only for those carrying dutiable goods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lastRenderedPageBreak/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43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.Increase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in free baggage allowance for international passengers;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44.Infrastructure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cess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, of 1% on small petrol, LPG, CNG cars, 2.5% on diesel cars of certain capacity and 4% on other higher engine capacity vehicles  and SUVs. No credit of this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cess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will be available nor credit of any other tax or duty be utilized for paying this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cess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;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45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.Excise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on readymade garments with retail price of Rs. 1000 or more raised to 2% without input tax credit or 12.5% with input tax credit;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46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.Clean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Energy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Cess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’ levied on coal, lignite and peat renamed to ‘Clean Environment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Cess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’ and rate increased from Rs. 200 per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tonne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to Rs. 400 per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tonne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;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47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.Excise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duties on various tobacco products other than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beedi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raised by about 10 to 15%;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48</w:t>
      </w:r>
      <w:proofErr w:type="gram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.Monetary</w:t>
      </w:r>
      <w:proofErr w:type="gram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limit for deciding an appeal by a single member Bench of ITAT enhanced from Rs. 15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lakhs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 xml:space="preserve"> to ` 50 </w:t>
      </w:r>
      <w:proofErr w:type="spellStart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lakhs</w:t>
      </w:r>
      <w:proofErr w:type="spellEnd"/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. 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24"/>
          <w:szCs w:val="24"/>
        </w:rPr>
        <w:t> </w:t>
      </w:r>
    </w:p>
    <w:p w:rsidR="003B15CB" w:rsidRPr="00717368" w:rsidRDefault="003B15CB" w:rsidP="003B15CB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373737"/>
          <w:sz w:val="24"/>
          <w:szCs w:val="24"/>
        </w:rPr>
      </w:pPr>
      <w:r w:rsidRPr="00717368">
        <w:rPr>
          <w:rFonts w:ascii="Calibri" w:eastAsia="Times New Roman" w:hAnsi="Calibri" w:cs="Calibri"/>
          <w:color w:val="373737"/>
          <w:sz w:val="30"/>
          <w:szCs w:val="30"/>
          <w:bdr w:val="none" w:sz="0" w:space="0" w:color="auto" w:frame="1"/>
        </w:rPr>
        <w:t>49.11 new benches of Customs, Excise and Service Tax Appellate Tribunal (CESTAT);</w:t>
      </w:r>
    </w:p>
    <w:p w:rsidR="003B15CB" w:rsidRDefault="003B15CB" w:rsidP="003B15CB"/>
    <w:p w:rsidR="00352775" w:rsidRDefault="00352775"/>
    <w:sectPr w:rsidR="00352775" w:rsidSect="00352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30C3"/>
    <w:rsid w:val="00352775"/>
    <w:rsid w:val="003B15CB"/>
    <w:rsid w:val="006D30C3"/>
    <w:rsid w:val="00BF4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2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2016-05-22T08:13:00Z</dcterms:created>
  <dcterms:modified xsi:type="dcterms:W3CDTF">2016-05-25T17:19:00Z</dcterms:modified>
</cp:coreProperties>
</file>