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00B" w:rsidRDefault="0001500B" w:rsidP="0001500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rFonts w:ascii="Batang" w:eastAsia="Batang" w:hAnsi="Batang" w:cs="Times New Roman"/>
          <w:b/>
          <w:bCs/>
        </w:rPr>
      </w:pPr>
      <w:r>
        <w:rPr>
          <w:rFonts w:ascii="Batang" w:eastAsia="Batang" w:hAnsi="Batang" w:cs="Times New Roman"/>
          <w:b/>
          <w:bCs/>
        </w:rPr>
        <w:t>ASSAM RIFLES ACT, 1941</w:t>
      </w:r>
    </w:p>
    <w:p w:rsidR="0001500B" w:rsidRDefault="0001500B" w:rsidP="0001500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both"/>
        <w:rPr>
          <w:rFonts w:ascii="Batang" w:eastAsia="Batang" w:hAnsi="Batang" w:cs="Times New Roman"/>
          <w:b/>
          <w:bCs/>
        </w:rPr>
      </w:pPr>
    </w:p>
    <w:p w:rsidR="0001500B" w:rsidRDefault="0001500B" w:rsidP="0001500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both"/>
        <w:rPr>
          <w:rFonts w:ascii="Batang" w:eastAsia="Batang" w:hAnsi="Batang" w:cs="Times New Roman"/>
          <w:b/>
          <w:bCs/>
        </w:rPr>
      </w:pPr>
      <w:r>
        <w:rPr>
          <w:rFonts w:ascii="Batang" w:eastAsia="Batang" w:hAnsi="Batang" w:cs="Times New Roman"/>
          <w:b/>
          <w:bCs/>
        </w:rPr>
        <w:t>Statement of objects and reasons:</w:t>
      </w:r>
    </w:p>
    <w:p w:rsidR="0001500B" w:rsidRDefault="0001500B" w:rsidP="0001500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both"/>
        <w:rPr>
          <w:rFonts w:ascii="Batang" w:eastAsia="Batang" w:hAnsi="Batang" w:cs="Times New Roman"/>
        </w:rPr>
      </w:pPr>
      <w:r>
        <w:rPr>
          <w:rFonts w:ascii="Batang" w:eastAsia="Batang" w:hAnsi="Batang" w:cs="Times New Roman"/>
        </w:rPr>
        <w:t xml:space="preserve">The Assam Rifles is a Civil Irregular Force, of 58 platoons </w:t>
      </w:r>
      <w:proofErr w:type="spellStart"/>
      <w:r>
        <w:rPr>
          <w:rFonts w:ascii="Batang" w:eastAsia="Batang" w:hAnsi="Batang" w:cs="Times New Roman"/>
        </w:rPr>
        <w:t>organised</w:t>
      </w:r>
      <w:proofErr w:type="spellEnd"/>
      <w:r>
        <w:rPr>
          <w:rFonts w:ascii="Batang" w:eastAsia="Batang" w:hAnsi="Batang" w:cs="Times New Roman"/>
        </w:rPr>
        <w:t xml:space="preserve"> in 5 battalions, and stationed on the North East Frontier. Of these 58 platoons, 33 are intended primarily for employment in the tribal areas of the North East Frontier, 10 are stationed in Manipur State for use in that area and in </w:t>
      </w:r>
      <w:proofErr w:type="spellStart"/>
      <w:r>
        <w:rPr>
          <w:rFonts w:ascii="Batang" w:eastAsia="Batang" w:hAnsi="Batang" w:cs="Times New Roman"/>
        </w:rPr>
        <w:t>neighbouring</w:t>
      </w:r>
      <w:proofErr w:type="spellEnd"/>
      <w:r>
        <w:rPr>
          <w:rFonts w:ascii="Batang" w:eastAsia="Batang" w:hAnsi="Batang" w:cs="Times New Roman"/>
        </w:rPr>
        <w:t xml:space="preserve"> tribal areas, and the remaining 15 are stationed in the Assam Province mainly in the excluded </w:t>
      </w:r>
      <w:proofErr w:type="spellStart"/>
      <w:r>
        <w:rPr>
          <w:rFonts w:ascii="Batang" w:eastAsia="Batang" w:hAnsi="Batang" w:cs="Times New Roman"/>
        </w:rPr>
        <w:t>areaas</w:t>
      </w:r>
      <w:proofErr w:type="spellEnd"/>
      <w:r>
        <w:rPr>
          <w:rFonts w:ascii="Batang" w:eastAsia="Batang" w:hAnsi="Batang" w:cs="Times New Roman"/>
        </w:rPr>
        <w:t>. Thus 43 out of 58 platoons are maintained for primarily Central purposes and 15 for Provincial purposes and expenditure is shared by the Centre and the Province in the ratio of 43/58ths and 15/58ths. The Force is at present regulated by the Assam Rifles Act of 1920, which is an Act of the Local Legislature, and on the inauguration of the 1937 Constitution, was adapted as a Provincial Act on the assumption that the Assam Rifles were a Military or Armed Police Force maintained by the Provincial Government and therefore excluded from entry I in List I and included in entry 3 in List 2 of the 7th Schedule of the Government of India Act, 1935, so far as any portion of the Force was to be employed for frontier watch and ward in relation to the tribal areas, which included the use of the Force in Manipur, such employment was provided for by a direction to the Governor of Assam under section 123(1) of the Government of India Act, 1935.</w:t>
      </w:r>
    </w:p>
    <w:p w:rsidR="0001500B" w:rsidRDefault="0001500B" w:rsidP="0001500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both"/>
        <w:rPr>
          <w:rFonts w:ascii="Batang" w:eastAsia="Batang" w:hAnsi="Batang" w:cs="Times New Roman"/>
        </w:rPr>
      </w:pPr>
      <w:r>
        <w:rPr>
          <w:rFonts w:ascii="Batang" w:eastAsia="Batang" w:hAnsi="Batang" w:cs="Times New Roman"/>
        </w:rPr>
        <w:t>2. Since the 1st of April 1937 the financial arrangements are that the whole cost of the Force is shown initially in the tribal areas budget of the External Affairs Department with a recovery from the Province of Assam of a portion of the cost on the basis above indicated.</w:t>
      </w:r>
    </w:p>
    <w:p w:rsidR="0001500B" w:rsidRDefault="0001500B" w:rsidP="0001500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both"/>
        <w:rPr>
          <w:rFonts w:ascii="Batang" w:eastAsia="Batang" w:hAnsi="Batang" w:cs="Times New Roman"/>
        </w:rPr>
      </w:pPr>
      <w:r>
        <w:rPr>
          <w:rFonts w:ascii="Batang" w:eastAsia="Batang" w:hAnsi="Batang" w:cs="Times New Roman"/>
        </w:rPr>
        <w:t xml:space="preserve">3. The Regulation of the Assam Rifles as a Provincial subject under the present constitution is anomalous in practice. It is </w:t>
      </w:r>
      <w:proofErr w:type="spellStart"/>
      <w:r>
        <w:rPr>
          <w:rFonts w:ascii="Batang" w:eastAsia="Batang" w:hAnsi="Batang" w:cs="Times New Roman"/>
        </w:rPr>
        <w:t>incongrous</w:t>
      </w:r>
      <w:proofErr w:type="spellEnd"/>
      <w:r>
        <w:rPr>
          <w:rFonts w:ascii="Batang" w:eastAsia="Batang" w:hAnsi="Batang" w:cs="Times New Roman"/>
        </w:rPr>
        <w:t xml:space="preserve"> that a Force of which approximately three quarters is normally employed for purposes with which the Provincial Government are not concerned should continue to be governed by a Provincial Act, and it has been held by the Auditor General that since 43/58ths of the Force is maintained and paid for by the Centre no arrangement is appropriate which </w:t>
      </w:r>
      <w:r>
        <w:rPr>
          <w:rFonts w:ascii="Batang" w:eastAsia="Batang" w:hAnsi="Batang" w:cs="Times New Roman"/>
        </w:rPr>
        <w:lastRenderedPageBreak/>
        <w:t>does not involve the constitution of the Assam Rifles as a Central responsibility. It is further relevant that the Force is officered by officers seconded from the Regular Army and it is clearly appropriate that the authority responsible for the efficiency of command of the Force should be the same as the Regulating authority. Finally, the Force is not used as a Police Force for the investigation and detection of crime, but as an irregular Corps, analogous to the Frontier Corps and Frontier Constabulary on the North-West Frontier, for the protection of the border and the areas beyond it, and, in so far as it is used within the Province, to assist the Provincial Government in the maintenance of law and order as an armed reserve.</w:t>
      </w:r>
    </w:p>
    <w:p w:rsidR="0001500B" w:rsidRDefault="0001500B" w:rsidP="0001500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both"/>
        <w:rPr>
          <w:rFonts w:ascii="Batang" w:eastAsia="Batang" w:hAnsi="Batang" w:cs="Times New Roman"/>
        </w:rPr>
      </w:pPr>
      <w:r>
        <w:rPr>
          <w:rFonts w:ascii="Batang" w:eastAsia="Batang" w:hAnsi="Batang" w:cs="Times New Roman"/>
        </w:rPr>
        <w:t>4. It has, therefore, been decided in consultation and in agreement with the Government of Assam that the Force is classifiable as an "armed force raised in India by the Crown" under entry I in the Federal Legislative List. This involves Central Legislation to provide for the enrolment, maintenance and discipline of the Force as a Central Force maintained by the Provincial Government.</w:t>
      </w:r>
    </w:p>
    <w:p w:rsidR="0001500B" w:rsidRDefault="0001500B" w:rsidP="0001500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both"/>
        <w:rPr>
          <w:rFonts w:ascii="Batang" w:eastAsia="Batang" w:hAnsi="Batang" w:cs="Times New Roman"/>
        </w:rPr>
      </w:pPr>
      <w:r>
        <w:rPr>
          <w:rFonts w:ascii="Batang" w:eastAsia="Batang" w:hAnsi="Batang" w:cs="Times New Roman"/>
        </w:rPr>
        <w:t>5. The present Bill is in the main a re-enactment of the old Provincial Act of 1920 - the provisions in clauses 2,4,5,6,7,8,9 and 10 being reproduced almost verbatim from the Provincial Act, 1920.</w:t>
      </w:r>
    </w:p>
    <w:p w:rsidR="005A7821" w:rsidRDefault="005A7821"/>
    <w:sectPr w:rsidR="005A78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01500B"/>
    <w:rsid w:val="0001500B"/>
    <w:rsid w:val="005A78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1500B"/>
    <w:pPr>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2976</Characters>
  <Application>Microsoft Office Word</Application>
  <DocSecurity>0</DocSecurity>
  <Lines>24</Lines>
  <Paragraphs>6</Paragraphs>
  <ScaleCrop>false</ScaleCrop>
  <Company>vk</Company>
  <LinksUpToDate>false</LinksUpToDate>
  <CharactersWithSpaces>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dc:creator>
  <cp:keywords/>
  <dc:description/>
  <cp:lastModifiedBy>vk</cp:lastModifiedBy>
  <cp:revision>2</cp:revision>
  <dcterms:created xsi:type="dcterms:W3CDTF">2014-12-17T23:42:00Z</dcterms:created>
  <dcterms:modified xsi:type="dcterms:W3CDTF">2014-12-17T23:42:00Z</dcterms:modified>
</cp:coreProperties>
</file>