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A9" w:rsidRPr="00E607C4" w:rsidRDefault="00D641A9" w:rsidP="00D641A9">
      <w:pPr>
        <w:shd w:val="clear" w:color="auto" w:fill="EBEFF2"/>
        <w:spacing w:after="0" w:line="240" w:lineRule="auto"/>
        <w:textAlignment w:val="baseline"/>
        <w:outlineLvl w:val="1"/>
        <w:rPr>
          <w:rFonts w:ascii="Tahoma" w:eastAsia="Times New Roman" w:hAnsi="Tahoma" w:cs="Tahoma"/>
          <w:color w:val="111111"/>
          <w:sz w:val="48"/>
          <w:szCs w:val="48"/>
          <w:lang w:eastAsia="en-IN"/>
        </w:rPr>
      </w:pPr>
      <w:r w:rsidRPr="00E607C4">
        <w:rPr>
          <w:rFonts w:ascii="Tahoma" w:eastAsia="Times New Roman" w:hAnsi="Tahoma" w:cs="Tahoma"/>
          <w:color w:val="111111"/>
          <w:sz w:val="48"/>
          <w:szCs w:val="48"/>
          <w:lang w:eastAsia="en-IN"/>
        </w:rPr>
        <w:t>Gujarat Budget 2013-14 proposals enacted</w:t>
      </w:r>
    </w:p>
    <w:p w:rsidR="00D641A9" w:rsidRPr="00E607C4" w:rsidRDefault="00D641A9" w:rsidP="00D641A9">
      <w:pPr>
        <w:shd w:val="clear" w:color="auto" w:fill="EBEFF2"/>
        <w:spacing w:after="0" w:line="270" w:lineRule="atLeast"/>
        <w:textAlignment w:val="baseline"/>
        <w:rPr>
          <w:rFonts w:ascii="Tahoma" w:eastAsia="Times New Roman" w:hAnsi="Tahoma" w:cs="Tahoma"/>
          <w:color w:val="666666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noProof/>
          <w:color w:val="224970"/>
          <w:sz w:val="18"/>
          <w:szCs w:val="18"/>
          <w:bdr w:val="none" w:sz="0" w:space="0" w:color="auto" w:frame="1"/>
          <w:lang w:eastAsia="en-IN"/>
        </w:rPr>
        <w:drawing>
          <wp:inline distT="0" distB="0" distL="0" distR="0">
            <wp:extent cx="152400" cy="152400"/>
            <wp:effectExtent l="19050" t="0" r="0" b="0"/>
            <wp:docPr id="1" name="Picture 1" descr="Email This Post">
              <a:hlinkClick xmlns:a="http://schemas.openxmlformats.org/drawingml/2006/main" r:id="rId4" tooltip="&quot;Email This Po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This Post">
                      <a:hlinkClick r:id="rId4" tooltip="&quot;Email This Po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07C4">
        <w:rPr>
          <w:rFonts w:ascii="Tahoma" w:eastAsia="Times New Roman" w:hAnsi="Tahoma" w:cs="Tahoma"/>
          <w:color w:val="666666"/>
          <w:sz w:val="18"/>
          <w:lang w:eastAsia="en-IN"/>
        </w:rPr>
        <w:t> </w:t>
      </w:r>
      <w:r w:rsidR="00DD19B1">
        <w:rPr>
          <w:rFonts w:ascii="Tahoma" w:eastAsia="Times New Roman" w:hAnsi="Tahoma" w:cs="Tahoma"/>
          <w:color w:val="666666"/>
          <w:sz w:val="18"/>
          <w:lang w:eastAsia="en-IN"/>
        </w:rPr>
        <w:t>cadavebhargav@yahoo.com</w:t>
      </w:r>
      <w:r w:rsidR="00DD19B1" w:rsidRPr="00E607C4">
        <w:rPr>
          <w:rFonts w:ascii="Lucida Sans Unicode" w:eastAsia="Times New Roman" w:hAnsi="Lucida Sans Unicode" w:cs="Tahoma"/>
          <w:color w:val="666666"/>
          <w:sz w:val="18"/>
          <w:lang w:eastAsia="en-IN"/>
        </w:rPr>
        <w:t xml:space="preserve"> </w:t>
      </w:r>
      <w:r w:rsidRPr="00E607C4">
        <w:rPr>
          <w:rFonts w:ascii="Lucida Sans Unicode" w:eastAsia="Times New Roman" w:hAnsi="Lucida Sans Unicode" w:cs="Tahoma"/>
          <w:color w:val="666666"/>
          <w:sz w:val="18"/>
          <w:lang w:eastAsia="en-IN"/>
        </w:rPr>
        <w:t>⋅</w:t>
      </w:r>
      <w:r w:rsidRPr="00E607C4">
        <w:rPr>
          <w:rFonts w:ascii="Tahoma" w:eastAsia="Times New Roman" w:hAnsi="Tahoma" w:cs="Tahoma"/>
          <w:color w:val="666666"/>
          <w:sz w:val="18"/>
          <w:lang w:eastAsia="en-IN"/>
        </w:rPr>
        <w:t> </w:t>
      </w:r>
      <w:r w:rsidR="00940232">
        <w:rPr>
          <w:rFonts w:ascii="Tahoma" w:eastAsia="Times New Roman" w:hAnsi="Tahoma" w:cs="Tahoma"/>
          <w:noProof/>
          <w:color w:val="666666"/>
          <w:sz w:val="18"/>
          <w:szCs w:val="18"/>
          <w:lang w:eastAsia="en-IN"/>
        </w:rPr>
        <w:drawing>
          <wp:inline distT="0" distB="0" distL="0" distR="0">
            <wp:extent cx="428625" cy="342900"/>
            <wp:effectExtent l="0" t="0" r="0" b="0"/>
            <wp:docPr id="4" name="Picture 3" descr="MC9004315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90043158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72" cy="34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0232">
        <w:rPr>
          <w:rFonts w:ascii="Tahoma" w:eastAsia="Times New Roman" w:hAnsi="Tahoma" w:cs="Tahoma"/>
          <w:color w:val="666666"/>
          <w:sz w:val="18"/>
          <w:lang w:eastAsia="en-IN"/>
        </w:rPr>
        <w:t>9898887456</w:t>
      </w:r>
    </w:p>
    <w:p w:rsidR="00D641A9" w:rsidRPr="00E607C4" w:rsidRDefault="00D641A9" w:rsidP="00D641A9">
      <w:pPr>
        <w:shd w:val="clear" w:color="auto" w:fill="EBEFF2"/>
        <w:spacing w:after="36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 xml:space="preserve">[By </w:t>
      </w:r>
      <w:r w:rsidR="00940232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CA Bhargav Dave</w:t>
      </w: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 xml:space="preserve">, </w:t>
      </w:r>
      <w:r w:rsidR="00940232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ACA</w:t>
      </w: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]</w:t>
      </w:r>
    </w:p>
    <w:p w:rsidR="00D641A9" w:rsidRPr="00E607C4" w:rsidRDefault="00D641A9" w:rsidP="00D641A9">
      <w:pPr>
        <w:shd w:val="clear" w:color="auto" w:fill="EBEFF2"/>
        <w:spacing w:after="36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Gujarat Value Added Tax (Amendment) Act, 2013 enacted through Gujarat Act No.9 of 2013</w:t>
      </w:r>
    </w:p>
    <w:p w:rsidR="00D641A9" w:rsidRPr="00E607C4" w:rsidRDefault="00D641A9" w:rsidP="00D641A9">
      <w:pPr>
        <w:shd w:val="clear" w:color="auto" w:fill="EBEFF2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 xml:space="preserve">VAT Amendments proposed in Gujarat Budget 2013-14 presented on 24-Feb-2013, </w:t>
      </w:r>
      <w:proofErr w:type="gramStart"/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was</w:t>
      </w:r>
      <w:proofErr w:type="gramEnd"/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 xml:space="preserve"> enacted &amp; received the assent of the Governor on 30-Mar-2013. The tax amendments made in the budget and notified vide</w:t>
      </w:r>
      <w:r w:rsidRPr="00E607C4">
        <w:rPr>
          <w:rFonts w:ascii="Tahoma" w:eastAsia="Times New Roman" w:hAnsi="Tahoma" w:cs="Tahoma"/>
          <w:color w:val="333333"/>
          <w:sz w:val="18"/>
          <w:lang w:eastAsia="en-IN"/>
        </w:rPr>
        <w:t> </w:t>
      </w:r>
      <w:hyperlink r:id="rId7" w:history="1">
        <w:r w:rsidRPr="00E607C4">
          <w:rPr>
            <w:rFonts w:ascii="Tahoma" w:eastAsia="Times New Roman" w:hAnsi="Tahoma" w:cs="Tahoma"/>
            <w:color w:val="0000FF"/>
            <w:sz w:val="18"/>
            <w:u w:val="single"/>
            <w:lang w:eastAsia="en-IN"/>
          </w:rPr>
          <w:t>Notification No. (GHN-4)</w:t>
        </w:r>
      </w:hyperlink>
      <w:r w:rsidRPr="00E607C4">
        <w:rPr>
          <w:rFonts w:ascii="Tahoma" w:eastAsia="Times New Roman" w:hAnsi="Tahoma" w:cs="Tahoma"/>
          <w:color w:val="333333"/>
          <w:sz w:val="18"/>
          <w:lang w:eastAsia="en-IN"/>
        </w:rPr>
        <w:t> </w:t>
      </w: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will be effective from 1-Apr-2013. The important changes in VAT &amp; Profession Tax laws are summarised as follows:</w:t>
      </w:r>
    </w:p>
    <w:p w:rsidR="00D641A9" w:rsidRPr="00E607C4" w:rsidRDefault="00D641A9" w:rsidP="00D641A9">
      <w:pPr>
        <w:shd w:val="clear" w:color="auto" w:fill="EBEFF2"/>
        <w:spacing w:after="36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1. New sub-section (7A) is introduced in section 11 to provide that if a vendor has not paid tax collected on sales into the Government Treasury, the buyer’s `Input Tax Credit’ will be disallowed to that extent.</w:t>
      </w:r>
    </w:p>
    <w:p w:rsidR="00D641A9" w:rsidRPr="00E607C4" w:rsidRDefault="00D641A9" w:rsidP="00D641A9">
      <w:pPr>
        <w:shd w:val="clear" w:color="auto" w:fill="EBEFF2"/>
        <w:spacing w:after="36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2. Through a newly introduced sub-section (8A) in section 34, power of</w:t>
      </w:r>
      <w:r w:rsidRPr="00E607C4">
        <w:rPr>
          <w:rFonts w:ascii="Tahoma" w:eastAsia="Times New Roman" w:hAnsi="Tahoma" w:cs="Tahoma"/>
          <w:color w:val="333333"/>
          <w:sz w:val="18"/>
          <w:lang w:eastAsia="en-IN"/>
        </w:rPr>
        <w:t> </w:t>
      </w:r>
      <w:r w:rsidRPr="00E607C4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en-IN"/>
        </w:rPr>
        <w:t>instant assessment</w:t>
      </w:r>
      <w:r w:rsidRPr="00E607C4">
        <w:rPr>
          <w:rFonts w:ascii="Tahoma" w:eastAsia="Times New Roman" w:hAnsi="Tahoma" w:cs="Tahoma"/>
          <w:color w:val="333333"/>
          <w:sz w:val="18"/>
          <w:lang w:eastAsia="en-IN"/>
        </w:rPr>
        <w:t> </w:t>
      </w: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are granted to the Commissioner if there is reason to believe any tax evasion, excess claim of input tax credit or incorrect disclosure of tax liability.</w:t>
      </w:r>
    </w:p>
    <w:p w:rsidR="00D641A9" w:rsidRPr="00E607C4" w:rsidRDefault="00D641A9" w:rsidP="00D641A9">
      <w:pPr>
        <w:shd w:val="clear" w:color="auto" w:fill="EBEFF2"/>
        <w:spacing w:after="0" w:line="270" w:lineRule="atLeast"/>
        <w:jc w:val="both"/>
        <w:textAlignment w:val="baseline"/>
        <w:rPr>
          <w:rFonts w:ascii="Tahoma" w:eastAsia="Times New Roman" w:hAnsi="Tahoma" w:cs="Tahoma"/>
          <w:color w:val="333333"/>
          <w:sz w:val="18"/>
          <w:szCs w:val="18"/>
          <w:lang w:eastAsia="en-IN"/>
        </w:rPr>
      </w:pPr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3. The following changes in VAT &amp; Profession Tax Rates have been passed as per</w:t>
      </w:r>
      <w:r w:rsidRPr="00E607C4">
        <w:rPr>
          <w:rFonts w:ascii="Tahoma" w:eastAsia="Times New Roman" w:hAnsi="Tahoma" w:cs="Tahoma"/>
          <w:color w:val="333333"/>
          <w:sz w:val="18"/>
          <w:lang w:eastAsia="en-IN"/>
        </w:rPr>
        <w:t> </w:t>
      </w:r>
      <w:hyperlink r:id="rId8" w:history="1">
        <w:r w:rsidRPr="00E607C4">
          <w:rPr>
            <w:rFonts w:ascii="Tahoma" w:eastAsia="Times New Roman" w:hAnsi="Tahoma" w:cs="Tahoma"/>
            <w:color w:val="0000FF"/>
            <w:sz w:val="18"/>
            <w:u w:val="single"/>
            <w:lang w:eastAsia="en-IN"/>
          </w:rPr>
          <w:t>Budget Proposals intimated earlier</w:t>
        </w:r>
      </w:hyperlink>
      <w:r w:rsidRPr="00E607C4">
        <w:rPr>
          <w:rFonts w:ascii="Tahoma" w:eastAsia="Times New Roman" w:hAnsi="Tahoma" w:cs="Tahoma"/>
          <w:color w:val="333333"/>
          <w:sz w:val="18"/>
          <w:szCs w:val="18"/>
          <w:lang w:eastAsia="en-IN"/>
        </w:rPr>
        <w:t>:</w:t>
      </w:r>
    </w:p>
    <w:tbl>
      <w:tblPr>
        <w:tblW w:w="0" w:type="auto"/>
        <w:tblCellSpacing w:w="0" w:type="dxa"/>
        <w:tblBorders>
          <w:top w:val="single" w:sz="12" w:space="0" w:color="DDDDDD"/>
          <w:left w:val="single" w:sz="12" w:space="0" w:color="DDDDDD"/>
          <w:bottom w:val="outset" w:sz="2" w:space="0" w:color="auto"/>
          <w:right w:val="outset" w:sz="2" w:space="0" w:color="auto"/>
        </w:tblBorders>
        <w:shd w:val="clear" w:color="auto" w:fill="EBEFF2"/>
        <w:tblCellMar>
          <w:left w:w="0" w:type="dxa"/>
          <w:right w:w="0" w:type="dxa"/>
        </w:tblCellMar>
        <w:tblLook w:val="04A0"/>
      </w:tblPr>
      <w:tblGrid>
        <w:gridCol w:w="608"/>
        <w:gridCol w:w="2305"/>
        <w:gridCol w:w="3112"/>
        <w:gridCol w:w="1559"/>
        <w:gridCol w:w="1669"/>
      </w:tblGrid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b/>
                <w:bCs/>
                <w:color w:val="333333"/>
                <w:sz w:val="18"/>
                <w:szCs w:val="18"/>
                <w:lang w:eastAsia="en-IN"/>
              </w:rPr>
              <w:t>Sr. No.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b/>
                <w:bCs/>
                <w:color w:val="333333"/>
                <w:sz w:val="18"/>
                <w:szCs w:val="18"/>
                <w:lang w:eastAsia="en-IN"/>
              </w:rPr>
              <w:t>TOPIC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b/>
                <w:bCs/>
                <w:color w:val="333333"/>
                <w:sz w:val="18"/>
                <w:szCs w:val="18"/>
                <w:lang w:eastAsia="en-IN"/>
              </w:rPr>
              <w:t>DESCRIPTION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b/>
                <w:bCs/>
                <w:color w:val="333333"/>
                <w:sz w:val="18"/>
                <w:szCs w:val="18"/>
                <w:lang w:eastAsia="en-IN"/>
              </w:rPr>
              <w:t>OLD RATES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b/>
                <w:bCs/>
                <w:color w:val="333333"/>
                <w:sz w:val="18"/>
                <w:szCs w:val="18"/>
                <w:lang w:eastAsia="en-IN"/>
              </w:rPr>
              <w:t>NEW RATES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Lump Sum Tax (VAT) for Small Dealers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Increase in turnover limit for composition scheme u/s 14.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Turnover limit Rs 50 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Lacs</w:t>
            </w:r>
            <w:proofErr w:type="spellEnd"/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Turnover limit Rs 75 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Lacs</w:t>
            </w:r>
            <w:proofErr w:type="spellEnd"/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2.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Micro Irrigation System Equipments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Exemption from tax [Entry 94 inserted]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Exempted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3.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Educational Items for Students’ Studies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Exemption from tax [Entry 95 inserted]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Exempted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4.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Newar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 Made of Plastic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Exemption from tax [Entry 40 substituted]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Exempted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5.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Agarbatti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 Dust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Exemption from tax [Entry 96 inserted]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Exempted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6.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Carbon Credit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Reduction in rate [Entry 41 </w:t>
            </w: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lastRenderedPageBreak/>
              <w:t>amended]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lastRenderedPageBreak/>
              <w:t>15%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5%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lastRenderedPageBreak/>
              <w:t>7.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Cigarette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Increase in rate [Entry 19A inserted &amp; Entry 76A amended]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25%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30%</w:t>
            </w:r>
          </w:p>
        </w:tc>
      </w:tr>
      <w:tr w:rsidR="00D641A9" w:rsidRPr="00E607C4" w:rsidTr="00E607C4">
        <w:trPr>
          <w:trHeight w:val="5264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8.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Second Hand Two Wheelers &amp; Commercial Vehicles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Concessional tax on sale of second hand (used) motor car by a registered dealer is extended (subject to conditions) to sale of second hand (used):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- two wheelers [Entry 97(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i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) inserted]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- medium &amp; heavy duty commercial vehicles [Entry 97(ii) inserted]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Consequently, Purchase of second hand (used) two wheelers and medium &amp; heavy duty commercial vehicles wholly exempted from Purchase Tax [Entry 98(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i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) &amp; 98(ii) inserted]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u w:val="single"/>
                <w:lang w:eastAsia="en-IN"/>
              </w:rPr>
              <w:t>Motor Cars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1% / Max Rs.2000/-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u w:val="single"/>
                <w:lang w:eastAsia="en-IN"/>
              </w:rPr>
              <w:t>Motor Cars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1% / Max Rs.2000/-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u w:val="single"/>
                <w:lang w:eastAsia="en-IN"/>
              </w:rPr>
              <w:t>Two Wheelers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1% / Max Rs.500/-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u w:val="single"/>
                <w:lang w:eastAsia="en-IN"/>
              </w:rPr>
              <w:t>Heavy Comm. Vehicles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1% / Max Rs.5000/-</w:t>
            </w:r>
          </w:p>
        </w:tc>
      </w:tr>
      <w:tr w:rsidR="00D641A9" w:rsidRPr="00E607C4" w:rsidTr="00D641A9">
        <w:trPr>
          <w:trHeight w:val="240"/>
          <w:tblCellSpacing w:w="0" w:type="dxa"/>
        </w:trPr>
        <w:tc>
          <w:tcPr>
            <w:tcW w:w="6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9.</w:t>
            </w:r>
          </w:p>
        </w:tc>
        <w:tc>
          <w:tcPr>
            <w:tcW w:w="241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Professional Tax</w:t>
            </w:r>
          </w:p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(Gujarat State Tax on Professions, Trades, Callings and Employments Act, 1976)</w:t>
            </w:r>
          </w:p>
        </w:tc>
        <w:tc>
          <w:tcPr>
            <w:tcW w:w="3285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The basic exemption slab for payment of Profession Tax by salary &amp; wage earners is increased. The rates above Rs.6000 are unchanged. [</w:t>
            </w:r>
            <w:hyperlink r:id="rId9" w:history="1">
              <w:r w:rsidRPr="00E607C4">
                <w:rPr>
                  <w:rFonts w:ascii="Tahoma" w:eastAsia="Times New Roman" w:hAnsi="Tahoma" w:cs="Tahoma"/>
                  <w:color w:val="0000FF"/>
                  <w:sz w:val="18"/>
                  <w:u w:val="single"/>
                  <w:lang w:eastAsia="en-IN"/>
                </w:rPr>
                <w:t>Notification No. (GHN-5)</w:t>
              </w:r>
            </w:hyperlink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]</w:t>
            </w:r>
          </w:p>
        </w:tc>
        <w:tc>
          <w:tcPr>
            <w:tcW w:w="162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Fully Exempt 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upto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 salary of Rs.3000 p.m.</w:t>
            </w:r>
          </w:p>
        </w:tc>
        <w:tc>
          <w:tcPr>
            <w:tcW w:w="1740" w:type="dxa"/>
            <w:tcBorders>
              <w:top w:val="outset" w:sz="2" w:space="0" w:color="auto"/>
              <w:left w:val="outset" w:sz="2" w:space="0" w:color="auto"/>
              <w:bottom w:val="single" w:sz="12" w:space="0" w:color="DDDDDD"/>
              <w:right w:val="single" w:sz="12" w:space="0" w:color="DDDDDD"/>
            </w:tcBorders>
            <w:shd w:val="clear" w:color="auto" w:fill="EBEFF2"/>
            <w:tcMar>
              <w:top w:w="48" w:type="dxa"/>
              <w:left w:w="96" w:type="dxa"/>
              <w:bottom w:w="48" w:type="dxa"/>
              <w:right w:w="96" w:type="dxa"/>
            </w:tcMar>
            <w:vAlign w:val="bottom"/>
            <w:hideMark/>
          </w:tcPr>
          <w:p w:rsidR="00D641A9" w:rsidRPr="00E607C4" w:rsidRDefault="00D641A9" w:rsidP="00D641A9">
            <w:pPr>
              <w:spacing w:after="360" w:line="270" w:lineRule="atLeast"/>
              <w:jc w:val="both"/>
              <w:textAlignment w:val="baseline"/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</w:pPr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Fully Exempt </w:t>
            </w:r>
            <w:proofErr w:type="spellStart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>upto</w:t>
            </w:r>
            <w:proofErr w:type="spellEnd"/>
            <w:r w:rsidRPr="00E607C4">
              <w:rPr>
                <w:rFonts w:ascii="Tahoma" w:eastAsia="Times New Roman" w:hAnsi="Tahoma" w:cs="Tahoma"/>
                <w:color w:val="333333"/>
                <w:sz w:val="18"/>
                <w:szCs w:val="18"/>
                <w:lang w:eastAsia="en-IN"/>
              </w:rPr>
              <w:t xml:space="preserve"> salary of Rs.6000 p.m.</w:t>
            </w:r>
          </w:p>
        </w:tc>
      </w:tr>
    </w:tbl>
    <w:p w:rsidR="0020206F" w:rsidRPr="00E607C4" w:rsidRDefault="0020206F">
      <w:pPr>
        <w:rPr>
          <w:rFonts w:ascii="Tahoma" w:hAnsi="Tahoma" w:cs="Tahoma"/>
        </w:rPr>
      </w:pPr>
    </w:p>
    <w:sectPr w:rsidR="0020206F" w:rsidRPr="00E607C4" w:rsidSect="00202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41A9"/>
    <w:rsid w:val="0020206F"/>
    <w:rsid w:val="0082442B"/>
    <w:rsid w:val="00940232"/>
    <w:rsid w:val="00A211F4"/>
    <w:rsid w:val="00D641A9"/>
    <w:rsid w:val="00DD19B1"/>
    <w:rsid w:val="00E60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06F"/>
  </w:style>
  <w:style w:type="paragraph" w:styleId="Heading2">
    <w:name w:val="heading 2"/>
    <w:basedOn w:val="Normal"/>
    <w:link w:val="Heading2Char"/>
    <w:uiPriority w:val="9"/>
    <w:qFormat/>
    <w:rsid w:val="00D641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641A9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apple-converted-space">
    <w:name w:val="apple-converted-space"/>
    <w:basedOn w:val="DefaultParagraphFont"/>
    <w:rsid w:val="00D641A9"/>
  </w:style>
  <w:style w:type="character" w:customStyle="1" w:styleId="dot">
    <w:name w:val="dot"/>
    <w:basedOn w:val="DefaultParagraphFont"/>
    <w:rsid w:val="00D641A9"/>
  </w:style>
  <w:style w:type="character" w:styleId="Hyperlink">
    <w:name w:val="Hyperlink"/>
    <w:basedOn w:val="DefaultParagraphFont"/>
    <w:uiPriority w:val="99"/>
    <w:semiHidden/>
    <w:unhideWhenUsed/>
    <w:rsid w:val="00D641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6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2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nca.com/2013/02/22/gujarat-budget-2013-14-proposed-changes-in-vat-other-tax-rat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ommercialtax.gujarat.gov.in/vatwebsite/download/cir_noti/NOTI/Exemption%20under%20section%205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vnca.com/2013/04/11/gujarat-budget-2013-14-proposals-enacted/emailpopup/" TargetMode="External"/><Relationship Id="rId9" Type="http://schemas.openxmlformats.org/officeDocument/2006/relationships/hyperlink" Target="http://commercialtax.gujarat.gov.in/vatwebsite/download/cir_noti/NOTI/Gujarat%20State%20tax%20on%20Profess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Bhargav Dave</cp:lastModifiedBy>
  <cp:revision>3</cp:revision>
  <dcterms:created xsi:type="dcterms:W3CDTF">2013-04-11T18:46:00Z</dcterms:created>
  <dcterms:modified xsi:type="dcterms:W3CDTF">2013-04-11T22:24:00Z</dcterms:modified>
</cp:coreProperties>
</file>