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461" w:rsidRPr="001C2461" w:rsidRDefault="001C2461" w:rsidP="001C2461">
      <w:pPr>
        <w:spacing w:after="0" w:line="240" w:lineRule="auto"/>
        <w:rPr>
          <w:rFonts w:ascii="Times New Roman" w:eastAsia="Times New Roman" w:hAnsi="Times New Roman" w:cs="Times New Roman"/>
          <w:sz w:val="24"/>
          <w:szCs w:val="24"/>
        </w:rPr>
      </w:pPr>
      <w:r w:rsidRPr="001C2461">
        <w:rPr>
          <w:rFonts w:ascii="Times New Roman" w:eastAsia="Times New Roman" w:hAnsi="Times New Roman" w:cs="Times New Roman"/>
          <w:b/>
          <w:bCs/>
          <w:sz w:val="24"/>
          <w:szCs w:val="24"/>
        </w:rPr>
        <w:t>Abstract</w:t>
      </w:r>
    </w:p>
    <w:p w:rsidR="001C2461" w:rsidRPr="001C2461" w:rsidRDefault="001C2461" w:rsidP="001C2461">
      <w:pPr>
        <w:spacing w:before="100" w:beforeAutospacing="1" w:after="100" w:afterAutospacing="1" w:line="360" w:lineRule="auto"/>
        <w:outlineLvl w:val="2"/>
        <w:rPr>
          <w:rFonts w:ascii="Times New Roman" w:eastAsia="Times New Roman" w:hAnsi="Times New Roman" w:cs="Times New Roman"/>
          <w:b/>
          <w:bCs/>
          <w:sz w:val="27"/>
          <w:szCs w:val="27"/>
        </w:rPr>
      </w:pPr>
      <w:r w:rsidRPr="001C2461">
        <w:rPr>
          <w:rFonts w:ascii="Times New Roman" w:eastAsia="Times New Roman" w:hAnsi="Times New Roman" w:cs="Times New Roman"/>
          <w:b/>
          <w:bCs/>
          <w:sz w:val="27"/>
          <w:szCs w:val="27"/>
        </w:rPr>
        <w:t>Abstract</w:t>
      </w:r>
    </w:p>
    <w:p w:rsidR="001C2461" w:rsidRPr="001C2461" w:rsidRDefault="001C2461" w:rsidP="001C2461">
      <w:pPr>
        <w:spacing w:after="0" w:line="360" w:lineRule="auto"/>
        <w:rPr>
          <w:rFonts w:ascii="Times New Roman" w:eastAsia="Times New Roman" w:hAnsi="Times New Roman" w:cs="Times New Roman"/>
          <w:sz w:val="24"/>
          <w:szCs w:val="24"/>
        </w:rPr>
      </w:pPr>
      <w:r w:rsidRPr="001C2461">
        <w:rPr>
          <w:rFonts w:ascii="Times New Roman" w:eastAsia="Times New Roman" w:hAnsi="Times New Roman" w:cs="Times New Roman"/>
          <w:sz w:val="24"/>
          <w:szCs w:val="24"/>
        </w:rPr>
        <w:t>Cross-border mergers and acquisitions (M&amp;</w:t>
      </w:r>
      <w:proofErr w:type="gramStart"/>
      <w:r w:rsidRPr="001C2461">
        <w:rPr>
          <w:rFonts w:ascii="Times New Roman" w:eastAsia="Times New Roman" w:hAnsi="Times New Roman" w:cs="Times New Roman"/>
          <w:sz w:val="24"/>
          <w:szCs w:val="24"/>
        </w:rPr>
        <w:t>As</w:t>
      </w:r>
      <w:proofErr w:type="gramEnd"/>
      <w:r w:rsidRPr="001C2461">
        <w:rPr>
          <w:rFonts w:ascii="Times New Roman" w:eastAsia="Times New Roman" w:hAnsi="Times New Roman" w:cs="Times New Roman"/>
          <w:sz w:val="24"/>
          <w:szCs w:val="24"/>
        </w:rPr>
        <w:t>) have gained in popularity over the last decade. However, research on this type of diversification strategy has not kept pace with this trend. While there is considerable research in the area, it is unfortunately fragmented, leaving gaps that need to be addressed. Herein, we examine the theoretical perspectives and research findings on cross-border M&amp;</w:t>
      </w:r>
      <w:proofErr w:type="gramStart"/>
      <w:r w:rsidRPr="001C2461">
        <w:rPr>
          <w:rFonts w:ascii="Times New Roman" w:eastAsia="Times New Roman" w:hAnsi="Times New Roman" w:cs="Times New Roman"/>
          <w:sz w:val="24"/>
          <w:szCs w:val="24"/>
        </w:rPr>
        <w:t>As</w:t>
      </w:r>
      <w:proofErr w:type="gramEnd"/>
      <w:r w:rsidRPr="001C2461">
        <w:rPr>
          <w:rFonts w:ascii="Times New Roman" w:eastAsia="Times New Roman" w:hAnsi="Times New Roman" w:cs="Times New Roman"/>
          <w:sz w:val="24"/>
          <w:szCs w:val="24"/>
        </w:rPr>
        <w:t xml:space="preserve"> from three perspectives: cross-border M&amp;As as a (1) mode of entry in a foreign market, (2) dynamic learning process from a foreign culture, and (3) value-creating strategy. Current empirical research on this topic is also tabulated and grouped by theoretical stream to indicate major findings. Most importantly, we identify gaps in the literature and highlight five important research issues that provide directions for future research.</w:t>
      </w:r>
    </w:p>
    <w:p w:rsidR="001C2461" w:rsidRPr="001C2461" w:rsidRDefault="001C2461" w:rsidP="001C2461">
      <w:pPr>
        <w:spacing w:before="100" w:beforeAutospacing="1" w:after="100" w:afterAutospacing="1" w:line="360" w:lineRule="auto"/>
        <w:outlineLvl w:val="2"/>
        <w:rPr>
          <w:rFonts w:ascii="Times New Roman" w:eastAsia="Times New Roman" w:hAnsi="Times New Roman" w:cs="Times New Roman"/>
          <w:b/>
          <w:bCs/>
          <w:sz w:val="27"/>
          <w:szCs w:val="27"/>
        </w:rPr>
      </w:pPr>
      <w:r w:rsidRPr="001C2461">
        <w:rPr>
          <w:rFonts w:ascii="Times New Roman" w:eastAsia="Times New Roman" w:hAnsi="Times New Roman" w:cs="Times New Roman"/>
          <w:b/>
          <w:bCs/>
          <w:sz w:val="27"/>
          <w:szCs w:val="27"/>
        </w:rPr>
        <w:t xml:space="preserve">Article Outline </w:t>
      </w:r>
    </w:p>
    <w:p w:rsidR="001C2461" w:rsidRPr="001C2461" w:rsidRDefault="001C2461" w:rsidP="001C2461">
      <w:pPr>
        <w:numPr>
          <w:ilvl w:val="0"/>
          <w:numId w:val="1"/>
        </w:numPr>
        <w:spacing w:before="100" w:beforeAutospacing="1" w:after="100" w:afterAutospacing="1" w:line="360" w:lineRule="auto"/>
        <w:rPr>
          <w:rFonts w:ascii="Times New Roman" w:eastAsia="Times New Roman" w:hAnsi="Times New Roman" w:cs="Times New Roman"/>
          <w:sz w:val="24"/>
          <w:szCs w:val="24"/>
        </w:rPr>
      </w:pPr>
      <w:r w:rsidRPr="001C2461">
        <w:rPr>
          <w:rFonts w:ascii="Times New Roman" w:eastAsia="Times New Roman" w:hAnsi="Times New Roman" w:cs="Times New Roman"/>
          <w:sz w:val="24"/>
          <w:szCs w:val="24"/>
        </w:rPr>
        <w:t>1. Introduction</w:t>
      </w:r>
    </w:p>
    <w:p w:rsidR="001C2461" w:rsidRPr="001C2461" w:rsidRDefault="001C2461" w:rsidP="001C2461">
      <w:pPr>
        <w:numPr>
          <w:ilvl w:val="0"/>
          <w:numId w:val="1"/>
        </w:numPr>
        <w:spacing w:before="100" w:beforeAutospacing="1" w:after="100" w:afterAutospacing="1" w:line="360" w:lineRule="auto"/>
        <w:rPr>
          <w:rFonts w:ascii="Times New Roman" w:eastAsia="Times New Roman" w:hAnsi="Times New Roman" w:cs="Times New Roman"/>
          <w:sz w:val="24"/>
          <w:szCs w:val="24"/>
        </w:rPr>
      </w:pPr>
      <w:r w:rsidRPr="001C2461">
        <w:rPr>
          <w:rFonts w:ascii="Times New Roman" w:eastAsia="Times New Roman" w:hAnsi="Times New Roman" w:cs="Times New Roman"/>
          <w:sz w:val="24"/>
          <w:szCs w:val="24"/>
        </w:rPr>
        <w:t>2. Cross-border mergers and acquisitions</w:t>
      </w:r>
    </w:p>
    <w:p w:rsidR="001C2461" w:rsidRPr="001C2461" w:rsidRDefault="001C2461" w:rsidP="001C2461">
      <w:pPr>
        <w:numPr>
          <w:ilvl w:val="0"/>
          <w:numId w:val="1"/>
        </w:numPr>
        <w:spacing w:before="100" w:beforeAutospacing="1" w:after="100" w:afterAutospacing="1" w:line="360" w:lineRule="auto"/>
        <w:rPr>
          <w:rFonts w:ascii="Times New Roman" w:eastAsia="Times New Roman" w:hAnsi="Times New Roman" w:cs="Times New Roman"/>
          <w:sz w:val="24"/>
          <w:szCs w:val="24"/>
        </w:rPr>
      </w:pPr>
      <w:r w:rsidRPr="001C2461">
        <w:rPr>
          <w:rFonts w:ascii="Times New Roman" w:eastAsia="Times New Roman" w:hAnsi="Times New Roman" w:cs="Times New Roman"/>
          <w:sz w:val="24"/>
          <w:szCs w:val="24"/>
        </w:rPr>
        <w:t>3. Cross-border M&amp;As as a mode of entry in a foreign market</w:t>
      </w:r>
    </w:p>
    <w:p w:rsidR="001C2461" w:rsidRPr="001C2461" w:rsidRDefault="001C2461" w:rsidP="001C2461">
      <w:pPr>
        <w:numPr>
          <w:ilvl w:val="0"/>
          <w:numId w:val="1"/>
        </w:numPr>
        <w:spacing w:before="100" w:beforeAutospacing="1" w:after="100" w:afterAutospacing="1" w:line="360" w:lineRule="auto"/>
        <w:ind w:left="1440"/>
        <w:rPr>
          <w:rFonts w:ascii="Times New Roman" w:eastAsia="Times New Roman" w:hAnsi="Times New Roman" w:cs="Times New Roman"/>
          <w:sz w:val="24"/>
          <w:szCs w:val="24"/>
        </w:rPr>
      </w:pPr>
    </w:p>
    <w:p w:rsidR="001C2461" w:rsidRPr="001C2461" w:rsidRDefault="001C2461" w:rsidP="001C2461">
      <w:pPr>
        <w:numPr>
          <w:ilvl w:val="1"/>
          <w:numId w:val="1"/>
        </w:numPr>
        <w:spacing w:before="100" w:beforeAutospacing="1" w:after="100" w:afterAutospacing="1" w:line="360" w:lineRule="auto"/>
        <w:rPr>
          <w:rFonts w:ascii="Times New Roman" w:eastAsia="Times New Roman" w:hAnsi="Times New Roman" w:cs="Times New Roman"/>
          <w:sz w:val="24"/>
          <w:szCs w:val="24"/>
        </w:rPr>
      </w:pPr>
      <w:r w:rsidRPr="001C2461">
        <w:rPr>
          <w:rFonts w:ascii="Times New Roman" w:eastAsia="Times New Roman" w:hAnsi="Times New Roman" w:cs="Times New Roman"/>
          <w:sz w:val="24"/>
          <w:szCs w:val="24"/>
        </w:rPr>
        <w:t>3.1. Theoretical perspectives on cross-border M&amp;As as a mode of entry</w:t>
      </w:r>
    </w:p>
    <w:p w:rsidR="001C2461" w:rsidRPr="001C2461" w:rsidRDefault="001C2461" w:rsidP="001C2461">
      <w:pPr>
        <w:numPr>
          <w:ilvl w:val="1"/>
          <w:numId w:val="1"/>
        </w:numPr>
        <w:spacing w:before="100" w:beforeAutospacing="1" w:after="100" w:afterAutospacing="1" w:line="360" w:lineRule="auto"/>
        <w:ind w:left="2160"/>
        <w:rPr>
          <w:rFonts w:ascii="Times New Roman" w:eastAsia="Times New Roman" w:hAnsi="Times New Roman" w:cs="Times New Roman"/>
          <w:sz w:val="24"/>
          <w:szCs w:val="24"/>
        </w:rPr>
      </w:pPr>
    </w:p>
    <w:p w:rsidR="001C2461" w:rsidRPr="001C2461" w:rsidRDefault="001C2461" w:rsidP="001C2461">
      <w:pPr>
        <w:numPr>
          <w:ilvl w:val="2"/>
          <w:numId w:val="1"/>
        </w:numPr>
        <w:spacing w:before="100" w:beforeAutospacing="1" w:after="100" w:afterAutospacing="1" w:line="360" w:lineRule="auto"/>
        <w:rPr>
          <w:rFonts w:ascii="Times New Roman" w:eastAsia="Times New Roman" w:hAnsi="Times New Roman" w:cs="Times New Roman"/>
          <w:sz w:val="24"/>
          <w:szCs w:val="24"/>
        </w:rPr>
      </w:pPr>
      <w:r w:rsidRPr="001C2461">
        <w:rPr>
          <w:rFonts w:ascii="Times New Roman" w:eastAsia="Times New Roman" w:hAnsi="Times New Roman" w:cs="Times New Roman"/>
          <w:sz w:val="24"/>
          <w:szCs w:val="24"/>
        </w:rPr>
        <w:t>3.1.1. Firm- and industry-level factors influencing the choice of a mode of entry</w:t>
      </w:r>
    </w:p>
    <w:p w:rsidR="001C2461" w:rsidRPr="001C2461" w:rsidRDefault="001C2461" w:rsidP="001C2461">
      <w:pPr>
        <w:numPr>
          <w:ilvl w:val="2"/>
          <w:numId w:val="1"/>
        </w:numPr>
        <w:spacing w:before="100" w:beforeAutospacing="1" w:after="100" w:afterAutospacing="1" w:line="360" w:lineRule="auto"/>
        <w:rPr>
          <w:rFonts w:ascii="Times New Roman" w:eastAsia="Times New Roman" w:hAnsi="Times New Roman" w:cs="Times New Roman"/>
          <w:sz w:val="24"/>
          <w:szCs w:val="24"/>
        </w:rPr>
      </w:pPr>
      <w:r w:rsidRPr="001C2461">
        <w:rPr>
          <w:rFonts w:ascii="Times New Roman" w:eastAsia="Times New Roman" w:hAnsi="Times New Roman" w:cs="Times New Roman"/>
          <w:sz w:val="24"/>
          <w:szCs w:val="24"/>
        </w:rPr>
        <w:t>3.1.2. Country-level factors influencing the choice of mode of entry</w:t>
      </w:r>
    </w:p>
    <w:p w:rsidR="001C2461" w:rsidRPr="001C2461" w:rsidRDefault="001C2461" w:rsidP="001C2461">
      <w:pPr>
        <w:numPr>
          <w:ilvl w:val="1"/>
          <w:numId w:val="1"/>
        </w:numPr>
        <w:spacing w:before="100" w:beforeAutospacing="1" w:after="100" w:afterAutospacing="1" w:line="360" w:lineRule="auto"/>
        <w:rPr>
          <w:rFonts w:ascii="Times New Roman" w:eastAsia="Times New Roman" w:hAnsi="Times New Roman" w:cs="Times New Roman"/>
          <w:sz w:val="24"/>
          <w:szCs w:val="24"/>
        </w:rPr>
      </w:pPr>
      <w:r w:rsidRPr="001C2461">
        <w:rPr>
          <w:rFonts w:ascii="Times New Roman" w:eastAsia="Times New Roman" w:hAnsi="Times New Roman" w:cs="Times New Roman"/>
          <w:sz w:val="24"/>
          <w:szCs w:val="24"/>
        </w:rPr>
        <w:t>3.2. Research needs on cross-border M&amp;As as a mode of entry</w:t>
      </w:r>
    </w:p>
    <w:p w:rsidR="001C2461" w:rsidRPr="001C2461" w:rsidRDefault="001C2461" w:rsidP="001C2461">
      <w:pPr>
        <w:numPr>
          <w:ilvl w:val="0"/>
          <w:numId w:val="1"/>
        </w:numPr>
        <w:spacing w:before="100" w:beforeAutospacing="1" w:after="100" w:afterAutospacing="1" w:line="360" w:lineRule="auto"/>
        <w:rPr>
          <w:rFonts w:ascii="Times New Roman" w:eastAsia="Times New Roman" w:hAnsi="Times New Roman" w:cs="Times New Roman"/>
          <w:sz w:val="24"/>
          <w:szCs w:val="24"/>
        </w:rPr>
      </w:pPr>
      <w:r w:rsidRPr="001C2461">
        <w:rPr>
          <w:rFonts w:ascii="Times New Roman" w:eastAsia="Times New Roman" w:hAnsi="Times New Roman" w:cs="Times New Roman"/>
          <w:sz w:val="24"/>
          <w:szCs w:val="24"/>
        </w:rPr>
        <w:t>4. Cross-border M&amp;As as a dynamic learning process</w:t>
      </w:r>
    </w:p>
    <w:p w:rsidR="001C2461" w:rsidRPr="001C2461" w:rsidRDefault="001C2461" w:rsidP="001C2461">
      <w:pPr>
        <w:numPr>
          <w:ilvl w:val="0"/>
          <w:numId w:val="1"/>
        </w:numPr>
        <w:spacing w:before="100" w:beforeAutospacing="1" w:after="100" w:afterAutospacing="1" w:line="360" w:lineRule="auto"/>
        <w:ind w:left="1440"/>
        <w:rPr>
          <w:rFonts w:ascii="Times New Roman" w:eastAsia="Times New Roman" w:hAnsi="Times New Roman" w:cs="Times New Roman"/>
          <w:sz w:val="24"/>
          <w:szCs w:val="24"/>
        </w:rPr>
      </w:pPr>
    </w:p>
    <w:p w:rsidR="001C2461" w:rsidRPr="001C2461" w:rsidRDefault="001C2461" w:rsidP="001C2461">
      <w:pPr>
        <w:numPr>
          <w:ilvl w:val="1"/>
          <w:numId w:val="1"/>
        </w:numPr>
        <w:spacing w:before="100" w:beforeAutospacing="1" w:after="100" w:afterAutospacing="1" w:line="360" w:lineRule="auto"/>
        <w:rPr>
          <w:rFonts w:ascii="Times New Roman" w:eastAsia="Times New Roman" w:hAnsi="Times New Roman" w:cs="Times New Roman"/>
          <w:sz w:val="24"/>
          <w:szCs w:val="24"/>
        </w:rPr>
      </w:pPr>
      <w:r w:rsidRPr="001C2461">
        <w:rPr>
          <w:rFonts w:ascii="Times New Roman" w:eastAsia="Times New Roman" w:hAnsi="Times New Roman" w:cs="Times New Roman"/>
          <w:sz w:val="24"/>
          <w:szCs w:val="24"/>
        </w:rPr>
        <w:t>4.1. Theoretical perspectives on cross-border M&amp;As as a dynamic learning process</w:t>
      </w:r>
    </w:p>
    <w:p w:rsidR="001C2461" w:rsidRPr="001C2461" w:rsidRDefault="001C2461" w:rsidP="001C2461">
      <w:pPr>
        <w:numPr>
          <w:ilvl w:val="1"/>
          <w:numId w:val="1"/>
        </w:numPr>
        <w:spacing w:before="100" w:beforeAutospacing="1" w:after="100" w:afterAutospacing="1" w:line="360" w:lineRule="auto"/>
        <w:ind w:left="2160"/>
        <w:rPr>
          <w:rFonts w:ascii="Times New Roman" w:eastAsia="Times New Roman" w:hAnsi="Times New Roman" w:cs="Times New Roman"/>
          <w:sz w:val="24"/>
          <w:szCs w:val="24"/>
        </w:rPr>
      </w:pPr>
    </w:p>
    <w:p w:rsidR="001C2461" w:rsidRPr="001C2461" w:rsidRDefault="001C2461" w:rsidP="001C2461">
      <w:pPr>
        <w:numPr>
          <w:ilvl w:val="2"/>
          <w:numId w:val="1"/>
        </w:numPr>
        <w:spacing w:before="100" w:beforeAutospacing="1" w:after="100" w:afterAutospacing="1" w:line="360" w:lineRule="auto"/>
        <w:rPr>
          <w:rFonts w:ascii="Times New Roman" w:eastAsia="Times New Roman" w:hAnsi="Times New Roman" w:cs="Times New Roman"/>
          <w:sz w:val="24"/>
          <w:szCs w:val="24"/>
        </w:rPr>
      </w:pPr>
      <w:r w:rsidRPr="001C2461">
        <w:rPr>
          <w:rFonts w:ascii="Times New Roman" w:eastAsia="Times New Roman" w:hAnsi="Times New Roman" w:cs="Times New Roman"/>
          <w:sz w:val="24"/>
          <w:szCs w:val="24"/>
        </w:rPr>
        <w:t>4.1.1. The due diligence process in cross-border M&amp;As</w:t>
      </w:r>
    </w:p>
    <w:p w:rsidR="001C2461" w:rsidRPr="001C2461" w:rsidRDefault="001C2461" w:rsidP="001C2461">
      <w:pPr>
        <w:numPr>
          <w:ilvl w:val="2"/>
          <w:numId w:val="1"/>
        </w:numPr>
        <w:spacing w:before="100" w:beforeAutospacing="1" w:after="100" w:afterAutospacing="1" w:line="360" w:lineRule="auto"/>
        <w:rPr>
          <w:rFonts w:ascii="Times New Roman" w:eastAsia="Times New Roman" w:hAnsi="Times New Roman" w:cs="Times New Roman"/>
          <w:sz w:val="24"/>
          <w:szCs w:val="24"/>
        </w:rPr>
      </w:pPr>
      <w:r w:rsidRPr="001C2461">
        <w:rPr>
          <w:rFonts w:ascii="Times New Roman" w:eastAsia="Times New Roman" w:hAnsi="Times New Roman" w:cs="Times New Roman"/>
          <w:sz w:val="24"/>
          <w:szCs w:val="24"/>
        </w:rPr>
        <w:t>4.1.2. The negotiation process in cross-border M&amp;As</w:t>
      </w:r>
    </w:p>
    <w:p w:rsidR="001C2461" w:rsidRPr="001C2461" w:rsidRDefault="001C2461" w:rsidP="001C2461">
      <w:pPr>
        <w:numPr>
          <w:ilvl w:val="2"/>
          <w:numId w:val="1"/>
        </w:numPr>
        <w:spacing w:before="100" w:beforeAutospacing="1" w:after="100" w:afterAutospacing="1" w:line="360" w:lineRule="auto"/>
        <w:rPr>
          <w:rFonts w:ascii="Times New Roman" w:eastAsia="Times New Roman" w:hAnsi="Times New Roman" w:cs="Times New Roman"/>
          <w:sz w:val="24"/>
          <w:szCs w:val="24"/>
        </w:rPr>
      </w:pPr>
      <w:r w:rsidRPr="001C2461">
        <w:rPr>
          <w:rFonts w:ascii="Times New Roman" w:eastAsia="Times New Roman" w:hAnsi="Times New Roman" w:cs="Times New Roman"/>
          <w:sz w:val="24"/>
          <w:szCs w:val="24"/>
        </w:rPr>
        <w:lastRenderedPageBreak/>
        <w:t>4.1.3. The integration process in cross-border M&amp;As</w:t>
      </w:r>
    </w:p>
    <w:p w:rsidR="001C2461" w:rsidRPr="001C2461" w:rsidRDefault="001C2461" w:rsidP="001C2461">
      <w:pPr>
        <w:numPr>
          <w:ilvl w:val="1"/>
          <w:numId w:val="1"/>
        </w:numPr>
        <w:spacing w:before="100" w:beforeAutospacing="1" w:after="100" w:afterAutospacing="1" w:line="360" w:lineRule="auto"/>
        <w:rPr>
          <w:rFonts w:ascii="Times New Roman" w:eastAsia="Times New Roman" w:hAnsi="Times New Roman" w:cs="Times New Roman"/>
          <w:sz w:val="24"/>
          <w:szCs w:val="24"/>
        </w:rPr>
      </w:pPr>
      <w:r w:rsidRPr="001C2461">
        <w:rPr>
          <w:rFonts w:ascii="Times New Roman" w:eastAsia="Times New Roman" w:hAnsi="Times New Roman" w:cs="Times New Roman"/>
          <w:sz w:val="24"/>
          <w:szCs w:val="24"/>
        </w:rPr>
        <w:t>4.2. Research issues on post-cross-border M&amp;A integration</w:t>
      </w:r>
    </w:p>
    <w:p w:rsidR="001C2461" w:rsidRPr="001C2461" w:rsidRDefault="001C2461" w:rsidP="001C2461">
      <w:pPr>
        <w:numPr>
          <w:ilvl w:val="0"/>
          <w:numId w:val="1"/>
        </w:numPr>
        <w:spacing w:before="100" w:beforeAutospacing="1" w:after="100" w:afterAutospacing="1" w:line="360" w:lineRule="auto"/>
        <w:rPr>
          <w:rFonts w:ascii="Times New Roman" w:eastAsia="Times New Roman" w:hAnsi="Times New Roman" w:cs="Times New Roman"/>
          <w:sz w:val="24"/>
          <w:szCs w:val="24"/>
        </w:rPr>
      </w:pPr>
      <w:r w:rsidRPr="001C2461">
        <w:rPr>
          <w:rFonts w:ascii="Times New Roman" w:eastAsia="Times New Roman" w:hAnsi="Times New Roman" w:cs="Times New Roman"/>
          <w:sz w:val="24"/>
          <w:szCs w:val="24"/>
        </w:rPr>
        <w:t>5. Cross-border M&amp;As as a value-creating strategy</w:t>
      </w:r>
    </w:p>
    <w:p w:rsidR="001C2461" w:rsidRPr="001C2461" w:rsidRDefault="001C2461" w:rsidP="001C2461">
      <w:pPr>
        <w:numPr>
          <w:ilvl w:val="0"/>
          <w:numId w:val="1"/>
        </w:numPr>
        <w:spacing w:before="100" w:beforeAutospacing="1" w:after="100" w:afterAutospacing="1" w:line="360" w:lineRule="auto"/>
        <w:ind w:left="1440"/>
        <w:rPr>
          <w:rFonts w:ascii="Times New Roman" w:eastAsia="Times New Roman" w:hAnsi="Times New Roman" w:cs="Times New Roman"/>
          <w:sz w:val="24"/>
          <w:szCs w:val="24"/>
        </w:rPr>
      </w:pPr>
    </w:p>
    <w:p w:rsidR="001C2461" w:rsidRPr="001C2461" w:rsidRDefault="001C2461" w:rsidP="001C2461">
      <w:pPr>
        <w:numPr>
          <w:ilvl w:val="1"/>
          <w:numId w:val="1"/>
        </w:numPr>
        <w:spacing w:before="100" w:beforeAutospacing="1" w:after="100" w:afterAutospacing="1" w:line="360" w:lineRule="auto"/>
        <w:rPr>
          <w:rFonts w:ascii="Times New Roman" w:eastAsia="Times New Roman" w:hAnsi="Times New Roman" w:cs="Times New Roman"/>
          <w:sz w:val="24"/>
          <w:szCs w:val="24"/>
        </w:rPr>
      </w:pPr>
      <w:r w:rsidRPr="001C2461">
        <w:rPr>
          <w:rFonts w:ascii="Times New Roman" w:eastAsia="Times New Roman" w:hAnsi="Times New Roman" w:cs="Times New Roman"/>
          <w:sz w:val="24"/>
          <w:szCs w:val="24"/>
        </w:rPr>
        <w:t>5.1. Theoretical perspectives on cross-border M&amp;As as a value creating strategy</w:t>
      </w:r>
    </w:p>
    <w:p w:rsidR="001C2461" w:rsidRPr="001C2461" w:rsidRDefault="001C2461" w:rsidP="001C2461">
      <w:pPr>
        <w:numPr>
          <w:ilvl w:val="1"/>
          <w:numId w:val="1"/>
        </w:numPr>
        <w:spacing w:before="100" w:beforeAutospacing="1" w:after="100" w:afterAutospacing="1" w:line="360" w:lineRule="auto"/>
        <w:ind w:left="2160"/>
        <w:rPr>
          <w:rFonts w:ascii="Times New Roman" w:eastAsia="Times New Roman" w:hAnsi="Times New Roman" w:cs="Times New Roman"/>
          <w:sz w:val="24"/>
          <w:szCs w:val="24"/>
        </w:rPr>
      </w:pPr>
    </w:p>
    <w:p w:rsidR="001C2461" w:rsidRPr="001C2461" w:rsidRDefault="001C2461" w:rsidP="001C2461">
      <w:pPr>
        <w:numPr>
          <w:ilvl w:val="2"/>
          <w:numId w:val="1"/>
        </w:numPr>
        <w:spacing w:before="100" w:beforeAutospacing="1" w:after="100" w:afterAutospacing="1" w:line="360" w:lineRule="auto"/>
        <w:rPr>
          <w:rFonts w:ascii="Times New Roman" w:eastAsia="Times New Roman" w:hAnsi="Times New Roman" w:cs="Times New Roman"/>
          <w:sz w:val="24"/>
          <w:szCs w:val="24"/>
        </w:rPr>
      </w:pPr>
      <w:r w:rsidRPr="001C2461">
        <w:rPr>
          <w:rFonts w:ascii="Times New Roman" w:eastAsia="Times New Roman" w:hAnsi="Times New Roman" w:cs="Times New Roman"/>
          <w:sz w:val="24"/>
          <w:szCs w:val="24"/>
        </w:rPr>
        <w:t>5.1.1. Wealth creation by cross-border M&amp;As</w:t>
      </w:r>
    </w:p>
    <w:p w:rsidR="001C2461" w:rsidRPr="001C2461" w:rsidRDefault="001C2461" w:rsidP="001C2461">
      <w:pPr>
        <w:numPr>
          <w:ilvl w:val="2"/>
          <w:numId w:val="1"/>
        </w:numPr>
        <w:spacing w:before="100" w:beforeAutospacing="1" w:after="100" w:afterAutospacing="1" w:line="360" w:lineRule="auto"/>
        <w:rPr>
          <w:rFonts w:ascii="Times New Roman" w:eastAsia="Times New Roman" w:hAnsi="Times New Roman" w:cs="Times New Roman"/>
          <w:sz w:val="24"/>
          <w:szCs w:val="24"/>
        </w:rPr>
      </w:pPr>
      <w:r w:rsidRPr="001C2461">
        <w:rPr>
          <w:rFonts w:ascii="Times New Roman" w:eastAsia="Times New Roman" w:hAnsi="Times New Roman" w:cs="Times New Roman"/>
          <w:sz w:val="24"/>
          <w:szCs w:val="24"/>
        </w:rPr>
        <w:t>5.1.2. Post-M&amp;A performance</w:t>
      </w:r>
    </w:p>
    <w:p w:rsidR="001C2461" w:rsidRPr="001C2461" w:rsidRDefault="001C2461" w:rsidP="001C2461">
      <w:pPr>
        <w:numPr>
          <w:ilvl w:val="1"/>
          <w:numId w:val="1"/>
        </w:numPr>
        <w:spacing w:before="100" w:beforeAutospacing="1" w:after="100" w:afterAutospacing="1" w:line="360" w:lineRule="auto"/>
        <w:rPr>
          <w:rFonts w:ascii="Times New Roman" w:eastAsia="Times New Roman" w:hAnsi="Times New Roman" w:cs="Times New Roman"/>
          <w:sz w:val="24"/>
          <w:szCs w:val="24"/>
        </w:rPr>
      </w:pPr>
      <w:r w:rsidRPr="001C2461">
        <w:rPr>
          <w:rFonts w:ascii="Times New Roman" w:eastAsia="Times New Roman" w:hAnsi="Times New Roman" w:cs="Times New Roman"/>
          <w:sz w:val="24"/>
          <w:szCs w:val="24"/>
        </w:rPr>
        <w:t>5.2. Research issues on cross-border M&amp;As as a value creating strategy</w:t>
      </w:r>
    </w:p>
    <w:p w:rsidR="001C2461" w:rsidRPr="001C2461" w:rsidRDefault="001C2461" w:rsidP="001C2461">
      <w:pPr>
        <w:numPr>
          <w:ilvl w:val="0"/>
          <w:numId w:val="1"/>
        </w:numPr>
        <w:spacing w:before="100" w:beforeAutospacing="1" w:after="100" w:afterAutospacing="1" w:line="360" w:lineRule="auto"/>
        <w:rPr>
          <w:rFonts w:ascii="Times New Roman" w:eastAsia="Times New Roman" w:hAnsi="Times New Roman" w:cs="Times New Roman"/>
          <w:sz w:val="24"/>
          <w:szCs w:val="24"/>
        </w:rPr>
      </w:pPr>
      <w:r w:rsidRPr="001C2461">
        <w:rPr>
          <w:rFonts w:ascii="Times New Roman" w:eastAsia="Times New Roman" w:hAnsi="Times New Roman" w:cs="Times New Roman"/>
          <w:sz w:val="24"/>
          <w:szCs w:val="24"/>
        </w:rPr>
        <w:t>6. Conclusions and future research</w:t>
      </w:r>
    </w:p>
    <w:p w:rsidR="001C2461" w:rsidRPr="001C2461" w:rsidRDefault="001C2461" w:rsidP="001C2461">
      <w:pPr>
        <w:numPr>
          <w:ilvl w:val="0"/>
          <w:numId w:val="1"/>
        </w:numPr>
        <w:spacing w:before="100" w:beforeAutospacing="1" w:after="100" w:afterAutospacing="1" w:line="360" w:lineRule="auto"/>
        <w:ind w:left="1440"/>
        <w:rPr>
          <w:rFonts w:ascii="Times New Roman" w:eastAsia="Times New Roman" w:hAnsi="Times New Roman" w:cs="Times New Roman"/>
          <w:sz w:val="24"/>
          <w:szCs w:val="24"/>
        </w:rPr>
      </w:pPr>
    </w:p>
    <w:p w:rsidR="001C2461" w:rsidRPr="001C2461" w:rsidRDefault="001C2461" w:rsidP="001C2461">
      <w:pPr>
        <w:numPr>
          <w:ilvl w:val="1"/>
          <w:numId w:val="1"/>
        </w:numPr>
        <w:spacing w:before="100" w:beforeAutospacing="1" w:after="100" w:afterAutospacing="1" w:line="360" w:lineRule="auto"/>
        <w:rPr>
          <w:rFonts w:ascii="Times New Roman" w:eastAsia="Times New Roman" w:hAnsi="Times New Roman" w:cs="Times New Roman"/>
          <w:sz w:val="24"/>
          <w:szCs w:val="24"/>
        </w:rPr>
      </w:pPr>
      <w:r w:rsidRPr="001C2461">
        <w:rPr>
          <w:rFonts w:ascii="Times New Roman" w:eastAsia="Times New Roman" w:hAnsi="Times New Roman" w:cs="Times New Roman"/>
          <w:sz w:val="24"/>
          <w:szCs w:val="24"/>
        </w:rPr>
        <w:t>6.1. Theoretical base for and measurement of the determinants of cross-border M&amp;As</w:t>
      </w:r>
    </w:p>
    <w:p w:rsidR="001C2461" w:rsidRPr="001C2461" w:rsidRDefault="001C2461" w:rsidP="001C2461">
      <w:pPr>
        <w:numPr>
          <w:ilvl w:val="1"/>
          <w:numId w:val="1"/>
        </w:numPr>
        <w:spacing w:before="100" w:beforeAutospacing="1" w:after="100" w:afterAutospacing="1" w:line="360" w:lineRule="auto"/>
        <w:rPr>
          <w:rFonts w:ascii="Times New Roman" w:eastAsia="Times New Roman" w:hAnsi="Times New Roman" w:cs="Times New Roman"/>
          <w:sz w:val="24"/>
          <w:szCs w:val="24"/>
        </w:rPr>
      </w:pPr>
      <w:r w:rsidRPr="001C2461">
        <w:rPr>
          <w:rFonts w:ascii="Times New Roman" w:eastAsia="Times New Roman" w:hAnsi="Times New Roman" w:cs="Times New Roman"/>
          <w:sz w:val="24"/>
          <w:szCs w:val="24"/>
        </w:rPr>
        <w:t>6.2. Unpacking due diligence and other important processes involved in cross-border M&amp;As and clarifying the role of professional advisors</w:t>
      </w:r>
    </w:p>
    <w:p w:rsidR="001C2461" w:rsidRPr="001C2461" w:rsidRDefault="001C2461" w:rsidP="001C2461">
      <w:pPr>
        <w:numPr>
          <w:ilvl w:val="1"/>
          <w:numId w:val="1"/>
        </w:numPr>
        <w:spacing w:before="100" w:beforeAutospacing="1" w:after="100" w:afterAutospacing="1" w:line="360" w:lineRule="auto"/>
        <w:rPr>
          <w:rFonts w:ascii="Times New Roman" w:eastAsia="Times New Roman" w:hAnsi="Times New Roman" w:cs="Times New Roman"/>
          <w:sz w:val="24"/>
          <w:szCs w:val="24"/>
        </w:rPr>
      </w:pPr>
      <w:r w:rsidRPr="001C2461">
        <w:rPr>
          <w:rFonts w:ascii="Times New Roman" w:eastAsia="Times New Roman" w:hAnsi="Times New Roman" w:cs="Times New Roman"/>
          <w:sz w:val="24"/>
          <w:szCs w:val="24"/>
        </w:rPr>
        <w:t>6.3. Learning from successful and failed M&amp;As</w:t>
      </w:r>
    </w:p>
    <w:p w:rsidR="001C2461" w:rsidRPr="001C2461" w:rsidRDefault="001C2461" w:rsidP="001C2461">
      <w:pPr>
        <w:numPr>
          <w:ilvl w:val="1"/>
          <w:numId w:val="1"/>
        </w:numPr>
        <w:spacing w:before="100" w:beforeAutospacing="1" w:after="100" w:afterAutospacing="1" w:line="360" w:lineRule="auto"/>
        <w:rPr>
          <w:rFonts w:ascii="Times New Roman" w:eastAsia="Times New Roman" w:hAnsi="Times New Roman" w:cs="Times New Roman"/>
          <w:sz w:val="24"/>
          <w:szCs w:val="24"/>
        </w:rPr>
      </w:pPr>
      <w:r w:rsidRPr="001C2461">
        <w:rPr>
          <w:rFonts w:ascii="Times New Roman" w:eastAsia="Times New Roman" w:hAnsi="Times New Roman" w:cs="Times New Roman"/>
          <w:sz w:val="24"/>
          <w:szCs w:val="24"/>
        </w:rPr>
        <w:t>6.4. Understanding the governance problems related to M&amp;As</w:t>
      </w:r>
    </w:p>
    <w:p w:rsidR="001C2461" w:rsidRPr="001C2461" w:rsidRDefault="001C2461" w:rsidP="001C2461">
      <w:pPr>
        <w:numPr>
          <w:ilvl w:val="1"/>
          <w:numId w:val="1"/>
        </w:numPr>
        <w:spacing w:before="100" w:beforeAutospacing="1" w:after="100" w:afterAutospacing="1" w:line="360" w:lineRule="auto"/>
        <w:rPr>
          <w:rFonts w:ascii="Times New Roman" w:eastAsia="Times New Roman" w:hAnsi="Times New Roman" w:cs="Times New Roman"/>
          <w:sz w:val="24"/>
          <w:szCs w:val="24"/>
        </w:rPr>
      </w:pPr>
      <w:r w:rsidRPr="001C2461">
        <w:rPr>
          <w:rFonts w:ascii="Times New Roman" w:eastAsia="Times New Roman" w:hAnsi="Times New Roman" w:cs="Times New Roman"/>
          <w:sz w:val="24"/>
          <w:szCs w:val="24"/>
        </w:rPr>
        <w:t>6.5. Reframing domestic versus cross-border M&amp;As</w:t>
      </w:r>
    </w:p>
    <w:p w:rsidR="001C2461" w:rsidRPr="001C2461" w:rsidRDefault="001C2461" w:rsidP="001C2461">
      <w:pPr>
        <w:numPr>
          <w:ilvl w:val="0"/>
          <w:numId w:val="1"/>
        </w:numPr>
        <w:spacing w:before="100" w:beforeAutospacing="1" w:after="100" w:afterAutospacing="1" w:line="360" w:lineRule="auto"/>
        <w:rPr>
          <w:rFonts w:ascii="Times New Roman" w:eastAsia="Times New Roman" w:hAnsi="Times New Roman" w:cs="Times New Roman"/>
          <w:sz w:val="24"/>
          <w:szCs w:val="24"/>
        </w:rPr>
      </w:pPr>
      <w:r w:rsidRPr="001C2461">
        <w:rPr>
          <w:rFonts w:ascii="Times New Roman" w:eastAsia="Times New Roman" w:hAnsi="Times New Roman" w:cs="Times New Roman"/>
          <w:sz w:val="24"/>
          <w:szCs w:val="24"/>
        </w:rPr>
        <w:t>References</w:t>
      </w:r>
    </w:p>
    <w:p w:rsidR="001B217A" w:rsidRDefault="001B217A"/>
    <w:sectPr w:rsidR="001B217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5D3C"/>
    <w:multiLevelType w:val="multilevel"/>
    <w:tmpl w:val="E22A26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C2461"/>
    <w:rsid w:val="001B217A"/>
    <w:rsid w:val="001C24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C246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C2461"/>
    <w:rPr>
      <w:rFonts w:ascii="Times New Roman" w:eastAsia="Times New Roman" w:hAnsi="Times New Roman" w:cs="Times New Roman"/>
      <w:b/>
      <w:bCs/>
      <w:sz w:val="27"/>
      <w:szCs w:val="27"/>
    </w:rPr>
  </w:style>
  <w:style w:type="character" w:customStyle="1" w:styleId="previewbar2">
    <w:name w:val="previewbar2"/>
    <w:basedOn w:val="DefaultParagraphFont"/>
    <w:rsid w:val="001C2461"/>
  </w:style>
</w:styles>
</file>

<file path=word/webSettings.xml><?xml version="1.0" encoding="utf-8"?>
<w:webSettings xmlns:r="http://schemas.openxmlformats.org/officeDocument/2006/relationships" xmlns:w="http://schemas.openxmlformats.org/wordprocessingml/2006/main">
  <w:divs>
    <w:div w:id="1366516432">
      <w:bodyDiv w:val="1"/>
      <w:marLeft w:val="0"/>
      <w:marRight w:val="0"/>
      <w:marTop w:val="0"/>
      <w:marBottom w:val="0"/>
      <w:divBdr>
        <w:top w:val="none" w:sz="0" w:space="0" w:color="auto"/>
        <w:left w:val="none" w:sz="0" w:space="0" w:color="auto"/>
        <w:bottom w:val="none" w:sz="0" w:space="0" w:color="auto"/>
        <w:right w:val="none" w:sz="0" w:space="0" w:color="auto"/>
      </w:divBdr>
      <w:divsChild>
        <w:div w:id="646129859">
          <w:marLeft w:val="0"/>
          <w:marRight w:val="0"/>
          <w:marTop w:val="0"/>
          <w:marBottom w:val="0"/>
          <w:divBdr>
            <w:top w:val="none" w:sz="0" w:space="0" w:color="auto"/>
            <w:left w:val="none" w:sz="0" w:space="0" w:color="auto"/>
            <w:bottom w:val="none" w:sz="0" w:space="0" w:color="auto"/>
            <w:right w:val="none" w:sz="0" w:space="0" w:color="auto"/>
          </w:divBdr>
          <w:divsChild>
            <w:div w:id="297956303">
              <w:marLeft w:val="0"/>
              <w:marRight w:val="0"/>
              <w:marTop w:val="0"/>
              <w:marBottom w:val="0"/>
              <w:divBdr>
                <w:top w:val="none" w:sz="0" w:space="0" w:color="auto"/>
                <w:left w:val="none" w:sz="0" w:space="0" w:color="auto"/>
                <w:bottom w:val="none" w:sz="0" w:space="0" w:color="auto"/>
                <w:right w:val="none" w:sz="0" w:space="0" w:color="auto"/>
              </w:divBdr>
              <w:divsChild>
                <w:div w:id="2061244685">
                  <w:marLeft w:val="0"/>
                  <w:marRight w:val="0"/>
                  <w:marTop w:val="0"/>
                  <w:marBottom w:val="0"/>
                  <w:divBdr>
                    <w:top w:val="none" w:sz="0" w:space="0" w:color="auto"/>
                    <w:left w:val="none" w:sz="0" w:space="0" w:color="auto"/>
                    <w:bottom w:val="none" w:sz="0" w:space="0" w:color="auto"/>
                    <w:right w:val="none" w:sz="0" w:space="0" w:color="auto"/>
                  </w:divBdr>
                  <w:divsChild>
                    <w:div w:id="981160542">
                      <w:marLeft w:val="0"/>
                      <w:marRight w:val="0"/>
                      <w:marTop w:val="0"/>
                      <w:marBottom w:val="0"/>
                      <w:divBdr>
                        <w:top w:val="none" w:sz="0" w:space="0" w:color="auto"/>
                        <w:left w:val="none" w:sz="0" w:space="0" w:color="auto"/>
                        <w:bottom w:val="none" w:sz="0" w:space="0" w:color="auto"/>
                        <w:right w:val="none" w:sz="0" w:space="0" w:color="auto"/>
                      </w:divBdr>
                      <w:divsChild>
                        <w:div w:id="80546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1974</Characters>
  <Application>Microsoft Office Word</Application>
  <DocSecurity>0</DocSecurity>
  <Lines>16</Lines>
  <Paragraphs>4</Paragraphs>
  <ScaleCrop>false</ScaleCrop>
  <Company>Home</Company>
  <LinksUpToDate>false</LinksUpToDate>
  <CharactersWithSpaces>2316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Welcome</cp:lastModifiedBy>
  <cp:revision>2</cp:revision>
  <dcterms:created xsi:type="dcterms:W3CDTF">2013-03-07T14:01:00Z</dcterms:created>
  <dcterms:modified xsi:type="dcterms:W3CDTF">2013-03-07T14:01:00Z</dcterms:modified>
</cp:coreProperties>
</file>