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dxa"/>
        <w:tblCellMar>
          <w:top w:w="15" w:type="dxa"/>
          <w:left w:w="15" w:type="dxa"/>
          <w:bottom w:w="15" w:type="dxa"/>
          <w:right w:w="15" w:type="dxa"/>
        </w:tblCellMar>
        <w:tblLook w:val="04A0"/>
      </w:tblPr>
      <w:tblGrid>
        <w:gridCol w:w="9390"/>
      </w:tblGrid>
      <w:tr w:rsidR="00694EBB" w:rsidRPr="00694EBB" w:rsidTr="00694EBB">
        <w:tc>
          <w:tcPr>
            <w:tcW w:w="0" w:type="auto"/>
            <w:vAlign w:val="center"/>
            <w:hideMark/>
          </w:tcPr>
          <w:tbl>
            <w:tblPr>
              <w:tblW w:w="0" w:type="auto"/>
              <w:tblCellSpacing w:w="15" w:type="dxa"/>
              <w:tblCellMar>
                <w:top w:w="15" w:type="dxa"/>
                <w:left w:w="15" w:type="dxa"/>
                <w:bottom w:w="15" w:type="dxa"/>
                <w:right w:w="15" w:type="dxa"/>
              </w:tblCellMar>
              <w:tblLook w:val="04A0"/>
            </w:tblPr>
            <w:tblGrid>
              <w:gridCol w:w="81"/>
              <w:gridCol w:w="9279"/>
            </w:tblGrid>
            <w:tr w:rsidR="00694EBB" w:rsidRPr="00694EBB">
              <w:trPr>
                <w:tblCellSpacing w:w="15" w:type="dxa"/>
              </w:trPr>
              <w:tc>
                <w:tcPr>
                  <w:tcW w:w="0" w:type="auto"/>
                  <w:vAlign w:val="center"/>
                  <w:hideMark/>
                </w:tcPr>
                <w:p w:rsidR="00694EBB" w:rsidRPr="00694EBB" w:rsidRDefault="00694EBB" w:rsidP="00694EBB">
                  <w:pPr>
                    <w:spacing w:after="0" w:line="240" w:lineRule="auto"/>
                    <w:rPr>
                      <w:rFonts w:ascii="Times New Roman" w:eastAsia="Times New Roman" w:hAnsi="Times New Roman" w:cs="Times New Roman"/>
                      <w:sz w:val="24"/>
                      <w:szCs w:val="24"/>
                    </w:rPr>
                  </w:pPr>
                </w:p>
              </w:tc>
              <w:tc>
                <w:tcPr>
                  <w:tcW w:w="0" w:type="auto"/>
                  <w:hideMark/>
                </w:tcPr>
                <w:p w:rsidR="00694EBB" w:rsidRPr="00694EBB" w:rsidRDefault="00694EBB" w:rsidP="00694EBB">
                  <w:pPr>
                    <w:spacing w:after="0" w:line="240" w:lineRule="auto"/>
                    <w:rPr>
                      <w:rFonts w:ascii="Times New Roman" w:eastAsia="Times New Roman" w:hAnsi="Times New Roman" w:cs="Times New Roman"/>
                      <w:sz w:val="24"/>
                      <w:szCs w:val="24"/>
                    </w:rPr>
                  </w:pPr>
                  <w:r w:rsidRPr="00694EBB">
                    <w:rPr>
                      <w:rFonts w:ascii="Times New Roman" w:eastAsia="Times New Roman" w:hAnsi="Times New Roman" w:cs="Times New Roman"/>
                      <w:b/>
                      <w:bCs/>
                      <w:sz w:val="17"/>
                    </w:rPr>
                    <w:t>Compulsory Attendance of Professional Development Programmes</w:t>
                  </w:r>
                </w:p>
                <w:p w:rsidR="00694EBB" w:rsidRPr="00694EBB" w:rsidRDefault="00694EBB" w:rsidP="00694EBB">
                  <w:pPr>
                    <w:spacing w:after="0" w:line="240" w:lineRule="auto"/>
                    <w:jc w:val="both"/>
                    <w:rPr>
                      <w:rFonts w:ascii="Times New Roman" w:eastAsia="Times New Roman" w:hAnsi="Times New Roman" w:cs="Times New Roman"/>
                      <w:sz w:val="24"/>
                      <w:szCs w:val="24"/>
                    </w:rPr>
                  </w:pPr>
                </w:p>
                <w:tbl>
                  <w:tblPr>
                    <w:tblW w:w="0" w:type="auto"/>
                    <w:tblCellSpacing w:w="0" w:type="dxa"/>
                    <w:tblCellMar>
                      <w:left w:w="0" w:type="dxa"/>
                      <w:right w:w="0" w:type="dxa"/>
                    </w:tblCellMar>
                    <w:tblLook w:val="04A0"/>
                  </w:tblPr>
                  <w:tblGrid>
                    <w:gridCol w:w="9204"/>
                  </w:tblGrid>
                  <w:tr w:rsidR="00694EBB" w:rsidRPr="00694EBB" w:rsidTr="00694EBB">
                    <w:trPr>
                      <w:tblCellSpacing w:w="0" w:type="dxa"/>
                    </w:trPr>
                    <w:tc>
                      <w:tcPr>
                        <w:tcW w:w="0" w:type="auto"/>
                        <w:tcMar>
                          <w:top w:w="75" w:type="dxa"/>
                          <w:left w:w="0" w:type="dxa"/>
                          <w:bottom w:w="120" w:type="dxa"/>
                          <w:right w:w="0" w:type="dxa"/>
                        </w:tcMar>
                        <w:vAlign w:val="center"/>
                        <w:hideMark/>
                      </w:tcPr>
                      <w:p w:rsidR="00694EBB" w:rsidRPr="00694EBB" w:rsidRDefault="00694EBB" w:rsidP="00694EBB">
                        <w:pPr>
                          <w:spacing w:after="0" w:line="345" w:lineRule="atLeast"/>
                          <w:rPr>
                            <w:rFonts w:ascii="Times New Roman" w:eastAsia="Times New Roman" w:hAnsi="Times New Roman" w:cs="Times New Roman"/>
                            <w:sz w:val="24"/>
                            <w:szCs w:val="24"/>
                          </w:rPr>
                        </w:pPr>
                        <w:r w:rsidRPr="00694EBB">
                          <w:rPr>
                            <w:rFonts w:ascii="Times New Roman" w:eastAsia="Times New Roman" w:hAnsi="Times New Roman" w:cs="Times New Roman"/>
                            <w:sz w:val="24"/>
                            <w:szCs w:val="24"/>
                          </w:rPr>
                          <w:t>The Council of the Institute at its 200th Meeting held on March 18, 2011 at New Delhi amended the Guidelines for Compulsory Attendance of Professional </w:t>
                        </w:r>
                        <w:r w:rsidRPr="00694EBB">
                          <w:rPr>
                            <w:rFonts w:ascii="Times New Roman" w:eastAsia="Times New Roman" w:hAnsi="Times New Roman" w:cs="Times New Roman"/>
                            <w:sz w:val="24"/>
                            <w:szCs w:val="24"/>
                          </w:rPr>
                          <w:br/>
                          <w:t>Development Programmes by the Members of ICSI in practice as well as in employment as under:</w:t>
                        </w:r>
                      </w:p>
                    </w:tc>
                  </w:tr>
                </w:tbl>
                <w:p w:rsidR="00694EBB" w:rsidRPr="00694EBB" w:rsidRDefault="00694EBB" w:rsidP="00694EBB">
                  <w:pPr>
                    <w:spacing w:after="0" w:line="240" w:lineRule="auto"/>
                    <w:jc w:val="both"/>
                    <w:rPr>
                      <w:rFonts w:ascii="Times New Roman" w:eastAsia="Times New Roman" w:hAnsi="Times New Roman" w:cs="Times New Roman"/>
                      <w:sz w:val="24"/>
                      <w:szCs w:val="24"/>
                    </w:rPr>
                  </w:pPr>
                </w:p>
              </w:tc>
            </w:tr>
          </w:tbl>
          <w:p w:rsidR="00694EBB" w:rsidRPr="00694EBB" w:rsidRDefault="00694EBB" w:rsidP="00694EBB">
            <w:pPr>
              <w:spacing w:after="0" w:line="240" w:lineRule="auto"/>
              <w:rPr>
                <w:rFonts w:ascii="Helvetica" w:eastAsia="Times New Roman" w:hAnsi="Helvetica" w:cs="Helvetica"/>
                <w:color w:val="333333"/>
                <w:sz w:val="18"/>
                <w:szCs w:val="18"/>
              </w:rPr>
            </w:pPr>
          </w:p>
        </w:tc>
      </w:tr>
    </w:tbl>
    <w:p w:rsidR="00694EBB" w:rsidRPr="00694EBB" w:rsidRDefault="00694EBB" w:rsidP="00694EBB">
      <w:pPr>
        <w:spacing w:after="0" w:line="240" w:lineRule="auto"/>
        <w:rPr>
          <w:rFonts w:ascii="Arial" w:eastAsia="Times New Roman" w:hAnsi="Arial" w:cs="Arial"/>
          <w:color w:val="000000"/>
          <w:sz w:val="24"/>
          <w:szCs w:val="24"/>
        </w:rPr>
      </w:pPr>
    </w:p>
    <w:tbl>
      <w:tblPr>
        <w:tblW w:w="9870" w:type="dxa"/>
        <w:tblCellSpacing w:w="7" w:type="dxa"/>
        <w:shd w:val="clear" w:color="auto" w:fill="CCCCCC"/>
        <w:tblCellMar>
          <w:left w:w="0" w:type="dxa"/>
          <w:right w:w="0" w:type="dxa"/>
        </w:tblCellMar>
        <w:tblLook w:val="04A0"/>
      </w:tblPr>
      <w:tblGrid>
        <w:gridCol w:w="637"/>
        <w:gridCol w:w="5413"/>
        <w:gridCol w:w="3820"/>
      </w:tblGrid>
      <w:tr w:rsidR="00694EBB" w:rsidRPr="00694EBB" w:rsidTr="00694EBB">
        <w:trPr>
          <w:tblCellSpacing w:w="7" w:type="dxa"/>
        </w:trPr>
        <w:tc>
          <w:tcPr>
            <w:tcW w:w="555"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center"/>
              <w:rPr>
                <w:rFonts w:ascii="Helvetica" w:eastAsia="Times New Roman" w:hAnsi="Helvetica" w:cs="Helvetica"/>
                <w:color w:val="333333"/>
                <w:sz w:val="18"/>
                <w:szCs w:val="18"/>
              </w:rPr>
            </w:pPr>
            <w:r w:rsidRPr="00694EBB">
              <w:rPr>
                <w:rFonts w:ascii="Helvetica" w:eastAsia="Times New Roman" w:hAnsi="Helvetica" w:cs="Helvetica"/>
                <w:b/>
                <w:bCs/>
                <w:color w:val="333333"/>
                <w:sz w:val="18"/>
                <w:szCs w:val="18"/>
              </w:rPr>
              <w:t>1.</w:t>
            </w:r>
          </w:p>
        </w:tc>
        <w:tc>
          <w:tcPr>
            <w:tcW w:w="486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Next block of three years</w:t>
            </w:r>
          </w:p>
        </w:tc>
        <w:tc>
          <w:tcPr>
            <w:tcW w:w="342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April 01, 2011 to March 31, 2014</w:t>
            </w:r>
          </w:p>
        </w:tc>
      </w:tr>
      <w:tr w:rsidR="00694EBB" w:rsidRPr="00694EBB" w:rsidTr="00694EBB">
        <w:trPr>
          <w:tblCellSpacing w:w="7" w:type="dxa"/>
        </w:trPr>
        <w:tc>
          <w:tcPr>
            <w:tcW w:w="0" w:type="auto"/>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center"/>
              <w:rPr>
                <w:rFonts w:ascii="Helvetica" w:eastAsia="Times New Roman" w:hAnsi="Helvetica" w:cs="Helvetica"/>
                <w:color w:val="333333"/>
                <w:sz w:val="18"/>
                <w:szCs w:val="18"/>
              </w:rPr>
            </w:pPr>
            <w:r w:rsidRPr="00694EBB">
              <w:rPr>
                <w:rFonts w:ascii="Helvetica" w:eastAsia="Times New Roman" w:hAnsi="Helvetica" w:cs="Helvetica"/>
                <w:b/>
                <w:bCs/>
                <w:color w:val="333333"/>
                <w:sz w:val="18"/>
                <w:szCs w:val="18"/>
              </w:rPr>
              <w:t>2.</w:t>
            </w:r>
          </w:p>
        </w:tc>
        <w:tc>
          <w:tcPr>
            <w:tcW w:w="486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Min. number of Programme Credit Hours (PCH) to be acquired by Members in Practice</w:t>
            </w:r>
          </w:p>
        </w:tc>
        <w:tc>
          <w:tcPr>
            <w:tcW w:w="342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15 PCH in each year or 50 PCH in a block of three years w.e.f April 01, 2011</w:t>
            </w:r>
          </w:p>
        </w:tc>
      </w:tr>
      <w:tr w:rsidR="00694EBB" w:rsidRPr="00694EBB" w:rsidTr="00694EBB">
        <w:trPr>
          <w:tblCellSpacing w:w="7" w:type="dxa"/>
        </w:trPr>
        <w:tc>
          <w:tcPr>
            <w:tcW w:w="0" w:type="auto"/>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center"/>
              <w:rPr>
                <w:rFonts w:ascii="Helvetica" w:eastAsia="Times New Roman" w:hAnsi="Helvetica" w:cs="Helvetica"/>
                <w:color w:val="333333"/>
                <w:sz w:val="18"/>
                <w:szCs w:val="18"/>
              </w:rPr>
            </w:pPr>
            <w:r w:rsidRPr="00694EBB">
              <w:rPr>
                <w:rFonts w:ascii="Helvetica" w:eastAsia="Times New Roman" w:hAnsi="Helvetica" w:cs="Helvetica"/>
                <w:b/>
                <w:bCs/>
                <w:color w:val="333333"/>
                <w:sz w:val="18"/>
                <w:szCs w:val="18"/>
              </w:rPr>
              <w:t>3.</w:t>
            </w:r>
          </w:p>
        </w:tc>
        <w:tc>
          <w:tcPr>
            <w:tcW w:w="486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Min. number of PCH to be acquired by Members in Employment (i.e. members in whose name Form 32 has been filed to work as Company Secretary under the provisions of Sec. 383A of the Companies Act, 1956)</w:t>
            </w:r>
          </w:p>
        </w:tc>
        <w:tc>
          <w:tcPr>
            <w:tcW w:w="342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10 PCH in each year or 35 PCH in a block of three years w.e.f April 01, 2011</w:t>
            </w:r>
          </w:p>
        </w:tc>
      </w:tr>
      <w:tr w:rsidR="00694EBB" w:rsidRPr="00694EBB" w:rsidTr="00694EBB">
        <w:trPr>
          <w:tblCellSpacing w:w="7" w:type="dxa"/>
        </w:trPr>
        <w:tc>
          <w:tcPr>
            <w:tcW w:w="0" w:type="auto"/>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center"/>
              <w:rPr>
                <w:rFonts w:ascii="Helvetica" w:eastAsia="Times New Roman" w:hAnsi="Helvetica" w:cs="Helvetica"/>
                <w:color w:val="333333"/>
                <w:sz w:val="18"/>
                <w:szCs w:val="18"/>
              </w:rPr>
            </w:pPr>
            <w:r w:rsidRPr="00694EBB">
              <w:rPr>
                <w:rFonts w:ascii="Helvetica" w:eastAsia="Times New Roman" w:hAnsi="Helvetica" w:cs="Helvetica"/>
                <w:b/>
                <w:bCs/>
                <w:color w:val="333333"/>
                <w:sz w:val="18"/>
                <w:szCs w:val="18"/>
              </w:rPr>
              <w:t>4.</w:t>
            </w:r>
          </w:p>
        </w:tc>
        <w:tc>
          <w:tcPr>
            <w:tcW w:w="486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Min. number of PCH to be acquired by Members above the age of 60 years</w:t>
            </w:r>
          </w:p>
        </w:tc>
        <w:tc>
          <w:tcPr>
            <w:tcW w:w="342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Presently the members of the age of 65 years are not required to obtain PCH. This age limit stands reduced to 60 years and the members above the age of 60 years shall be required to obtain 50% of the PCH required to be obtained by the members below 60 years w.e.f April 01, 2011.</w:t>
            </w:r>
          </w:p>
        </w:tc>
      </w:tr>
      <w:tr w:rsidR="00694EBB" w:rsidRPr="00694EBB" w:rsidTr="00694EBB">
        <w:trPr>
          <w:tblCellSpacing w:w="7" w:type="dxa"/>
        </w:trPr>
        <w:tc>
          <w:tcPr>
            <w:tcW w:w="0" w:type="auto"/>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center"/>
              <w:rPr>
                <w:rFonts w:ascii="Helvetica" w:eastAsia="Times New Roman" w:hAnsi="Helvetica" w:cs="Helvetica"/>
                <w:color w:val="333333"/>
                <w:sz w:val="18"/>
                <w:szCs w:val="18"/>
              </w:rPr>
            </w:pPr>
            <w:r w:rsidRPr="00694EBB">
              <w:rPr>
                <w:rFonts w:ascii="Helvetica" w:eastAsia="Times New Roman" w:hAnsi="Helvetica" w:cs="Helvetica"/>
                <w:b/>
                <w:bCs/>
                <w:color w:val="333333"/>
                <w:sz w:val="18"/>
                <w:szCs w:val="18"/>
              </w:rPr>
              <w:t>5.</w:t>
            </w:r>
          </w:p>
        </w:tc>
        <w:tc>
          <w:tcPr>
            <w:tcW w:w="486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Members failing to obtain the mandatory PCH upto March 31, 2011</w:t>
            </w:r>
          </w:p>
        </w:tc>
        <w:tc>
          <w:tcPr>
            <w:tcW w:w="342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Provided with a shortfall upto 10 PCH and required to compensate by obtaining atleast 5 additional PCH on pro rata basis in the first year of the next block of three years commencing from April 01, 2011.</w:t>
            </w:r>
          </w:p>
        </w:tc>
      </w:tr>
      <w:tr w:rsidR="00694EBB" w:rsidRPr="00694EBB" w:rsidTr="00694EBB">
        <w:trPr>
          <w:tblCellSpacing w:w="7" w:type="dxa"/>
        </w:trPr>
        <w:tc>
          <w:tcPr>
            <w:tcW w:w="0" w:type="auto"/>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center"/>
              <w:rPr>
                <w:rFonts w:ascii="Helvetica" w:eastAsia="Times New Roman" w:hAnsi="Helvetica" w:cs="Helvetica"/>
                <w:color w:val="333333"/>
                <w:sz w:val="18"/>
                <w:szCs w:val="18"/>
              </w:rPr>
            </w:pPr>
            <w:r w:rsidRPr="00694EBB">
              <w:rPr>
                <w:rFonts w:ascii="Helvetica" w:eastAsia="Times New Roman" w:hAnsi="Helvetica" w:cs="Helvetica"/>
                <w:b/>
                <w:bCs/>
                <w:color w:val="333333"/>
                <w:sz w:val="18"/>
                <w:szCs w:val="18"/>
              </w:rPr>
              <w:t>6.</w:t>
            </w:r>
          </w:p>
        </w:tc>
        <w:tc>
          <w:tcPr>
            <w:tcW w:w="486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Members who have not obtained any PCH during the block ending on March 31, 2011</w:t>
            </w:r>
          </w:p>
        </w:tc>
        <w:tc>
          <w:tcPr>
            <w:tcW w:w="3420" w:type="dxa"/>
            <w:shd w:val="clear" w:color="auto" w:fill="FFFFFF"/>
            <w:tcMar>
              <w:top w:w="75" w:type="dxa"/>
              <w:left w:w="120" w:type="dxa"/>
              <w:bottom w:w="120" w:type="dxa"/>
              <w:right w:w="0" w:type="dxa"/>
            </w:tcMar>
            <w:hideMark/>
          </w:tcPr>
          <w:p w:rsidR="00694EBB" w:rsidRPr="00694EBB" w:rsidRDefault="00694EBB" w:rsidP="00694EBB">
            <w:pPr>
              <w:spacing w:after="0" w:line="345" w:lineRule="atLeast"/>
              <w:jc w:val="both"/>
              <w:rPr>
                <w:rFonts w:ascii="Helvetica" w:eastAsia="Times New Roman" w:hAnsi="Helvetica" w:cs="Helvetica"/>
                <w:color w:val="333333"/>
                <w:sz w:val="18"/>
                <w:szCs w:val="18"/>
              </w:rPr>
            </w:pPr>
            <w:r w:rsidRPr="00694EBB">
              <w:rPr>
                <w:rFonts w:ascii="Helvetica" w:eastAsia="Times New Roman" w:hAnsi="Helvetica" w:cs="Helvetica"/>
                <w:color w:val="333333"/>
                <w:sz w:val="18"/>
                <w:szCs w:val="18"/>
              </w:rPr>
              <w:t>Members seeking renewal of COP to provide an explanation for non compliance with the Guidelines – to be decided on case to case basis.</w:t>
            </w:r>
          </w:p>
        </w:tc>
      </w:tr>
    </w:tbl>
    <w:p w:rsidR="00694EBB" w:rsidRDefault="00694EBB" w:rsidP="00694EBB">
      <w:pPr>
        <w:spacing w:after="0" w:line="240" w:lineRule="auto"/>
        <w:rPr>
          <w:rFonts w:ascii="Arial" w:eastAsia="Times New Roman" w:hAnsi="Arial" w:cs="Arial"/>
          <w:color w:val="000000"/>
          <w:sz w:val="24"/>
          <w:szCs w:val="24"/>
        </w:rPr>
      </w:pPr>
    </w:p>
    <w:p w:rsidR="00694EBB" w:rsidRDefault="00694EBB" w:rsidP="00694EB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References: </w:t>
      </w:r>
    </w:p>
    <w:p w:rsidR="00694EBB" w:rsidRPr="00694EBB" w:rsidRDefault="00694EBB" w:rsidP="00694EBB">
      <w:pPr>
        <w:spacing w:after="0" w:line="240" w:lineRule="auto"/>
        <w:rPr>
          <w:rFonts w:ascii="Arial" w:eastAsia="Times New Roman" w:hAnsi="Arial" w:cs="Arial"/>
          <w:color w:val="000000"/>
          <w:sz w:val="24"/>
          <w:szCs w:val="24"/>
        </w:rPr>
      </w:pPr>
    </w:p>
    <w:p w:rsidR="00694EBB" w:rsidRPr="00694EBB" w:rsidRDefault="00694EBB" w:rsidP="00694EBB">
      <w:pPr>
        <w:spacing w:after="0" w:line="240" w:lineRule="auto"/>
        <w:rPr>
          <w:rFonts w:ascii="Arial" w:eastAsia="Times New Roman" w:hAnsi="Arial" w:cs="Arial"/>
          <w:color w:val="000000"/>
          <w:sz w:val="24"/>
          <w:szCs w:val="24"/>
        </w:rPr>
      </w:pPr>
      <w:r w:rsidRPr="00694EBB">
        <w:rPr>
          <w:rFonts w:ascii="Arial" w:eastAsia="Times New Roman" w:hAnsi="Arial" w:cs="Arial"/>
          <w:color w:val="000000"/>
          <w:sz w:val="24"/>
          <w:szCs w:val="24"/>
        </w:rPr>
        <w:t>http://www.icsi.edu/bangalore/Members.aspx</w:t>
      </w:r>
    </w:p>
    <w:p w:rsidR="00694EBB" w:rsidRPr="00694EBB" w:rsidRDefault="00694EBB" w:rsidP="00694EBB">
      <w:pPr>
        <w:spacing w:after="0" w:line="240" w:lineRule="auto"/>
        <w:rPr>
          <w:rFonts w:ascii="Arial" w:eastAsia="Times New Roman" w:hAnsi="Arial" w:cs="Arial"/>
          <w:color w:val="000000"/>
          <w:sz w:val="24"/>
          <w:szCs w:val="24"/>
        </w:rPr>
      </w:pPr>
    </w:p>
    <w:p w:rsidR="00694EBB" w:rsidRPr="00694EBB" w:rsidRDefault="00694EBB" w:rsidP="00694EBB">
      <w:pPr>
        <w:spacing w:after="0" w:line="240" w:lineRule="auto"/>
        <w:rPr>
          <w:rFonts w:ascii="Arial" w:eastAsia="Times New Roman" w:hAnsi="Arial" w:cs="Arial"/>
          <w:color w:val="000000"/>
          <w:sz w:val="24"/>
          <w:szCs w:val="24"/>
        </w:rPr>
      </w:pPr>
    </w:p>
    <w:p w:rsidR="00694EBB" w:rsidRPr="00694EBB" w:rsidRDefault="00694EBB" w:rsidP="00694EBB">
      <w:pPr>
        <w:spacing w:after="0" w:line="240" w:lineRule="auto"/>
        <w:rPr>
          <w:rFonts w:ascii="Arial" w:eastAsia="Times New Roman" w:hAnsi="Arial" w:cs="Arial"/>
          <w:color w:val="000000"/>
          <w:sz w:val="24"/>
          <w:szCs w:val="24"/>
        </w:rPr>
      </w:pPr>
      <w:r w:rsidRPr="00694EBB">
        <w:rPr>
          <w:rFonts w:ascii="Arial" w:eastAsia="Times New Roman" w:hAnsi="Arial" w:cs="Arial"/>
          <w:color w:val="000000"/>
          <w:sz w:val="24"/>
          <w:szCs w:val="24"/>
        </w:rPr>
        <w:t>http://corporatelawreporter.com/programme-credit-hours-cs-employment-180.html</w:t>
      </w:r>
    </w:p>
    <w:p w:rsidR="00041451" w:rsidRDefault="00041451"/>
    <w:sectPr w:rsidR="00041451" w:rsidSect="000414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94EBB"/>
    <w:rsid w:val="00041451"/>
    <w:rsid w:val="00694EBB"/>
    <w:rsid w:val="00BD15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4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iv1251489763subhead">
    <w:name w:val="yiv1251489763subhead"/>
    <w:basedOn w:val="DefaultParagraphFont"/>
    <w:rsid w:val="00694EBB"/>
  </w:style>
  <w:style w:type="character" w:customStyle="1" w:styleId="apple-converted-space">
    <w:name w:val="apple-converted-space"/>
    <w:basedOn w:val="DefaultParagraphFont"/>
    <w:rsid w:val="00694EBB"/>
  </w:style>
</w:styles>
</file>

<file path=word/webSettings.xml><?xml version="1.0" encoding="utf-8"?>
<w:webSettings xmlns:r="http://schemas.openxmlformats.org/officeDocument/2006/relationships" xmlns:w="http://schemas.openxmlformats.org/wordprocessingml/2006/main">
  <w:divs>
    <w:div w:id="1558129581">
      <w:bodyDiv w:val="1"/>
      <w:marLeft w:val="0"/>
      <w:marRight w:val="0"/>
      <w:marTop w:val="0"/>
      <w:marBottom w:val="0"/>
      <w:divBdr>
        <w:top w:val="none" w:sz="0" w:space="0" w:color="auto"/>
        <w:left w:val="none" w:sz="0" w:space="0" w:color="auto"/>
        <w:bottom w:val="none" w:sz="0" w:space="0" w:color="auto"/>
        <w:right w:val="none" w:sz="0" w:space="0" w:color="auto"/>
      </w:divBdr>
      <w:divsChild>
        <w:div w:id="892425960">
          <w:marLeft w:val="0"/>
          <w:marRight w:val="0"/>
          <w:marTop w:val="0"/>
          <w:marBottom w:val="0"/>
          <w:divBdr>
            <w:top w:val="none" w:sz="0" w:space="0" w:color="auto"/>
            <w:left w:val="none" w:sz="0" w:space="0" w:color="auto"/>
            <w:bottom w:val="none" w:sz="0" w:space="0" w:color="auto"/>
            <w:right w:val="none" w:sz="0" w:space="0" w:color="auto"/>
          </w:divBdr>
          <w:divsChild>
            <w:div w:id="625088108">
              <w:marLeft w:val="0"/>
              <w:marRight w:val="0"/>
              <w:marTop w:val="0"/>
              <w:marBottom w:val="0"/>
              <w:divBdr>
                <w:top w:val="none" w:sz="0" w:space="0" w:color="auto"/>
                <w:left w:val="none" w:sz="0" w:space="0" w:color="auto"/>
                <w:bottom w:val="none" w:sz="0" w:space="0" w:color="auto"/>
                <w:right w:val="none" w:sz="0" w:space="0" w:color="auto"/>
              </w:divBdr>
            </w:div>
          </w:divsChild>
        </w:div>
        <w:div w:id="862666632">
          <w:marLeft w:val="0"/>
          <w:marRight w:val="0"/>
          <w:marTop w:val="0"/>
          <w:marBottom w:val="0"/>
          <w:divBdr>
            <w:top w:val="none" w:sz="0" w:space="0" w:color="auto"/>
            <w:left w:val="none" w:sz="0" w:space="0" w:color="auto"/>
            <w:bottom w:val="none" w:sz="0" w:space="0" w:color="auto"/>
            <w:right w:val="none" w:sz="0" w:space="0" w:color="auto"/>
          </w:divBdr>
        </w:div>
        <w:div w:id="1301032515">
          <w:marLeft w:val="0"/>
          <w:marRight w:val="0"/>
          <w:marTop w:val="0"/>
          <w:marBottom w:val="0"/>
          <w:divBdr>
            <w:top w:val="none" w:sz="0" w:space="0" w:color="auto"/>
            <w:left w:val="none" w:sz="0" w:space="0" w:color="auto"/>
            <w:bottom w:val="none" w:sz="0" w:space="0" w:color="auto"/>
            <w:right w:val="none" w:sz="0" w:space="0" w:color="auto"/>
          </w:divBdr>
        </w:div>
        <w:div w:id="1704355285">
          <w:marLeft w:val="0"/>
          <w:marRight w:val="0"/>
          <w:marTop w:val="0"/>
          <w:marBottom w:val="0"/>
          <w:divBdr>
            <w:top w:val="none" w:sz="0" w:space="0" w:color="auto"/>
            <w:left w:val="none" w:sz="0" w:space="0" w:color="auto"/>
            <w:bottom w:val="none" w:sz="0" w:space="0" w:color="auto"/>
            <w:right w:val="none" w:sz="0" w:space="0" w:color="auto"/>
          </w:divBdr>
        </w:div>
        <w:div w:id="1240361345">
          <w:marLeft w:val="0"/>
          <w:marRight w:val="0"/>
          <w:marTop w:val="0"/>
          <w:marBottom w:val="0"/>
          <w:divBdr>
            <w:top w:val="none" w:sz="0" w:space="0" w:color="auto"/>
            <w:left w:val="none" w:sz="0" w:space="0" w:color="auto"/>
            <w:bottom w:val="none" w:sz="0" w:space="0" w:color="auto"/>
            <w:right w:val="none" w:sz="0" w:space="0" w:color="auto"/>
          </w:divBdr>
        </w:div>
        <w:div w:id="852575693">
          <w:marLeft w:val="0"/>
          <w:marRight w:val="0"/>
          <w:marTop w:val="0"/>
          <w:marBottom w:val="0"/>
          <w:divBdr>
            <w:top w:val="none" w:sz="0" w:space="0" w:color="auto"/>
            <w:left w:val="none" w:sz="0" w:space="0" w:color="auto"/>
            <w:bottom w:val="none" w:sz="0" w:space="0" w:color="auto"/>
            <w:right w:val="none" w:sz="0" w:space="0" w:color="auto"/>
          </w:divBdr>
        </w:div>
        <w:div w:id="1452900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1538</Characters>
  <Application>Microsoft Office Word</Application>
  <DocSecurity>0</DocSecurity>
  <Lines>12</Lines>
  <Paragraphs>3</Paragraphs>
  <ScaleCrop>false</ScaleCrop>
  <Company>Home</Company>
  <LinksUpToDate>false</LinksUpToDate>
  <CharactersWithSpaces>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Kumar</dc:creator>
  <cp:keywords/>
  <dc:description/>
  <cp:lastModifiedBy>Mohan Kumar</cp:lastModifiedBy>
  <cp:revision>2</cp:revision>
  <dcterms:created xsi:type="dcterms:W3CDTF">2013-03-01T04:41:00Z</dcterms:created>
  <dcterms:modified xsi:type="dcterms:W3CDTF">2013-03-01T04:42:00Z</dcterms:modified>
</cp:coreProperties>
</file>