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4C4" w:rsidRDefault="004924C4" w:rsidP="00F60EB3">
      <w:pPr>
        <w:spacing w:after="0" w:line="240" w:lineRule="auto"/>
        <w:rPr>
          <w:rFonts w:ascii="Times New Roman" w:eastAsia="Times New Roman" w:hAnsi="Times New Roman" w:cs="Times New Roman"/>
          <w:b/>
          <w:bCs/>
          <w:sz w:val="20"/>
          <w:szCs w:val="20"/>
          <w:lang w:eastAsia="en-IN"/>
        </w:rPr>
      </w:pPr>
      <w:r>
        <w:rPr>
          <w:rFonts w:ascii="Times New Roman" w:eastAsia="Times New Roman" w:hAnsi="Times New Roman" w:cs="Times New Roman"/>
          <w:b/>
          <w:bCs/>
          <w:sz w:val="20"/>
          <w:szCs w:val="20"/>
          <w:lang w:eastAsia="en-IN"/>
        </w:rPr>
        <w:t xml:space="preserve">                                                                          BUDGET OF 2013-2014</w:t>
      </w:r>
    </w:p>
    <w:p w:rsidR="00D44965" w:rsidRDefault="00D44965" w:rsidP="00F60EB3">
      <w:pPr>
        <w:spacing w:after="0" w:line="240" w:lineRule="auto"/>
        <w:rPr>
          <w:rFonts w:ascii="Times New Roman" w:eastAsia="Times New Roman" w:hAnsi="Times New Roman" w:cs="Times New Roman"/>
          <w:b/>
          <w:bCs/>
          <w:sz w:val="20"/>
          <w:szCs w:val="20"/>
          <w:lang w:eastAsia="en-IN"/>
        </w:rPr>
      </w:pPr>
      <w:r>
        <w:rPr>
          <w:rFonts w:ascii="Times New Roman" w:eastAsia="Times New Roman" w:hAnsi="Times New Roman" w:cs="Times New Roman"/>
          <w:b/>
          <w:bCs/>
          <w:sz w:val="20"/>
          <w:szCs w:val="20"/>
          <w:lang w:eastAsia="en-IN"/>
        </w:rPr>
        <w:t xml:space="preserve">                                                 </w:t>
      </w:r>
      <w:r w:rsidR="008B2344">
        <w:rPr>
          <w:rFonts w:ascii="Times New Roman" w:eastAsia="Times New Roman" w:hAnsi="Times New Roman" w:cs="Times New Roman"/>
          <w:b/>
          <w:bCs/>
          <w:sz w:val="20"/>
          <w:szCs w:val="20"/>
          <w:lang w:eastAsia="en-IN"/>
        </w:rPr>
        <w:t xml:space="preserve">                              </w:t>
      </w:r>
      <w:r w:rsidR="00AC5DBC">
        <w:rPr>
          <w:rFonts w:ascii="Times New Roman" w:eastAsia="Times New Roman" w:hAnsi="Times New Roman" w:cs="Times New Roman"/>
          <w:b/>
          <w:bCs/>
          <w:sz w:val="20"/>
          <w:szCs w:val="20"/>
          <w:lang w:eastAsia="en-IN"/>
        </w:rPr>
        <w:t xml:space="preserve"> </w:t>
      </w:r>
      <w:bookmarkStart w:id="0" w:name="_GoBack"/>
      <w:bookmarkEnd w:id="0"/>
      <w:r>
        <w:rPr>
          <w:rFonts w:ascii="Times New Roman" w:eastAsia="Times New Roman" w:hAnsi="Times New Roman" w:cs="Times New Roman"/>
          <w:b/>
          <w:bCs/>
          <w:sz w:val="20"/>
          <w:szCs w:val="20"/>
          <w:lang w:eastAsia="en-IN"/>
        </w:rPr>
        <w:t>(KEY POINTS)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b/>
          <w:bCs/>
          <w:sz w:val="20"/>
          <w:szCs w:val="20"/>
          <w:lang w:eastAsia="en-IN"/>
        </w:rPr>
        <w:t>T</w:t>
      </w:r>
      <w:r w:rsidRPr="00264A3A">
        <w:rPr>
          <w:rFonts w:ascii="Times New Roman" w:eastAsia="Times New Roman" w:hAnsi="Times New Roman" w:cs="Times New Roman"/>
          <w:sz w:val="20"/>
          <w:szCs w:val="20"/>
          <w:lang w:eastAsia="en-IN"/>
        </w:rPr>
        <w:t xml:space="preserve">he Union finance minister today presented the </w:t>
      </w:r>
      <w:hyperlink r:id="rId8" w:history="1">
        <w:r w:rsidRPr="00F60EB3">
          <w:rPr>
            <w:rFonts w:ascii="Times New Roman" w:eastAsia="Times New Roman" w:hAnsi="Times New Roman" w:cs="Times New Roman"/>
            <w:color w:val="0000FF"/>
            <w:sz w:val="20"/>
            <w:szCs w:val="20"/>
            <w:u w:val="single"/>
            <w:lang w:eastAsia="en-IN"/>
          </w:rPr>
          <w:t>Budget</w:t>
        </w:r>
      </w:hyperlink>
      <w:r w:rsidRPr="00264A3A">
        <w:rPr>
          <w:rFonts w:ascii="Times New Roman" w:eastAsia="Times New Roman" w:hAnsi="Times New Roman" w:cs="Times New Roman"/>
          <w:sz w:val="20"/>
          <w:szCs w:val="20"/>
          <w:lang w:eastAsia="en-IN"/>
        </w:rPr>
        <w:t xml:space="preserve"> for the year 2013-14. Some of the key points that were highlighted by Chidambaram in the Budget are: </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No change in slabs and rate for personal income tax.</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Tax credit of Rs 2000 to be provided to every person to having income of up to Rs 5 lakh, this will benefit 1.8 crore people.</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- 5 to 10 per cent surcharge on domestic companies whose taxable income exceeds Rs 10 crore.</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Commodities transaction tax levied on non-agriculture commodities futures contracts at 0.01 per cent.</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Modified GAAR norms to be introduced from April 1, 2016.</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No change in peak rate of customs duty for non-agriculture products.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Direct Taxes Code (DTC) bill to be introduced in current Parliament session.</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No change in basic customs duty rate of ten per cent and</w:t>
      </w:r>
      <w:r w:rsidRPr="00264A3A">
        <w:rPr>
          <w:rFonts w:ascii="Times New Roman" w:eastAsia="Times New Roman" w:hAnsi="Times New Roman" w:cs="Times New Roman"/>
          <w:sz w:val="20"/>
          <w:szCs w:val="20"/>
          <w:lang w:eastAsia="en-IN"/>
        </w:rPr>
        <w:br/>
        <w:t>service tax rate of 12 per cent.</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Import duty on rice bran oilcake withdrawn.</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Series of concessions granted to Maintenance, Repair and Overhaul (MRO) business in the aviation sector.</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Import duty raised on set-top boxes from 5 to 10 per cent to safeguard interest of domestic producers.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- 10 per cent customs duty to be levied on unprocessed illuminate.</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Import duty raised from 75 to 100 per cent on luxury vehicles.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Duty free limit on </w:t>
      </w:r>
      <w:hyperlink r:id="rId9" w:tooltip="gold" w:history="1">
        <w:r w:rsidRPr="00F60EB3">
          <w:rPr>
            <w:rFonts w:ascii="Times New Roman" w:eastAsia="Times New Roman" w:hAnsi="Times New Roman" w:cs="Times New Roman"/>
            <w:color w:val="0000FF"/>
            <w:sz w:val="20"/>
            <w:szCs w:val="20"/>
            <w:u w:val="single"/>
            <w:lang w:eastAsia="en-IN"/>
          </w:rPr>
          <w:t>gold</w:t>
        </w:r>
      </w:hyperlink>
      <w:r w:rsidRPr="00264A3A">
        <w:rPr>
          <w:rFonts w:ascii="Times New Roman" w:eastAsia="Times New Roman" w:hAnsi="Times New Roman" w:cs="Times New Roman"/>
          <w:sz w:val="20"/>
          <w:szCs w:val="20"/>
          <w:lang w:eastAsia="en-IN"/>
        </w:rPr>
        <w:t xml:space="preserve"> raised to Rs 50,000 in case of male and Rs 100,000 in case of female.</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No countervailing duty on ships and vessels. </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Specific excise duty on cigarettes and cigars raised by 18 per cent.</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Excise duty on SUVs to be increased to 30 per cent from 27 per cent, SUVs registered as taxis exempted.</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Vocational courses offered by state-affiliated institutes to be exempted from services tax.</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Duty on mobiles above Rs 2,000 raised from one to six per</w:t>
      </w:r>
      <w:r w:rsidRPr="00264A3A">
        <w:rPr>
          <w:rFonts w:ascii="Times New Roman" w:eastAsia="Times New Roman" w:hAnsi="Times New Roman" w:cs="Times New Roman"/>
          <w:sz w:val="20"/>
          <w:szCs w:val="20"/>
          <w:lang w:eastAsia="en-IN"/>
        </w:rPr>
        <w:br/>
        <w:t>cent, based on their maximum retail prices.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Service tax to be levied on all a/c restaurants.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One time voluntary compliance scheme for service tax defaulters to be introduced. Interest and penalties to be waived.</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Direct tax proposals to yield Rs 13,300 crore, indirect tax proposal to give Rs 4,700 crore. </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Education cess to continue at 3 per cent. </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Contributions made to central and state government health scheme eligible to tax benefit.</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Eligibility conditions for life insurance policies of persons suffering disabilities to be liberalised.</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Investor Protection Fund set up by depositories will be exempt from tax.</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Transactions on immovable properties usually undervalued. </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TDS of one per cent on value of properties above Rs 50 lakh. Agriculture land exempted.</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Securities Transaction Tax (STT) reduced on equity future, mutual fund. </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Fiscal deficit will be 5.2 per cent in current year and 4.8 per cent in the next fiscal.</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Will redeem our pledge to reduce fiscal deficit to 3 per cent by 2016-17 and revenue deficit to 1.5 per cent of GDP.</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Tax Administration Reform Commission to be set up to regularly review tax law applications.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In 2011-12, tax-GDP ratio was 5.5 per cent for direct taxes and 4.6 per cent for indirect taxes.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Surcharge of 10 per cent for individuals whose taxable income is over Rs 1 crore.</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Plan expenditure pegged at Rs 555,322 crore.</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Non plan expenditure pegged at Rs 11,09,975 crore for 2013-14.</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Low interest rate funds to be provided from Clean Energy Fund for green projects for a period of five years.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Generation-based incentives to wind energy projects reintroduced, Rs 800 crore provided for the purpose to Ministry of New &amp; Renewable Energy.</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Constraints will not come in the way for providing additional funds for security of the nation.</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Rs 2,03,672 crore, including Rs 86,741 crore capital expenditure to Defence in 2013-14. </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Grant of Rs 100 crore each to AMU (Aligarh), BHU (Varanasi) and TISS (Guwahati) and INTACH. </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National Institute for Sports to train coaches to be set up at Patiala at a cost of Rs 250 crore.</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532 crore to make post offices part of core banking.</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5,87,082 crore to be transferred to states under share of taxes and non plan grants in 2013-14.</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Comprehensive social security package being evolved by convergence of several schemes run by various ministries. </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Investor with stake of 10 per cent or less will be treated as FII; any stake more than 10 per cent will be treated as FDI.</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FIIs will be allowed to participate in exchange traded currency derivatives.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We will evolve schemes for cities to take up waste to energy projects.</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lastRenderedPageBreak/>
        <w:t xml:space="preserve">- Small and medium companies to be allowed to listed on MSME exchange without making a public offer. </w:t>
      </w:r>
    </w:p>
    <w:p w:rsidR="00F60EB3" w:rsidRDefault="00264A3A" w:rsidP="00F60EB3">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Concessional six per cent interest on loans to weavers.</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Financial Sector Legislative Reforms Commission (FSLRC) to submit its report next month.</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Govt to construct power transmission system from Srinagar to Leh at the cost of Rs 1,840 crore, Rs 226 cro</w:t>
      </w:r>
      <w:r w:rsidR="00C720BD">
        <w:rPr>
          <w:rFonts w:ascii="Times New Roman" w:eastAsia="Times New Roman" w:hAnsi="Times New Roman" w:cs="Times New Roman"/>
          <w:sz w:val="20"/>
          <w:szCs w:val="20"/>
          <w:lang w:eastAsia="en-IN"/>
        </w:rPr>
        <w:t>re provided in current Budget.</w:t>
      </w:r>
      <w:r w:rsidR="00C720BD">
        <w:rPr>
          <w:rFonts w:ascii="Times New Roman" w:eastAsia="Times New Roman" w:hAnsi="Times New Roman" w:cs="Times New Roman"/>
          <w:sz w:val="20"/>
          <w:szCs w:val="20"/>
          <w:lang w:eastAsia="en-IN"/>
        </w:rPr>
        <w:br/>
      </w:r>
      <w:r w:rsidRPr="00264A3A">
        <w:rPr>
          <w:rFonts w:ascii="Times New Roman" w:eastAsia="Times New Roman" w:hAnsi="Times New Roman" w:cs="Times New Roman"/>
          <w:sz w:val="20"/>
          <w:szCs w:val="20"/>
          <w:lang w:eastAsia="en-IN"/>
        </w:rPr>
        <w:t>- Faced with huge fiscal deficit, I have no choice but to rationalise expenditure</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We have brought down headline WPI inflation to 7 per cent and core inflation to 4.2 per cent. Food inflation is worrying</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Plan expenditure in 12th Five Year Plan revised to Rs 14,30,825 crore or 96 per cent of budgeted expenditure.</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Budget expenditure is Rs 16,65,297 crore and Plan expenditure Rs 5,55, 322 crore</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The revised expenditure target is Rs 14,30,825 crore or 96 per cent of Budget estimate for this fiscal. In 2013-14, the budget estimate is Rs 16,65,297 crore.</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One overarching goal to provide education and skills to youth for securing jobs in the 2013-14.</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FM allocates Rs 41,561 crore for SC sub-plan; Rs 24,598 crore for tribal sub plan.</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Additional sum of Rs 200 crore to Women and Child Welfare Ministry to address issues of vulnerable women.</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3511 crore allocated to Minority Affairs Ministry which is 60 per cent of the revised estimates.</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CFM allocates Rs 41,561 crore for SC sub-plan; Rs 24,598 crore for tribal sub plan.</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Rs 3511 crore allocated to Minority Affairs Ministry which is 60 per cent of the revised estimates.  </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110 crore to be allocated to the department of disability affairs.</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37,330 crore allocated for Ministry of Health &amp; Family Welfare.</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1069 crore allocated to Department of Aryush.</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4,727 crore to be allocated for medical education and research. Rs 1,069 crore to be given to Department of Ayush.</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In the Budget Rs 65,867 crore allocated to Ministry of HRD in 2013-14.</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Medical colleges in six more AIIMS-like institutions to start functioning this year; Rs 1650 crore allocated for the purpose.</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5,284 crore to various Ministries for scholarships for</w:t>
      </w:r>
      <w:r w:rsidRPr="00264A3A">
        <w:rPr>
          <w:rFonts w:ascii="Times New Roman" w:eastAsia="Times New Roman" w:hAnsi="Times New Roman" w:cs="Times New Roman"/>
          <w:sz w:val="20"/>
          <w:szCs w:val="20"/>
          <w:lang w:eastAsia="en-IN"/>
        </w:rPr>
        <w:br/>
        <w:t>SC/ST, OBC and minority students.</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13,215 crore to be provided for mid-day meal scheme.</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17,700 crore provided for Integrated Child Development Scheme.</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15,260 crore to be allocated to Ministry of Drinking Water and Sanitation.</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17,700 crore to be allocated for Integrated Child Development Scheme (ICDS.</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80,194 crore allocation for Ministry of Rural Development in 2013-14. About Rs 33,000 crore for MGNREGA.</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80,194 crore allocated for rural development schemes.</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States which have completed Pradhan Mantri Gramin Sadak Yojana will be eligible for PMGSY-II, others will continue with PMGSY-I.</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14,873 crore for JNNURM for urban transportation in 2013-14 against Rs 7,880 crore in the current fiscal.</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Foodgrain production in 2012-13 will be over 250 million Tons.</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Average annual growth rate of agriculture and allied services estimated at 3.6 per cent in 2012-13 when 250 MT foodgrains was produced</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27,049 crore allocation to the Agriculture Ministry in 2013-14</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7 lakh crore target fixed for agriculture credit for 2013-14 compared to Rs 5.75 lakh crore in the current year.</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Eastern Indian states to get Rs 1,000 crore allocation for improving agricultural production.</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Additional sum of Rs 200 crore to Women and Child Welfare Ministry to address issues of vulnerable women.</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Green revolution in east India significant. Rice output increased in Assam, Odisha, Jharkhand and West Bengal; Rs 1,000 crore allocated for eastern states.</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5,387 crore to be allocated for integrated watershed programme for farmers in 2013-14, an increase from Rs 3,050 crore in the current fiscal.</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Indian Institute of Biotechnology will be set up at Ranchi.</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10,000 crore set aside for incremental cost for National Food Security Bill over and above food subsidy.</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Four Infrastructure debt fund have been registered.</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Tax free bonds issue to be allowed up to Rs 50,000 crore in 2013-14 strictly on capacity to raise funds from the market.</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5,000 crore will be made available to NABARD to finance construction of godowns and warehouses.</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Government has decided to constitute a regulatory authority for the road sector.</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Many manufacturing projects stalled due to regulatory process.</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A company investing Rs 100 crore or more in plant and machinery in April 1, 2013 to March 31, 2015 will be allowed 15 per cent investment deduction allowance apart from depreciation.</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lastRenderedPageBreak/>
        <w:t>- Rajiv Gandhi Equity Scheme will be liberalised to allow first time investor to invest in Mutal Fund and equity. - First housing loan up to Rs 25 lakh would get additional deduction of interest of up to Rs 1 lakh in 2013-14.</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Govt to construct power transmission system from Srinagar to Leh at the cost of Rs 1,840 crore, Rs 226 crore provided in current </w:t>
      </w:r>
      <w:r w:rsidR="00C720BD">
        <w:rPr>
          <w:rFonts w:ascii="Times New Roman" w:eastAsia="Times New Roman" w:hAnsi="Times New Roman" w:cs="Times New Roman"/>
          <w:sz w:val="20"/>
          <w:szCs w:val="20"/>
          <w:lang w:eastAsia="en-IN"/>
        </w:rPr>
        <w:t>Budget.</w:t>
      </w:r>
    </w:p>
    <w:p w:rsidR="00C720BD" w:rsidRDefault="00264A3A" w:rsidP="00C720B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Current account deficit continues to be high due to excessive dependence on oil, coal and gold imports and slowdown in exports.</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India does not have choice between welcoming and spurning foreign investment; it is an imperative. </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Battle against inflation must be fought at all fronts.</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DIPP and Japan's JICA preparing plan for Chennai-Bengaluru Industrial corridor.</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Two new major ports to be set up in West Bengal and Andhra Pradesh</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Oil and gas exploration policy will be reviewed and moved from profit sharing to revenue sharing. </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Policy on exploration of shale gas on the anvil; natural gas pricing policy will be reviewed and uncertainty removed.</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Govt to set up India's first women's bank as a public sector bank by October.</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Coal imports during Apr-Dec 2012 crossed 100 million tonnes and expected to go up to 185 million tonnes in 2016-17.</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- 5 million tons Dabhol LNG import terminal to be operate at full capacity in 2013-14. </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FM asks state governments to prepare financial restructuring plan for power distribution companies at the earliest.</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SIDBI's re-financing facility to MSMEs to be doubled to Rs 10,000 crore.</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Incubators set up by companies in academic institutions will qualify for Corporate Social Responsibility (CSR) activities.</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Rs 500 crore would be allocated for addressing environmental issues faced by textile industry. </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Concessional six per cent interest on loans to weavers.</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Financial Sector Legislative Reforms Commission (FSLRC)</w:t>
      </w:r>
      <w:r w:rsidRPr="00264A3A">
        <w:rPr>
          <w:rFonts w:ascii="Times New Roman" w:eastAsia="Times New Roman" w:hAnsi="Times New Roman" w:cs="Times New Roman"/>
          <w:sz w:val="20"/>
          <w:szCs w:val="20"/>
          <w:lang w:eastAsia="en-IN"/>
        </w:rPr>
        <w:br/>
        <w:t>to submit its report next month.</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Rajiv Gandhi Equity Scheme will be liberalised to allow first time investor to invest in Mutal Fund and equity. - First housing loan up to Rs 25 lakh would get additional deduction of interest of up to Rs 1 lakh in 2013-14.</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Standing Council of Experts in Ministry of Finance to examine transaction cost of doing business in India.</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14,000 crore capital infusion into public sector banks in 2013-14.</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PSU banks to have ATMs at all their branches by March 31, 2014.</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Rs 6,000 crore to be allocated for rural housing fund in 2013-14.</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All Regional Rural Banks and cooperative banks to be e-linked by this year-end.</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Insurance companies will be empowered to open branches in Tier-II cities with approval of IRDA.</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National Housing Bank (NHB) to set up urban housing bank fund and Rs 2,000 crore will be allocated in this regard.</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Public sector general insurance companies to set up adalts to clear disputes related to claims. </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Rashtriya Swasthya Bima Yojana benefit will be extended to rickshaw pullers, auto and taxi drivers and sanitation workers.</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xml:space="preserve">- Comprehensive social security package being evolved by convergence of several schemes run by various ministries. </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Investor with stake of 10 per cent or less will be treated as FII; any stake more than 10 per cent will be treated as FDI.</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FIIs will be allowed to participate in exchange traded currency derivatives.</w:t>
      </w:r>
    </w:p>
    <w:p w:rsidR="00FF539D"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We will evolve schemes for cities to take up waste to energy projects.</w:t>
      </w:r>
    </w:p>
    <w:p w:rsidR="00264A3A" w:rsidRPr="00264A3A" w:rsidRDefault="00264A3A" w:rsidP="00FF539D">
      <w:pPr>
        <w:spacing w:after="0" w:line="240" w:lineRule="auto"/>
        <w:rPr>
          <w:rFonts w:ascii="Times New Roman" w:eastAsia="Times New Roman" w:hAnsi="Times New Roman" w:cs="Times New Roman"/>
          <w:sz w:val="20"/>
          <w:szCs w:val="20"/>
          <w:lang w:eastAsia="en-IN"/>
        </w:rPr>
      </w:pPr>
      <w:r w:rsidRPr="00264A3A">
        <w:rPr>
          <w:rFonts w:ascii="Times New Roman" w:eastAsia="Times New Roman" w:hAnsi="Times New Roman" w:cs="Times New Roman"/>
          <w:sz w:val="20"/>
          <w:szCs w:val="20"/>
          <w:lang w:eastAsia="en-IN"/>
        </w:rPr>
        <w:t>- Small and medium companies to be allowed to listed on MSME exchange without making a public offer. (Inputs courtesy: PTI)</w:t>
      </w:r>
    </w:p>
    <w:p w:rsidR="00B54F4D" w:rsidRPr="00F60EB3" w:rsidRDefault="00B54F4D">
      <w:pPr>
        <w:rPr>
          <w:sz w:val="20"/>
          <w:szCs w:val="20"/>
        </w:rPr>
      </w:pPr>
    </w:p>
    <w:sectPr w:rsidR="00B54F4D" w:rsidRPr="00F60EB3" w:rsidSect="00046625">
      <w:headerReference w:type="default" r:id="rId1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4C4" w:rsidRDefault="004924C4" w:rsidP="004924C4">
      <w:pPr>
        <w:spacing w:after="0" w:line="240" w:lineRule="auto"/>
      </w:pPr>
      <w:r>
        <w:separator/>
      </w:r>
    </w:p>
  </w:endnote>
  <w:endnote w:type="continuationSeparator" w:id="0">
    <w:p w:rsidR="004924C4" w:rsidRDefault="004924C4" w:rsidP="00492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4C4" w:rsidRDefault="004924C4" w:rsidP="004924C4">
      <w:pPr>
        <w:spacing w:after="0" w:line="240" w:lineRule="auto"/>
      </w:pPr>
      <w:r>
        <w:separator/>
      </w:r>
    </w:p>
  </w:footnote>
  <w:footnote w:type="continuationSeparator" w:id="0">
    <w:p w:rsidR="004924C4" w:rsidRDefault="004924C4" w:rsidP="004924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6374102"/>
      <w:docPartObj>
        <w:docPartGallery w:val="Page Numbers (Top of Page)"/>
        <w:docPartUnique/>
      </w:docPartObj>
    </w:sdtPr>
    <w:sdtContent>
      <w:p w:rsidR="004924C4" w:rsidRDefault="004924C4">
        <w:pPr>
          <w:pStyle w:val="Header"/>
          <w:jc w:val="center"/>
        </w:pPr>
        <w:r>
          <w:rPr>
            <w:noProof/>
            <w:lang w:eastAsia="en-IN"/>
          </w:rPr>
          <mc:AlternateContent>
            <mc:Choice Requires="wpg">
              <w:drawing>
                <wp:inline distT="0" distB="0" distL="0" distR="0" wp14:anchorId="73CE319F" wp14:editId="48529307">
                  <wp:extent cx="548640" cy="237490"/>
                  <wp:effectExtent l="9525" t="9525" r="13335" b="10160"/>
                  <wp:docPr id="67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wpg:grpSpPr>
                        <wps:wsp>
                          <wps:cNvPr id="671" name="AutoShape 42"/>
                          <wps:cNvSpPr>
                            <a:spLocks noChangeArrowheads="1"/>
                          </wps:cNvSpPr>
                          <wps:spPr bwMode="auto">
                            <a:xfrm rot="-5400000">
                              <a:off x="859" y="415"/>
                              <a:ext cx="374" cy="864"/>
                            </a:xfrm>
                            <a:prstGeom prst="roundRect">
                              <a:avLst>
                                <a:gd name="adj" fmla="val 16667"/>
                              </a:avLst>
                            </a:prstGeom>
                            <a:solidFill>
                              <a:srgbClr val="FFFFFF"/>
                            </a:solidFill>
                            <a:ln w="9525">
                              <a:solidFill>
                                <a:srgbClr val="E4BE84"/>
                              </a:solidFill>
                              <a:round/>
                              <a:headEnd/>
                              <a:tailEnd/>
                            </a:ln>
                          </wps:spPr>
                          <wps:bodyPr rot="0" vert="horz" wrap="square" lIns="91440" tIns="45720" rIns="91440" bIns="45720" anchor="t" anchorCtr="0" upright="1">
                            <a:noAutofit/>
                          </wps:bodyPr>
                        </wps:wsp>
                        <wps:wsp>
                          <wps:cNvPr id="672" name="AutoShape 43"/>
                          <wps:cNvSpPr>
                            <a:spLocks noChangeArrowheads="1"/>
                          </wps:cNvSpPr>
                          <wps:spPr bwMode="auto">
                            <a:xfrm rot="-5400000">
                              <a:off x="898" y="451"/>
                              <a:ext cx="296" cy="792"/>
                            </a:xfrm>
                            <a:prstGeom prst="roundRect">
                              <a:avLst>
                                <a:gd name="adj" fmla="val 16667"/>
                              </a:avLst>
                            </a:prstGeom>
                            <a:solidFill>
                              <a:srgbClr val="E4BE84"/>
                            </a:solidFill>
                            <a:ln w="9525">
                              <a:solidFill>
                                <a:srgbClr val="E4BE84"/>
                              </a:solidFill>
                              <a:round/>
                              <a:headEnd/>
                              <a:tailEnd/>
                            </a:ln>
                          </wps:spPr>
                          <wps:bodyPr rot="0" vert="horz" wrap="square" lIns="91440" tIns="45720" rIns="91440" bIns="45720" anchor="t" anchorCtr="0" upright="1">
                            <a:noAutofit/>
                          </wps:bodyPr>
                        </wps:wsp>
                        <wps:wsp>
                          <wps:cNvPr id="673" name="Text Box 44"/>
                          <wps:cNvSpPr txBox="1">
                            <a:spLocks noChangeArrowheads="1"/>
                          </wps:cNvSpPr>
                          <wps:spPr bwMode="auto">
                            <a:xfrm>
                              <a:off x="732" y="716"/>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24C4" w:rsidRDefault="004924C4">
                                <w:pPr>
                                  <w:jc w:val="center"/>
                                </w:pPr>
                                <w:r>
                                  <w:fldChar w:fldCharType="begin"/>
                                </w:r>
                                <w:r>
                                  <w:instrText xml:space="preserve"> PAGE    \* MERGEFORMAT </w:instrText>
                                </w:r>
                                <w:r>
                                  <w:fldChar w:fldCharType="separate"/>
                                </w:r>
                                <w:r w:rsidR="00AC5DBC" w:rsidRPr="00AC5DBC">
                                  <w:rPr>
                                    <w:b/>
                                    <w:bCs/>
                                    <w:noProof/>
                                    <w:color w:val="FFFFFF" w:themeColor="background1"/>
                                  </w:rPr>
                                  <w:t>1</w:t>
                                </w:r>
                                <w:r>
                                  <w:rPr>
                                    <w:b/>
                                    <w:bCs/>
                                    <w:noProof/>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id="Group 4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">
                  <v:roundrect id="AutoShape 42"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AugcMA&#10;AADcAAAADwAAAGRycy9kb3ducmV2LnhtbESPQYvCMBSE7wv+h/AEL6KpHlypRhGh4EEQ6x72+Gie&#10;bbF5KU1sq7/eCILHYWa+Ydbb3lSipcaVlhXMphEI4szqknMFf5dksgThPLLGyjIpeJCD7Wbws8ZY&#10;247P1KY+FwHCLkYFhfd1LKXLCjLoprYmDt7VNgZ9kE0udYNdgJtKzqNoIQ2WHBYKrGlfUHZL70aB&#10;nj+WcnxKquc4ObX3f58euyRVajTsdysQnnr/DX/aB61g8TuD95lwBO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AugcMAAADcAAAADwAAAAAAAAAAAAAAAACYAgAAZHJzL2Rv&#10;d25yZXYueG1sUEsFBgAAAAAEAAQA9QAAAIgDAAAAAA==&#10;" strokecolor="#e4be84"/>
                  <v:roundrect id="AutoShape 43" o:spid="_x0000_s1028"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d/TsUA&#10;AADcAAAADwAAAGRycy9kb3ducmV2LnhtbESPW2sCMRSE3wv9D+EUfBHNKnhhaxQRBN+KF2QfTzfH&#10;zbabkyWJuvXXm0Khj8PMfMMsVp1txI18qB0rGA0zEMSl0zVXCk7H7WAOIkRkjY1jUvBDAVbL15cF&#10;5trdeU+3Q6xEgnDIUYGJsc2lDKUhi2HoWuLkXZy3GJP0ldQe7wluGznOsqm0WHNaMNjSxlD5fbha&#10;BR+FLDaT4nO2X2f+cRmdH9Q3X0r13rr1O4hIXfwP/7V3WsF0NobfM+kIyO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Z39OxQAAANwAAAAPAAAAAAAAAAAAAAAAAJgCAABkcnMv&#10;ZG93bnJldi54bWxQSwUGAAAAAAQABAD1AAAAigMAAAAA&#10;" fillcolor="#e4be84" strokecolor="#e4be84"/>
                  <v:shapetype id="_x0000_t202" coordsize="21600,21600" o:spt="202" path="m,l,21600r21600,l21600,xe">
                    <v:stroke joinstyle="miter"/>
                    <v:path gradientshapeok="t" o:connecttype="rect"/>
                  </v:shapetype>
                  <v:shape id="Text Box 44" o:spid="_x0000_s1029"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xgMUA&#10;AADcAAAADwAAAGRycy9kb3ducmV2LnhtbESPQWvCQBSE74L/YXmF3nRTC6mNriLSQqFQTOKhx2f2&#10;mSxm38bsVtN/3xUKHoeZ+YZZrgfbigv13jhW8DRNQBBXThuuFezL98kchA/IGlvHpOCXPKxX49ES&#10;M+2unNOlCLWIEPYZKmhC6DIpfdWQRT91HXH0jq63GKLsa6l7vEa4beUsSVJp0XBcaLCjbUPVqfix&#10;CjbfnL+Z89dhlx9zU5avCX+mJ6UeH4bNAkSgIdzD/+0PrSB9e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HGAxQAAANwAAAAPAAAAAAAAAAAAAAAAAJgCAABkcnMv&#10;ZG93bnJldi54bWxQSwUGAAAAAAQABAD1AAAAigMAAAAA&#10;" filled="f" stroked="f">
                    <v:textbox inset="0,0,0,0">
                      <w:txbxContent>
                        <w:p w:rsidR="004924C4" w:rsidRDefault="004924C4">
                          <w:pPr>
                            <w:jc w:val="center"/>
                          </w:pPr>
                          <w:r>
                            <w:fldChar w:fldCharType="begin"/>
                          </w:r>
                          <w:r>
                            <w:instrText xml:space="preserve"> PAGE    \* MERGEFORMAT </w:instrText>
                          </w:r>
                          <w:r>
                            <w:fldChar w:fldCharType="separate"/>
                          </w:r>
                          <w:r w:rsidR="00AC5DBC" w:rsidRPr="00AC5DBC">
                            <w:rPr>
                              <w:b/>
                              <w:bCs/>
                              <w:noProof/>
                              <w:color w:val="FFFFFF" w:themeColor="background1"/>
                            </w:rPr>
                            <w:t>1</w:t>
                          </w:r>
                          <w:r>
                            <w:rPr>
                              <w:b/>
                              <w:bCs/>
                              <w:noProof/>
                              <w:color w:val="FFFFFF" w:themeColor="background1"/>
                            </w:rPr>
                            <w:fldChar w:fldCharType="end"/>
                          </w:r>
                        </w:p>
                      </w:txbxContent>
                    </v:textbox>
                  </v:shape>
                  <w10:anchorlock/>
                </v:group>
              </w:pict>
            </mc:Fallback>
          </mc:AlternateContent>
        </w:r>
      </w:p>
    </w:sdtContent>
  </w:sdt>
  <w:p w:rsidR="004924C4" w:rsidRDefault="004924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A3A"/>
    <w:rsid w:val="00046625"/>
    <w:rsid w:val="00264A3A"/>
    <w:rsid w:val="004924C4"/>
    <w:rsid w:val="0076459E"/>
    <w:rsid w:val="008B2344"/>
    <w:rsid w:val="00AC5DBC"/>
    <w:rsid w:val="00B54F4D"/>
    <w:rsid w:val="00C720BD"/>
    <w:rsid w:val="00D44965"/>
    <w:rsid w:val="00F60EB3"/>
    <w:rsid w:val="00FF539D"/>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4A3A"/>
    <w:rPr>
      <w:color w:val="0000FF"/>
      <w:u w:val="single"/>
    </w:rPr>
  </w:style>
  <w:style w:type="paragraph" w:styleId="NormalWeb">
    <w:name w:val="Normal (Web)"/>
    <w:basedOn w:val="Normal"/>
    <w:uiPriority w:val="99"/>
    <w:semiHidden/>
    <w:unhideWhenUsed/>
    <w:rsid w:val="00264A3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492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4C4"/>
  </w:style>
  <w:style w:type="paragraph" w:styleId="Footer">
    <w:name w:val="footer"/>
    <w:basedOn w:val="Normal"/>
    <w:link w:val="FooterChar"/>
    <w:uiPriority w:val="99"/>
    <w:unhideWhenUsed/>
    <w:rsid w:val="00492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4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4A3A"/>
    <w:rPr>
      <w:color w:val="0000FF"/>
      <w:u w:val="single"/>
    </w:rPr>
  </w:style>
  <w:style w:type="paragraph" w:styleId="NormalWeb">
    <w:name w:val="Normal (Web)"/>
    <w:basedOn w:val="Normal"/>
    <w:uiPriority w:val="99"/>
    <w:semiHidden/>
    <w:unhideWhenUsed/>
    <w:rsid w:val="00264A3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4924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4C4"/>
  </w:style>
  <w:style w:type="paragraph" w:styleId="Footer">
    <w:name w:val="footer"/>
    <w:basedOn w:val="Normal"/>
    <w:link w:val="FooterChar"/>
    <w:uiPriority w:val="99"/>
    <w:unhideWhenUsed/>
    <w:rsid w:val="004924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18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eycontrol.com/budget201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neycontrol.com/commodity/gold-price.html"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rid">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font script="Geor" typeface="Sylfaen"/>
      </a:minorFont>
    </a:fontScheme>
    <a:fmtScheme name="Grid">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8C0F5-9FAC-49F6-9185-2EBB80E2D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1887</Words>
  <Characters>10761</Characters>
  <Application>Microsoft Office Word</Application>
  <DocSecurity>0</DocSecurity>
  <Lines>89</Lines>
  <Paragraphs>25</Paragraphs>
  <ScaleCrop>false</ScaleCrop>
  <Company/>
  <LinksUpToDate>false</LinksUpToDate>
  <CharactersWithSpaces>12623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auditor2</dc:creator>
  <cp:lastModifiedBy>auditor2</cp:lastModifiedBy>
  <cp:revision>19</cp:revision>
  <dcterms:created xsi:type="dcterms:W3CDTF">2013-02-28T08:31:00Z</dcterms:created>
  <dcterms:modified xsi:type="dcterms:W3CDTF">2013-02-28T09:02:00Z</dcterms:modified>
</cp:coreProperties>
</file>