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976" w:rsidRDefault="00371976" w:rsidP="00371976">
      <w:pPr>
        <w:pStyle w:val="Default"/>
      </w:pPr>
    </w:p>
    <w:p w:rsidR="00371976" w:rsidRDefault="00371976" w:rsidP="00371976">
      <w:pPr>
        <w:pStyle w:val="Default"/>
        <w:rPr>
          <w:b/>
          <w:bCs/>
          <w:sz w:val="28"/>
          <w:szCs w:val="28"/>
          <w:u w:val="single"/>
        </w:rPr>
      </w:pPr>
      <w:r>
        <w:t xml:space="preserve"> </w:t>
      </w:r>
      <w:r w:rsidRPr="00371976">
        <w:rPr>
          <w:b/>
          <w:bCs/>
          <w:sz w:val="28"/>
          <w:szCs w:val="28"/>
          <w:u w:val="single"/>
        </w:rPr>
        <w:t xml:space="preserve">A CAMELS ANALYSIS OF THE INDIAN BANKING </w:t>
      </w:r>
      <w:proofErr w:type="gramStart"/>
      <w:r w:rsidRPr="00371976">
        <w:rPr>
          <w:b/>
          <w:bCs/>
          <w:sz w:val="28"/>
          <w:szCs w:val="28"/>
          <w:u w:val="single"/>
        </w:rPr>
        <w:t xml:space="preserve">INDUSTRY </w:t>
      </w:r>
      <w:r>
        <w:rPr>
          <w:b/>
          <w:bCs/>
          <w:sz w:val="28"/>
          <w:szCs w:val="28"/>
          <w:u w:val="single"/>
        </w:rPr>
        <w:t>:</w:t>
      </w:r>
      <w:proofErr w:type="gramEnd"/>
    </w:p>
    <w:p w:rsidR="00371976" w:rsidRDefault="00371976" w:rsidP="00371976">
      <w:pPr>
        <w:pStyle w:val="Default"/>
        <w:rPr>
          <w:b/>
          <w:bCs/>
          <w:sz w:val="28"/>
          <w:szCs w:val="28"/>
          <w:u w:val="single"/>
        </w:rPr>
      </w:pPr>
    </w:p>
    <w:p w:rsidR="00371976" w:rsidRDefault="00371976" w:rsidP="00371976">
      <w:pPr>
        <w:pStyle w:val="Default"/>
        <w:rPr>
          <w:b/>
          <w:bCs/>
          <w:sz w:val="23"/>
          <w:szCs w:val="23"/>
        </w:rPr>
      </w:pPr>
      <w:proofErr w:type="gramStart"/>
      <w:r>
        <w:rPr>
          <w:b/>
          <w:bCs/>
          <w:sz w:val="23"/>
          <w:szCs w:val="23"/>
        </w:rPr>
        <w:t>INTRODUCTION :</w:t>
      </w:r>
      <w:proofErr w:type="gramEnd"/>
    </w:p>
    <w:p w:rsidR="00371976" w:rsidRDefault="00371976" w:rsidP="00371976">
      <w:pPr>
        <w:pStyle w:val="Default"/>
        <w:rPr>
          <w:sz w:val="23"/>
          <w:szCs w:val="23"/>
        </w:rPr>
      </w:pPr>
    </w:p>
    <w:p w:rsidR="00371976" w:rsidRDefault="00371976" w:rsidP="00371976">
      <w:pPr>
        <w:pStyle w:val="Default"/>
        <w:rPr>
          <w:sz w:val="23"/>
          <w:szCs w:val="23"/>
        </w:rPr>
      </w:pPr>
      <w:r>
        <w:rPr>
          <w:sz w:val="23"/>
          <w:szCs w:val="23"/>
        </w:rPr>
        <w:t xml:space="preserve">The banking sector occupies a very important place in the country’s economy, acting as an intermediary to all industries, ranging from agriculture, construction, textile, manufacturing, and so on. The banking sector thus contributes directly to national income and its overall growth. As the banking sector has a major impact on the economy as a whole, evaluation, analysis, and monitoring of its performance is very important. </w:t>
      </w:r>
    </w:p>
    <w:p w:rsidR="00371976" w:rsidRDefault="00371976" w:rsidP="00371976">
      <w:pPr>
        <w:pStyle w:val="Default"/>
        <w:rPr>
          <w:sz w:val="23"/>
          <w:szCs w:val="23"/>
        </w:rPr>
      </w:pPr>
      <w:r>
        <w:rPr>
          <w:sz w:val="23"/>
          <w:szCs w:val="23"/>
        </w:rPr>
        <w:t xml:space="preserve">Many methods are employed to </w:t>
      </w:r>
      <w:proofErr w:type="spellStart"/>
      <w:r>
        <w:rPr>
          <w:sz w:val="23"/>
          <w:szCs w:val="23"/>
        </w:rPr>
        <w:t>analyse</w:t>
      </w:r>
      <w:proofErr w:type="spellEnd"/>
      <w:r>
        <w:rPr>
          <w:sz w:val="23"/>
          <w:szCs w:val="23"/>
        </w:rPr>
        <w:t xml:space="preserve"> banking performance. One of the popular methods is the CAMELS framework, developed in the early 1970’s by federal regulators in the USA. The CAMELS rating system is based upon an evaluation of six critical elements of a financial institution’s operations: Capital adequacy, Asset quality, Management soundness, Earnings and profitability, Liquidity, and Sensitivity to market risk. Under this bank is required to enhance capital adequacy, strengthen asset quality, improve management, increase earnings, maintain liquidity, and reduce sensitivity to various financial risks. </w:t>
      </w:r>
    </w:p>
    <w:p w:rsidR="00371976" w:rsidRDefault="00371976" w:rsidP="00371976">
      <w:pPr>
        <w:pStyle w:val="Default"/>
        <w:rPr>
          <w:b/>
          <w:bCs/>
          <w:sz w:val="23"/>
          <w:szCs w:val="23"/>
        </w:rPr>
      </w:pPr>
      <w:r>
        <w:rPr>
          <w:b/>
          <w:bCs/>
          <w:sz w:val="23"/>
          <w:szCs w:val="23"/>
        </w:rPr>
        <w:t xml:space="preserve">LITERATURE REVIEW </w:t>
      </w:r>
    </w:p>
    <w:p w:rsidR="00371976" w:rsidRDefault="00371976" w:rsidP="00371976">
      <w:pPr>
        <w:pStyle w:val="Default"/>
        <w:rPr>
          <w:sz w:val="23"/>
          <w:szCs w:val="23"/>
        </w:rPr>
      </w:pPr>
    </w:p>
    <w:p w:rsidR="00371976" w:rsidRDefault="00371976" w:rsidP="00371976">
      <w:pPr>
        <w:pStyle w:val="Default"/>
        <w:rPr>
          <w:sz w:val="23"/>
          <w:szCs w:val="23"/>
        </w:rPr>
      </w:pPr>
      <w:r>
        <w:rPr>
          <w:sz w:val="23"/>
          <w:szCs w:val="23"/>
        </w:rPr>
        <w:t>The analysis of banking performance has received a great deal of attention in the banking literature. A popular framework used by regulators is the CAMELS framework, which uses some financial ratios to help evaluate a bank’s performance (</w:t>
      </w:r>
      <w:proofErr w:type="spellStart"/>
      <w:r>
        <w:rPr>
          <w:sz w:val="23"/>
          <w:szCs w:val="23"/>
        </w:rPr>
        <w:t>Yue</w:t>
      </w:r>
      <w:proofErr w:type="spellEnd"/>
      <w:r>
        <w:rPr>
          <w:sz w:val="23"/>
          <w:szCs w:val="23"/>
        </w:rPr>
        <w:t xml:space="preserve">, 1992). Several studies involve the use of ratios for banks’ performance appraisal, including Beaver (1966), Altman (1968), </w:t>
      </w:r>
      <w:proofErr w:type="spellStart"/>
      <w:r>
        <w:rPr>
          <w:sz w:val="23"/>
          <w:szCs w:val="23"/>
        </w:rPr>
        <w:t>Maishanu</w:t>
      </w:r>
      <w:proofErr w:type="spellEnd"/>
      <w:r>
        <w:rPr>
          <w:sz w:val="23"/>
          <w:szCs w:val="23"/>
        </w:rPr>
        <w:t xml:space="preserve"> (2004), and </w:t>
      </w:r>
      <w:proofErr w:type="spellStart"/>
      <w:r>
        <w:rPr>
          <w:sz w:val="23"/>
          <w:szCs w:val="23"/>
        </w:rPr>
        <w:t>Mous</w:t>
      </w:r>
      <w:proofErr w:type="spellEnd"/>
      <w:r>
        <w:rPr>
          <w:sz w:val="23"/>
          <w:szCs w:val="23"/>
        </w:rPr>
        <w:t xml:space="preserve"> (2005). </w:t>
      </w:r>
    </w:p>
    <w:p w:rsidR="00371976" w:rsidRDefault="00371976" w:rsidP="00371976">
      <w:pPr>
        <w:pStyle w:val="Default"/>
        <w:rPr>
          <w:sz w:val="23"/>
          <w:szCs w:val="23"/>
        </w:rPr>
      </w:pPr>
      <w:r>
        <w:rPr>
          <w:sz w:val="23"/>
          <w:szCs w:val="23"/>
        </w:rPr>
        <w:t xml:space="preserve">Beaver (1966) initiated the use of financial ratios for predicting bankruptcy, considering only one ratio at a time. Altman (1968) went further, using a multiple </w:t>
      </w:r>
      <w:proofErr w:type="spellStart"/>
      <w:r>
        <w:rPr>
          <w:sz w:val="23"/>
          <w:szCs w:val="23"/>
        </w:rPr>
        <w:t>discriminant</w:t>
      </w:r>
      <w:proofErr w:type="spellEnd"/>
      <w:r>
        <w:rPr>
          <w:sz w:val="23"/>
          <w:szCs w:val="23"/>
        </w:rPr>
        <w:t xml:space="preserve"> analysis (MDA) for the same purpose, combining several financial ratios in a single prediction model called the Altman’s z-score model. However, Altman’s model ignored the industry-specificity of “healthy” indications by the financial ratios. </w:t>
      </w:r>
      <w:proofErr w:type="spellStart"/>
      <w:r>
        <w:rPr>
          <w:sz w:val="23"/>
          <w:szCs w:val="23"/>
        </w:rPr>
        <w:t>Maishanu</w:t>
      </w:r>
      <w:proofErr w:type="spellEnd"/>
      <w:r>
        <w:rPr>
          <w:sz w:val="23"/>
          <w:szCs w:val="23"/>
        </w:rPr>
        <w:t xml:space="preserve"> (2004) studied financial health of banks, and suggested eight financial ratios to diagnose the financial state of a bank. </w:t>
      </w:r>
    </w:p>
    <w:p w:rsidR="00371976" w:rsidRDefault="00371976" w:rsidP="00371976">
      <w:pPr>
        <w:pStyle w:val="Default"/>
        <w:rPr>
          <w:sz w:val="23"/>
          <w:szCs w:val="23"/>
        </w:rPr>
      </w:pPr>
      <w:proofErr w:type="spellStart"/>
      <w:r>
        <w:rPr>
          <w:sz w:val="23"/>
          <w:szCs w:val="23"/>
        </w:rPr>
        <w:t>Mous</w:t>
      </w:r>
      <w:proofErr w:type="spellEnd"/>
      <w:r>
        <w:rPr>
          <w:sz w:val="23"/>
          <w:szCs w:val="23"/>
        </w:rPr>
        <w:t xml:space="preserve"> (2005) studied bankruptcy prediction models of banks using financial ratios of profitability, liquidity, leverage, turnover and total assets in decision tree models and multiple </w:t>
      </w:r>
      <w:proofErr w:type="spellStart"/>
      <w:r>
        <w:rPr>
          <w:sz w:val="23"/>
          <w:szCs w:val="23"/>
        </w:rPr>
        <w:t>discriminant</w:t>
      </w:r>
      <w:proofErr w:type="spellEnd"/>
      <w:r>
        <w:rPr>
          <w:sz w:val="23"/>
          <w:szCs w:val="23"/>
        </w:rPr>
        <w:t xml:space="preserve"> models, and found that the decision tree approach performed better. </w:t>
      </w:r>
    </w:p>
    <w:p w:rsidR="00DA437C" w:rsidRDefault="00371976" w:rsidP="00371976">
      <w:pPr>
        <w:rPr>
          <w:rFonts w:ascii="Times New Roman" w:hAnsi="Times New Roman" w:cs="Times New Roman"/>
          <w:sz w:val="23"/>
          <w:szCs w:val="23"/>
        </w:rPr>
      </w:pPr>
      <w:r w:rsidRPr="00371976">
        <w:rPr>
          <w:rFonts w:ascii="Times New Roman" w:hAnsi="Times New Roman" w:cs="Times New Roman"/>
          <w:sz w:val="23"/>
          <w:szCs w:val="23"/>
        </w:rPr>
        <w:t>The CAMEL framework was originally intended to determine when to schedule on-site examination of a bank (Thomson, 1991; Whalen and Thomson, 1988). The five CAMEL factors, viz. Capital adequacy, Asset quality, Management soundness, Earnings and profitability, and Liquidity, indicate the increased likelihood of bank</w:t>
      </w:r>
      <w:proofErr w:type="gramStart"/>
      <w:r>
        <w:rPr>
          <w:rFonts w:ascii="Times New Roman" w:hAnsi="Times New Roman" w:cs="Times New Roman"/>
          <w:sz w:val="23"/>
          <w:szCs w:val="23"/>
        </w:rPr>
        <w:t>..</w:t>
      </w:r>
      <w:proofErr w:type="gramEnd"/>
    </w:p>
    <w:p w:rsidR="00371976" w:rsidRDefault="00371976" w:rsidP="00371976">
      <w:pPr>
        <w:pStyle w:val="Default"/>
        <w:rPr>
          <w:sz w:val="23"/>
          <w:szCs w:val="23"/>
        </w:rPr>
      </w:pPr>
      <w:proofErr w:type="gramStart"/>
      <w:r>
        <w:rPr>
          <w:sz w:val="23"/>
          <w:szCs w:val="23"/>
        </w:rPr>
        <w:t>failure</w:t>
      </w:r>
      <w:proofErr w:type="gramEnd"/>
      <w:r>
        <w:rPr>
          <w:sz w:val="23"/>
          <w:szCs w:val="23"/>
        </w:rPr>
        <w:t xml:space="preserve"> when any of these five factors prove inadequate. The choice of the five CAMEL factors is based on the idea that each represents a major element in a bank’s financial statements. Several studies provide explanations for choice of CAMEL measures: Lane et al. (1986), Looney et al. (1989), Elliott et al (1991), </w:t>
      </w:r>
      <w:proofErr w:type="spellStart"/>
      <w:r>
        <w:rPr>
          <w:sz w:val="23"/>
          <w:szCs w:val="23"/>
        </w:rPr>
        <w:t>Eccher</w:t>
      </w:r>
      <w:proofErr w:type="spellEnd"/>
      <w:r>
        <w:rPr>
          <w:sz w:val="23"/>
          <w:szCs w:val="23"/>
        </w:rPr>
        <w:t xml:space="preserve"> et al. (1996), and Thomson (1991). For example, Waldron et al (2006) suggested that one of these threats represented in CAMEL exists in the loss of assets (A); similarly, short-term liquid assets (L) aid in covering loan payment defaults and offset the threat of losses or large withdrawals that might occur. The CAMELS framework extends the CAMEL framework, considering six major aspects of banking: Capital adequacy, Asset quality, Management soundness, Earnings and profitability, Liquidity, and Sensitivity to market risk. </w:t>
      </w:r>
    </w:p>
    <w:p w:rsidR="00371976" w:rsidRDefault="00371976" w:rsidP="00371976">
      <w:pPr>
        <w:pStyle w:val="Default"/>
        <w:rPr>
          <w:sz w:val="23"/>
          <w:szCs w:val="23"/>
        </w:rPr>
      </w:pPr>
      <w:r>
        <w:rPr>
          <w:sz w:val="23"/>
          <w:szCs w:val="23"/>
        </w:rPr>
        <w:lastRenderedPageBreak/>
        <w:t xml:space="preserve">The usage of the CAMEL(S) framework in banking studies in emerging economies is limited. </w:t>
      </w:r>
      <w:proofErr w:type="spellStart"/>
      <w:r>
        <w:rPr>
          <w:sz w:val="23"/>
          <w:szCs w:val="23"/>
        </w:rPr>
        <w:t>Wirnkar</w:t>
      </w:r>
      <w:proofErr w:type="spellEnd"/>
      <w:r>
        <w:rPr>
          <w:sz w:val="23"/>
          <w:szCs w:val="23"/>
        </w:rPr>
        <w:t xml:space="preserve"> and </w:t>
      </w:r>
      <w:proofErr w:type="spellStart"/>
      <w:r>
        <w:rPr>
          <w:sz w:val="23"/>
          <w:szCs w:val="23"/>
        </w:rPr>
        <w:t>Tanko</w:t>
      </w:r>
      <w:proofErr w:type="spellEnd"/>
      <w:r>
        <w:rPr>
          <w:sz w:val="23"/>
          <w:szCs w:val="23"/>
        </w:rPr>
        <w:t xml:space="preserve"> (2008) studied banking performance of major Nigerian banks using the CAMEL framework. Very recently, </w:t>
      </w:r>
      <w:proofErr w:type="spellStart"/>
      <w:r>
        <w:rPr>
          <w:sz w:val="23"/>
          <w:szCs w:val="23"/>
        </w:rPr>
        <w:t>Sangmi</w:t>
      </w:r>
      <w:proofErr w:type="spellEnd"/>
      <w:r>
        <w:rPr>
          <w:sz w:val="23"/>
          <w:szCs w:val="23"/>
        </w:rPr>
        <w:t xml:space="preserve"> and </w:t>
      </w:r>
      <w:proofErr w:type="spellStart"/>
      <w:r>
        <w:rPr>
          <w:sz w:val="23"/>
          <w:szCs w:val="23"/>
        </w:rPr>
        <w:t>Nazir</w:t>
      </w:r>
      <w:proofErr w:type="spellEnd"/>
      <w:r>
        <w:rPr>
          <w:sz w:val="23"/>
          <w:szCs w:val="23"/>
        </w:rPr>
        <w:t xml:space="preserve"> (2010) have studied banking performance of two Indian banks using the CAMEL framework. Also, </w:t>
      </w:r>
      <w:proofErr w:type="spellStart"/>
      <w:r>
        <w:rPr>
          <w:sz w:val="23"/>
          <w:szCs w:val="23"/>
        </w:rPr>
        <w:t>Agarwal</w:t>
      </w:r>
      <w:proofErr w:type="spellEnd"/>
      <w:r>
        <w:rPr>
          <w:sz w:val="23"/>
          <w:szCs w:val="23"/>
        </w:rPr>
        <w:t xml:space="preserve"> and </w:t>
      </w:r>
      <w:proofErr w:type="spellStart"/>
      <w:r>
        <w:rPr>
          <w:sz w:val="23"/>
          <w:szCs w:val="23"/>
        </w:rPr>
        <w:t>Sinha</w:t>
      </w:r>
      <w:proofErr w:type="spellEnd"/>
      <w:r>
        <w:rPr>
          <w:sz w:val="23"/>
          <w:szCs w:val="23"/>
        </w:rPr>
        <w:t xml:space="preserve"> (2010) have studied the performance of microfinance institutions in India using the CAMEL framework. </w:t>
      </w:r>
    </w:p>
    <w:p w:rsidR="00371976" w:rsidRDefault="00371976" w:rsidP="00371976">
      <w:pPr>
        <w:rPr>
          <w:rFonts w:ascii="Times New Roman" w:hAnsi="Times New Roman" w:cs="Times New Roman"/>
          <w:sz w:val="23"/>
          <w:szCs w:val="23"/>
        </w:rPr>
      </w:pPr>
      <w:r w:rsidRPr="00371976">
        <w:rPr>
          <w:rFonts w:ascii="Times New Roman" w:hAnsi="Times New Roman" w:cs="Times New Roman"/>
          <w:sz w:val="23"/>
          <w:szCs w:val="23"/>
        </w:rPr>
        <w:t>The present study analyses and compares the performance of public and private/foreign banks in India using the CAMELS framework.</w:t>
      </w:r>
    </w:p>
    <w:p w:rsidR="00DC362C" w:rsidRDefault="00DC362C" w:rsidP="00DC362C">
      <w:pPr>
        <w:pStyle w:val="Default"/>
        <w:rPr>
          <w:sz w:val="23"/>
          <w:szCs w:val="23"/>
        </w:rPr>
      </w:pPr>
      <w:r>
        <w:rPr>
          <w:b/>
          <w:bCs/>
          <w:sz w:val="23"/>
          <w:szCs w:val="23"/>
        </w:rPr>
        <w:t xml:space="preserve">DATA AND METHODOLOGY </w:t>
      </w:r>
    </w:p>
    <w:p w:rsidR="00DC362C" w:rsidRPr="00DC362C" w:rsidRDefault="00DC362C" w:rsidP="00DC362C">
      <w:pPr>
        <w:pStyle w:val="Default"/>
        <w:rPr>
          <w:sz w:val="23"/>
          <w:szCs w:val="23"/>
        </w:rPr>
      </w:pPr>
      <w:r w:rsidRPr="00DC362C">
        <w:rPr>
          <w:sz w:val="23"/>
          <w:szCs w:val="23"/>
        </w:rPr>
        <w:t xml:space="preserve">The analysis was performed for a sample of fifty-eight banks operating in India, of which twenty-nine were public sector banks, and twenty-nine were private sector/foreign banks. The study covered the financial years 2003-04, 2004-05, 2005-06, 2006-07, and 2007-08 (i.e. prior to the global financial crisis). The data for the study consisted of financial variables and financial ratios based on the CAMELS framework, obtained from the </w:t>
      </w:r>
      <w:proofErr w:type="spellStart"/>
      <w:r w:rsidRPr="00DC362C">
        <w:rPr>
          <w:sz w:val="23"/>
          <w:szCs w:val="23"/>
        </w:rPr>
        <w:t>Capitaline</w:t>
      </w:r>
      <w:proofErr w:type="spellEnd"/>
      <w:r w:rsidRPr="00DC362C">
        <w:rPr>
          <w:sz w:val="23"/>
          <w:szCs w:val="23"/>
        </w:rPr>
        <w:t xml:space="preserve"> database. The variables used in the analysis were: Tier-I Capital, Tier-II Capital, and Capital Adequacy Ratio (for Capital Adequacy); Gross Non-performing Assets, Net Non-performing Assets, and Net Non-performing Assets to Total Advances Ratio (for Asset Quality); Total Investments to Total Assets Ratio, Total Advances to Total Deposits Ratio, Sales per Employee, and Profit After Tax per Employee (for Management Soundness); Return on Net Worth, Operating Profit to Average Working Fund Ratio, Profit After Tax to Total Assets Ratio (for Earnings and profitability); Government Securities to Total Investments Ratio and Government Securities to Total Assets Ratio (for Liquidity); and Beta (for Sensitivity to Market Risk). </w:t>
      </w:r>
    </w:p>
    <w:p w:rsidR="00DC362C" w:rsidRDefault="00DC362C" w:rsidP="00DC362C">
      <w:pPr>
        <w:rPr>
          <w:rFonts w:ascii="Times New Roman" w:hAnsi="Times New Roman" w:cs="Times New Roman"/>
          <w:sz w:val="23"/>
          <w:szCs w:val="23"/>
        </w:rPr>
      </w:pPr>
      <w:r w:rsidRPr="00DC362C">
        <w:rPr>
          <w:rFonts w:ascii="Times New Roman" w:hAnsi="Times New Roman" w:cs="Times New Roman"/>
          <w:sz w:val="23"/>
          <w:szCs w:val="23"/>
        </w:rPr>
        <w:t xml:space="preserve">In order to calculate the CAMELS ratings for the banks, the ratios corresponding to each CAMELS factor were considered: viz. Capital Adequacy Ratio, Net Non-performing Assets to Total Advances Ratio, Total Investments to Total Assets Ratio, Total Advances to Total Deposits Ratio, Sales per Employee, Profit After Tax per Employee, Return on Net Worth, Operating Profit to Average Working Fund Ratio, Government Securities to Total Investments Ratio, and Beta (two ratios, viz. Profit After Tax to Total Assets Ratio and Government Securities to Total Investments Ratio were removed). The variables were normalized using the formula: , where </w:t>
      </w:r>
      <w:r w:rsidRPr="00DC362C">
        <w:rPr>
          <w:rFonts w:ascii="Times New Roman" w:hAnsi="Times New Roman" w:cs="Times New Roman"/>
          <w:i/>
          <w:iCs/>
          <w:sz w:val="23"/>
          <w:szCs w:val="23"/>
        </w:rPr>
        <w:t xml:space="preserve">u </w:t>
      </w:r>
      <w:r w:rsidRPr="00DC362C">
        <w:rPr>
          <w:rFonts w:ascii="Times New Roman" w:hAnsi="Times New Roman" w:cs="Times New Roman"/>
          <w:sz w:val="23"/>
          <w:szCs w:val="23"/>
        </w:rPr>
        <w:t xml:space="preserve">represents the upper bound, and </w:t>
      </w:r>
      <w:r w:rsidRPr="00DC362C">
        <w:rPr>
          <w:rFonts w:ascii="Times New Roman" w:hAnsi="Times New Roman" w:cs="Times New Roman"/>
          <w:i/>
          <w:iCs/>
          <w:sz w:val="23"/>
          <w:szCs w:val="23"/>
        </w:rPr>
        <w:t xml:space="preserve">l </w:t>
      </w:r>
      <w:r w:rsidRPr="00DC362C">
        <w:rPr>
          <w:rFonts w:ascii="Times New Roman" w:hAnsi="Times New Roman" w:cs="Times New Roman"/>
          <w:sz w:val="23"/>
          <w:szCs w:val="23"/>
        </w:rPr>
        <w:t>the lower bound; the ratings were assigned as follows: 1 = 0.0 - 0.2, 2 = 0.2 - 0.4, 3 = 0.4 - 0.6, 4 = 0.6 - 0.8, and 5 = 0.8 - 1.0 (except for non-performing assets and beta, for which the ratings were reversed). The CAMELS rating was obtained as the total of the individual variable ratings</w:t>
      </w:r>
      <w:r w:rsidR="0054309A">
        <w:rPr>
          <w:rFonts w:ascii="Times New Roman" w:hAnsi="Times New Roman" w:cs="Times New Roman"/>
          <w:sz w:val="23"/>
          <w:szCs w:val="23"/>
        </w:rPr>
        <w:t>.</w:t>
      </w:r>
    </w:p>
    <w:p w:rsidR="0054309A" w:rsidRDefault="0054309A" w:rsidP="0054309A">
      <w:pPr>
        <w:pStyle w:val="Default"/>
        <w:rPr>
          <w:b/>
          <w:bCs/>
          <w:sz w:val="23"/>
          <w:szCs w:val="23"/>
        </w:rPr>
      </w:pPr>
      <w:r>
        <w:rPr>
          <w:b/>
          <w:bCs/>
          <w:sz w:val="23"/>
          <w:szCs w:val="23"/>
        </w:rPr>
        <w:t xml:space="preserve">ANALYSIS AND </w:t>
      </w:r>
      <w:proofErr w:type="gramStart"/>
      <w:r>
        <w:rPr>
          <w:b/>
          <w:bCs/>
          <w:sz w:val="23"/>
          <w:szCs w:val="23"/>
        </w:rPr>
        <w:t>INTERPRETATION :</w:t>
      </w:r>
      <w:proofErr w:type="gramEnd"/>
    </w:p>
    <w:p w:rsidR="0054309A" w:rsidRDefault="0054309A" w:rsidP="0054309A">
      <w:pPr>
        <w:pStyle w:val="Default"/>
        <w:rPr>
          <w:sz w:val="23"/>
          <w:szCs w:val="23"/>
        </w:rPr>
      </w:pPr>
    </w:p>
    <w:p w:rsidR="0054309A" w:rsidRDefault="0054309A" w:rsidP="0054309A">
      <w:pPr>
        <w:pStyle w:val="Default"/>
        <w:numPr>
          <w:ilvl w:val="0"/>
          <w:numId w:val="1"/>
        </w:numPr>
        <w:rPr>
          <w:sz w:val="23"/>
          <w:szCs w:val="23"/>
        </w:rPr>
      </w:pPr>
      <w:r>
        <w:rPr>
          <w:b/>
          <w:bCs/>
          <w:i/>
          <w:iCs/>
          <w:sz w:val="23"/>
          <w:szCs w:val="23"/>
        </w:rPr>
        <w:t>CAPITAL ADEQUACY</w:t>
      </w:r>
      <w:r>
        <w:rPr>
          <w:b/>
          <w:bCs/>
          <w:sz w:val="23"/>
          <w:szCs w:val="23"/>
        </w:rPr>
        <w:t xml:space="preserve">: </w:t>
      </w:r>
      <w:r>
        <w:rPr>
          <w:sz w:val="23"/>
          <w:szCs w:val="23"/>
        </w:rPr>
        <w:t xml:space="preserve">Table 1 shows the Tier-I Capital, Tier-II Capital, and Capital Adequacy Ratio of public and private/foreign banks. It was found that private/foreign banks had higher Tier-I Capital than public sector banks, while public sector banks had higher Tier-II Capital than private/foreign banks. It was also found that private/foreign banks had higher Capital Adequacy Ratio than public sector banks. In particular, these differences were statistically significant in 2008. </w:t>
      </w:r>
    </w:p>
    <w:p w:rsidR="0054309A" w:rsidRDefault="0054309A" w:rsidP="0054309A">
      <w:pPr>
        <w:pStyle w:val="Default"/>
        <w:numPr>
          <w:ilvl w:val="0"/>
          <w:numId w:val="1"/>
        </w:numPr>
        <w:rPr>
          <w:sz w:val="23"/>
          <w:szCs w:val="23"/>
        </w:rPr>
      </w:pPr>
      <w:r>
        <w:rPr>
          <w:b/>
          <w:bCs/>
          <w:i/>
          <w:iCs/>
          <w:sz w:val="23"/>
          <w:szCs w:val="23"/>
        </w:rPr>
        <w:t>ASSET QUALITY</w:t>
      </w:r>
      <w:r>
        <w:rPr>
          <w:b/>
          <w:bCs/>
          <w:sz w:val="23"/>
          <w:szCs w:val="23"/>
        </w:rPr>
        <w:t xml:space="preserve">: </w:t>
      </w:r>
      <w:r>
        <w:rPr>
          <w:sz w:val="23"/>
          <w:szCs w:val="23"/>
        </w:rPr>
        <w:t xml:space="preserve">Table 2 shows the Gross Non-performing Assets, Net Non-performing Assets, and Net Non-performing Assets to Total Advances Ratio of public and private/foreign banks. It was found that public sector banks had higher Gross Non-performing Assets and Net Non-performing Assets than private/foreign banks, and that these differences were statistically significant. On the other hand, there was no significant </w:t>
      </w:r>
      <w:r>
        <w:rPr>
          <w:sz w:val="23"/>
          <w:szCs w:val="23"/>
        </w:rPr>
        <w:lastRenderedPageBreak/>
        <w:t xml:space="preserve">difference in the Net Non-performing Assets to Total Advances Ratio of public and private/foreign banks. </w:t>
      </w:r>
    </w:p>
    <w:p w:rsidR="0054309A" w:rsidRDefault="0054309A" w:rsidP="0054309A">
      <w:pPr>
        <w:pStyle w:val="Default"/>
        <w:numPr>
          <w:ilvl w:val="0"/>
          <w:numId w:val="1"/>
        </w:numPr>
        <w:rPr>
          <w:sz w:val="23"/>
          <w:szCs w:val="23"/>
        </w:rPr>
      </w:pPr>
      <w:r>
        <w:rPr>
          <w:b/>
          <w:bCs/>
          <w:i/>
          <w:iCs/>
          <w:sz w:val="23"/>
          <w:szCs w:val="23"/>
        </w:rPr>
        <w:t>MANAGEMENT SOUNDNESS</w:t>
      </w:r>
      <w:r>
        <w:rPr>
          <w:b/>
          <w:bCs/>
          <w:sz w:val="23"/>
          <w:szCs w:val="23"/>
        </w:rPr>
        <w:t xml:space="preserve">: </w:t>
      </w:r>
      <w:r>
        <w:rPr>
          <w:sz w:val="23"/>
          <w:szCs w:val="23"/>
        </w:rPr>
        <w:t xml:space="preserve">Table 3 shows the Total Investments to Total Assets Ratio, Total Advances to Total Deposits Ratio, Sales per Employee, and Profit </w:t>
      </w:r>
      <w:proofErr w:type="gramStart"/>
      <w:r>
        <w:rPr>
          <w:sz w:val="23"/>
          <w:szCs w:val="23"/>
        </w:rPr>
        <w:t>After</w:t>
      </w:r>
      <w:proofErr w:type="gramEnd"/>
      <w:r>
        <w:rPr>
          <w:sz w:val="23"/>
          <w:szCs w:val="23"/>
        </w:rPr>
        <w:t xml:space="preserve"> Tax per Employee of public and private/foreign banks. It was found that private/foreign banks had higher Total Investments to Total Assets Ratio than public sector banks, while public sector banks had higher Total Advances to Total Deposits Ratio than private/foreign banks; however, these differences were not statistically significant. It was found that private/foreign banks had higher Sales per Employee than public sector banks, and that these differences were statistically significant. It was also found that private/foreign banks had higher Profit </w:t>
      </w:r>
      <w:proofErr w:type="gramStart"/>
      <w:r>
        <w:rPr>
          <w:sz w:val="23"/>
          <w:szCs w:val="23"/>
        </w:rPr>
        <w:t>After</w:t>
      </w:r>
      <w:proofErr w:type="gramEnd"/>
      <w:r>
        <w:rPr>
          <w:sz w:val="23"/>
          <w:szCs w:val="23"/>
        </w:rPr>
        <w:t xml:space="preserve"> Tax per Employee than public sector banks, but that these differences were not statistically significant. </w:t>
      </w:r>
    </w:p>
    <w:p w:rsidR="0054309A" w:rsidRDefault="0054309A" w:rsidP="0054309A">
      <w:pPr>
        <w:pStyle w:val="Default"/>
        <w:numPr>
          <w:ilvl w:val="0"/>
          <w:numId w:val="1"/>
        </w:numPr>
        <w:rPr>
          <w:sz w:val="23"/>
          <w:szCs w:val="23"/>
        </w:rPr>
      </w:pPr>
      <w:r>
        <w:rPr>
          <w:b/>
          <w:bCs/>
          <w:i/>
          <w:iCs/>
          <w:sz w:val="23"/>
          <w:szCs w:val="23"/>
        </w:rPr>
        <w:t>EARNINGS AND PROFITABILITY</w:t>
      </w:r>
      <w:r>
        <w:rPr>
          <w:b/>
          <w:bCs/>
          <w:sz w:val="23"/>
          <w:szCs w:val="23"/>
        </w:rPr>
        <w:t xml:space="preserve">: </w:t>
      </w:r>
      <w:r>
        <w:rPr>
          <w:sz w:val="23"/>
          <w:szCs w:val="23"/>
        </w:rPr>
        <w:t xml:space="preserve">Table 4 shows the Return on Net Worth, Operating Profit to Average Working Fund Ratio, Profit </w:t>
      </w:r>
      <w:proofErr w:type="gramStart"/>
      <w:r>
        <w:rPr>
          <w:sz w:val="23"/>
          <w:szCs w:val="23"/>
        </w:rPr>
        <w:t>After</w:t>
      </w:r>
      <w:proofErr w:type="gramEnd"/>
      <w:r>
        <w:rPr>
          <w:sz w:val="23"/>
          <w:szCs w:val="23"/>
        </w:rPr>
        <w:t xml:space="preserve"> Tax to Total Assets Ratio of public and private/foreign banks. It was found that public sector banks had higher Return on Net Worth than private/foreign banks, and that these differences were statistically significant. On the other hand, it was found that private/foreign banks had higher Operating Profit to Average Working Fund Ratio and Profit </w:t>
      </w:r>
      <w:proofErr w:type="gramStart"/>
      <w:r>
        <w:rPr>
          <w:sz w:val="23"/>
          <w:szCs w:val="23"/>
        </w:rPr>
        <w:t>After</w:t>
      </w:r>
      <w:proofErr w:type="gramEnd"/>
      <w:r>
        <w:rPr>
          <w:sz w:val="23"/>
          <w:szCs w:val="23"/>
        </w:rPr>
        <w:t xml:space="preserve"> Tax to Total Assets Ratio than public sector banks, though the differences were not statistically significant. </w:t>
      </w:r>
    </w:p>
    <w:p w:rsidR="0054309A" w:rsidRDefault="0054309A" w:rsidP="0054309A">
      <w:pPr>
        <w:pStyle w:val="Default"/>
        <w:numPr>
          <w:ilvl w:val="0"/>
          <w:numId w:val="1"/>
        </w:numPr>
        <w:rPr>
          <w:sz w:val="23"/>
          <w:szCs w:val="23"/>
        </w:rPr>
      </w:pPr>
      <w:r>
        <w:rPr>
          <w:b/>
          <w:bCs/>
          <w:i/>
          <w:iCs/>
          <w:sz w:val="23"/>
          <w:szCs w:val="23"/>
        </w:rPr>
        <w:t>LIQUIDITY</w:t>
      </w:r>
      <w:r>
        <w:rPr>
          <w:b/>
          <w:bCs/>
          <w:sz w:val="23"/>
          <w:szCs w:val="23"/>
        </w:rPr>
        <w:t xml:space="preserve">: </w:t>
      </w:r>
      <w:r>
        <w:rPr>
          <w:sz w:val="23"/>
          <w:szCs w:val="23"/>
        </w:rPr>
        <w:t xml:space="preserve">Table 5 shows the Government Securities to Total Investments Ratio and Government Securities to Total Assets Ratio of public and private/foreign banks. It was found that public sector banks had higher Government Securities to Total Investments Ratio and Government Securities to Total Assets Ratio than private/foreign banks (except in 2008), but the differences were not statistically significant. </w:t>
      </w:r>
    </w:p>
    <w:p w:rsidR="0054309A" w:rsidRDefault="0054309A" w:rsidP="0054309A">
      <w:pPr>
        <w:pStyle w:val="Default"/>
        <w:numPr>
          <w:ilvl w:val="0"/>
          <w:numId w:val="1"/>
        </w:numPr>
        <w:rPr>
          <w:sz w:val="23"/>
          <w:szCs w:val="23"/>
        </w:rPr>
      </w:pPr>
      <w:r>
        <w:rPr>
          <w:b/>
          <w:bCs/>
          <w:i/>
          <w:iCs/>
          <w:sz w:val="23"/>
          <w:szCs w:val="23"/>
        </w:rPr>
        <w:t>SENSITIVITY TO MARKET RISK</w:t>
      </w:r>
      <w:r>
        <w:rPr>
          <w:b/>
          <w:bCs/>
          <w:sz w:val="23"/>
          <w:szCs w:val="23"/>
        </w:rPr>
        <w:t xml:space="preserve">: </w:t>
      </w:r>
      <w:r>
        <w:rPr>
          <w:sz w:val="23"/>
          <w:szCs w:val="23"/>
        </w:rPr>
        <w:t xml:space="preserve">Table 6 shows the Beta of public and private/foreign banks. It was found that public sector banks had higher Beta than private/foreign banks, and the difference was statistically significant. </w:t>
      </w:r>
    </w:p>
    <w:p w:rsidR="0054309A" w:rsidRDefault="0054309A" w:rsidP="0054309A">
      <w:pPr>
        <w:pStyle w:val="Default"/>
        <w:rPr>
          <w:sz w:val="23"/>
          <w:szCs w:val="23"/>
        </w:rPr>
      </w:pPr>
    </w:p>
    <w:p w:rsidR="0054309A" w:rsidRDefault="0054309A" w:rsidP="0054309A">
      <w:pPr>
        <w:pStyle w:val="Default"/>
        <w:numPr>
          <w:ilvl w:val="0"/>
          <w:numId w:val="1"/>
        </w:numPr>
        <w:rPr>
          <w:sz w:val="23"/>
          <w:szCs w:val="23"/>
        </w:rPr>
      </w:pPr>
      <w:r w:rsidRPr="0054309A">
        <w:rPr>
          <w:sz w:val="23"/>
          <w:szCs w:val="23"/>
        </w:rPr>
        <w:t xml:space="preserve"> </w:t>
      </w:r>
      <w:r w:rsidRPr="0054309A">
        <w:rPr>
          <w:b/>
          <w:bCs/>
          <w:i/>
          <w:iCs/>
          <w:sz w:val="23"/>
          <w:szCs w:val="23"/>
        </w:rPr>
        <w:t>OVERALL CAMELS RATINGS</w:t>
      </w:r>
      <w:r w:rsidRPr="0054309A">
        <w:rPr>
          <w:b/>
          <w:bCs/>
          <w:sz w:val="23"/>
          <w:szCs w:val="23"/>
        </w:rPr>
        <w:t xml:space="preserve">: </w:t>
      </w:r>
      <w:r w:rsidRPr="0054309A">
        <w:rPr>
          <w:sz w:val="23"/>
          <w:szCs w:val="23"/>
        </w:rPr>
        <w:t xml:space="preserve">Table 7 shows the overall CAMELS ratings for all the sample banks in the study period. It was found that Barclays Bank was the best performing bank in the years 2003-04, 2004-05, and 2005-06, while Bank of America was the best performing bank in the years 2006-07 and 2007-08. Table 8 shows the overall CAMELS ratings of public and private/foreign banks. There was found to be no significant difference in the overall CAMELS ratings </w:t>
      </w:r>
      <w:proofErr w:type="spellStart"/>
      <w:r w:rsidRPr="0054309A">
        <w:rPr>
          <w:sz w:val="23"/>
          <w:szCs w:val="23"/>
        </w:rPr>
        <w:t>of</w:t>
      </w:r>
      <w:r>
        <w:rPr>
          <w:sz w:val="23"/>
          <w:szCs w:val="23"/>
        </w:rPr>
        <w:t>public</w:t>
      </w:r>
      <w:proofErr w:type="spellEnd"/>
      <w:r>
        <w:rPr>
          <w:sz w:val="23"/>
          <w:szCs w:val="23"/>
        </w:rPr>
        <w:t xml:space="preserve"> and private/foreign banks. Moreover, there was a trend improvement in the overall CAMELS ratings of private/foreign banks over that of public sector banks.</w:t>
      </w:r>
    </w:p>
    <w:p w:rsidR="0054309A" w:rsidRDefault="0054309A" w:rsidP="0054309A">
      <w:pPr>
        <w:pStyle w:val="ListParagraph"/>
        <w:rPr>
          <w:sz w:val="23"/>
          <w:szCs w:val="23"/>
        </w:rPr>
      </w:pPr>
    </w:p>
    <w:p w:rsidR="0054309A" w:rsidRDefault="0054309A" w:rsidP="0054309A">
      <w:pPr>
        <w:pStyle w:val="Default"/>
        <w:rPr>
          <w:sz w:val="23"/>
          <w:szCs w:val="23"/>
        </w:rPr>
      </w:pPr>
      <w:proofErr w:type="gramStart"/>
      <w:r>
        <w:rPr>
          <w:b/>
          <w:bCs/>
          <w:sz w:val="23"/>
          <w:szCs w:val="23"/>
        </w:rPr>
        <w:t>DISCUSSION  :</w:t>
      </w:r>
      <w:proofErr w:type="gramEnd"/>
      <w:r>
        <w:rPr>
          <w:b/>
          <w:bCs/>
          <w:sz w:val="23"/>
          <w:szCs w:val="23"/>
        </w:rPr>
        <w:t xml:space="preserve">  </w:t>
      </w:r>
      <w:r>
        <w:rPr>
          <w:sz w:val="23"/>
          <w:szCs w:val="23"/>
        </w:rPr>
        <w:t xml:space="preserve">The results of the study show that private/foreign banks fared better than public sector banks on most of the CAMELS factors in the study period. The two contributing factors for the better performance of private/foreign banks were Management Soundness and Earnings and Profitability. The results of the study suggest that public sector banks have to adapt quickly to changing market conditions, in order to compete with private/foreign banks. This is particularly due to the wide difference in their credit policy, customer service, ease of access and adoption of IT services in their banking system. Public sector banks must improve their credit lending policies so as to improve asset quality and profitability. They need to continuously monitor the health and profitability of bank borrowers, so that the risk of non-performing assets decreases. They also must improve their marketing and distribution strategies in order to attract customers and provide better customer service. They also must take steps to improve employee motivation and productivity. </w:t>
      </w:r>
    </w:p>
    <w:p w:rsidR="0054309A" w:rsidRDefault="0054309A" w:rsidP="0054309A">
      <w:pPr>
        <w:pStyle w:val="Default"/>
        <w:ind w:left="720"/>
        <w:rPr>
          <w:sz w:val="23"/>
          <w:szCs w:val="23"/>
        </w:rPr>
      </w:pPr>
      <w:r>
        <w:rPr>
          <w:sz w:val="23"/>
          <w:szCs w:val="23"/>
        </w:rPr>
        <w:lastRenderedPageBreak/>
        <w:t>There are some limitations inherent in the present study</w:t>
      </w:r>
      <w:r>
        <w:rPr>
          <w:b/>
          <w:bCs/>
          <w:sz w:val="23"/>
          <w:szCs w:val="23"/>
        </w:rPr>
        <w:t xml:space="preserve">. </w:t>
      </w:r>
      <w:r>
        <w:rPr>
          <w:sz w:val="23"/>
          <w:szCs w:val="23"/>
        </w:rPr>
        <w:t xml:space="preserve">The sample size used for the study is limited. Further, the study period was limited due to the limited availability of data. Another limitation was in the nature of the overall CAMELS rating used: the rating gives undue importance to the factors of management soundness and earnings. Further, the CAMELS framework is not a comprehensive framework; for example, it does not take into consideration other forms of risk (such as credit risk). Further studies can incorporate other risk factors into the framework to provide a </w:t>
      </w:r>
      <w:proofErr w:type="gramStart"/>
      <w:r>
        <w:rPr>
          <w:sz w:val="23"/>
          <w:szCs w:val="23"/>
        </w:rPr>
        <w:t>more  comprehensive</w:t>
      </w:r>
      <w:proofErr w:type="gramEnd"/>
      <w:r>
        <w:rPr>
          <w:sz w:val="23"/>
          <w:szCs w:val="23"/>
        </w:rPr>
        <w:t xml:space="preserve"> measure of banking performance</w:t>
      </w:r>
      <w:r w:rsidR="00965B25">
        <w:rPr>
          <w:sz w:val="23"/>
          <w:szCs w:val="23"/>
        </w:rPr>
        <w:t>….</w:t>
      </w:r>
    </w:p>
    <w:p w:rsidR="00965B25" w:rsidRDefault="00965B25" w:rsidP="0054309A">
      <w:pPr>
        <w:pStyle w:val="Default"/>
        <w:ind w:left="720"/>
        <w:rPr>
          <w:sz w:val="23"/>
          <w:szCs w:val="23"/>
        </w:rPr>
      </w:pPr>
    </w:p>
    <w:p w:rsidR="00965B25" w:rsidRPr="00965B25" w:rsidRDefault="00965B25" w:rsidP="0054309A">
      <w:pPr>
        <w:pStyle w:val="Default"/>
        <w:ind w:left="720"/>
        <w:rPr>
          <w:sz w:val="23"/>
          <w:szCs w:val="23"/>
          <w:u w:val="single"/>
        </w:rPr>
      </w:pPr>
      <w:r w:rsidRPr="00965B25">
        <w:rPr>
          <w:b/>
          <w:bCs/>
          <w:sz w:val="23"/>
          <w:szCs w:val="23"/>
          <w:u w:val="single"/>
        </w:rPr>
        <w:t xml:space="preserve">Overall CAMELS </w:t>
      </w:r>
      <w:proofErr w:type="gramStart"/>
      <w:r w:rsidRPr="00965B25">
        <w:rPr>
          <w:b/>
          <w:bCs/>
          <w:sz w:val="23"/>
          <w:szCs w:val="23"/>
          <w:u w:val="single"/>
        </w:rPr>
        <w:t>Ratings</w:t>
      </w:r>
      <w:r>
        <w:rPr>
          <w:b/>
          <w:bCs/>
          <w:sz w:val="23"/>
          <w:szCs w:val="23"/>
          <w:u w:val="single"/>
        </w:rPr>
        <w:t xml:space="preserve">  :</w:t>
      </w:r>
      <w:proofErr w:type="gramEnd"/>
      <w:r>
        <w:rPr>
          <w:b/>
          <w:bCs/>
          <w:sz w:val="23"/>
          <w:szCs w:val="23"/>
          <w:u w:val="single"/>
        </w:rPr>
        <w:t xml:space="preserve"> </w:t>
      </w:r>
    </w:p>
    <w:tbl>
      <w:tblPr>
        <w:tblW w:w="0" w:type="auto"/>
        <w:tblInd w:w="1215" w:type="dxa"/>
        <w:tblBorders>
          <w:top w:val="nil"/>
          <w:left w:val="nil"/>
          <w:bottom w:val="nil"/>
          <w:right w:val="nil"/>
        </w:tblBorders>
        <w:tblLayout w:type="fixed"/>
        <w:tblLook w:val="0000"/>
      </w:tblPr>
      <w:tblGrid>
        <w:gridCol w:w="1291"/>
        <w:gridCol w:w="1291"/>
        <w:gridCol w:w="1291"/>
        <w:gridCol w:w="1291"/>
        <w:gridCol w:w="1291"/>
        <w:gridCol w:w="1291"/>
      </w:tblGrid>
      <w:tr w:rsidR="00965B25" w:rsidTr="00965B25">
        <w:tblPrEx>
          <w:tblCellMar>
            <w:top w:w="0" w:type="dxa"/>
            <w:bottom w:w="0" w:type="dxa"/>
          </w:tblCellMar>
        </w:tblPrEx>
        <w:trPr>
          <w:trHeight w:val="491"/>
        </w:trPr>
        <w:tc>
          <w:tcPr>
            <w:tcW w:w="1291" w:type="dxa"/>
          </w:tcPr>
          <w:p w:rsidR="00965B25" w:rsidRDefault="00965B25" w:rsidP="00965B25">
            <w:pPr>
              <w:pStyle w:val="Default"/>
              <w:rPr>
                <w:sz w:val="16"/>
                <w:szCs w:val="16"/>
              </w:rPr>
            </w:pPr>
            <w:r>
              <w:rPr>
                <w:b/>
                <w:bCs/>
                <w:sz w:val="23"/>
                <w:szCs w:val="23"/>
              </w:rPr>
              <w:t xml:space="preserve">Table7: </w:t>
            </w:r>
            <w:r>
              <w:rPr>
                <w:b/>
                <w:bCs/>
                <w:sz w:val="16"/>
                <w:szCs w:val="16"/>
              </w:rPr>
              <w:t xml:space="preserve">Bank </w:t>
            </w:r>
          </w:p>
        </w:tc>
        <w:tc>
          <w:tcPr>
            <w:tcW w:w="1291" w:type="dxa"/>
          </w:tcPr>
          <w:p w:rsidR="00965B25" w:rsidRDefault="00965B25">
            <w:pPr>
              <w:pStyle w:val="Default"/>
              <w:rPr>
                <w:b/>
                <w:bCs/>
                <w:sz w:val="16"/>
                <w:szCs w:val="16"/>
              </w:rPr>
            </w:pPr>
          </w:p>
          <w:p w:rsidR="00965B25" w:rsidRDefault="00965B25">
            <w:pPr>
              <w:pStyle w:val="Default"/>
              <w:rPr>
                <w:b/>
                <w:bCs/>
                <w:sz w:val="16"/>
                <w:szCs w:val="16"/>
              </w:rPr>
            </w:pPr>
          </w:p>
          <w:p w:rsidR="00965B25" w:rsidRDefault="00965B25">
            <w:pPr>
              <w:pStyle w:val="Default"/>
              <w:rPr>
                <w:sz w:val="16"/>
                <w:szCs w:val="16"/>
              </w:rPr>
            </w:pPr>
            <w:r>
              <w:rPr>
                <w:b/>
                <w:bCs/>
                <w:sz w:val="16"/>
                <w:szCs w:val="16"/>
              </w:rPr>
              <w:t xml:space="preserve">CAMELS 2008 </w:t>
            </w:r>
          </w:p>
        </w:tc>
        <w:tc>
          <w:tcPr>
            <w:tcW w:w="1291" w:type="dxa"/>
          </w:tcPr>
          <w:p w:rsidR="00965B25" w:rsidRDefault="00965B25">
            <w:pPr>
              <w:pStyle w:val="Default"/>
              <w:rPr>
                <w:b/>
                <w:bCs/>
                <w:sz w:val="16"/>
                <w:szCs w:val="16"/>
              </w:rPr>
            </w:pPr>
          </w:p>
          <w:p w:rsidR="00965B25" w:rsidRDefault="00965B25">
            <w:pPr>
              <w:pStyle w:val="Default"/>
              <w:rPr>
                <w:b/>
                <w:bCs/>
                <w:sz w:val="16"/>
                <w:szCs w:val="16"/>
              </w:rPr>
            </w:pPr>
          </w:p>
          <w:p w:rsidR="00965B25" w:rsidRDefault="00965B25">
            <w:pPr>
              <w:pStyle w:val="Default"/>
              <w:rPr>
                <w:sz w:val="16"/>
                <w:szCs w:val="16"/>
              </w:rPr>
            </w:pPr>
            <w:r>
              <w:rPr>
                <w:b/>
                <w:bCs/>
                <w:sz w:val="16"/>
                <w:szCs w:val="16"/>
              </w:rPr>
              <w:t xml:space="preserve">CAMELS 2007 </w:t>
            </w:r>
          </w:p>
        </w:tc>
        <w:tc>
          <w:tcPr>
            <w:tcW w:w="1291" w:type="dxa"/>
          </w:tcPr>
          <w:p w:rsidR="00965B25" w:rsidRDefault="00965B25">
            <w:pPr>
              <w:pStyle w:val="Default"/>
              <w:rPr>
                <w:b/>
                <w:bCs/>
                <w:sz w:val="16"/>
                <w:szCs w:val="16"/>
              </w:rPr>
            </w:pPr>
          </w:p>
          <w:p w:rsidR="00965B25" w:rsidRDefault="00965B25">
            <w:pPr>
              <w:pStyle w:val="Default"/>
              <w:rPr>
                <w:b/>
                <w:bCs/>
                <w:sz w:val="16"/>
                <w:szCs w:val="16"/>
              </w:rPr>
            </w:pPr>
          </w:p>
          <w:p w:rsidR="00965B25" w:rsidRDefault="00965B25">
            <w:pPr>
              <w:pStyle w:val="Default"/>
              <w:rPr>
                <w:sz w:val="16"/>
                <w:szCs w:val="16"/>
              </w:rPr>
            </w:pPr>
            <w:r>
              <w:rPr>
                <w:b/>
                <w:bCs/>
                <w:sz w:val="16"/>
                <w:szCs w:val="16"/>
              </w:rPr>
              <w:t xml:space="preserve">CAMELS 2006 </w:t>
            </w:r>
          </w:p>
        </w:tc>
        <w:tc>
          <w:tcPr>
            <w:tcW w:w="1291" w:type="dxa"/>
          </w:tcPr>
          <w:p w:rsidR="00965B25" w:rsidRDefault="00965B25">
            <w:pPr>
              <w:pStyle w:val="Default"/>
              <w:rPr>
                <w:b/>
                <w:bCs/>
                <w:sz w:val="16"/>
                <w:szCs w:val="16"/>
              </w:rPr>
            </w:pPr>
          </w:p>
          <w:p w:rsidR="00965B25" w:rsidRDefault="00965B25">
            <w:pPr>
              <w:pStyle w:val="Default"/>
              <w:rPr>
                <w:b/>
                <w:bCs/>
                <w:sz w:val="16"/>
                <w:szCs w:val="16"/>
              </w:rPr>
            </w:pPr>
          </w:p>
          <w:p w:rsidR="00965B25" w:rsidRDefault="00965B25">
            <w:pPr>
              <w:pStyle w:val="Default"/>
              <w:rPr>
                <w:sz w:val="16"/>
                <w:szCs w:val="16"/>
              </w:rPr>
            </w:pPr>
            <w:r>
              <w:rPr>
                <w:b/>
                <w:bCs/>
                <w:sz w:val="16"/>
                <w:szCs w:val="16"/>
              </w:rPr>
              <w:t xml:space="preserve">CAMELS 2005 </w:t>
            </w:r>
          </w:p>
        </w:tc>
        <w:tc>
          <w:tcPr>
            <w:tcW w:w="1291" w:type="dxa"/>
          </w:tcPr>
          <w:p w:rsidR="00965B25" w:rsidRDefault="00965B25">
            <w:pPr>
              <w:pStyle w:val="Default"/>
              <w:rPr>
                <w:b/>
                <w:bCs/>
                <w:sz w:val="16"/>
                <w:szCs w:val="16"/>
              </w:rPr>
            </w:pPr>
          </w:p>
          <w:p w:rsidR="00965B25" w:rsidRDefault="00965B25">
            <w:pPr>
              <w:pStyle w:val="Default"/>
              <w:rPr>
                <w:b/>
                <w:bCs/>
                <w:sz w:val="16"/>
                <w:szCs w:val="16"/>
              </w:rPr>
            </w:pPr>
          </w:p>
          <w:p w:rsidR="00965B25" w:rsidRDefault="00965B25">
            <w:pPr>
              <w:pStyle w:val="Default"/>
              <w:rPr>
                <w:sz w:val="16"/>
                <w:szCs w:val="16"/>
              </w:rPr>
            </w:pPr>
            <w:r>
              <w:rPr>
                <w:b/>
                <w:bCs/>
                <w:sz w:val="16"/>
                <w:szCs w:val="16"/>
              </w:rPr>
              <w:t xml:space="preserve">CAMELS 2004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Allahabad Bank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Andhra Bank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Bank of Baroda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Bank of India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29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Bank of </w:t>
            </w:r>
            <w:proofErr w:type="spellStart"/>
            <w:r>
              <w:rPr>
                <w:b/>
                <w:bCs/>
                <w:sz w:val="16"/>
                <w:szCs w:val="16"/>
              </w:rPr>
              <w:t>Maharastra</w:t>
            </w:r>
            <w:proofErr w:type="spellEnd"/>
            <w:r>
              <w:rPr>
                <w:b/>
                <w:bCs/>
                <w:sz w:val="16"/>
                <w:szCs w:val="16"/>
              </w:rPr>
              <w:t xml:space="preserve">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33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Canara</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Central Bank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30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Corporation Bank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33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Dena Bank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29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EXIM Bank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26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IDBI Bank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Indian Bank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Indian Overseas Bank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NABARD </w:t>
            </w:r>
          </w:p>
        </w:tc>
        <w:tc>
          <w:tcPr>
            <w:tcW w:w="1291" w:type="dxa"/>
          </w:tcPr>
          <w:p w:rsidR="00965B25" w:rsidRDefault="00965B25">
            <w:pPr>
              <w:pStyle w:val="Default"/>
              <w:rPr>
                <w:sz w:val="16"/>
                <w:szCs w:val="16"/>
              </w:rPr>
            </w:pPr>
            <w:r>
              <w:rPr>
                <w:sz w:val="16"/>
                <w:szCs w:val="16"/>
              </w:rPr>
              <w:t xml:space="preserve">21 </w:t>
            </w:r>
          </w:p>
        </w:tc>
        <w:tc>
          <w:tcPr>
            <w:tcW w:w="1291" w:type="dxa"/>
          </w:tcPr>
          <w:p w:rsidR="00965B25" w:rsidRDefault="00965B25">
            <w:pPr>
              <w:pStyle w:val="Default"/>
              <w:rPr>
                <w:sz w:val="16"/>
                <w:szCs w:val="16"/>
              </w:rPr>
            </w:pPr>
            <w:r>
              <w:rPr>
                <w:sz w:val="16"/>
                <w:szCs w:val="16"/>
              </w:rPr>
              <w:t xml:space="preserve">23 </w:t>
            </w:r>
          </w:p>
        </w:tc>
        <w:tc>
          <w:tcPr>
            <w:tcW w:w="1291" w:type="dxa"/>
          </w:tcPr>
          <w:p w:rsidR="00965B25" w:rsidRDefault="00965B25">
            <w:pPr>
              <w:pStyle w:val="Default"/>
              <w:rPr>
                <w:sz w:val="16"/>
                <w:szCs w:val="16"/>
              </w:rPr>
            </w:pPr>
            <w:r>
              <w:rPr>
                <w:sz w:val="16"/>
                <w:szCs w:val="16"/>
              </w:rPr>
              <w:t xml:space="preserve">22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Oriental Bank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Punjab National Bank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Punjad</w:t>
            </w:r>
            <w:proofErr w:type="spellEnd"/>
            <w:r>
              <w:rPr>
                <w:b/>
                <w:bCs/>
                <w:sz w:val="16"/>
                <w:szCs w:val="16"/>
              </w:rPr>
              <w:t xml:space="preserve"> Sind Bank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25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Indore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36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Mysore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38 </w:t>
            </w:r>
          </w:p>
        </w:tc>
        <w:tc>
          <w:tcPr>
            <w:tcW w:w="1291" w:type="dxa"/>
          </w:tcPr>
          <w:p w:rsidR="00965B25" w:rsidRDefault="00965B25">
            <w:pPr>
              <w:pStyle w:val="Default"/>
              <w:rPr>
                <w:sz w:val="16"/>
                <w:szCs w:val="16"/>
              </w:rPr>
            </w:pPr>
            <w:r>
              <w:rPr>
                <w:sz w:val="16"/>
                <w:szCs w:val="16"/>
              </w:rPr>
              <w:t xml:space="preserve">34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Patiala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36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Bikaner and </w:t>
            </w:r>
            <w:proofErr w:type="spellStart"/>
            <w:r>
              <w:rPr>
                <w:b/>
                <w:bCs/>
                <w:sz w:val="16"/>
                <w:szCs w:val="16"/>
              </w:rPr>
              <w:t>Jaipur</w:t>
            </w:r>
            <w:proofErr w:type="spellEnd"/>
            <w:r>
              <w:rPr>
                <w:b/>
                <w:bCs/>
                <w:sz w:val="16"/>
                <w:szCs w:val="16"/>
              </w:rPr>
              <w:t xml:space="preserve">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34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Hyderabad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35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Travancore </w:t>
            </w:r>
          </w:p>
        </w:tc>
        <w:tc>
          <w:tcPr>
            <w:tcW w:w="1291" w:type="dxa"/>
          </w:tcPr>
          <w:p w:rsidR="00965B25" w:rsidRDefault="00965B25">
            <w:pPr>
              <w:pStyle w:val="Default"/>
              <w:rPr>
                <w:sz w:val="16"/>
                <w:szCs w:val="16"/>
              </w:rPr>
            </w:pPr>
            <w:r>
              <w:rPr>
                <w:sz w:val="16"/>
                <w:szCs w:val="16"/>
              </w:rPr>
              <w:t xml:space="preserve">23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35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State Bank of India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Syndicate Bank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33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United Bank of India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33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UCO Bank </w:t>
            </w:r>
          </w:p>
        </w:tc>
        <w:tc>
          <w:tcPr>
            <w:tcW w:w="1291" w:type="dxa"/>
          </w:tcPr>
          <w:p w:rsidR="00965B25" w:rsidRDefault="00965B25">
            <w:pPr>
              <w:pStyle w:val="Default"/>
              <w:rPr>
                <w:sz w:val="16"/>
                <w:szCs w:val="16"/>
              </w:rPr>
            </w:pPr>
            <w:r>
              <w:rPr>
                <w:sz w:val="16"/>
                <w:szCs w:val="16"/>
              </w:rPr>
              <w:t xml:space="preserve">24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26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Union Bank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Vijaya</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36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ABN </w:t>
            </w:r>
            <w:proofErr w:type="spellStart"/>
            <w:r>
              <w:rPr>
                <w:b/>
                <w:bCs/>
                <w:sz w:val="16"/>
                <w:szCs w:val="16"/>
              </w:rPr>
              <w:t>Amro</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American Express Bank </w:t>
            </w:r>
          </w:p>
        </w:tc>
        <w:tc>
          <w:tcPr>
            <w:tcW w:w="1291" w:type="dxa"/>
          </w:tcPr>
          <w:p w:rsidR="00965B25" w:rsidRDefault="00965B25">
            <w:pPr>
              <w:pStyle w:val="Default"/>
              <w:rPr>
                <w:sz w:val="16"/>
                <w:szCs w:val="16"/>
              </w:rPr>
            </w:pPr>
            <w:r>
              <w:rPr>
                <w:sz w:val="16"/>
                <w:szCs w:val="16"/>
              </w:rPr>
              <w:t xml:space="preserve">20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25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AXIS Bank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lastRenderedPageBreak/>
              <w:t xml:space="preserve">Bank of America </w:t>
            </w:r>
          </w:p>
        </w:tc>
        <w:tc>
          <w:tcPr>
            <w:tcW w:w="1291" w:type="dxa"/>
          </w:tcPr>
          <w:p w:rsidR="00965B25" w:rsidRDefault="00965B25">
            <w:pPr>
              <w:pStyle w:val="Default"/>
              <w:rPr>
                <w:sz w:val="16"/>
                <w:szCs w:val="16"/>
              </w:rPr>
            </w:pPr>
            <w:r>
              <w:rPr>
                <w:sz w:val="16"/>
                <w:szCs w:val="16"/>
              </w:rPr>
              <w:t xml:space="preserve">46 </w:t>
            </w:r>
          </w:p>
        </w:tc>
        <w:tc>
          <w:tcPr>
            <w:tcW w:w="1291" w:type="dxa"/>
          </w:tcPr>
          <w:p w:rsidR="00965B25" w:rsidRDefault="00965B25">
            <w:pPr>
              <w:pStyle w:val="Default"/>
              <w:rPr>
                <w:sz w:val="16"/>
                <w:szCs w:val="16"/>
              </w:rPr>
            </w:pPr>
            <w:r>
              <w:rPr>
                <w:sz w:val="16"/>
                <w:szCs w:val="16"/>
              </w:rPr>
              <w:t xml:space="preserve">39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33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Bank of Rajasthan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22 </w:t>
            </w:r>
          </w:p>
        </w:tc>
        <w:tc>
          <w:tcPr>
            <w:tcW w:w="1291" w:type="dxa"/>
          </w:tcPr>
          <w:p w:rsidR="00965B25" w:rsidRDefault="00965B25">
            <w:pPr>
              <w:pStyle w:val="Default"/>
              <w:rPr>
                <w:sz w:val="16"/>
                <w:szCs w:val="16"/>
              </w:rPr>
            </w:pPr>
            <w:r>
              <w:rPr>
                <w:sz w:val="16"/>
                <w:szCs w:val="16"/>
              </w:rPr>
              <w:t xml:space="preserve">29 </w:t>
            </w:r>
          </w:p>
        </w:tc>
        <w:tc>
          <w:tcPr>
            <w:tcW w:w="1291" w:type="dxa"/>
          </w:tcPr>
          <w:p w:rsidR="00965B25" w:rsidRDefault="00965B25">
            <w:pPr>
              <w:pStyle w:val="Default"/>
              <w:rPr>
                <w:sz w:val="16"/>
                <w:szCs w:val="16"/>
              </w:rPr>
            </w:pPr>
            <w:r>
              <w:rPr>
                <w:sz w:val="16"/>
                <w:szCs w:val="16"/>
              </w:rPr>
              <w:t xml:space="preserve">32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Barclays Bank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36 </w:t>
            </w:r>
          </w:p>
        </w:tc>
        <w:tc>
          <w:tcPr>
            <w:tcW w:w="1291" w:type="dxa"/>
          </w:tcPr>
          <w:p w:rsidR="00965B25" w:rsidRDefault="00965B25">
            <w:pPr>
              <w:pStyle w:val="Default"/>
              <w:rPr>
                <w:sz w:val="16"/>
                <w:szCs w:val="16"/>
              </w:rPr>
            </w:pPr>
            <w:r>
              <w:rPr>
                <w:sz w:val="16"/>
                <w:szCs w:val="16"/>
              </w:rPr>
              <w:t xml:space="preserve">40 </w:t>
            </w:r>
          </w:p>
        </w:tc>
        <w:tc>
          <w:tcPr>
            <w:tcW w:w="1291" w:type="dxa"/>
          </w:tcPr>
          <w:p w:rsidR="00965B25" w:rsidRDefault="00965B25">
            <w:pPr>
              <w:pStyle w:val="Default"/>
              <w:rPr>
                <w:sz w:val="16"/>
                <w:szCs w:val="16"/>
              </w:rPr>
            </w:pPr>
            <w:r>
              <w:rPr>
                <w:sz w:val="16"/>
                <w:szCs w:val="16"/>
              </w:rPr>
              <w:t xml:space="preserve">42 </w:t>
            </w:r>
          </w:p>
        </w:tc>
        <w:tc>
          <w:tcPr>
            <w:tcW w:w="1291" w:type="dxa"/>
          </w:tcPr>
          <w:p w:rsidR="00965B25" w:rsidRDefault="00965B25">
            <w:pPr>
              <w:pStyle w:val="Default"/>
              <w:rPr>
                <w:sz w:val="16"/>
                <w:szCs w:val="16"/>
              </w:rPr>
            </w:pPr>
            <w:r>
              <w:rPr>
                <w:sz w:val="16"/>
                <w:szCs w:val="16"/>
              </w:rPr>
              <w:t xml:space="preserve">45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BNP Paribas </w:t>
            </w:r>
          </w:p>
        </w:tc>
        <w:tc>
          <w:tcPr>
            <w:tcW w:w="1291" w:type="dxa"/>
          </w:tcPr>
          <w:p w:rsidR="00965B25" w:rsidRDefault="00965B25">
            <w:pPr>
              <w:pStyle w:val="Default"/>
              <w:rPr>
                <w:sz w:val="16"/>
                <w:szCs w:val="16"/>
              </w:rPr>
            </w:pPr>
            <w:r>
              <w:rPr>
                <w:sz w:val="16"/>
                <w:szCs w:val="16"/>
              </w:rPr>
              <w:t xml:space="preserve">39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30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Celyon</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44 </w:t>
            </w:r>
          </w:p>
        </w:tc>
        <w:tc>
          <w:tcPr>
            <w:tcW w:w="1291" w:type="dxa"/>
          </w:tcPr>
          <w:p w:rsidR="00965B25" w:rsidRDefault="00965B25">
            <w:pPr>
              <w:pStyle w:val="Default"/>
              <w:rPr>
                <w:sz w:val="16"/>
                <w:szCs w:val="16"/>
              </w:rPr>
            </w:pPr>
            <w:r>
              <w:rPr>
                <w:sz w:val="16"/>
                <w:szCs w:val="16"/>
              </w:rPr>
              <w:t xml:space="preserve">38 </w:t>
            </w:r>
          </w:p>
        </w:tc>
        <w:tc>
          <w:tcPr>
            <w:tcW w:w="1291" w:type="dxa"/>
          </w:tcPr>
          <w:p w:rsidR="00965B25" w:rsidRDefault="00965B25">
            <w:pPr>
              <w:pStyle w:val="Default"/>
              <w:rPr>
                <w:sz w:val="16"/>
                <w:szCs w:val="16"/>
              </w:rPr>
            </w:pPr>
            <w:r>
              <w:rPr>
                <w:sz w:val="16"/>
                <w:szCs w:val="16"/>
              </w:rPr>
              <w:t xml:space="preserve">35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Development Credit Bank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22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28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Deutshe</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39 </w:t>
            </w:r>
          </w:p>
        </w:tc>
        <w:tc>
          <w:tcPr>
            <w:tcW w:w="1291" w:type="dxa"/>
          </w:tcPr>
          <w:p w:rsidR="00965B25" w:rsidRDefault="00965B25">
            <w:pPr>
              <w:pStyle w:val="Default"/>
              <w:rPr>
                <w:sz w:val="16"/>
                <w:szCs w:val="16"/>
              </w:rPr>
            </w:pPr>
            <w:r>
              <w:rPr>
                <w:sz w:val="16"/>
                <w:szCs w:val="16"/>
              </w:rPr>
              <w:t xml:space="preserve">31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39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proofErr w:type="spellStart"/>
            <w:r>
              <w:rPr>
                <w:b/>
                <w:bCs/>
                <w:sz w:val="16"/>
                <w:szCs w:val="16"/>
              </w:rPr>
              <w:t>Dhanalakshmi</w:t>
            </w:r>
            <w:proofErr w:type="spellEnd"/>
            <w:r>
              <w:rPr>
                <w:b/>
                <w:bCs/>
                <w:sz w:val="16"/>
                <w:szCs w:val="16"/>
              </w:rPr>
              <w:t xml:space="preserve"> Bank </w:t>
            </w:r>
          </w:p>
        </w:tc>
        <w:tc>
          <w:tcPr>
            <w:tcW w:w="1291" w:type="dxa"/>
          </w:tcPr>
          <w:p w:rsidR="00965B25" w:rsidRDefault="00965B25">
            <w:pPr>
              <w:pStyle w:val="Default"/>
              <w:rPr>
                <w:sz w:val="16"/>
                <w:szCs w:val="16"/>
              </w:rPr>
            </w:pPr>
            <w:r>
              <w:rPr>
                <w:sz w:val="16"/>
                <w:szCs w:val="16"/>
              </w:rPr>
              <w:t xml:space="preserve">28 </w:t>
            </w:r>
          </w:p>
        </w:tc>
        <w:tc>
          <w:tcPr>
            <w:tcW w:w="1291" w:type="dxa"/>
          </w:tcPr>
          <w:p w:rsidR="00965B25" w:rsidRDefault="00965B25">
            <w:pPr>
              <w:pStyle w:val="Default"/>
              <w:rPr>
                <w:sz w:val="16"/>
                <w:szCs w:val="16"/>
              </w:rPr>
            </w:pPr>
            <w:r>
              <w:rPr>
                <w:sz w:val="16"/>
                <w:szCs w:val="16"/>
              </w:rPr>
              <w:t xml:space="preserve">25 </w:t>
            </w:r>
          </w:p>
        </w:tc>
        <w:tc>
          <w:tcPr>
            <w:tcW w:w="1291" w:type="dxa"/>
          </w:tcPr>
          <w:p w:rsidR="00965B25" w:rsidRDefault="00965B25">
            <w:pPr>
              <w:pStyle w:val="Default"/>
              <w:rPr>
                <w:sz w:val="16"/>
                <w:szCs w:val="16"/>
              </w:rPr>
            </w:pPr>
            <w:r>
              <w:rPr>
                <w:sz w:val="16"/>
                <w:szCs w:val="16"/>
              </w:rPr>
              <w:t xml:space="preserve">24 </w:t>
            </w:r>
          </w:p>
        </w:tc>
        <w:tc>
          <w:tcPr>
            <w:tcW w:w="1291" w:type="dxa"/>
          </w:tcPr>
          <w:p w:rsidR="00965B25" w:rsidRDefault="00965B25">
            <w:pPr>
              <w:pStyle w:val="Default"/>
              <w:rPr>
                <w:sz w:val="16"/>
                <w:szCs w:val="16"/>
              </w:rPr>
            </w:pPr>
            <w:r>
              <w:rPr>
                <w:sz w:val="16"/>
                <w:szCs w:val="16"/>
              </w:rPr>
              <w:t xml:space="preserve">27 </w:t>
            </w:r>
          </w:p>
        </w:tc>
        <w:tc>
          <w:tcPr>
            <w:tcW w:w="1291" w:type="dxa"/>
          </w:tcPr>
          <w:p w:rsidR="00965B25" w:rsidRDefault="00965B25">
            <w:pPr>
              <w:pStyle w:val="Default"/>
              <w:rPr>
                <w:sz w:val="16"/>
                <w:szCs w:val="16"/>
              </w:rPr>
            </w:pPr>
            <w:r>
              <w:rPr>
                <w:sz w:val="16"/>
                <w:szCs w:val="16"/>
              </w:rPr>
              <w:t xml:space="preserve">29 </w:t>
            </w:r>
          </w:p>
        </w:tc>
      </w:tr>
      <w:tr w:rsidR="00965B25" w:rsidTr="00965B25">
        <w:tblPrEx>
          <w:tblCellMar>
            <w:top w:w="0" w:type="dxa"/>
            <w:bottom w:w="0" w:type="dxa"/>
          </w:tblCellMar>
        </w:tblPrEx>
        <w:trPr>
          <w:trHeight w:val="218"/>
        </w:trPr>
        <w:tc>
          <w:tcPr>
            <w:tcW w:w="1291" w:type="dxa"/>
          </w:tcPr>
          <w:p w:rsidR="00965B25" w:rsidRDefault="00965B25">
            <w:pPr>
              <w:pStyle w:val="Default"/>
              <w:rPr>
                <w:sz w:val="16"/>
                <w:szCs w:val="16"/>
              </w:rPr>
            </w:pPr>
            <w:r>
              <w:rPr>
                <w:b/>
                <w:bCs/>
                <w:sz w:val="16"/>
                <w:szCs w:val="16"/>
              </w:rPr>
              <w:t xml:space="preserve">HDFC Bank </w:t>
            </w:r>
          </w:p>
        </w:tc>
        <w:tc>
          <w:tcPr>
            <w:tcW w:w="1291" w:type="dxa"/>
          </w:tcPr>
          <w:p w:rsidR="00965B25" w:rsidRDefault="00965B25">
            <w:pPr>
              <w:pStyle w:val="Default"/>
              <w:rPr>
                <w:sz w:val="16"/>
                <w:szCs w:val="16"/>
              </w:rPr>
            </w:pPr>
            <w:r>
              <w:rPr>
                <w:sz w:val="16"/>
                <w:szCs w:val="16"/>
              </w:rPr>
              <w:t xml:space="preserve">34 </w:t>
            </w:r>
          </w:p>
        </w:tc>
        <w:tc>
          <w:tcPr>
            <w:tcW w:w="1291" w:type="dxa"/>
          </w:tcPr>
          <w:p w:rsidR="00965B25" w:rsidRDefault="00965B25">
            <w:pPr>
              <w:pStyle w:val="Default"/>
              <w:rPr>
                <w:sz w:val="16"/>
                <w:szCs w:val="16"/>
              </w:rPr>
            </w:pPr>
            <w:r>
              <w:rPr>
                <w:sz w:val="16"/>
                <w:szCs w:val="16"/>
              </w:rPr>
              <w:t xml:space="preserve">32 </w:t>
            </w:r>
          </w:p>
        </w:tc>
        <w:tc>
          <w:tcPr>
            <w:tcW w:w="1291" w:type="dxa"/>
          </w:tcPr>
          <w:p w:rsidR="00965B25" w:rsidRDefault="00965B25">
            <w:pPr>
              <w:pStyle w:val="Default"/>
              <w:rPr>
                <w:sz w:val="16"/>
                <w:szCs w:val="16"/>
              </w:rPr>
            </w:pPr>
            <w:r>
              <w:rPr>
                <w:sz w:val="16"/>
                <w:szCs w:val="16"/>
              </w:rPr>
              <w:t xml:space="preserve">30 </w:t>
            </w:r>
          </w:p>
        </w:tc>
        <w:tc>
          <w:tcPr>
            <w:tcW w:w="1291" w:type="dxa"/>
          </w:tcPr>
          <w:p w:rsidR="00965B25" w:rsidRDefault="00965B25">
            <w:pPr>
              <w:pStyle w:val="Default"/>
              <w:rPr>
                <w:sz w:val="16"/>
                <w:szCs w:val="16"/>
              </w:rPr>
            </w:pPr>
            <w:r>
              <w:rPr>
                <w:sz w:val="16"/>
                <w:szCs w:val="16"/>
              </w:rPr>
              <w:t xml:space="preserve">33 </w:t>
            </w:r>
          </w:p>
        </w:tc>
        <w:tc>
          <w:tcPr>
            <w:tcW w:w="1291" w:type="dxa"/>
          </w:tcPr>
          <w:p w:rsidR="00965B25" w:rsidRDefault="00965B25">
            <w:pPr>
              <w:pStyle w:val="Default"/>
              <w:rPr>
                <w:sz w:val="16"/>
                <w:szCs w:val="16"/>
              </w:rPr>
            </w:pPr>
            <w:r>
              <w:rPr>
                <w:sz w:val="16"/>
                <w:szCs w:val="16"/>
              </w:rPr>
              <w:t xml:space="preserve">31 </w:t>
            </w:r>
          </w:p>
        </w:tc>
      </w:tr>
    </w:tbl>
    <w:p w:rsidR="00965B25" w:rsidRDefault="00965B25" w:rsidP="0054309A">
      <w:pPr>
        <w:pStyle w:val="Default"/>
        <w:ind w:left="720"/>
        <w:rPr>
          <w:sz w:val="23"/>
          <w:szCs w:val="23"/>
        </w:rPr>
      </w:pPr>
    </w:p>
    <w:sectPr w:rsidR="00965B25" w:rsidSect="00DA43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9E2"/>
    <w:multiLevelType w:val="hybridMultilevel"/>
    <w:tmpl w:val="5720EF6A"/>
    <w:lvl w:ilvl="0" w:tplc="303E43A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E0F0B"/>
    <w:multiLevelType w:val="hybridMultilevel"/>
    <w:tmpl w:val="5720EF6A"/>
    <w:lvl w:ilvl="0" w:tplc="303E43A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71976"/>
    <w:rsid w:val="00114AD1"/>
    <w:rsid w:val="00371976"/>
    <w:rsid w:val="0054309A"/>
    <w:rsid w:val="00965B25"/>
    <w:rsid w:val="00DA437C"/>
    <w:rsid w:val="00DC36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3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7197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309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1994</Words>
  <Characters>11366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The Institute Of Computer Accountants</Company>
  <LinksUpToDate>false</LinksUpToDate>
  <CharactersWithSpaces>13334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dc:creator>
  <cp:keywords/>
  <dc:description/>
  <cp:lastModifiedBy>ICA</cp:lastModifiedBy>
  <cp:revision>5</cp:revision>
  <dcterms:created xsi:type="dcterms:W3CDTF">2012-11-29T08:40:00Z</dcterms:created>
  <dcterms:modified xsi:type="dcterms:W3CDTF">2012-11-29T09:12:00Z</dcterms:modified>
</cp:coreProperties>
</file>