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FD7" w:rsidRDefault="00E92FD7" w:rsidP="00E92FD7">
      <w:pPr>
        <w:pStyle w:val="tekst-01-heading-02"/>
        <w:spacing w:before="0" w:beforeAutospacing="0" w:after="0" w:afterAutospacing="0" w:line="421" w:lineRule="atLeast"/>
        <w:rPr>
          <w:color w:val="022749"/>
          <w:sz w:val="36"/>
          <w:szCs w:val="36"/>
        </w:rPr>
      </w:pPr>
      <w:r>
        <w:rPr>
          <w:color w:val="022749"/>
          <w:sz w:val="36"/>
          <w:szCs w:val="36"/>
        </w:rPr>
        <w:t>Operational risk</w:t>
      </w:r>
      <w:r>
        <w:rPr>
          <w:rStyle w:val="apple-converted-space"/>
          <w:color w:val="022749"/>
          <w:sz w:val="36"/>
          <w:szCs w:val="36"/>
        </w:rPr>
        <w:t> </w:t>
      </w:r>
      <w:r>
        <w:rPr>
          <w:rStyle w:val="color-2925-l-blauw"/>
          <w:color w:val="48A4D4"/>
          <w:sz w:val="36"/>
          <w:szCs w:val="36"/>
        </w:rPr>
        <w:t>management</w:t>
      </w:r>
    </w:p>
    <w:p w:rsidR="00E92FD7" w:rsidRDefault="00E92FD7" w:rsidP="00E92FD7">
      <w:pPr>
        <w:pStyle w:val="tekst-03-body-01"/>
        <w:spacing w:before="0" w:beforeAutospacing="0" w:after="0" w:afterAutospacing="0" w:line="324" w:lineRule="atLeast"/>
        <w:rPr>
          <w:rFonts w:ascii="Times" w:hAnsi="Times" w:cs="Times"/>
          <w:color w:val="152949"/>
          <w:sz w:val="23"/>
          <w:szCs w:val="23"/>
        </w:rPr>
      </w:pPr>
      <w:r>
        <w:rPr>
          <w:rStyle w:val="color-2925-l-blauw"/>
          <w:rFonts w:ascii="Times" w:hAnsi="Times" w:cs="Times"/>
          <w:color w:val="48A4D4"/>
          <w:sz w:val="23"/>
          <w:szCs w:val="23"/>
        </w:rPr>
        <w:t> </w:t>
      </w:r>
    </w:p>
    <w:p w:rsidR="00E92FD7" w:rsidRDefault="00E92FD7" w:rsidP="00E92FD7">
      <w:pPr>
        <w:pStyle w:val="tekst-03-body-01"/>
        <w:spacing w:before="0" w:beforeAutospacing="0" w:after="0" w:afterAutospacing="0" w:line="324" w:lineRule="atLeast"/>
        <w:rPr>
          <w:rFonts w:ascii="Times" w:hAnsi="Times" w:cs="Times"/>
          <w:color w:val="152949"/>
          <w:sz w:val="23"/>
          <w:szCs w:val="23"/>
        </w:rPr>
      </w:pPr>
      <w:r>
        <w:rPr>
          <w:rFonts w:ascii="Times" w:hAnsi="Times" w:cs="Times"/>
          <w:color w:val="152949"/>
          <w:sz w:val="23"/>
          <w:szCs w:val="23"/>
        </w:rPr>
        <w:t xml:space="preserve">We define operational risk based on the Basel II definition. Operational risk is the risk of direct or indirect loss resulting from inadequate or failed processes or systems, from human error or external events including legal risk that affect our reputation, operational earnings and/or have an adverse effect on capital value. In addition, we have included reputation and strategic business risk as sub-categories of operational risk. For our </w:t>
      </w:r>
      <w:r w:rsidR="00C33B0D">
        <w:rPr>
          <w:rFonts w:ascii="Times" w:hAnsi="Times" w:cs="Times"/>
          <w:color w:val="152949"/>
          <w:sz w:val="23"/>
          <w:szCs w:val="23"/>
        </w:rPr>
        <w:t>organization</w:t>
      </w:r>
      <w:r>
        <w:rPr>
          <w:rFonts w:ascii="Times" w:hAnsi="Times" w:cs="Times"/>
          <w:color w:val="152949"/>
          <w:sz w:val="23"/>
          <w:szCs w:val="23"/>
        </w:rPr>
        <w:t>, both of these risk categories are driven by operational risk components.</w:t>
      </w:r>
    </w:p>
    <w:p w:rsidR="00E92FD7" w:rsidRDefault="00E92FD7" w:rsidP="00E92FD7">
      <w:pPr>
        <w:pStyle w:val="tekst-03-body-01"/>
        <w:spacing w:before="0" w:beforeAutospacing="0" w:after="0" w:afterAutospacing="0" w:line="324" w:lineRule="atLeast"/>
        <w:rPr>
          <w:rFonts w:ascii="Times" w:hAnsi="Times" w:cs="Times"/>
          <w:color w:val="152949"/>
          <w:sz w:val="23"/>
          <w:szCs w:val="23"/>
        </w:rPr>
      </w:pPr>
      <w:r>
        <w:rPr>
          <w:rFonts w:ascii="Times" w:hAnsi="Times" w:cs="Times"/>
          <w:color w:val="152949"/>
          <w:sz w:val="23"/>
          <w:szCs w:val="23"/>
        </w:rPr>
        <w:t> </w:t>
      </w:r>
    </w:p>
    <w:p w:rsidR="00E92FD7" w:rsidRDefault="00E92FD7" w:rsidP="00E92FD7">
      <w:pPr>
        <w:pStyle w:val="tekst-03-body-01"/>
        <w:spacing w:before="0" w:beforeAutospacing="0" w:after="0" w:afterAutospacing="0" w:line="324" w:lineRule="atLeast"/>
        <w:rPr>
          <w:rFonts w:ascii="Times" w:hAnsi="Times" w:cs="Times"/>
          <w:color w:val="152949"/>
          <w:sz w:val="23"/>
          <w:szCs w:val="23"/>
        </w:rPr>
      </w:pPr>
      <w:r>
        <w:rPr>
          <w:rFonts w:ascii="Times" w:hAnsi="Times" w:cs="Times"/>
          <w:color w:val="152949"/>
          <w:sz w:val="23"/>
          <w:szCs w:val="23"/>
        </w:rPr>
        <w:t>The responsibility for monitoring and managing operational risk lies with our Operational Risk Manager and the business unit manager, who are responsible for implementing the enterprise wide operational risk framework. The framework sets out the roles and responsibilities for management supervision, as well as those tools and methods used within the bank for identifying, measuring, reporting, monitoring, and controlling operational risk. Sound Practices for the Management and Supervision of Operational Risk, published by the Basel Committee on Banking Supervision, has been used in the development of the operational risk framework to ensure robust and effective management and supervision. The framework is based on the principle that our Managing Board and Supervisory Board and senior management are actively involved in risk management, and that our risk management system is independent, conceptually sound and implemented with integrity. Finally, we need to ensure that there are sufficient resources available to execute the purpose and strategy of operational risk management and the business units, as well as implement control, compliance, and audit functions.</w:t>
      </w:r>
    </w:p>
    <w:p w:rsidR="00E92FD7" w:rsidRDefault="00E92FD7" w:rsidP="00E92FD7">
      <w:pPr>
        <w:pStyle w:val="tekst-03-body-01"/>
        <w:spacing w:before="0" w:beforeAutospacing="0" w:after="0" w:afterAutospacing="0" w:line="324" w:lineRule="atLeast"/>
        <w:rPr>
          <w:rFonts w:ascii="Times" w:hAnsi="Times" w:cs="Times"/>
          <w:color w:val="152949"/>
          <w:sz w:val="23"/>
          <w:szCs w:val="23"/>
        </w:rPr>
      </w:pPr>
      <w:r>
        <w:rPr>
          <w:rFonts w:ascii="Times" w:hAnsi="Times" w:cs="Times"/>
          <w:color w:val="152949"/>
          <w:sz w:val="23"/>
          <w:szCs w:val="23"/>
        </w:rPr>
        <w:t> </w:t>
      </w:r>
    </w:p>
    <w:p w:rsidR="00E92FD7" w:rsidRDefault="00E92FD7" w:rsidP="00E92FD7">
      <w:pPr>
        <w:pStyle w:val="tekst-03-body-01"/>
        <w:spacing w:before="0" w:beforeAutospacing="0" w:after="0" w:afterAutospacing="0" w:line="324" w:lineRule="atLeast"/>
        <w:rPr>
          <w:rFonts w:ascii="Times" w:hAnsi="Times" w:cs="Times"/>
          <w:color w:val="152949"/>
          <w:sz w:val="23"/>
          <w:szCs w:val="23"/>
        </w:rPr>
      </w:pPr>
      <w:r>
        <w:rPr>
          <w:rFonts w:ascii="Times" w:hAnsi="Times" w:cs="Times"/>
          <w:color w:val="152949"/>
          <w:sz w:val="23"/>
          <w:szCs w:val="23"/>
        </w:rPr>
        <w:t xml:space="preserve">We manage operational risk at both a bank and operating segment level. The Managing Board provides consistency and oversight of significant operational issues, and oversees the adoption of best practice across the bank. At the operating segment level and below, managers are responsible for adherence to the operational risk management policy framework, for oversight of all operational risks specific to the business, and for reporting of all operational events and losses. The Operational Risk Manager, working in conjunction with business unit managers, has developed tools to assist in managing, monitoring, reporting and reducing the effects of operational risk. The tools </w:t>
      </w:r>
      <w:r w:rsidR="00C33B0D">
        <w:rPr>
          <w:rFonts w:ascii="Times" w:hAnsi="Times" w:cs="Times"/>
          <w:color w:val="152949"/>
          <w:sz w:val="23"/>
          <w:szCs w:val="23"/>
        </w:rPr>
        <w:t>utilized</w:t>
      </w:r>
      <w:r>
        <w:rPr>
          <w:rFonts w:ascii="Times" w:hAnsi="Times" w:cs="Times"/>
          <w:color w:val="152949"/>
          <w:sz w:val="23"/>
          <w:szCs w:val="23"/>
        </w:rPr>
        <w:t xml:space="preserve"> by managers provides for an integrated view of the risk self assessment, control identification, action planning, and event and loss registration. This integrated view assists in identifying, evaluating, and reducing operational risk and planning mitigation measures. The evaluation process assists in identifying emerging operational risk issues and determining how they should be pro-actively managed.</w:t>
      </w:r>
    </w:p>
    <w:p w:rsidR="00E92FD7" w:rsidRDefault="00E92FD7" w:rsidP="00E92FD7">
      <w:pPr>
        <w:pStyle w:val="tekst-03-body-01"/>
        <w:spacing w:before="0" w:beforeAutospacing="0" w:after="0" w:afterAutospacing="0" w:line="324" w:lineRule="atLeast"/>
        <w:rPr>
          <w:rFonts w:ascii="Times" w:hAnsi="Times" w:cs="Times"/>
          <w:color w:val="152949"/>
          <w:sz w:val="23"/>
          <w:szCs w:val="23"/>
        </w:rPr>
      </w:pPr>
      <w:r>
        <w:rPr>
          <w:rFonts w:ascii="Times" w:hAnsi="Times" w:cs="Times"/>
          <w:color w:val="152949"/>
          <w:sz w:val="23"/>
          <w:szCs w:val="23"/>
        </w:rPr>
        <w:t> </w:t>
      </w:r>
    </w:p>
    <w:p w:rsidR="00E92FD7" w:rsidRDefault="00E92FD7" w:rsidP="00E92FD7">
      <w:pPr>
        <w:pStyle w:val="tekst-03-body-01"/>
        <w:spacing w:before="0" w:beforeAutospacing="0" w:after="0" w:afterAutospacing="0" w:line="324" w:lineRule="atLeast"/>
        <w:rPr>
          <w:rFonts w:ascii="Times" w:hAnsi="Times" w:cs="Times"/>
          <w:color w:val="152949"/>
          <w:sz w:val="23"/>
          <w:szCs w:val="23"/>
        </w:rPr>
      </w:pPr>
      <w:r>
        <w:rPr>
          <w:rFonts w:ascii="Times" w:hAnsi="Times" w:cs="Times"/>
          <w:color w:val="152949"/>
          <w:sz w:val="23"/>
          <w:szCs w:val="23"/>
        </w:rPr>
        <w:t xml:space="preserve">We have sought to incorporate operational risk management into all our business processes. We monitor operational risk on a daily basis and perform self assessments semi-annually. The year-end self assessment forms the basis for our In Control Report section of the annual report. </w:t>
      </w:r>
      <w:r>
        <w:rPr>
          <w:rFonts w:ascii="Times" w:hAnsi="Times" w:cs="Times"/>
          <w:color w:val="152949"/>
          <w:sz w:val="23"/>
          <w:szCs w:val="23"/>
        </w:rPr>
        <w:lastRenderedPageBreak/>
        <w:t>‘In control’ reporting seeks to ensure that the operational risk management policy framework is integrated into the daily activities of all our employees and that it forms an integral part of our internal control system. The reporting system is focused on control of the identified risks related to the operational execution of the different business activities.</w:t>
      </w:r>
    </w:p>
    <w:p w:rsidR="00E92FD7" w:rsidRPr="00E92FD7" w:rsidRDefault="00E92FD7" w:rsidP="00E92FD7">
      <w:pPr>
        <w:spacing w:after="0" w:line="421" w:lineRule="atLeast"/>
        <w:rPr>
          <w:rFonts w:ascii="Times New Roman" w:eastAsia="Times New Roman" w:hAnsi="Times New Roman" w:cs="Times New Roman"/>
          <w:color w:val="022749"/>
          <w:sz w:val="36"/>
          <w:szCs w:val="36"/>
        </w:rPr>
      </w:pPr>
      <w:r w:rsidRPr="00E92FD7">
        <w:rPr>
          <w:rFonts w:ascii="Times New Roman" w:eastAsia="Times New Roman" w:hAnsi="Times New Roman" w:cs="Times New Roman"/>
          <w:color w:val="022749"/>
          <w:sz w:val="36"/>
          <w:szCs w:val="36"/>
        </w:rPr>
        <w:t>Economic</w:t>
      </w:r>
      <w:r w:rsidRPr="00E92FD7">
        <w:rPr>
          <w:rFonts w:ascii="Times New Roman" w:eastAsia="Times New Roman" w:hAnsi="Times New Roman" w:cs="Times New Roman"/>
          <w:color w:val="022749"/>
          <w:sz w:val="36"/>
        </w:rPr>
        <w:t> </w:t>
      </w:r>
      <w:r w:rsidRPr="00E92FD7">
        <w:rPr>
          <w:rFonts w:ascii="Times New Roman" w:eastAsia="Times New Roman" w:hAnsi="Times New Roman" w:cs="Times New Roman"/>
          <w:color w:val="48A4D4"/>
          <w:sz w:val="36"/>
        </w:rPr>
        <w:t>capital</w:t>
      </w:r>
    </w:p>
    <w:p w:rsidR="00E92FD7" w:rsidRPr="00E92FD7" w:rsidRDefault="00E92FD7" w:rsidP="00E92FD7">
      <w:pPr>
        <w:spacing w:after="0" w:line="307" w:lineRule="atLeast"/>
        <w:rPr>
          <w:rFonts w:ascii="Times New Roman" w:eastAsia="Times New Roman" w:hAnsi="Times New Roman" w:cs="Times New Roman"/>
          <w:b/>
          <w:bCs/>
          <w:color w:val="152949"/>
          <w:sz w:val="29"/>
          <w:szCs w:val="29"/>
        </w:rPr>
      </w:pPr>
      <w:r w:rsidRPr="00E92FD7">
        <w:rPr>
          <w:rFonts w:ascii="Times New Roman" w:eastAsia="Times New Roman" w:hAnsi="Times New Roman" w:cs="Times New Roman"/>
          <w:b/>
          <w:bCs/>
          <w:color w:val="152949"/>
          <w:sz w:val="29"/>
          <w:szCs w:val="29"/>
        </w:rPr>
        <w:t> </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Economic capital is the amount of capital that we allocate as a buffer against potential losses from business activities, based upon our assessment of risks. It differs from Basel II regulatory capital, as NIBC sometimes assesses the specific risk characteristics of its business activities in a different way than the general regulatory method. Relating the risk-based economic capital of each business to its profit, results in a calculation of its</w:t>
      </w:r>
      <w:r w:rsidRPr="00E92FD7">
        <w:rPr>
          <w:rFonts w:ascii="Times" w:eastAsia="Times New Roman" w:hAnsi="Times" w:cs="Times"/>
          <w:color w:val="152949"/>
          <w:sz w:val="23"/>
        </w:rPr>
        <w:t> </w:t>
      </w:r>
      <w:r w:rsidRPr="00E92FD7">
        <w:rPr>
          <w:rFonts w:ascii="Times" w:eastAsia="Times New Roman" w:hAnsi="Times" w:cs="Times"/>
          <w:i/>
          <w:iCs/>
          <w:color w:val="152949"/>
          <w:sz w:val="23"/>
        </w:rPr>
        <w:t xml:space="preserve">Risk-Adjusted Return </w:t>
      </w:r>
      <w:proofErr w:type="gramStart"/>
      <w:r w:rsidRPr="00E92FD7">
        <w:rPr>
          <w:rFonts w:ascii="Times" w:eastAsia="Times New Roman" w:hAnsi="Times" w:cs="Times"/>
          <w:i/>
          <w:iCs/>
          <w:color w:val="152949"/>
          <w:sz w:val="23"/>
        </w:rPr>
        <w:t>On</w:t>
      </w:r>
      <w:proofErr w:type="gramEnd"/>
      <w:r w:rsidRPr="00E92FD7">
        <w:rPr>
          <w:rFonts w:ascii="Times" w:eastAsia="Times New Roman" w:hAnsi="Times" w:cs="Times"/>
          <w:i/>
          <w:iCs/>
          <w:color w:val="152949"/>
          <w:sz w:val="23"/>
        </w:rPr>
        <w:t xml:space="preserve"> Capital</w:t>
      </w:r>
      <w:r w:rsidRPr="00E92FD7">
        <w:rPr>
          <w:rFonts w:ascii="Times" w:eastAsia="Times New Roman" w:hAnsi="Times" w:cs="Times"/>
          <w:color w:val="152949"/>
          <w:sz w:val="23"/>
        </w:rPr>
        <w:t> </w:t>
      </w:r>
      <w:r w:rsidRPr="00E92FD7">
        <w:rPr>
          <w:rFonts w:ascii="Times" w:eastAsia="Times New Roman" w:hAnsi="Times" w:cs="Times"/>
          <w:b/>
          <w:bCs/>
          <w:color w:val="152949"/>
          <w:sz w:val="23"/>
        </w:rPr>
        <w:t>(RAROC)</w:t>
      </w:r>
      <w:r w:rsidRPr="00E92FD7">
        <w:rPr>
          <w:rFonts w:ascii="Times" w:eastAsia="Times New Roman" w:hAnsi="Times" w:cs="Times"/>
          <w:color w:val="152949"/>
          <w:sz w:val="23"/>
          <w:szCs w:val="23"/>
        </w:rPr>
        <w:t>. Economic capital and RAROC are key tools used in support of our capital usage process. These tools assist in allocating our shareholders’ equity as efficiently as possible based on expectations of both risk and return. The usage of economic capital is reported once every two weeks to the ALCO. The ALCO resets the maximum allocation level of economic capital to and within each business, taking into account business expectations and our desired risk profile. Economic capital allocation is based on a one-year risk horizon, using a 99.9% confidence level. This confidence level means that there is a probability of 0.1% that losses in a period of one year will be larger than the allocated economic capital.</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p w:rsidR="00E92FD7" w:rsidRPr="00E92FD7" w:rsidRDefault="00E92FD7" w:rsidP="00E92FD7">
      <w:pPr>
        <w:spacing w:after="0" w:line="307" w:lineRule="atLeast"/>
        <w:rPr>
          <w:rFonts w:ascii="Times New Roman" w:eastAsia="Times New Roman" w:hAnsi="Times New Roman" w:cs="Times New Roman"/>
          <w:b/>
          <w:bCs/>
          <w:color w:val="152949"/>
          <w:sz w:val="29"/>
          <w:szCs w:val="29"/>
        </w:rPr>
      </w:pPr>
      <w:r w:rsidRPr="00E92FD7">
        <w:rPr>
          <w:rFonts w:ascii="Times New Roman" w:eastAsia="Times New Roman" w:hAnsi="Times New Roman" w:cs="Times New Roman"/>
          <w:b/>
          <w:bCs/>
          <w:color w:val="152949"/>
          <w:sz w:val="29"/>
          <w:szCs w:val="29"/>
        </w:rPr>
        <w:t>Economic capital methodology</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xml:space="preserve">NIBC uses the business model of each activity as the basis for determining the economic capital approach. If the business model of an activity is trading, distribution, or investment for a limited period of time, we use a market risk approach based upon </w:t>
      </w:r>
      <w:proofErr w:type="spellStart"/>
      <w:r w:rsidRPr="00E92FD7">
        <w:rPr>
          <w:rFonts w:ascii="Times" w:eastAsia="Times New Roman" w:hAnsi="Times" w:cs="Times"/>
          <w:color w:val="152949"/>
          <w:sz w:val="23"/>
          <w:szCs w:val="23"/>
        </w:rPr>
        <w:t>VaR</w:t>
      </w:r>
      <w:proofErr w:type="spellEnd"/>
      <w:r w:rsidRPr="00E92FD7">
        <w:rPr>
          <w:rFonts w:ascii="Times" w:eastAsia="Times New Roman" w:hAnsi="Times" w:cs="Times"/>
          <w:color w:val="152949"/>
          <w:sz w:val="23"/>
          <w:szCs w:val="23"/>
        </w:rPr>
        <w:t xml:space="preserve"> and scaled to a one-year horizon to calculate the economic capital usage. A business model equal to ‘buy-to-hold’ or investment to maturity means that a credit risk approach is applied based upon estimations of PD and LGD. For all activities, add-ons for operational risk are calculated. In addition, NIBC allocates economic capital for business risk, reputation risk and model risk on a bank-wide level.</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The economic capital approach differs from the regulatory capital approach, in which only the trading books are assigned a market risk approach. Activities that have a business model equal to distribution or investment for a limited period of time are, in some cases, assigned a credit risk approach in the regulatory capital framework due to Basel II regulations or regulatory industry practice. For these business model categories, NIBC applies a market risk approach in the economic capital framework similar to the trading activities, as for all of these activities the market price becomes relevant at a certain point in time. Risks and economic capital are therefore monitored accordingly.</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lastRenderedPageBreak/>
        <w:t>The main differences between the economic capital and regulatory capital framework exist for the residential mortgage portfolio, the European Structured Credits portfolio and NIBC’s interest rate mismatch position. Economic capital is determined by a market risk approach for these activities because of their business model. The regulatory capital approach for these portfolios is either included in credit risk (mortgages and structured credits) or not included at all within Basel II Pillar I (mismatch position). As economic capital methodology may differ significantly among financial institutions, it is more appropriate to compare the regulatory capital figures in note 59 to the Consolidated Financial Statements for the purpose of industry comparison of market risk and credit risk exposures.</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p w:rsidR="00E92FD7" w:rsidRPr="00E92FD7" w:rsidRDefault="00E92FD7" w:rsidP="00E92FD7">
      <w:pPr>
        <w:spacing w:after="0" w:line="307" w:lineRule="atLeast"/>
        <w:rPr>
          <w:rFonts w:ascii="Times New Roman" w:eastAsia="Times New Roman" w:hAnsi="Times New Roman" w:cs="Times New Roman"/>
          <w:b/>
          <w:bCs/>
          <w:color w:val="152949"/>
          <w:sz w:val="29"/>
          <w:szCs w:val="29"/>
        </w:rPr>
      </w:pPr>
      <w:r w:rsidRPr="00E92FD7">
        <w:rPr>
          <w:rFonts w:ascii="Times New Roman" w:eastAsia="Times New Roman" w:hAnsi="Times New Roman" w:cs="Times New Roman"/>
          <w:b/>
          <w:bCs/>
          <w:color w:val="152949"/>
          <w:sz w:val="29"/>
          <w:szCs w:val="29"/>
        </w:rPr>
        <w:t>Economic Capital Usage</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We allocate economic capital to all our business activities in the form of limits set by the ALCO, and calculate the amount of economic capital usage of each business based on the risk of its activities.</w:t>
      </w:r>
    </w:p>
    <w:p w:rsidR="00E92FD7" w:rsidRPr="00E92FD7" w:rsidRDefault="00E92FD7" w:rsidP="00E92FD7">
      <w:pPr>
        <w:numPr>
          <w:ilvl w:val="0"/>
          <w:numId w:val="1"/>
        </w:numPr>
        <w:spacing w:after="0" w:line="324" w:lineRule="atLeast"/>
        <w:ind w:left="32"/>
        <w:rPr>
          <w:rFonts w:ascii="Times" w:eastAsia="Times New Roman" w:hAnsi="Times" w:cs="Times"/>
          <w:color w:val="152949"/>
          <w:sz w:val="23"/>
          <w:szCs w:val="23"/>
        </w:rPr>
      </w:pPr>
      <w:r w:rsidRPr="00E92FD7">
        <w:rPr>
          <w:rFonts w:ascii="Times" w:eastAsia="Times New Roman" w:hAnsi="Times" w:cs="Times"/>
          <w:color w:val="152949"/>
          <w:sz w:val="23"/>
          <w:szCs w:val="23"/>
        </w:rPr>
        <w:t>For our corporate loan portfolio, which uses a major part of our economic capital, we calculate economic capital usage using a credit risk approach largely based upon the Basel II regulatory capital formula and an add-on for concentration risk;</w:t>
      </w:r>
    </w:p>
    <w:p w:rsidR="00E92FD7" w:rsidRPr="00E92FD7" w:rsidRDefault="00E92FD7" w:rsidP="00E92FD7">
      <w:pPr>
        <w:numPr>
          <w:ilvl w:val="0"/>
          <w:numId w:val="1"/>
        </w:numPr>
        <w:spacing w:after="0" w:line="324" w:lineRule="atLeast"/>
        <w:ind w:left="32"/>
        <w:rPr>
          <w:rFonts w:ascii="Times" w:eastAsia="Times New Roman" w:hAnsi="Times" w:cs="Times"/>
          <w:color w:val="152949"/>
          <w:sz w:val="23"/>
          <w:szCs w:val="23"/>
        </w:rPr>
      </w:pPr>
      <w:r w:rsidRPr="00E92FD7">
        <w:rPr>
          <w:rFonts w:ascii="Times" w:eastAsia="Times New Roman" w:hAnsi="Times" w:cs="Times"/>
          <w:color w:val="152949"/>
          <w:sz w:val="23"/>
          <w:szCs w:val="23"/>
        </w:rPr>
        <w:t xml:space="preserve">For our debt investments and trading portfolios, residential mortgage portfolio and the interest rate mismatch position, we use a market risk approach to determine economic capital usage. We calculate economic capital usage for these portfolios using </w:t>
      </w:r>
      <w:proofErr w:type="spellStart"/>
      <w:r w:rsidRPr="00E92FD7">
        <w:rPr>
          <w:rFonts w:ascii="Times" w:eastAsia="Times New Roman" w:hAnsi="Times" w:cs="Times"/>
          <w:color w:val="152949"/>
          <w:sz w:val="23"/>
          <w:szCs w:val="23"/>
        </w:rPr>
        <w:t>VaR</w:t>
      </w:r>
      <w:proofErr w:type="spellEnd"/>
      <w:r w:rsidRPr="00E92FD7">
        <w:rPr>
          <w:rFonts w:ascii="Times" w:eastAsia="Times New Roman" w:hAnsi="Times" w:cs="Times"/>
          <w:color w:val="152949"/>
          <w:sz w:val="23"/>
          <w:szCs w:val="23"/>
        </w:rPr>
        <w:t xml:space="preserve"> calculated with four years of historical data and scaled to a one-year horizon;</w:t>
      </w:r>
    </w:p>
    <w:p w:rsidR="00E92FD7" w:rsidRPr="00E92FD7" w:rsidRDefault="00E92FD7" w:rsidP="00E92FD7">
      <w:pPr>
        <w:numPr>
          <w:ilvl w:val="0"/>
          <w:numId w:val="1"/>
        </w:numPr>
        <w:spacing w:after="0" w:line="324" w:lineRule="atLeast"/>
        <w:ind w:left="32"/>
        <w:rPr>
          <w:rFonts w:ascii="Times" w:eastAsia="Times New Roman" w:hAnsi="Times" w:cs="Times"/>
          <w:color w:val="152949"/>
          <w:sz w:val="23"/>
          <w:szCs w:val="23"/>
        </w:rPr>
      </w:pPr>
      <w:r w:rsidRPr="00E92FD7">
        <w:rPr>
          <w:rFonts w:ascii="Times" w:eastAsia="Times New Roman" w:hAnsi="Times" w:cs="Times"/>
          <w:color w:val="152949"/>
          <w:sz w:val="23"/>
          <w:szCs w:val="23"/>
        </w:rPr>
        <w:t>For our mezzanine portfolio, we calculate economic capital usage by applying a credit risk approach based upon the Basel II regulatory capital formula; and</w:t>
      </w:r>
    </w:p>
    <w:p w:rsidR="00E92FD7" w:rsidRPr="00E92FD7" w:rsidRDefault="00E92FD7" w:rsidP="00E92FD7">
      <w:pPr>
        <w:numPr>
          <w:ilvl w:val="0"/>
          <w:numId w:val="1"/>
        </w:numPr>
        <w:spacing w:after="0" w:line="324" w:lineRule="atLeast"/>
        <w:ind w:left="32"/>
        <w:rPr>
          <w:rFonts w:ascii="Times" w:eastAsia="Times New Roman" w:hAnsi="Times" w:cs="Times"/>
          <w:color w:val="152949"/>
          <w:sz w:val="23"/>
          <w:szCs w:val="23"/>
        </w:rPr>
      </w:pPr>
      <w:r w:rsidRPr="00E92FD7">
        <w:rPr>
          <w:rFonts w:ascii="Times" w:eastAsia="Times New Roman" w:hAnsi="Times" w:cs="Times"/>
          <w:color w:val="152949"/>
          <w:sz w:val="23"/>
          <w:szCs w:val="23"/>
        </w:rPr>
        <w:t>For our private equity investment portfolio, we use fixed percentages.</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xml:space="preserve">The following table shows the economic capital usage per business </w:t>
      </w:r>
      <w:r w:rsidR="00C33B0D" w:rsidRPr="00E92FD7">
        <w:rPr>
          <w:rFonts w:ascii="Times" w:eastAsia="Times New Roman" w:hAnsi="Times" w:cs="Times"/>
          <w:color w:val="152949"/>
          <w:sz w:val="23"/>
          <w:szCs w:val="23"/>
        </w:rPr>
        <w:t>activity</w:t>
      </w:r>
      <w:r w:rsidRPr="00E92FD7">
        <w:rPr>
          <w:rFonts w:ascii="Times" w:eastAsia="Times New Roman" w:hAnsi="Times" w:cs="Times"/>
          <w:color w:val="152949"/>
          <w:sz w:val="23"/>
          <w:szCs w:val="23"/>
        </w:rPr>
        <w:t>. In its Market Risk Economic Capital calculation, NIBC takes diversification effects into account between credit spread and interest rate risk. Diversification occurs from the fact that not all risks will occur at the same time. Therefore, the sum of economic capital for these market risks on a stand-alone basis will be higher than the amount of economic capital if these risks are combined. This reduction of economic capital is defined as diversification. The economic capital framework does not take into account diversification effects between the different risk categories (credit, market and operational risk).</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xml:space="preserve">The diversification effect in the economic capital calculations is higher in 2008 than in 2007. The reason is an increased diversification effect in 2008 between interest rates and credit spreads, as well as the incorporation of a combined market risk </w:t>
      </w:r>
      <w:proofErr w:type="spellStart"/>
      <w:r w:rsidRPr="00E92FD7">
        <w:rPr>
          <w:rFonts w:ascii="Times" w:eastAsia="Times New Roman" w:hAnsi="Times" w:cs="Times"/>
          <w:color w:val="152949"/>
          <w:sz w:val="23"/>
          <w:szCs w:val="23"/>
        </w:rPr>
        <w:t>VaR</w:t>
      </w:r>
      <w:proofErr w:type="spellEnd"/>
      <w:r w:rsidRPr="00E92FD7">
        <w:rPr>
          <w:rFonts w:ascii="Times" w:eastAsia="Times New Roman" w:hAnsi="Times" w:cs="Times"/>
          <w:color w:val="152949"/>
          <w:sz w:val="23"/>
          <w:szCs w:val="23"/>
        </w:rPr>
        <w:t xml:space="preserve"> framework for residential mortgages and debt investments and trading portfolios. As a result of the latter, diversification effects between these two activities are now measured.</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lastRenderedPageBreak/>
        <w:t> </w:t>
      </w:r>
    </w:p>
    <w:tbl>
      <w:tblPr>
        <w:tblW w:w="0" w:type="auto"/>
        <w:tblCellMar>
          <w:left w:w="0" w:type="dxa"/>
          <w:right w:w="0" w:type="dxa"/>
        </w:tblCellMar>
        <w:tblLook w:val="04A0"/>
      </w:tblPr>
      <w:tblGrid>
        <w:gridCol w:w="6311"/>
        <w:gridCol w:w="14"/>
        <w:gridCol w:w="976"/>
        <w:gridCol w:w="21"/>
        <w:gridCol w:w="976"/>
        <w:gridCol w:w="21"/>
        <w:gridCol w:w="1041"/>
      </w:tblGrid>
      <w:tr w:rsidR="00E92FD7" w:rsidRPr="00E92FD7" w:rsidTr="00E92FD7">
        <w:tc>
          <w:tcPr>
            <w:tcW w:w="0" w:type="auto"/>
            <w:gridSpan w:val="5"/>
            <w:tcBorders>
              <w:top w:val="nil"/>
              <w:left w:val="nil"/>
              <w:bottom w:val="nil"/>
              <w:right w:val="nil"/>
            </w:tcBorders>
            <w:vAlign w:val="center"/>
            <w:hideMark/>
          </w:tcPr>
          <w:p w:rsidR="00E92FD7" w:rsidRPr="00E92FD7" w:rsidRDefault="00E92FD7" w:rsidP="00E92FD7">
            <w:pPr>
              <w:spacing w:after="0" w:line="240" w:lineRule="auto"/>
              <w:rPr>
                <w:rFonts w:ascii="Verdana" w:eastAsia="Times New Roman" w:hAnsi="Verdana" w:cs="Times New Roman"/>
                <w:b/>
                <w:bCs/>
                <w:color w:val="022749"/>
                <w:sz w:val="23"/>
                <w:szCs w:val="23"/>
              </w:rPr>
            </w:pPr>
            <w:r w:rsidRPr="00E92FD7">
              <w:rPr>
                <w:rFonts w:ascii="Verdana" w:eastAsia="Times New Roman" w:hAnsi="Verdana" w:cs="Times New Roman"/>
                <w:b/>
                <w:bCs/>
                <w:color w:val="022749"/>
                <w:sz w:val="23"/>
                <w:szCs w:val="23"/>
              </w:rPr>
              <w:t>Economic capital per business activity</w:t>
            </w:r>
          </w:p>
        </w:tc>
        <w:tc>
          <w:tcPr>
            <w:tcW w:w="0" w:type="auto"/>
            <w:tcBorders>
              <w:top w:val="nil"/>
              <w:left w:val="nil"/>
              <w:bottom w:val="nil"/>
              <w:right w:val="nil"/>
            </w:tcBorders>
            <w:vAlign w:val="center"/>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r>
      <w:tr w:rsidR="00E92FD7" w:rsidRPr="00E92FD7" w:rsidTr="00E92FD7">
        <w:tc>
          <w:tcPr>
            <w:tcW w:w="0" w:type="auto"/>
            <w:tcBorders>
              <w:top w:val="single" w:sz="6" w:space="0" w:color="022749"/>
              <w:left w:val="nil"/>
              <w:bottom w:val="single" w:sz="6" w:space="0" w:color="022749"/>
              <w:right w:val="nil"/>
            </w:tcBorders>
            <w:tcMar>
              <w:top w:w="32" w:type="dxa"/>
              <w:left w:w="0" w:type="dxa"/>
              <w:bottom w:w="32" w:type="dxa"/>
              <w:right w:w="0" w:type="dxa"/>
            </w:tcMar>
            <w:vAlign w:val="bottom"/>
            <w:hideMark/>
          </w:tcPr>
          <w:p w:rsidR="00E92FD7" w:rsidRPr="00E92FD7" w:rsidRDefault="00E92FD7" w:rsidP="00E92FD7">
            <w:pPr>
              <w:spacing w:after="0" w:line="240" w:lineRule="auto"/>
              <w:rPr>
                <w:rFonts w:ascii="Verdana" w:eastAsia="Times New Roman" w:hAnsi="Verdana" w:cs="Times New Roman"/>
                <w:caps/>
                <w:color w:val="022749"/>
                <w:sz w:val="15"/>
                <w:szCs w:val="15"/>
              </w:rPr>
            </w:pPr>
            <w:r w:rsidRPr="00E92FD7">
              <w:rPr>
                <w:rFonts w:ascii="Verdana" w:eastAsia="Times New Roman" w:hAnsi="Verdana" w:cs="Times New Roman"/>
                <w:caps/>
                <w:color w:val="022749"/>
                <w:sz w:val="15"/>
                <w:szCs w:val="15"/>
              </w:rPr>
              <w:t>IN EUR MILLIONS</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133" w:type="dxa"/>
            <w:tcBorders>
              <w:top w:val="single" w:sz="6" w:space="0" w:color="022749"/>
              <w:left w:val="single" w:sz="6" w:space="0" w:color="022749"/>
              <w:bottom w:val="single" w:sz="6" w:space="0" w:color="022749"/>
              <w:right w:val="single" w:sz="6" w:space="0" w:color="022749"/>
            </w:tcBorders>
            <w:shd w:val="clear" w:color="auto" w:fill="022749"/>
            <w:tcMar>
              <w:top w:w="32" w:type="dxa"/>
              <w:left w:w="0" w:type="dxa"/>
              <w:bottom w:w="65"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FFFFFF"/>
                <w:sz w:val="18"/>
                <w:szCs w:val="18"/>
              </w:rPr>
            </w:pPr>
            <w:r w:rsidRPr="00E92FD7">
              <w:rPr>
                <w:rFonts w:ascii="Verdana" w:eastAsia="Times New Roman" w:hAnsi="Verdana" w:cs="Times New Roman"/>
                <w:color w:val="FFFFFF"/>
                <w:sz w:val="18"/>
                <w:szCs w:val="18"/>
              </w:rPr>
              <w:t>2008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133"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65"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FFFFFF"/>
                <w:sz w:val="18"/>
                <w:szCs w:val="18"/>
              </w:rPr>
            </w:pPr>
            <w:r w:rsidRPr="00E92FD7">
              <w:rPr>
                <w:rFonts w:ascii="Verdana" w:eastAsia="Times New Roman" w:hAnsi="Verdana" w:cs="Times New Roman"/>
                <w:color w:val="FFFFFF"/>
                <w:sz w:val="18"/>
                <w:szCs w:val="18"/>
              </w:rPr>
              <w:t>2007</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single" w:sz="6" w:space="0" w:color="022749"/>
              <w:left w:val="nil"/>
              <w:bottom w:val="single" w:sz="6" w:space="0" w:color="022749"/>
              <w:right w:val="nil"/>
            </w:tcBorders>
            <w:tcMar>
              <w:top w:w="32" w:type="dxa"/>
              <w:left w:w="0" w:type="dxa"/>
              <w:bottom w:w="32" w:type="dxa"/>
              <w:right w:w="0" w:type="dxa"/>
            </w:tcMar>
            <w:vAlign w:val="bottom"/>
            <w:hideMark/>
          </w:tcPr>
          <w:p w:rsidR="00E92FD7" w:rsidRPr="00E92FD7" w:rsidRDefault="00E92FD7" w:rsidP="00E92FD7">
            <w:pPr>
              <w:spacing w:after="0" w:line="210" w:lineRule="atLeast"/>
              <w:jc w:val="right"/>
              <w:rPr>
                <w:rFonts w:ascii="Verdana" w:eastAsia="Times New Roman" w:hAnsi="Verdana" w:cs="Times New Roman"/>
                <w:color w:val="022749"/>
                <w:sz w:val="18"/>
                <w:szCs w:val="18"/>
              </w:rPr>
            </w:pPr>
            <w:r w:rsidRPr="00E92FD7">
              <w:rPr>
                <w:rFonts w:ascii="Verdana" w:eastAsia="Times New Roman" w:hAnsi="Verdana" w:cs="Times New Roman"/>
                <w:color w:val="022749"/>
                <w:sz w:val="18"/>
                <w:szCs w:val="18"/>
              </w:rPr>
              <w:t>Difference (in %)</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Corporate loan portfolio</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428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518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(17)</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Residential mortgage portfolio</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280</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239</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17</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Debt investments and trading portfolio</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241</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176</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36</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Mezzanine and private equity portfolio</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201</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151</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33</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Interest rate mismatch portfolio</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122</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104</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17</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Operational and other risk</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95</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122</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(22)</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Reputation risk</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100</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100</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0</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Business risk</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100</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100</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0</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Model risk</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20</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20</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0</w:t>
            </w:r>
          </w:p>
        </w:tc>
      </w:tr>
      <w:tr w:rsidR="00E92FD7" w:rsidRPr="00E92FD7" w:rsidTr="00E92FD7">
        <w:tc>
          <w:tcPr>
            <w:tcW w:w="4854" w:type="dxa"/>
            <w:tcBorders>
              <w:top w:val="single" w:sz="6" w:space="0" w:color="022749"/>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8"/>
                <w:szCs w:val="18"/>
              </w:rPr>
            </w:pPr>
            <w:r w:rsidRPr="00E92FD7">
              <w:rPr>
                <w:rFonts w:ascii="Verdana" w:eastAsia="Times New Roman" w:hAnsi="Verdana" w:cs="Times New Roman"/>
                <w:b/>
                <w:bCs/>
                <w:caps/>
                <w:color w:val="022749"/>
                <w:sz w:val="18"/>
                <w:szCs w:val="18"/>
              </w:rPr>
              <w:t>ECONOMIC CAPITAL USAGE</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single" w:sz="6" w:space="0" w:color="022749"/>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1,585</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single" w:sz="6" w:space="0" w:color="022749"/>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1,530</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single" w:sz="6" w:space="0" w:color="022749"/>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4</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Diversification effect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(295)</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(122)</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141</w:t>
            </w:r>
          </w:p>
        </w:tc>
      </w:tr>
      <w:tr w:rsidR="00E92FD7" w:rsidRPr="00E92FD7" w:rsidTr="00E92FD7">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133"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133"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133"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r>
      <w:tr w:rsidR="00E92FD7" w:rsidRPr="00E92FD7" w:rsidTr="00E92FD7">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9"/>
                <w:szCs w:val="19"/>
              </w:rPr>
            </w:pPr>
            <w:r w:rsidRPr="00E92FD7">
              <w:rPr>
                <w:rFonts w:ascii="Verdana" w:eastAsia="Times New Roman" w:hAnsi="Verdana" w:cs="Times New Roman"/>
                <w:b/>
                <w:bCs/>
                <w:caps/>
                <w:color w:val="022749"/>
                <w:sz w:val="19"/>
                <w:szCs w:val="19"/>
              </w:rPr>
              <w:t>TOTAL ECONOMIC CAPITAL USAGE NET OF DIVERSIFICATION EFFECT AT 31 DECEMBER</w:t>
            </w:r>
          </w:p>
        </w:tc>
        <w:tc>
          <w:tcPr>
            <w:tcW w:w="0" w:type="auto"/>
            <w:tcBorders>
              <w:top w:val="nil"/>
              <w:left w:val="nil"/>
              <w:bottom w:val="single" w:sz="6" w:space="0" w:color="022749"/>
              <w:right w:val="nil"/>
            </w:tcBorders>
            <w:vAlign w:val="center"/>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c>
          <w:tcPr>
            <w:tcW w:w="0" w:type="auto"/>
            <w:tcBorders>
              <w:top w:val="nil"/>
              <w:left w:val="nil"/>
              <w:bottom w:val="single" w:sz="6" w:space="0" w:color="022749"/>
              <w:right w:val="nil"/>
            </w:tcBorders>
            <w:tcMar>
              <w:top w:w="0" w:type="dxa"/>
              <w:left w:w="162"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1,290</w:t>
            </w:r>
          </w:p>
        </w:tc>
        <w:tc>
          <w:tcPr>
            <w:tcW w:w="0" w:type="auto"/>
            <w:tcBorders>
              <w:top w:val="nil"/>
              <w:left w:val="nil"/>
              <w:bottom w:val="single" w:sz="6" w:space="0" w:color="022749"/>
              <w:right w:val="nil"/>
            </w:tcBorders>
            <w:vAlign w:val="center"/>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c>
          <w:tcPr>
            <w:tcW w:w="0" w:type="auto"/>
            <w:tcBorders>
              <w:top w:val="nil"/>
              <w:left w:val="nil"/>
              <w:bottom w:val="single" w:sz="6" w:space="0" w:color="022749"/>
              <w:right w:val="nil"/>
            </w:tcBorders>
            <w:tcMar>
              <w:top w:w="0" w:type="dxa"/>
              <w:left w:w="162"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1,408</w:t>
            </w:r>
          </w:p>
        </w:tc>
        <w:tc>
          <w:tcPr>
            <w:tcW w:w="0" w:type="auto"/>
            <w:tcBorders>
              <w:top w:val="nil"/>
              <w:left w:val="nil"/>
              <w:bottom w:val="single" w:sz="6" w:space="0" w:color="022749"/>
              <w:right w:val="nil"/>
            </w:tcBorders>
            <w:vAlign w:val="center"/>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c>
          <w:tcPr>
            <w:tcW w:w="0" w:type="auto"/>
            <w:tcBorders>
              <w:top w:val="nil"/>
              <w:left w:val="nil"/>
              <w:bottom w:val="single" w:sz="6" w:space="0" w:color="022749"/>
              <w:right w:val="nil"/>
            </w:tcBorders>
            <w:tcMar>
              <w:top w:w="0" w:type="dxa"/>
              <w:left w:w="162"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(8)</w:t>
            </w:r>
          </w:p>
        </w:tc>
      </w:tr>
    </w:tbl>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The changes in the usage of economic capital at year-end 2008 are owed to a variety of factors. The decrease of 17% noted for our corporate loan portfolio was the result of a decline in the size of this portfolio during 2008.</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xml:space="preserve">On the other hand, the usage of the residential mortgage portfolio increased by 17%. This increase was due to the increased credit spread volatility in 2008. The market risk methodology for these assets is based upon the most advantageous methodology under IFRS. Instead of applying a </w:t>
      </w:r>
      <w:proofErr w:type="spellStart"/>
      <w:r w:rsidRPr="00E92FD7">
        <w:rPr>
          <w:rFonts w:ascii="Times" w:eastAsia="Times New Roman" w:hAnsi="Times" w:cs="Times"/>
          <w:color w:val="152949"/>
          <w:sz w:val="23"/>
          <w:szCs w:val="23"/>
        </w:rPr>
        <w:t>securitisation</w:t>
      </w:r>
      <w:proofErr w:type="spellEnd"/>
      <w:r w:rsidRPr="00E92FD7">
        <w:rPr>
          <w:rFonts w:ascii="Times" w:eastAsia="Times New Roman" w:hAnsi="Times" w:cs="Times"/>
          <w:color w:val="152949"/>
          <w:sz w:val="23"/>
          <w:szCs w:val="23"/>
        </w:rPr>
        <w:t xml:space="preserve"> exit model based upon RMBS spreads, NIBC now uses an approach based upon the origination spreads of residential mortgages.</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xml:space="preserve">Furthermore, the economic capital usage of our debt investments and trading portfolios increased by 36%. Despite further de-risking of these portfolios in 2008, economic capital usage of </w:t>
      </w:r>
      <w:proofErr w:type="gramStart"/>
      <w:r w:rsidRPr="00E92FD7">
        <w:rPr>
          <w:rFonts w:ascii="Times" w:eastAsia="Times New Roman" w:hAnsi="Times" w:cs="Times"/>
          <w:color w:val="152949"/>
          <w:sz w:val="23"/>
          <w:szCs w:val="23"/>
        </w:rPr>
        <w:t>these  activities</w:t>
      </w:r>
      <w:proofErr w:type="gramEnd"/>
      <w:r w:rsidRPr="00E92FD7">
        <w:rPr>
          <w:rFonts w:ascii="Times" w:eastAsia="Times New Roman" w:hAnsi="Times" w:cs="Times"/>
          <w:color w:val="152949"/>
          <w:sz w:val="23"/>
          <w:szCs w:val="23"/>
        </w:rPr>
        <w:t xml:space="preserve"> rose as a result of increased credit spread and interest rate volatility in 2008.</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An increase (of 33%) was also noted for the mezzanine and private equity portfolio due to the growth in the size of these portfolios.</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xml:space="preserve">Lastly, the economic capital </w:t>
      </w:r>
      <w:proofErr w:type="gramStart"/>
      <w:r w:rsidRPr="00E92FD7">
        <w:rPr>
          <w:rFonts w:ascii="Times" w:eastAsia="Times New Roman" w:hAnsi="Times" w:cs="Times"/>
          <w:color w:val="152949"/>
          <w:sz w:val="23"/>
          <w:szCs w:val="23"/>
        </w:rPr>
        <w:t>usage of our interest rate mismatch</w:t>
      </w:r>
      <w:proofErr w:type="gramEnd"/>
      <w:r w:rsidRPr="00E92FD7">
        <w:rPr>
          <w:rFonts w:ascii="Times" w:eastAsia="Times New Roman" w:hAnsi="Times" w:cs="Times"/>
          <w:color w:val="152949"/>
          <w:sz w:val="23"/>
          <w:szCs w:val="23"/>
        </w:rPr>
        <w:t xml:space="preserve"> position increased by 17%, because of an increase in interest rate volatility in 2008.</w:t>
      </w:r>
    </w:p>
    <w:p w:rsidR="00E92FD7" w:rsidRPr="00E92FD7" w:rsidRDefault="00E92FD7" w:rsidP="00E92FD7">
      <w:pPr>
        <w:spacing w:after="0" w:line="421" w:lineRule="atLeast"/>
        <w:rPr>
          <w:rFonts w:ascii="Times New Roman" w:eastAsia="Times New Roman" w:hAnsi="Times New Roman" w:cs="Times New Roman"/>
          <w:color w:val="022749"/>
          <w:sz w:val="36"/>
          <w:szCs w:val="36"/>
        </w:rPr>
      </w:pPr>
      <w:r w:rsidRPr="00E92FD7">
        <w:rPr>
          <w:rFonts w:ascii="Times New Roman" w:eastAsia="Times New Roman" w:hAnsi="Times New Roman" w:cs="Times New Roman"/>
          <w:color w:val="022749"/>
          <w:sz w:val="36"/>
          <w:szCs w:val="36"/>
        </w:rPr>
        <w:t>Capital</w:t>
      </w:r>
      <w:r w:rsidRPr="00E92FD7">
        <w:rPr>
          <w:rFonts w:ascii="Times New Roman" w:eastAsia="Times New Roman" w:hAnsi="Times New Roman" w:cs="Times New Roman"/>
          <w:color w:val="022749"/>
          <w:sz w:val="36"/>
        </w:rPr>
        <w:t> </w:t>
      </w:r>
      <w:r w:rsidRPr="00E92FD7">
        <w:rPr>
          <w:rFonts w:ascii="Times New Roman" w:eastAsia="Times New Roman" w:hAnsi="Times New Roman" w:cs="Times New Roman"/>
          <w:color w:val="48A4D4"/>
          <w:sz w:val="36"/>
        </w:rPr>
        <w:t>adequacy</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The capital adequacy of NIBC is managed at the NIBC Holding level.</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lastRenderedPageBreak/>
        <w:t>The principal ratios for reviewing the capital adequacy of NIBC are the Tier-1 ratio and the BIS ratio. These ratios, which were implemented by the</w:t>
      </w:r>
      <w:r w:rsidRPr="00E92FD7">
        <w:rPr>
          <w:rFonts w:ascii="Times" w:eastAsia="Times New Roman" w:hAnsi="Times" w:cs="Times"/>
          <w:color w:val="152949"/>
          <w:sz w:val="23"/>
        </w:rPr>
        <w:t> </w:t>
      </w:r>
      <w:r w:rsidRPr="00E92FD7">
        <w:rPr>
          <w:rFonts w:ascii="Times" w:eastAsia="Times New Roman" w:hAnsi="Times" w:cs="Times"/>
          <w:i/>
          <w:iCs/>
          <w:color w:val="152949"/>
          <w:sz w:val="23"/>
        </w:rPr>
        <w:t>Bank for International Settlements</w:t>
      </w:r>
      <w:r w:rsidRPr="00E92FD7">
        <w:rPr>
          <w:rFonts w:ascii="Times" w:eastAsia="Times New Roman" w:hAnsi="Times" w:cs="Times"/>
          <w:color w:val="152949"/>
          <w:sz w:val="23"/>
        </w:rPr>
        <w:t> </w:t>
      </w:r>
      <w:r w:rsidRPr="00E92FD7">
        <w:rPr>
          <w:rFonts w:ascii="Times" w:eastAsia="Times New Roman" w:hAnsi="Times" w:cs="Times"/>
          <w:color w:val="152949"/>
          <w:sz w:val="23"/>
          <w:szCs w:val="23"/>
        </w:rPr>
        <w:t>(</w:t>
      </w:r>
      <w:r w:rsidRPr="00E92FD7">
        <w:rPr>
          <w:rFonts w:ascii="Times" w:eastAsia="Times New Roman" w:hAnsi="Times" w:cs="Times"/>
          <w:b/>
          <w:bCs/>
          <w:color w:val="152949"/>
          <w:sz w:val="23"/>
        </w:rPr>
        <w:t>BIS</w:t>
      </w:r>
      <w:r w:rsidRPr="00E92FD7">
        <w:rPr>
          <w:rFonts w:ascii="Times" w:eastAsia="Times New Roman" w:hAnsi="Times" w:cs="Times"/>
          <w:color w:val="152949"/>
          <w:sz w:val="23"/>
          <w:szCs w:val="23"/>
        </w:rPr>
        <w:t>), are intended to promote comparability between financial institutions. They are based on the Basel Capital II Accord.</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NIBC monitors developments in the ratios on a monthly basis, including comparison between the expected ratios and the actual ratios. These ratios indicate capital adequacy to mitigate on-balance credit risks, including off-balance sheet commitments, market risks, operational risks and other risk positions expressed as risk-weighted items in order to reflect their relative risk.</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During the year ended 31 December 2008, NIBC complied amply with the capital requirements imposed by the Dutch Central Bank, which require a minimum Tier-1 ratio of 4% and a minimum BIS ratio of 8%.</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The Tier-1 ratio is defined as Tier-1 capital divided by</w:t>
      </w:r>
      <w:r w:rsidRPr="00E92FD7">
        <w:rPr>
          <w:rFonts w:ascii="Times" w:eastAsia="Times New Roman" w:hAnsi="Times" w:cs="Times"/>
          <w:color w:val="152949"/>
          <w:sz w:val="23"/>
        </w:rPr>
        <w:t> </w:t>
      </w:r>
      <w:r w:rsidRPr="00E92FD7">
        <w:rPr>
          <w:rFonts w:ascii="Times" w:eastAsia="Times New Roman" w:hAnsi="Times" w:cs="Times"/>
          <w:i/>
          <w:iCs/>
          <w:color w:val="152949"/>
          <w:sz w:val="23"/>
        </w:rPr>
        <w:t>Risk Weighted Assets</w:t>
      </w:r>
      <w:r w:rsidRPr="00E92FD7">
        <w:rPr>
          <w:rFonts w:ascii="Times" w:eastAsia="Times New Roman" w:hAnsi="Times" w:cs="Times"/>
          <w:color w:val="152949"/>
          <w:sz w:val="23"/>
        </w:rPr>
        <w:t> </w:t>
      </w:r>
      <w:r w:rsidRPr="00E92FD7">
        <w:rPr>
          <w:rFonts w:ascii="Times" w:eastAsia="Times New Roman" w:hAnsi="Times" w:cs="Times"/>
          <w:color w:val="152949"/>
          <w:sz w:val="23"/>
          <w:szCs w:val="23"/>
        </w:rPr>
        <w:t>(</w:t>
      </w:r>
      <w:r w:rsidRPr="00E92FD7">
        <w:rPr>
          <w:rFonts w:ascii="Times" w:eastAsia="Times New Roman" w:hAnsi="Times" w:cs="Times"/>
          <w:b/>
          <w:bCs/>
          <w:color w:val="152949"/>
          <w:sz w:val="23"/>
        </w:rPr>
        <w:t>RWA</w:t>
      </w:r>
      <w:r w:rsidRPr="00E92FD7">
        <w:rPr>
          <w:rFonts w:ascii="Times" w:eastAsia="Times New Roman" w:hAnsi="Times" w:cs="Times"/>
          <w:color w:val="152949"/>
          <w:sz w:val="23"/>
          <w:szCs w:val="23"/>
        </w:rPr>
        <w:t>). The BIS ratio is defined as Total Capital (which is the sum of Tier-1 capital and Tier-2 capital) divided by RWA.</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The Tier-1 ratio increased from 12.0% (2007, actual) to 16.6% (2008, actual) and the BIS ratio increased from 13.8% (2007, actual) to 18.9% (2008, actual).</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The following table shows the summary of capital ratios and RWA for NIBC.</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tbl>
      <w:tblPr>
        <w:tblW w:w="0" w:type="auto"/>
        <w:tblCellMar>
          <w:top w:w="15" w:type="dxa"/>
          <w:left w:w="15" w:type="dxa"/>
          <w:bottom w:w="15" w:type="dxa"/>
          <w:right w:w="15" w:type="dxa"/>
        </w:tblCellMar>
        <w:tblLook w:val="04A0"/>
      </w:tblPr>
      <w:tblGrid>
        <w:gridCol w:w="6236"/>
        <w:gridCol w:w="14"/>
        <w:gridCol w:w="1010"/>
        <w:gridCol w:w="21"/>
        <w:gridCol w:w="1044"/>
        <w:gridCol w:w="21"/>
        <w:gridCol w:w="1044"/>
      </w:tblGrid>
      <w:tr w:rsidR="00E92FD7" w:rsidRPr="00E92FD7" w:rsidTr="00E92FD7">
        <w:tc>
          <w:tcPr>
            <w:tcW w:w="0" w:type="auto"/>
            <w:gridSpan w:val="7"/>
            <w:vAlign w:val="center"/>
            <w:hideMark/>
          </w:tcPr>
          <w:p w:rsidR="00E92FD7" w:rsidRPr="00E92FD7" w:rsidRDefault="00E92FD7" w:rsidP="00E92FD7">
            <w:pPr>
              <w:spacing w:after="0" w:line="240" w:lineRule="auto"/>
              <w:rPr>
                <w:rFonts w:ascii="Trebuchet MS" w:eastAsia="Times New Roman" w:hAnsi="Trebuchet MS" w:cs="Times New Roman"/>
                <w:b/>
                <w:bCs/>
                <w:color w:val="022749"/>
                <w:sz w:val="23"/>
                <w:szCs w:val="23"/>
              </w:rPr>
            </w:pPr>
            <w:r w:rsidRPr="00E92FD7">
              <w:rPr>
                <w:rFonts w:ascii="Trebuchet MS" w:eastAsia="Times New Roman" w:hAnsi="Trebuchet MS" w:cs="Times New Roman"/>
                <w:b/>
                <w:bCs/>
                <w:color w:val="022749"/>
                <w:sz w:val="23"/>
                <w:szCs w:val="23"/>
              </w:rPr>
              <w:t>NIBC capital ratios</w:t>
            </w:r>
          </w:p>
        </w:tc>
      </w:tr>
      <w:tr w:rsidR="00E92FD7" w:rsidRPr="00E92FD7" w:rsidTr="00E92FD7">
        <w:tc>
          <w:tcPr>
            <w:tcW w:w="0" w:type="auto"/>
            <w:vMerge w:val="restart"/>
            <w:tcBorders>
              <w:top w:val="single" w:sz="6" w:space="0" w:color="022749"/>
              <w:bottom w:val="single" w:sz="6" w:space="0" w:color="022749"/>
            </w:tcBorders>
            <w:tcMar>
              <w:top w:w="32" w:type="dxa"/>
              <w:left w:w="0" w:type="dxa"/>
              <w:bottom w:w="32" w:type="dxa"/>
              <w:right w:w="0" w:type="dxa"/>
            </w:tcMar>
            <w:vAlign w:val="bottom"/>
            <w:hideMark/>
          </w:tcPr>
          <w:p w:rsidR="00E92FD7" w:rsidRPr="00E92FD7" w:rsidRDefault="00E92FD7" w:rsidP="00E92FD7">
            <w:pPr>
              <w:spacing w:after="0" w:line="240" w:lineRule="auto"/>
              <w:rPr>
                <w:rFonts w:ascii="Trebuchet MS" w:eastAsia="Times New Roman" w:hAnsi="Trebuchet MS" w:cs="Times New Roman"/>
                <w:caps/>
                <w:color w:val="022749"/>
                <w:sz w:val="15"/>
                <w:szCs w:val="15"/>
              </w:rPr>
            </w:pPr>
            <w:r w:rsidRPr="00E92FD7">
              <w:rPr>
                <w:rFonts w:ascii="Trebuchet MS" w:eastAsia="Times New Roman" w:hAnsi="Trebuchet MS" w:cs="Times New Roman"/>
                <w:caps/>
                <w:color w:val="022749"/>
                <w:sz w:val="15"/>
                <w:szCs w:val="15"/>
              </w:rPr>
              <w:t>IN EUR MILLIONS</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1010" w:type="dxa"/>
            <w:tcBorders>
              <w:top w:val="single" w:sz="6" w:space="0" w:color="022749"/>
              <w:left w:val="single" w:sz="6" w:space="0" w:color="022749"/>
              <w:bottom w:val="single" w:sz="6" w:space="0" w:color="022749"/>
              <w:right w:val="single" w:sz="6" w:space="0" w:color="022749"/>
            </w:tcBorders>
            <w:shd w:val="clear" w:color="auto" w:fill="022749"/>
            <w:tcMar>
              <w:top w:w="32" w:type="dxa"/>
              <w:left w:w="0" w:type="dxa"/>
              <w:bottom w:w="65"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FFFFFF"/>
                <w:sz w:val="18"/>
                <w:szCs w:val="18"/>
              </w:rPr>
            </w:pPr>
            <w:r w:rsidRPr="00E92FD7">
              <w:rPr>
                <w:rFonts w:ascii="Trebuchet MS" w:eastAsia="Times New Roman" w:hAnsi="Trebuchet MS" w:cs="Times New Roman"/>
                <w:color w:val="FFFFFF"/>
                <w:sz w:val="18"/>
                <w:szCs w:val="18"/>
              </w:rPr>
              <w:t>2008</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2109" w:type="dxa"/>
            <w:gridSpan w:val="3"/>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65"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FFFFFF"/>
                <w:sz w:val="18"/>
                <w:szCs w:val="18"/>
              </w:rPr>
            </w:pPr>
            <w:r w:rsidRPr="00E92FD7">
              <w:rPr>
                <w:rFonts w:ascii="Trebuchet MS" w:eastAsia="Times New Roman" w:hAnsi="Trebuchet MS" w:cs="Times New Roman"/>
                <w:color w:val="FFFFFF"/>
                <w:sz w:val="18"/>
                <w:szCs w:val="18"/>
              </w:rPr>
              <w:t>2007</w:t>
            </w:r>
          </w:p>
        </w:tc>
      </w:tr>
      <w:tr w:rsidR="00E92FD7" w:rsidRPr="00E92FD7" w:rsidTr="00E92FD7">
        <w:tc>
          <w:tcPr>
            <w:tcW w:w="0" w:type="auto"/>
            <w:vMerge/>
            <w:tcBorders>
              <w:top w:val="single" w:sz="6" w:space="0" w:color="022749"/>
              <w:bottom w:val="single" w:sz="6" w:space="0" w:color="022749"/>
            </w:tcBorders>
            <w:vAlign w:val="center"/>
            <w:hideMark/>
          </w:tcPr>
          <w:p w:rsidR="00E92FD7" w:rsidRPr="00E92FD7" w:rsidRDefault="00E92FD7" w:rsidP="00E92FD7">
            <w:pPr>
              <w:spacing w:after="0" w:line="240" w:lineRule="auto"/>
              <w:rPr>
                <w:rFonts w:ascii="Trebuchet MS" w:eastAsia="Times New Roman" w:hAnsi="Trebuchet MS" w:cs="Times New Roman"/>
                <w:caps/>
                <w:color w:val="022749"/>
                <w:sz w:val="15"/>
                <w:szCs w:val="15"/>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1010" w:type="dxa"/>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10" w:lineRule="atLeast"/>
              <w:jc w:val="right"/>
              <w:rPr>
                <w:rFonts w:ascii="Trebuchet MS" w:eastAsia="Times New Roman" w:hAnsi="Trebuchet MS" w:cs="Times New Roman"/>
                <w:color w:val="022749"/>
                <w:sz w:val="18"/>
                <w:szCs w:val="18"/>
              </w:rPr>
            </w:pPr>
            <w:r w:rsidRPr="00E92FD7">
              <w:rPr>
                <w:rFonts w:ascii="Trebuchet MS" w:eastAsia="Times New Roman" w:hAnsi="Trebuchet MS" w:cs="Times New Roman"/>
                <w:color w:val="022749"/>
                <w:sz w:val="18"/>
                <w:szCs w:val="18"/>
              </w:rPr>
              <w:t>Basel II</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1044" w:type="dxa"/>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10" w:lineRule="atLeast"/>
              <w:jc w:val="right"/>
              <w:rPr>
                <w:rFonts w:ascii="Trebuchet MS" w:eastAsia="Times New Roman" w:hAnsi="Trebuchet MS" w:cs="Times New Roman"/>
                <w:color w:val="48A4D4"/>
                <w:sz w:val="16"/>
                <w:szCs w:val="16"/>
              </w:rPr>
            </w:pPr>
            <w:r w:rsidRPr="00E92FD7">
              <w:rPr>
                <w:rFonts w:ascii="Trebuchet MS" w:eastAsia="Times New Roman" w:hAnsi="Trebuchet MS" w:cs="Times New Roman"/>
                <w:color w:val="48A4D4"/>
                <w:sz w:val="16"/>
                <w:szCs w:val="16"/>
              </w:rPr>
              <w:t>Basel II</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1044" w:type="dxa"/>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10" w:lineRule="atLeast"/>
              <w:jc w:val="right"/>
              <w:rPr>
                <w:rFonts w:ascii="Trebuchet MS" w:eastAsia="Times New Roman" w:hAnsi="Trebuchet MS" w:cs="Times New Roman"/>
                <w:color w:val="48A4D4"/>
                <w:sz w:val="16"/>
                <w:szCs w:val="16"/>
              </w:rPr>
            </w:pPr>
            <w:r w:rsidRPr="00E92FD7">
              <w:rPr>
                <w:rFonts w:ascii="Trebuchet MS" w:eastAsia="Times New Roman" w:hAnsi="Trebuchet MS" w:cs="Times New Roman"/>
                <w:color w:val="48A4D4"/>
                <w:sz w:val="16"/>
                <w:szCs w:val="16"/>
              </w:rPr>
              <w:t>Basel I</w:t>
            </w:r>
          </w:p>
        </w:tc>
      </w:tr>
      <w:tr w:rsidR="00E92FD7" w:rsidRPr="00E92FD7" w:rsidTr="00E92FD7">
        <w:tc>
          <w:tcPr>
            <w:tcW w:w="0" w:type="auto"/>
            <w:vMerge/>
            <w:tcBorders>
              <w:top w:val="single" w:sz="6" w:space="0" w:color="022749"/>
              <w:bottom w:val="single" w:sz="6" w:space="0" w:color="022749"/>
            </w:tcBorders>
            <w:vAlign w:val="center"/>
            <w:hideMark/>
          </w:tcPr>
          <w:p w:rsidR="00E92FD7" w:rsidRPr="00E92FD7" w:rsidRDefault="00E92FD7" w:rsidP="00E92FD7">
            <w:pPr>
              <w:spacing w:after="0" w:line="240" w:lineRule="auto"/>
              <w:rPr>
                <w:rFonts w:ascii="Trebuchet MS" w:eastAsia="Times New Roman" w:hAnsi="Trebuchet MS" w:cs="Times New Roman"/>
                <w:caps/>
                <w:color w:val="022749"/>
                <w:sz w:val="15"/>
                <w:szCs w:val="15"/>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10" w:lineRule="atLeast"/>
              <w:jc w:val="right"/>
              <w:rPr>
                <w:rFonts w:ascii="Trebuchet MS" w:eastAsia="Times New Roman" w:hAnsi="Trebuchet MS" w:cs="Times New Roman"/>
                <w:color w:val="022749"/>
                <w:sz w:val="18"/>
                <w:szCs w:val="18"/>
              </w:rPr>
            </w:pPr>
            <w:r w:rsidRPr="00E92FD7">
              <w:rPr>
                <w:rFonts w:ascii="Trebuchet MS" w:eastAsia="Times New Roman" w:hAnsi="Trebuchet MS" w:cs="Times New Roman"/>
                <w:color w:val="022749"/>
                <w:sz w:val="18"/>
                <w:szCs w:val="18"/>
              </w:rPr>
              <w:t>Actual</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10" w:lineRule="atLeast"/>
              <w:jc w:val="right"/>
              <w:rPr>
                <w:rFonts w:ascii="Trebuchet MS" w:eastAsia="Times New Roman" w:hAnsi="Trebuchet MS" w:cs="Times New Roman"/>
                <w:color w:val="48A4D4"/>
                <w:sz w:val="16"/>
                <w:szCs w:val="16"/>
              </w:rPr>
            </w:pPr>
            <w:r w:rsidRPr="00E92FD7">
              <w:rPr>
                <w:rFonts w:ascii="Trebuchet MS" w:eastAsia="Times New Roman" w:hAnsi="Trebuchet MS" w:cs="Times New Roman"/>
                <w:color w:val="48A4D4"/>
                <w:sz w:val="16"/>
                <w:szCs w:val="16"/>
              </w:rPr>
              <w:t>Pro-forma</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10" w:lineRule="atLeast"/>
              <w:jc w:val="right"/>
              <w:rPr>
                <w:rFonts w:ascii="Trebuchet MS" w:eastAsia="Times New Roman" w:hAnsi="Trebuchet MS" w:cs="Times New Roman"/>
                <w:color w:val="48A4D4"/>
                <w:sz w:val="16"/>
                <w:szCs w:val="16"/>
              </w:rPr>
            </w:pPr>
            <w:r w:rsidRPr="00E92FD7">
              <w:rPr>
                <w:rFonts w:ascii="Trebuchet MS" w:eastAsia="Times New Roman" w:hAnsi="Trebuchet MS" w:cs="Times New Roman"/>
                <w:color w:val="48A4D4"/>
                <w:sz w:val="16"/>
                <w:szCs w:val="16"/>
              </w:rPr>
              <w:t>Actual</w:t>
            </w:r>
          </w:p>
        </w:tc>
      </w:tr>
      <w:tr w:rsidR="00E92FD7" w:rsidRPr="00E92FD7" w:rsidTr="00E92FD7">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r>
      <w:tr w:rsidR="00E92FD7" w:rsidRPr="00E92FD7" w:rsidTr="00E92FD7">
        <w:tc>
          <w:tcPr>
            <w:tcW w:w="6236" w:type="dxa"/>
            <w:tcMar>
              <w:top w:w="32" w:type="dxa"/>
              <w:left w:w="0" w:type="dxa"/>
              <w:bottom w:w="32" w:type="dxa"/>
              <w:right w:w="0" w:type="dxa"/>
            </w:tcMar>
            <w:vAlign w:val="center"/>
            <w:hideMark/>
          </w:tcPr>
          <w:p w:rsidR="00E92FD7" w:rsidRPr="00E92FD7" w:rsidRDefault="00E92FD7" w:rsidP="00E92FD7">
            <w:pPr>
              <w:spacing w:after="0" w:line="240" w:lineRule="auto"/>
              <w:rPr>
                <w:rFonts w:ascii="Trebuchet MS" w:eastAsia="Times New Roman" w:hAnsi="Trebuchet MS" w:cs="Times New Roman"/>
                <w:caps/>
                <w:color w:val="48A4D4"/>
                <w:sz w:val="18"/>
                <w:szCs w:val="18"/>
              </w:rPr>
            </w:pPr>
            <w:r w:rsidRPr="00E92FD7">
              <w:rPr>
                <w:rFonts w:ascii="Trebuchet MS" w:eastAsia="Times New Roman" w:hAnsi="Trebuchet MS" w:cs="Times New Roman"/>
                <w:caps/>
                <w:color w:val="48A4D4"/>
                <w:sz w:val="18"/>
                <w:szCs w:val="18"/>
              </w:rPr>
              <w:t>CAPITAL RATIOS</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000000"/>
                <w:sz w:val="27"/>
                <w:szCs w:val="27"/>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000000"/>
                <w:sz w:val="27"/>
                <w:szCs w:val="27"/>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000000"/>
                <w:sz w:val="27"/>
                <w:szCs w:val="27"/>
              </w:rPr>
            </w:pPr>
          </w:p>
        </w:tc>
      </w:tr>
      <w:tr w:rsidR="00E92FD7" w:rsidRPr="00E92FD7" w:rsidTr="00E92FD7">
        <w:tc>
          <w:tcPr>
            <w:tcW w:w="6236" w:type="dxa"/>
            <w:tcMar>
              <w:top w:w="32" w:type="dxa"/>
              <w:left w:w="0" w:type="dxa"/>
              <w:bottom w:w="32" w:type="dxa"/>
              <w:right w:w="0" w:type="dxa"/>
            </w:tcMar>
            <w:vAlign w:val="center"/>
            <w:hideMark/>
          </w:tcPr>
          <w:p w:rsidR="00E92FD7" w:rsidRPr="00E92FD7" w:rsidRDefault="00E92FD7" w:rsidP="00E92FD7">
            <w:pPr>
              <w:spacing w:after="0" w:line="240" w:lineRule="auto"/>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Core Tier-I ratio</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13.5%</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10.2%</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9.7%</w:t>
            </w:r>
          </w:p>
        </w:tc>
      </w:tr>
      <w:tr w:rsidR="00E92FD7" w:rsidRPr="00E92FD7" w:rsidTr="00E92FD7">
        <w:tc>
          <w:tcPr>
            <w:tcW w:w="6236" w:type="dxa"/>
            <w:tcMar>
              <w:top w:w="32" w:type="dxa"/>
              <w:left w:w="0" w:type="dxa"/>
              <w:bottom w:w="32" w:type="dxa"/>
              <w:right w:w="0" w:type="dxa"/>
            </w:tcMar>
            <w:vAlign w:val="center"/>
            <w:hideMark/>
          </w:tcPr>
          <w:p w:rsidR="00E92FD7" w:rsidRPr="00E92FD7" w:rsidRDefault="00E92FD7" w:rsidP="00E92FD7">
            <w:pPr>
              <w:spacing w:after="0" w:line="240" w:lineRule="auto"/>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Tier-I ratio</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16.6%</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12.7%</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12.0%</w:t>
            </w:r>
          </w:p>
        </w:tc>
      </w:tr>
      <w:tr w:rsidR="00E92FD7" w:rsidRPr="00E92FD7" w:rsidTr="00E92FD7">
        <w:tc>
          <w:tcPr>
            <w:tcW w:w="6236" w:type="dxa"/>
            <w:tcMar>
              <w:top w:w="32" w:type="dxa"/>
              <w:left w:w="0" w:type="dxa"/>
              <w:bottom w:w="32" w:type="dxa"/>
              <w:right w:w="0" w:type="dxa"/>
            </w:tcMar>
            <w:vAlign w:val="center"/>
            <w:hideMark/>
          </w:tcPr>
          <w:p w:rsidR="00E92FD7" w:rsidRPr="00E92FD7" w:rsidRDefault="00E92FD7" w:rsidP="00E92FD7">
            <w:pPr>
              <w:spacing w:after="0" w:line="240" w:lineRule="auto"/>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BIS ratio</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18.9%</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15.0%</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13.8%</w:t>
            </w:r>
          </w:p>
        </w:tc>
      </w:tr>
      <w:tr w:rsidR="00E92FD7" w:rsidRPr="00E92FD7" w:rsidTr="00E92FD7">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r>
      <w:tr w:rsidR="00E92FD7" w:rsidRPr="00E92FD7" w:rsidTr="00E92FD7">
        <w:tc>
          <w:tcPr>
            <w:tcW w:w="6236" w:type="dxa"/>
            <w:tcMar>
              <w:top w:w="32" w:type="dxa"/>
              <w:left w:w="0" w:type="dxa"/>
              <w:bottom w:w="32" w:type="dxa"/>
              <w:right w:w="0" w:type="dxa"/>
            </w:tcMar>
            <w:vAlign w:val="center"/>
            <w:hideMark/>
          </w:tcPr>
          <w:p w:rsidR="00E92FD7" w:rsidRPr="00E92FD7" w:rsidRDefault="00E92FD7" w:rsidP="00E92FD7">
            <w:pPr>
              <w:spacing w:after="0" w:line="240" w:lineRule="auto"/>
              <w:rPr>
                <w:rFonts w:ascii="Trebuchet MS" w:eastAsia="Times New Roman" w:hAnsi="Trebuchet MS" w:cs="Times New Roman"/>
                <w:caps/>
                <w:color w:val="48A4D4"/>
                <w:sz w:val="18"/>
                <w:szCs w:val="18"/>
              </w:rPr>
            </w:pPr>
            <w:r w:rsidRPr="00E92FD7">
              <w:rPr>
                <w:rFonts w:ascii="Trebuchet MS" w:eastAsia="Times New Roman" w:hAnsi="Trebuchet MS" w:cs="Times New Roman"/>
                <w:caps/>
                <w:color w:val="48A4D4"/>
                <w:sz w:val="18"/>
                <w:szCs w:val="18"/>
              </w:rPr>
              <w:t>RISK WEIGHTED ASSETS</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000000"/>
                <w:sz w:val="27"/>
                <w:szCs w:val="27"/>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000000"/>
                <w:sz w:val="27"/>
                <w:szCs w:val="27"/>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000000"/>
                <w:sz w:val="27"/>
                <w:szCs w:val="27"/>
              </w:rPr>
            </w:pPr>
          </w:p>
        </w:tc>
      </w:tr>
      <w:tr w:rsidR="00E92FD7" w:rsidRPr="00E92FD7" w:rsidTr="00E92FD7">
        <w:tc>
          <w:tcPr>
            <w:tcW w:w="6236" w:type="dxa"/>
            <w:tcMar>
              <w:top w:w="32" w:type="dxa"/>
              <w:left w:w="0" w:type="dxa"/>
              <w:bottom w:w="32" w:type="dxa"/>
              <w:right w:w="0" w:type="dxa"/>
            </w:tcMar>
            <w:vAlign w:val="center"/>
            <w:hideMark/>
          </w:tcPr>
          <w:p w:rsidR="00E92FD7" w:rsidRPr="00E92FD7" w:rsidRDefault="00E92FD7" w:rsidP="00E92FD7">
            <w:pPr>
              <w:spacing w:after="0" w:line="240" w:lineRule="auto"/>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Credit risk</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10,251</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11,623</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14,778</w:t>
            </w:r>
          </w:p>
        </w:tc>
      </w:tr>
      <w:tr w:rsidR="00E92FD7" w:rsidRPr="00E92FD7" w:rsidTr="00E92FD7">
        <w:tc>
          <w:tcPr>
            <w:tcW w:w="6236" w:type="dxa"/>
            <w:tcMar>
              <w:top w:w="32" w:type="dxa"/>
              <w:left w:w="0" w:type="dxa"/>
              <w:bottom w:w="32" w:type="dxa"/>
              <w:right w:w="0" w:type="dxa"/>
            </w:tcMar>
            <w:vAlign w:val="center"/>
            <w:hideMark/>
          </w:tcPr>
          <w:p w:rsidR="00E92FD7" w:rsidRPr="00E92FD7" w:rsidRDefault="00E92FD7" w:rsidP="00E92FD7">
            <w:pPr>
              <w:spacing w:after="0" w:line="240" w:lineRule="auto"/>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Market risk</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145</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620</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620</w:t>
            </w:r>
          </w:p>
        </w:tc>
      </w:tr>
      <w:tr w:rsidR="00E92FD7" w:rsidRPr="00E92FD7" w:rsidTr="00E92FD7">
        <w:tc>
          <w:tcPr>
            <w:tcW w:w="6236" w:type="dxa"/>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Operational risk</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704</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1,065</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w:t>
            </w:r>
          </w:p>
        </w:tc>
      </w:tr>
      <w:tr w:rsidR="00E92FD7" w:rsidRPr="00E92FD7" w:rsidTr="00E92FD7">
        <w:tc>
          <w:tcPr>
            <w:tcW w:w="6236" w:type="dxa"/>
            <w:tcMar>
              <w:top w:w="32" w:type="dxa"/>
              <w:left w:w="0" w:type="dxa"/>
              <w:bottom w:w="32" w:type="dxa"/>
              <w:right w:w="0" w:type="dxa"/>
            </w:tcMar>
            <w:vAlign w:val="center"/>
            <w:hideMark/>
          </w:tcPr>
          <w:p w:rsidR="00E92FD7" w:rsidRPr="00E92FD7" w:rsidRDefault="00E92FD7" w:rsidP="00E92FD7">
            <w:pPr>
              <w:spacing w:after="0" w:line="240" w:lineRule="auto"/>
              <w:rPr>
                <w:rFonts w:ascii="Trebuchet MS" w:eastAsia="Times New Roman" w:hAnsi="Trebuchet MS" w:cs="Times New Roman"/>
                <w:b/>
                <w:bCs/>
                <w:caps/>
                <w:color w:val="022749"/>
                <w:sz w:val="18"/>
                <w:szCs w:val="18"/>
              </w:rPr>
            </w:pPr>
            <w:r w:rsidRPr="00E92FD7">
              <w:rPr>
                <w:rFonts w:ascii="Trebuchet MS" w:eastAsia="Times New Roman" w:hAnsi="Trebuchet MS" w:cs="Times New Roman"/>
                <w:b/>
                <w:bCs/>
                <w:caps/>
                <w:color w:val="022749"/>
                <w:sz w:val="18"/>
                <w:szCs w:val="18"/>
              </w:rPr>
              <w:t>TOTAL RWA PRE - FLOOR</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b/>
                <w:bCs/>
                <w:color w:val="022749"/>
                <w:sz w:val="18"/>
                <w:szCs w:val="18"/>
              </w:rPr>
            </w:pPr>
            <w:r w:rsidRPr="00E92FD7">
              <w:rPr>
                <w:rFonts w:ascii="Trebuchet MS" w:eastAsia="Times New Roman" w:hAnsi="Trebuchet MS" w:cs="Times New Roman"/>
                <w:b/>
                <w:bCs/>
                <w:color w:val="022749"/>
                <w:sz w:val="18"/>
                <w:szCs w:val="18"/>
              </w:rPr>
              <w:t>11,100</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b/>
                <w:bCs/>
                <w:color w:val="022749"/>
                <w:sz w:val="18"/>
                <w:szCs w:val="18"/>
              </w:rPr>
            </w:pPr>
            <w:r w:rsidRPr="00E92FD7">
              <w:rPr>
                <w:rFonts w:ascii="Trebuchet MS" w:eastAsia="Times New Roman" w:hAnsi="Trebuchet MS" w:cs="Times New Roman"/>
                <w:b/>
                <w:bCs/>
                <w:color w:val="022749"/>
                <w:sz w:val="18"/>
                <w:szCs w:val="18"/>
              </w:rPr>
              <w:t>13,308</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b/>
                <w:bCs/>
                <w:color w:val="022749"/>
                <w:sz w:val="18"/>
                <w:szCs w:val="18"/>
              </w:rPr>
            </w:pPr>
            <w:r w:rsidRPr="00E92FD7">
              <w:rPr>
                <w:rFonts w:ascii="Trebuchet MS" w:eastAsia="Times New Roman" w:hAnsi="Trebuchet MS" w:cs="Times New Roman"/>
                <w:b/>
                <w:bCs/>
                <w:color w:val="022749"/>
                <w:sz w:val="18"/>
                <w:szCs w:val="18"/>
              </w:rPr>
              <w:t>15,398</w:t>
            </w:r>
          </w:p>
        </w:tc>
      </w:tr>
      <w:tr w:rsidR="00E92FD7" w:rsidRPr="00E92FD7" w:rsidTr="00E92FD7">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r>
      <w:tr w:rsidR="00E92FD7" w:rsidRPr="00E92FD7" w:rsidTr="00E92FD7">
        <w:tc>
          <w:tcPr>
            <w:tcW w:w="6236" w:type="dxa"/>
            <w:tcMar>
              <w:top w:w="32" w:type="dxa"/>
              <w:left w:w="0" w:type="dxa"/>
              <w:bottom w:w="32" w:type="dxa"/>
              <w:right w:w="0" w:type="dxa"/>
            </w:tcMar>
            <w:vAlign w:val="center"/>
            <w:hideMark/>
          </w:tcPr>
          <w:p w:rsidR="00E92FD7" w:rsidRPr="00E92FD7" w:rsidRDefault="00E92FD7" w:rsidP="00E92FD7">
            <w:pPr>
              <w:spacing w:after="0" w:line="240" w:lineRule="auto"/>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Add on: Basel I Floor</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364</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892</w:t>
            </w: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Trebuchet MS" w:eastAsia="Times New Roman" w:hAnsi="Trebuchet MS" w:cs="Times New Roman"/>
                <w:color w:val="152949"/>
                <w:sz w:val="18"/>
                <w:szCs w:val="18"/>
              </w:rPr>
            </w:pPr>
            <w:r w:rsidRPr="00E92FD7">
              <w:rPr>
                <w:rFonts w:ascii="Trebuchet MS" w:eastAsia="Times New Roman" w:hAnsi="Trebuchet MS" w:cs="Times New Roman"/>
                <w:color w:val="152949"/>
                <w:sz w:val="18"/>
                <w:szCs w:val="18"/>
              </w:rPr>
              <w:t>NA</w:t>
            </w:r>
          </w:p>
        </w:tc>
      </w:tr>
      <w:tr w:rsidR="00E92FD7" w:rsidRPr="00E92FD7" w:rsidTr="00E92FD7">
        <w:tc>
          <w:tcPr>
            <w:tcW w:w="0" w:type="auto"/>
            <w:tcBorders>
              <w:top w:val="single" w:sz="6" w:space="0" w:color="022749"/>
              <w:bottom w:val="single" w:sz="6" w:space="0" w:color="022749"/>
            </w:tcBorders>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1010"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Trebuchet MS" w:eastAsia="Times New Roman" w:hAnsi="Trebuchet MS" w:cs="Times New Roman"/>
                <w:color w:val="000000"/>
                <w:sz w:val="2"/>
                <w:szCs w:val="2"/>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1044"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Trebuchet MS" w:eastAsia="Times New Roman" w:hAnsi="Trebuchet MS" w:cs="Times New Roman"/>
                <w:color w:val="000000"/>
                <w:sz w:val="2"/>
                <w:szCs w:val="2"/>
              </w:rPr>
            </w:pPr>
          </w:p>
        </w:tc>
        <w:tc>
          <w:tcPr>
            <w:tcW w:w="0" w:type="auto"/>
            <w:tcMar>
              <w:top w:w="0" w:type="dxa"/>
              <w:left w:w="0" w:type="dxa"/>
              <w:bottom w:w="0" w:type="dxa"/>
              <w:right w:w="0" w:type="dxa"/>
            </w:tcMar>
            <w:vAlign w:val="center"/>
            <w:hideMark/>
          </w:tcPr>
          <w:p w:rsidR="00E92FD7" w:rsidRPr="00E92FD7" w:rsidRDefault="00E92FD7" w:rsidP="00E92FD7">
            <w:pPr>
              <w:spacing w:after="0" w:line="0" w:lineRule="atLeast"/>
              <w:rPr>
                <w:rFonts w:ascii="Trebuchet MS" w:eastAsia="Times New Roman" w:hAnsi="Trebuchet MS" w:cs="Times New Roman"/>
                <w:color w:val="000000"/>
                <w:sz w:val="2"/>
                <w:szCs w:val="2"/>
              </w:rPr>
            </w:pPr>
          </w:p>
        </w:tc>
        <w:tc>
          <w:tcPr>
            <w:tcW w:w="1044"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Trebuchet MS" w:eastAsia="Times New Roman" w:hAnsi="Trebuchet MS" w:cs="Times New Roman"/>
                <w:color w:val="000000"/>
                <w:sz w:val="2"/>
                <w:szCs w:val="2"/>
              </w:rPr>
            </w:pPr>
          </w:p>
        </w:tc>
      </w:tr>
      <w:tr w:rsidR="00E92FD7" w:rsidRPr="00E92FD7" w:rsidTr="00E92FD7">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rPr>
                <w:rFonts w:ascii="Trebuchet MS" w:eastAsia="Times New Roman" w:hAnsi="Trebuchet MS" w:cs="Times New Roman"/>
                <w:b/>
                <w:bCs/>
                <w:caps/>
                <w:color w:val="022749"/>
                <w:sz w:val="19"/>
                <w:szCs w:val="19"/>
              </w:rPr>
            </w:pPr>
            <w:r w:rsidRPr="00E92FD7">
              <w:rPr>
                <w:rFonts w:ascii="Trebuchet MS" w:eastAsia="Times New Roman" w:hAnsi="Trebuchet MS" w:cs="Times New Roman"/>
                <w:b/>
                <w:bCs/>
                <w:caps/>
                <w:color w:val="022749"/>
                <w:sz w:val="19"/>
                <w:szCs w:val="19"/>
              </w:rPr>
              <w:t>TOTAL RWA</w:t>
            </w:r>
          </w:p>
        </w:tc>
        <w:tc>
          <w:tcPr>
            <w:tcW w:w="0" w:type="auto"/>
            <w:tcBorders>
              <w:bottom w:val="single" w:sz="6" w:space="0" w:color="022749"/>
            </w:tcBorders>
            <w:tcMar>
              <w:top w:w="0" w:type="dxa"/>
              <w:left w:w="0" w:type="dxa"/>
              <w:bottom w:w="0" w:type="dxa"/>
              <w:right w:w="0" w:type="dxa"/>
            </w:tcMar>
            <w:vAlign w:val="center"/>
            <w:hideMark/>
          </w:tcPr>
          <w:p w:rsidR="00E92FD7" w:rsidRPr="00E92FD7" w:rsidRDefault="00E92FD7" w:rsidP="00E92FD7">
            <w:pPr>
              <w:spacing w:after="0" w:line="240" w:lineRule="auto"/>
              <w:rPr>
                <w:rFonts w:ascii="Trebuchet MS" w:eastAsia="Times New Roman" w:hAnsi="Trebuchet MS" w:cs="Times New Roman"/>
                <w:color w:val="000000"/>
                <w:sz w:val="27"/>
                <w:szCs w:val="27"/>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Trebuchet MS" w:eastAsia="Times New Roman" w:hAnsi="Trebuchet MS" w:cs="Times New Roman"/>
                <w:b/>
                <w:bCs/>
                <w:color w:val="022749"/>
                <w:sz w:val="19"/>
                <w:szCs w:val="19"/>
              </w:rPr>
            </w:pPr>
            <w:r w:rsidRPr="00E92FD7">
              <w:rPr>
                <w:rFonts w:ascii="Trebuchet MS" w:eastAsia="Times New Roman" w:hAnsi="Trebuchet MS" w:cs="Times New Roman"/>
                <w:b/>
                <w:bCs/>
                <w:color w:val="022749"/>
                <w:sz w:val="19"/>
                <w:szCs w:val="19"/>
              </w:rPr>
              <w:t>11,464</w:t>
            </w:r>
          </w:p>
        </w:tc>
        <w:tc>
          <w:tcPr>
            <w:tcW w:w="0" w:type="auto"/>
            <w:tcBorders>
              <w:bottom w:val="single" w:sz="6" w:space="0" w:color="022749"/>
            </w:tcBorders>
            <w:tcMar>
              <w:top w:w="0" w:type="dxa"/>
              <w:left w:w="0" w:type="dxa"/>
              <w:bottom w:w="0" w:type="dxa"/>
              <w:right w:w="0" w:type="dxa"/>
            </w:tcMar>
            <w:vAlign w:val="center"/>
            <w:hideMark/>
          </w:tcPr>
          <w:p w:rsidR="00E92FD7" w:rsidRPr="00E92FD7" w:rsidRDefault="00E92FD7" w:rsidP="00E92FD7">
            <w:pPr>
              <w:spacing w:after="0" w:line="240" w:lineRule="auto"/>
              <w:rPr>
                <w:rFonts w:ascii="Trebuchet MS" w:eastAsia="Times New Roman" w:hAnsi="Trebuchet MS" w:cs="Times New Roman"/>
                <w:color w:val="000000"/>
                <w:sz w:val="27"/>
                <w:szCs w:val="27"/>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Trebuchet MS" w:eastAsia="Times New Roman" w:hAnsi="Trebuchet MS" w:cs="Times New Roman"/>
                <w:b/>
                <w:bCs/>
                <w:color w:val="022749"/>
                <w:sz w:val="19"/>
                <w:szCs w:val="19"/>
              </w:rPr>
            </w:pPr>
            <w:r w:rsidRPr="00E92FD7">
              <w:rPr>
                <w:rFonts w:ascii="Trebuchet MS" w:eastAsia="Times New Roman" w:hAnsi="Trebuchet MS" w:cs="Times New Roman"/>
                <w:b/>
                <w:bCs/>
                <w:color w:val="022749"/>
                <w:sz w:val="19"/>
                <w:szCs w:val="19"/>
              </w:rPr>
              <w:t>14,200</w:t>
            </w:r>
          </w:p>
        </w:tc>
        <w:tc>
          <w:tcPr>
            <w:tcW w:w="0" w:type="auto"/>
            <w:tcBorders>
              <w:bottom w:val="single" w:sz="6" w:space="0" w:color="022749"/>
            </w:tcBorders>
            <w:tcMar>
              <w:top w:w="0" w:type="dxa"/>
              <w:left w:w="0" w:type="dxa"/>
              <w:bottom w:w="0" w:type="dxa"/>
              <w:right w:w="0" w:type="dxa"/>
            </w:tcMar>
            <w:vAlign w:val="center"/>
            <w:hideMark/>
          </w:tcPr>
          <w:p w:rsidR="00E92FD7" w:rsidRPr="00E92FD7" w:rsidRDefault="00E92FD7" w:rsidP="00E92FD7">
            <w:pPr>
              <w:spacing w:after="0" w:line="240" w:lineRule="auto"/>
              <w:rPr>
                <w:rFonts w:ascii="Trebuchet MS" w:eastAsia="Times New Roman" w:hAnsi="Trebuchet MS" w:cs="Times New Roman"/>
                <w:color w:val="000000"/>
                <w:sz w:val="27"/>
                <w:szCs w:val="27"/>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Trebuchet MS" w:eastAsia="Times New Roman" w:hAnsi="Trebuchet MS" w:cs="Times New Roman"/>
                <w:b/>
                <w:bCs/>
                <w:color w:val="022749"/>
                <w:sz w:val="19"/>
                <w:szCs w:val="19"/>
              </w:rPr>
            </w:pPr>
            <w:r w:rsidRPr="00E92FD7">
              <w:rPr>
                <w:rFonts w:ascii="Trebuchet MS" w:eastAsia="Times New Roman" w:hAnsi="Trebuchet MS" w:cs="Times New Roman"/>
                <w:b/>
                <w:bCs/>
                <w:color w:val="022749"/>
                <w:sz w:val="19"/>
                <w:szCs w:val="19"/>
              </w:rPr>
              <w:t>15,398</w:t>
            </w:r>
          </w:p>
        </w:tc>
      </w:tr>
    </w:tbl>
    <w:p w:rsidR="00E92FD7" w:rsidRPr="00E92FD7" w:rsidRDefault="00E92FD7" w:rsidP="00E92FD7">
      <w:pPr>
        <w:spacing w:after="0" w:line="728" w:lineRule="atLeast"/>
        <w:rPr>
          <w:rFonts w:ascii="Times New Roman" w:eastAsia="Times New Roman" w:hAnsi="Times New Roman" w:cs="Times New Roman"/>
          <w:color w:val="152949"/>
          <w:sz w:val="53"/>
          <w:szCs w:val="53"/>
        </w:rPr>
      </w:pPr>
      <w:r w:rsidRPr="00E92FD7">
        <w:rPr>
          <w:rFonts w:ascii="Times New Roman" w:eastAsia="Times New Roman" w:hAnsi="Times New Roman" w:cs="Times New Roman"/>
          <w:color w:val="152949"/>
          <w:sz w:val="53"/>
          <w:szCs w:val="53"/>
        </w:rPr>
        <w:t>Consolidated Income Statement</w:t>
      </w:r>
    </w:p>
    <w:p w:rsidR="00E92FD7" w:rsidRPr="00E92FD7" w:rsidRDefault="00E92FD7" w:rsidP="00E92FD7">
      <w:pPr>
        <w:spacing w:after="0" w:line="388" w:lineRule="atLeast"/>
        <w:rPr>
          <w:rFonts w:ascii="Times New Roman" w:eastAsia="Times New Roman" w:hAnsi="Times New Roman" w:cs="Times New Roman"/>
          <w:color w:val="152949"/>
          <w:sz w:val="27"/>
          <w:szCs w:val="27"/>
        </w:rPr>
      </w:pPr>
      <w:r w:rsidRPr="00E92FD7">
        <w:rPr>
          <w:rFonts w:ascii="Times New Roman" w:eastAsia="Times New Roman" w:hAnsi="Times New Roman" w:cs="Times New Roman"/>
          <w:color w:val="152949"/>
          <w:sz w:val="27"/>
          <w:szCs w:val="27"/>
        </w:rPr>
        <w:t>For the year ended 31 December</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tbl>
      <w:tblPr>
        <w:tblW w:w="0" w:type="auto"/>
        <w:tblCellMar>
          <w:left w:w="0" w:type="dxa"/>
          <w:right w:w="0" w:type="dxa"/>
        </w:tblCellMar>
        <w:tblLook w:val="04A0"/>
      </w:tblPr>
      <w:tblGrid>
        <w:gridCol w:w="6847"/>
        <w:gridCol w:w="423"/>
        <w:gridCol w:w="14"/>
        <w:gridCol w:w="1027"/>
        <w:gridCol w:w="21"/>
        <w:gridCol w:w="1036"/>
      </w:tblGrid>
      <w:tr w:rsidR="00E92FD7" w:rsidRPr="00E92FD7" w:rsidTr="00E92FD7">
        <w:tc>
          <w:tcPr>
            <w:tcW w:w="0" w:type="auto"/>
            <w:tcBorders>
              <w:top w:val="single" w:sz="6" w:space="0" w:color="022749"/>
              <w:bottom w:val="single" w:sz="6" w:space="0" w:color="022749"/>
            </w:tcBorders>
            <w:tcMar>
              <w:top w:w="32" w:type="dxa"/>
              <w:left w:w="0" w:type="dxa"/>
              <w:bottom w:w="32" w:type="dxa"/>
              <w:right w:w="0" w:type="dxa"/>
            </w:tcMar>
            <w:vAlign w:val="bottom"/>
            <w:hideMark/>
          </w:tcPr>
          <w:p w:rsidR="00E92FD7" w:rsidRPr="00E92FD7" w:rsidRDefault="00E92FD7" w:rsidP="00E92FD7">
            <w:pPr>
              <w:spacing w:after="0" w:line="240" w:lineRule="auto"/>
              <w:rPr>
                <w:rFonts w:ascii="Verdana" w:eastAsia="Times New Roman" w:hAnsi="Verdana" w:cs="Times New Roman"/>
                <w:caps/>
                <w:color w:val="022749"/>
                <w:sz w:val="15"/>
                <w:szCs w:val="15"/>
              </w:rPr>
            </w:pPr>
            <w:r w:rsidRPr="00E92FD7">
              <w:rPr>
                <w:rFonts w:ascii="Verdana" w:eastAsia="Times New Roman" w:hAnsi="Verdana" w:cs="Times New Roman"/>
                <w:caps/>
                <w:color w:val="022749"/>
                <w:sz w:val="15"/>
                <w:szCs w:val="15"/>
              </w:rPr>
              <w:t>IN EUR MILLIONS</w:t>
            </w:r>
          </w:p>
        </w:tc>
        <w:tc>
          <w:tcPr>
            <w:tcW w:w="0" w:type="auto"/>
            <w:tcBorders>
              <w:top w:val="single" w:sz="6" w:space="0" w:color="022749"/>
              <w:bottom w:val="single" w:sz="6" w:space="0" w:color="022749"/>
            </w:tcBorders>
            <w:tcMar>
              <w:top w:w="32" w:type="dxa"/>
              <w:left w:w="0" w:type="dxa"/>
              <w:bottom w:w="32" w:type="dxa"/>
              <w:right w:w="0" w:type="dxa"/>
            </w:tcMar>
            <w:vAlign w:val="bottom"/>
            <w:hideMark/>
          </w:tcPr>
          <w:p w:rsidR="00E92FD7" w:rsidRPr="00E92FD7" w:rsidRDefault="00E92FD7" w:rsidP="00E92FD7">
            <w:pPr>
              <w:spacing w:after="0" w:line="194" w:lineRule="atLeast"/>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Note</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27" w:type="dxa"/>
            <w:tcBorders>
              <w:top w:val="single" w:sz="6" w:space="0" w:color="022749"/>
              <w:left w:val="single" w:sz="6" w:space="0" w:color="022749"/>
              <w:bottom w:val="single" w:sz="6" w:space="0" w:color="022749"/>
              <w:right w:val="single" w:sz="6" w:space="0" w:color="022749"/>
            </w:tcBorders>
            <w:shd w:val="clear" w:color="auto" w:fill="022749"/>
            <w:tcMar>
              <w:top w:w="32" w:type="dxa"/>
              <w:left w:w="0" w:type="dxa"/>
              <w:bottom w:w="65"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FFFFFF"/>
                <w:sz w:val="18"/>
                <w:szCs w:val="18"/>
              </w:rPr>
            </w:pPr>
            <w:r w:rsidRPr="00E92FD7">
              <w:rPr>
                <w:rFonts w:ascii="Verdana" w:eastAsia="Times New Roman" w:hAnsi="Verdana" w:cs="Times New Roman"/>
                <w:color w:val="FFFFFF"/>
                <w:sz w:val="18"/>
                <w:szCs w:val="18"/>
              </w:rPr>
              <w:t>2008</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36"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65"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FFFFFF"/>
                <w:sz w:val="18"/>
                <w:szCs w:val="18"/>
              </w:rPr>
            </w:pPr>
            <w:r w:rsidRPr="00E92FD7">
              <w:rPr>
                <w:rFonts w:ascii="Verdana" w:eastAsia="Times New Roman" w:hAnsi="Verdana" w:cs="Times New Roman"/>
                <w:color w:val="FFFFFF"/>
                <w:sz w:val="18"/>
                <w:szCs w:val="18"/>
              </w:rPr>
              <w:t>2007</w:t>
            </w:r>
          </w:p>
        </w:tc>
      </w:tr>
      <w:tr w:rsidR="00E92FD7" w:rsidRPr="00E92FD7" w:rsidTr="00E92FD7">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r>
      <w:tr w:rsidR="00E92FD7" w:rsidRPr="00E92FD7" w:rsidTr="00E92FD7">
        <w:tc>
          <w:tcPr>
            <w:tcW w:w="6847" w:type="dxa"/>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lastRenderedPageBreak/>
              <w:t>Interest and similar income</w:t>
            </w:r>
          </w:p>
        </w:tc>
        <w:tc>
          <w:tcPr>
            <w:tcW w:w="0" w:type="auto"/>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5" w:anchor="net-interest-income" w:history="1">
              <w:r w:rsidR="00E92FD7" w:rsidRPr="00E92FD7">
                <w:rPr>
                  <w:rFonts w:ascii="Verdana" w:eastAsia="Times New Roman" w:hAnsi="Verdana" w:cs="Times New Roman"/>
                  <w:color w:val="152949"/>
                  <w:sz w:val="18"/>
                </w:rPr>
                <w:t>2</w:t>
              </w:r>
            </w:hyperlink>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1,474</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1,644</w:t>
            </w:r>
          </w:p>
        </w:tc>
      </w:tr>
      <w:tr w:rsidR="00E92FD7" w:rsidRPr="00E92FD7" w:rsidTr="00E92FD7">
        <w:tc>
          <w:tcPr>
            <w:tcW w:w="6847" w:type="dxa"/>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Interest expense and similar charges</w:t>
            </w: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6" w:anchor="net-interest-income" w:history="1">
              <w:r w:rsidR="00E92FD7" w:rsidRPr="00E92FD7">
                <w:rPr>
                  <w:rFonts w:ascii="Verdana" w:eastAsia="Times New Roman" w:hAnsi="Verdana" w:cs="Times New Roman"/>
                  <w:color w:val="152949"/>
                  <w:sz w:val="18"/>
                </w:rPr>
                <w:t>2</w:t>
              </w:r>
            </w:hyperlink>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1,267</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1,406</w:t>
            </w:r>
          </w:p>
        </w:tc>
      </w:tr>
      <w:tr w:rsidR="00E92FD7" w:rsidRPr="00E92FD7" w:rsidTr="00E92FD7">
        <w:tc>
          <w:tcPr>
            <w:tcW w:w="6847" w:type="dxa"/>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8"/>
                <w:szCs w:val="18"/>
              </w:rPr>
            </w:pPr>
            <w:r w:rsidRPr="00E92FD7">
              <w:rPr>
                <w:rFonts w:ascii="Verdana" w:eastAsia="Times New Roman" w:hAnsi="Verdana" w:cs="Times New Roman"/>
                <w:b/>
                <w:bCs/>
                <w:caps/>
                <w:color w:val="022749"/>
                <w:sz w:val="18"/>
                <w:szCs w:val="18"/>
              </w:rPr>
              <w:t>NET INTEREST INCOME</w:t>
            </w: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207</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238</w:t>
            </w:r>
          </w:p>
        </w:tc>
      </w:tr>
      <w:tr w:rsidR="00E92FD7" w:rsidRPr="00E92FD7" w:rsidTr="00E92FD7">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r>
      <w:tr w:rsidR="00E92FD7" w:rsidRPr="00E92FD7" w:rsidTr="00E92FD7">
        <w:tc>
          <w:tcPr>
            <w:tcW w:w="6847" w:type="dxa"/>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Fee and commission income</w:t>
            </w:r>
          </w:p>
        </w:tc>
        <w:tc>
          <w:tcPr>
            <w:tcW w:w="0" w:type="auto"/>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7" w:anchor="net-fee-and-commission-income" w:history="1">
              <w:r w:rsidR="00E92FD7" w:rsidRPr="00E92FD7">
                <w:rPr>
                  <w:rFonts w:ascii="Verdana" w:eastAsia="Times New Roman" w:hAnsi="Verdana" w:cs="Times New Roman"/>
                  <w:color w:val="152949"/>
                  <w:sz w:val="18"/>
                </w:rPr>
                <w:t>3</w:t>
              </w:r>
            </w:hyperlink>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45</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65</w:t>
            </w:r>
          </w:p>
        </w:tc>
      </w:tr>
      <w:tr w:rsidR="00E92FD7" w:rsidRPr="00E92FD7" w:rsidTr="00E92FD7">
        <w:tc>
          <w:tcPr>
            <w:tcW w:w="6847" w:type="dxa"/>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Fee and commission expense</w:t>
            </w: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8" w:anchor="net-fee-and-commission-income" w:history="1">
              <w:r w:rsidR="00E92FD7" w:rsidRPr="00E92FD7">
                <w:rPr>
                  <w:rFonts w:ascii="Verdana" w:eastAsia="Times New Roman" w:hAnsi="Verdana" w:cs="Times New Roman"/>
                  <w:color w:val="152949"/>
                  <w:sz w:val="18"/>
                </w:rPr>
                <w:t>3</w:t>
              </w:r>
            </w:hyperlink>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w:t>
            </w:r>
          </w:p>
        </w:tc>
      </w:tr>
      <w:tr w:rsidR="00E92FD7" w:rsidRPr="00E92FD7" w:rsidTr="00E92FD7">
        <w:tc>
          <w:tcPr>
            <w:tcW w:w="6847" w:type="dxa"/>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8"/>
                <w:szCs w:val="18"/>
              </w:rPr>
            </w:pPr>
            <w:r w:rsidRPr="00E92FD7">
              <w:rPr>
                <w:rFonts w:ascii="Verdana" w:eastAsia="Times New Roman" w:hAnsi="Verdana" w:cs="Times New Roman"/>
                <w:b/>
                <w:bCs/>
                <w:caps/>
                <w:color w:val="022749"/>
                <w:sz w:val="18"/>
                <w:szCs w:val="18"/>
              </w:rPr>
              <w:t>NET FEE AND COMMISSION INCOME</w:t>
            </w: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43</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62</w:t>
            </w:r>
          </w:p>
        </w:tc>
      </w:tr>
      <w:tr w:rsidR="00E92FD7" w:rsidRPr="00E92FD7" w:rsidTr="00E92FD7">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r>
      <w:tr w:rsidR="00E92FD7" w:rsidRPr="00E92FD7" w:rsidTr="00E92FD7">
        <w:tc>
          <w:tcPr>
            <w:tcW w:w="6847" w:type="dxa"/>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Dividend income</w:t>
            </w:r>
          </w:p>
        </w:tc>
        <w:tc>
          <w:tcPr>
            <w:tcW w:w="0" w:type="auto"/>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9" w:anchor="dividend-income" w:history="1">
              <w:r w:rsidR="00E92FD7" w:rsidRPr="00E92FD7">
                <w:rPr>
                  <w:rFonts w:ascii="Verdana" w:eastAsia="Times New Roman" w:hAnsi="Verdana" w:cs="Times New Roman"/>
                  <w:color w:val="152949"/>
                  <w:sz w:val="18"/>
                </w:rPr>
                <w:t>4</w:t>
              </w:r>
            </w:hyperlink>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50</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84</w:t>
            </w:r>
          </w:p>
        </w:tc>
      </w:tr>
      <w:tr w:rsidR="00E92FD7" w:rsidRPr="00E92FD7" w:rsidTr="00E92FD7">
        <w:tc>
          <w:tcPr>
            <w:tcW w:w="6847" w:type="dxa"/>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Net trading income</w:t>
            </w:r>
          </w:p>
        </w:tc>
        <w:tc>
          <w:tcPr>
            <w:tcW w:w="0" w:type="auto"/>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10" w:anchor="net-trading-income" w:history="1">
              <w:r w:rsidR="00E92FD7" w:rsidRPr="00E92FD7">
                <w:rPr>
                  <w:rFonts w:ascii="Verdana" w:eastAsia="Times New Roman" w:hAnsi="Verdana" w:cs="Times New Roman"/>
                  <w:color w:val="152949"/>
                  <w:sz w:val="18"/>
                </w:rPr>
                <w:t>5</w:t>
              </w:r>
            </w:hyperlink>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81</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(24)</w:t>
            </w:r>
          </w:p>
        </w:tc>
      </w:tr>
      <w:tr w:rsidR="00E92FD7" w:rsidRPr="00E92FD7" w:rsidTr="00E92FD7">
        <w:tc>
          <w:tcPr>
            <w:tcW w:w="6847" w:type="dxa"/>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Gains less losses from financial assets</w:t>
            </w:r>
          </w:p>
        </w:tc>
        <w:tc>
          <w:tcPr>
            <w:tcW w:w="0" w:type="auto"/>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11" w:anchor="gains-less-losses-from-financial-assets" w:history="1">
              <w:r w:rsidR="00E92FD7" w:rsidRPr="00E92FD7">
                <w:rPr>
                  <w:rFonts w:ascii="Verdana" w:eastAsia="Times New Roman" w:hAnsi="Verdana" w:cs="Times New Roman"/>
                  <w:color w:val="152949"/>
                  <w:sz w:val="18"/>
                </w:rPr>
                <w:t>6</w:t>
              </w:r>
            </w:hyperlink>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(57)</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107</w:t>
            </w:r>
          </w:p>
        </w:tc>
      </w:tr>
      <w:tr w:rsidR="00E92FD7" w:rsidRPr="00E92FD7" w:rsidTr="00E92FD7">
        <w:tc>
          <w:tcPr>
            <w:tcW w:w="6847" w:type="dxa"/>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Share in result of associates</w:t>
            </w:r>
          </w:p>
        </w:tc>
        <w:tc>
          <w:tcPr>
            <w:tcW w:w="0" w:type="auto"/>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12" w:anchor="investments-in-associates-equity-method" w:history="1">
              <w:r w:rsidR="00E92FD7" w:rsidRPr="00E92FD7">
                <w:rPr>
                  <w:rFonts w:ascii="Verdana" w:eastAsia="Times New Roman" w:hAnsi="Verdana" w:cs="Times New Roman"/>
                  <w:color w:val="152949"/>
                  <w:sz w:val="18"/>
                </w:rPr>
                <w:t>29</w:t>
              </w:r>
            </w:hyperlink>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7</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w:t>
            </w:r>
          </w:p>
        </w:tc>
      </w:tr>
      <w:tr w:rsidR="00E92FD7" w:rsidRPr="00E92FD7" w:rsidTr="00E92FD7">
        <w:tc>
          <w:tcPr>
            <w:tcW w:w="6847" w:type="dxa"/>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Other operating income</w:t>
            </w: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13" w:anchor="other-operating-income" w:history="1">
              <w:r w:rsidR="00E92FD7" w:rsidRPr="00E92FD7">
                <w:rPr>
                  <w:rFonts w:ascii="Verdana" w:eastAsia="Times New Roman" w:hAnsi="Verdana" w:cs="Times New Roman"/>
                  <w:color w:val="152949"/>
                  <w:sz w:val="18"/>
                </w:rPr>
                <w:t>7</w:t>
              </w:r>
            </w:hyperlink>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40</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6</w:t>
            </w:r>
          </w:p>
        </w:tc>
      </w:tr>
      <w:tr w:rsidR="00E92FD7" w:rsidRPr="00E92FD7" w:rsidTr="00E92FD7">
        <w:tc>
          <w:tcPr>
            <w:tcW w:w="6847" w:type="dxa"/>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121</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174</w:t>
            </w:r>
          </w:p>
        </w:tc>
      </w:tr>
      <w:tr w:rsidR="00E92FD7" w:rsidRPr="00E92FD7" w:rsidTr="00E92FD7">
        <w:tc>
          <w:tcPr>
            <w:tcW w:w="0" w:type="auto"/>
            <w:tcBorders>
              <w:top w:val="single" w:sz="6" w:space="0" w:color="022749"/>
              <w:bottom w:val="single" w:sz="6" w:space="0" w:color="022749"/>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27"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36"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r>
      <w:tr w:rsidR="00E92FD7" w:rsidRPr="00E92FD7" w:rsidTr="00E92FD7">
        <w:tc>
          <w:tcPr>
            <w:tcW w:w="6847" w:type="dxa"/>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9"/>
                <w:szCs w:val="19"/>
              </w:rPr>
            </w:pPr>
            <w:r w:rsidRPr="00E92FD7">
              <w:rPr>
                <w:rFonts w:ascii="Verdana" w:eastAsia="Times New Roman" w:hAnsi="Verdana" w:cs="Times New Roman"/>
                <w:b/>
                <w:bCs/>
                <w:caps/>
                <w:color w:val="022749"/>
                <w:sz w:val="19"/>
                <w:szCs w:val="19"/>
              </w:rPr>
              <w:t>OPERATING INCOME</w:t>
            </w: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371</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474</w:t>
            </w:r>
          </w:p>
        </w:tc>
      </w:tr>
      <w:tr w:rsidR="00E92FD7" w:rsidRPr="00E92FD7" w:rsidTr="00E92FD7">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r>
      <w:tr w:rsidR="00E92FD7" w:rsidRPr="00E92FD7" w:rsidTr="00E92FD7">
        <w:tc>
          <w:tcPr>
            <w:tcW w:w="6847" w:type="dxa"/>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Personnel expenses</w:t>
            </w:r>
          </w:p>
        </w:tc>
        <w:tc>
          <w:tcPr>
            <w:tcW w:w="0" w:type="auto"/>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14" w:anchor="personnel-expenses" w:history="1">
              <w:r w:rsidR="00E92FD7" w:rsidRPr="00E92FD7">
                <w:rPr>
                  <w:rFonts w:ascii="Verdana" w:eastAsia="Times New Roman" w:hAnsi="Verdana" w:cs="Times New Roman"/>
                  <w:color w:val="152949"/>
                  <w:sz w:val="18"/>
                </w:rPr>
                <w:t>8</w:t>
              </w:r>
            </w:hyperlink>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125</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135</w:t>
            </w:r>
          </w:p>
        </w:tc>
      </w:tr>
      <w:tr w:rsidR="00E92FD7" w:rsidRPr="00E92FD7" w:rsidTr="00E92FD7">
        <w:tc>
          <w:tcPr>
            <w:tcW w:w="6847" w:type="dxa"/>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Other operating expenses</w:t>
            </w:r>
          </w:p>
        </w:tc>
        <w:tc>
          <w:tcPr>
            <w:tcW w:w="0" w:type="auto"/>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15" w:anchor="other-operating-expenses" w:history="1">
              <w:r w:rsidR="00E92FD7" w:rsidRPr="00E92FD7">
                <w:rPr>
                  <w:rFonts w:ascii="Verdana" w:eastAsia="Times New Roman" w:hAnsi="Verdana" w:cs="Times New Roman"/>
                  <w:color w:val="152949"/>
                  <w:sz w:val="18"/>
                </w:rPr>
                <w:t>9</w:t>
              </w:r>
            </w:hyperlink>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73</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59</w:t>
            </w:r>
          </w:p>
        </w:tc>
      </w:tr>
      <w:tr w:rsidR="00E92FD7" w:rsidRPr="00E92FD7" w:rsidTr="00E92FD7">
        <w:tc>
          <w:tcPr>
            <w:tcW w:w="6847" w:type="dxa"/>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 xml:space="preserve">Depreciation and </w:t>
            </w:r>
            <w:proofErr w:type="spellStart"/>
            <w:r w:rsidRPr="00E92FD7">
              <w:rPr>
                <w:rFonts w:ascii="Verdana" w:eastAsia="Times New Roman" w:hAnsi="Verdana" w:cs="Times New Roman"/>
                <w:color w:val="152949"/>
                <w:sz w:val="18"/>
                <w:szCs w:val="18"/>
              </w:rPr>
              <w:t>amortisation</w:t>
            </w:r>
            <w:proofErr w:type="spellEnd"/>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16" w:anchor="depreciation-and-amortisation" w:history="1">
              <w:r w:rsidR="00E92FD7" w:rsidRPr="00E92FD7">
                <w:rPr>
                  <w:rFonts w:ascii="Verdana" w:eastAsia="Times New Roman" w:hAnsi="Verdana" w:cs="Times New Roman"/>
                  <w:color w:val="152949"/>
                  <w:sz w:val="18"/>
                </w:rPr>
                <w:t>10</w:t>
              </w:r>
            </w:hyperlink>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17</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17</w:t>
            </w:r>
          </w:p>
        </w:tc>
      </w:tr>
      <w:tr w:rsidR="00E92FD7" w:rsidRPr="00E92FD7" w:rsidTr="00E92FD7">
        <w:tc>
          <w:tcPr>
            <w:tcW w:w="6847" w:type="dxa"/>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8"/>
                <w:szCs w:val="18"/>
              </w:rPr>
            </w:pPr>
            <w:r w:rsidRPr="00E92FD7">
              <w:rPr>
                <w:rFonts w:ascii="Verdana" w:eastAsia="Times New Roman" w:hAnsi="Verdana" w:cs="Times New Roman"/>
                <w:b/>
                <w:bCs/>
                <w:caps/>
                <w:color w:val="022749"/>
                <w:sz w:val="18"/>
                <w:szCs w:val="18"/>
              </w:rPr>
              <w:t>OPERATING EXPENSES</w:t>
            </w: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215</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211</w:t>
            </w:r>
          </w:p>
        </w:tc>
      </w:tr>
      <w:tr w:rsidR="00E92FD7" w:rsidRPr="00E92FD7" w:rsidTr="00E92FD7">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r>
      <w:tr w:rsidR="00E92FD7" w:rsidRPr="00E92FD7" w:rsidTr="00E92FD7">
        <w:tc>
          <w:tcPr>
            <w:tcW w:w="6847" w:type="dxa"/>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Impairment of corporate loans</w:t>
            </w:r>
          </w:p>
        </w:tc>
        <w:tc>
          <w:tcPr>
            <w:tcW w:w="0" w:type="auto"/>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17" w:anchor="impairments-of-corporate-loans-and-of-other-interest-bearing-assets" w:history="1">
              <w:r w:rsidR="00E92FD7" w:rsidRPr="00E92FD7">
                <w:rPr>
                  <w:rFonts w:ascii="Verdana" w:eastAsia="Times New Roman" w:hAnsi="Verdana" w:cs="Times New Roman"/>
                  <w:color w:val="152949"/>
                  <w:sz w:val="18"/>
                </w:rPr>
                <w:t>11</w:t>
              </w:r>
            </w:hyperlink>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42</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w:t>
            </w:r>
          </w:p>
        </w:tc>
      </w:tr>
      <w:tr w:rsidR="00E92FD7" w:rsidRPr="00E92FD7" w:rsidTr="00E92FD7">
        <w:tc>
          <w:tcPr>
            <w:tcW w:w="6847" w:type="dxa"/>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Impairment of other interest bearing assets</w:t>
            </w: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18" w:anchor="impairments-of-corporate-loans-and-of-other-interest-bearing-assets" w:history="1">
              <w:r w:rsidR="00E92FD7" w:rsidRPr="00E92FD7">
                <w:rPr>
                  <w:rFonts w:ascii="Verdana" w:eastAsia="Times New Roman" w:hAnsi="Verdana" w:cs="Times New Roman"/>
                  <w:color w:val="152949"/>
                  <w:sz w:val="18"/>
                </w:rPr>
                <w:t>11</w:t>
              </w:r>
            </w:hyperlink>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20</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w:t>
            </w:r>
          </w:p>
        </w:tc>
      </w:tr>
      <w:tr w:rsidR="00E92FD7" w:rsidRPr="00E92FD7" w:rsidTr="00E92FD7">
        <w:tc>
          <w:tcPr>
            <w:tcW w:w="6847" w:type="dxa"/>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8"/>
                <w:szCs w:val="18"/>
              </w:rPr>
            </w:pPr>
            <w:r w:rsidRPr="00E92FD7">
              <w:rPr>
                <w:rFonts w:ascii="Verdana" w:eastAsia="Times New Roman" w:hAnsi="Verdana" w:cs="Times New Roman"/>
                <w:b/>
                <w:bCs/>
                <w:caps/>
                <w:color w:val="022749"/>
                <w:sz w:val="18"/>
                <w:szCs w:val="18"/>
              </w:rPr>
              <w:t>TOTAL EXPENSES</w:t>
            </w: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277</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212</w:t>
            </w:r>
          </w:p>
        </w:tc>
      </w:tr>
      <w:tr w:rsidR="00E92FD7" w:rsidRPr="00E92FD7" w:rsidTr="00E92FD7">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r>
      <w:tr w:rsidR="00E92FD7" w:rsidRPr="00E92FD7" w:rsidTr="00E92FD7">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r>
      <w:tr w:rsidR="00E92FD7" w:rsidRPr="00E92FD7" w:rsidTr="00E92FD7">
        <w:tc>
          <w:tcPr>
            <w:tcW w:w="6847" w:type="dxa"/>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8"/>
                <w:szCs w:val="18"/>
              </w:rPr>
            </w:pPr>
            <w:r w:rsidRPr="00E92FD7">
              <w:rPr>
                <w:rFonts w:ascii="Verdana" w:eastAsia="Times New Roman" w:hAnsi="Verdana" w:cs="Times New Roman"/>
                <w:b/>
                <w:bCs/>
                <w:caps/>
                <w:color w:val="022749"/>
                <w:sz w:val="18"/>
                <w:szCs w:val="18"/>
              </w:rPr>
              <w:t>PROFIT BEFORE TAX FROM CONTINUING OPERATIONS</w:t>
            </w: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94</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262</w:t>
            </w:r>
          </w:p>
        </w:tc>
      </w:tr>
      <w:tr w:rsidR="00E92FD7" w:rsidRPr="00E92FD7" w:rsidTr="00E92FD7">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r>
      <w:tr w:rsidR="00E92FD7" w:rsidRPr="00E92FD7" w:rsidTr="00E92FD7">
        <w:tc>
          <w:tcPr>
            <w:tcW w:w="6847" w:type="dxa"/>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Tax</w:t>
            </w: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19" w:anchor="tax" w:history="1">
              <w:r w:rsidR="00E92FD7" w:rsidRPr="00E92FD7">
                <w:rPr>
                  <w:rFonts w:ascii="Verdana" w:eastAsia="Times New Roman" w:hAnsi="Verdana" w:cs="Times New Roman"/>
                  <w:color w:val="152949"/>
                  <w:sz w:val="18"/>
                </w:rPr>
                <w:t>12</w:t>
              </w:r>
            </w:hyperlink>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20</w:t>
            </w:r>
          </w:p>
        </w:tc>
      </w:tr>
      <w:tr w:rsidR="00E92FD7" w:rsidRPr="00E92FD7" w:rsidTr="00E92FD7">
        <w:tc>
          <w:tcPr>
            <w:tcW w:w="6847" w:type="dxa"/>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8"/>
                <w:szCs w:val="18"/>
              </w:rPr>
            </w:pPr>
            <w:r w:rsidRPr="00E92FD7">
              <w:rPr>
                <w:rFonts w:ascii="Verdana" w:eastAsia="Times New Roman" w:hAnsi="Verdana" w:cs="Times New Roman"/>
                <w:b/>
                <w:bCs/>
                <w:caps/>
                <w:color w:val="022749"/>
                <w:sz w:val="18"/>
                <w:szCs w:val="18"/>
              </w:rPr>
              <w:t>PROFIT AFTER TAX FROM CONTINUING OPERATIONS</w:t>
            </w: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93</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242</w:t>
            </w:r>
          </w:p>
        </w:tc>
      </w:tr>
      <w:tr w:rsidR="00E92FD7" w:rsidRPr="00E92FD7" w:rsidTr="00E92FD7">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r>
      <w:tr w:rsidR="00E92FD7" w:rsidRPr="00E92FD7" w:rsidTr="00E92FD7">
        <w:tc>
          <w:tcPr>
            <w:tcW w:w="6847" w:type="dxa"/>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8"/>
                <w:szCs w:val="18"/>
              </w:rPr>
            </w:pPr>
            <w:r w:rsidRPr="00E92FD7">
              <w:rPr>
                <w:rFonts w:ascii="Verdana" w:eastAsia="Times New Roman" w:hAnsi="Verdana" w:cs="Times New Roman"/>
                <w:b/>
                <w:bCs/>
                <w:caps/>
                <w:color w:val="022749"/>
                <w:sz w:val="18"/>
                <w:szCs w:val="18"/>
              </w:rPr>
              <w:t>RESULT FROM DISCONTINUED OPERATIONS</w:t>
            </w: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20" w:anchor="discontinued-operations" w:history="1">
              <w:r w:rsidR="00E92FD7" w:rsidRPr="00E92FD7">
                <w:rPr>
                  <w:rFonts w:ascii="Verdana" w:eastAsia="Times New Roman" w:hAnsi="Verdana" w:cs="Times New Roman"/>
                  <w:color w:val="152949"/>
                  <w:sz w:val="18"/>
                </w:rPr>
                <w:t>53</w:t>
              </w:r>
            </w:hyperlink>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(141)</w:t>
            </w:r>
          </w:p>
        </w:tc>
      </w:tr>
      <w:tr w:rsidR="00E92FD7" w:rsidRPr="00E92FD7" w:rsidTr="00E92FD7">
        <w:tc>
          <w:tcPr>
            <w:tcW w:w="6847" w:type="dxa"/>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8"/>
                <w:szCs w:val="18"/>
              </w:rPr>
            </w:pPr>
            <w:r w:rsidRPr="00E92FD7">
              <w:rPr>
                <w:rFonts w:ascii="Verdana" w:eastAsia="Times New Roman" w:hAnsi="Verdana" w:cs="Times New Roman"/>
                <w:b/>
                <w:bCs/>
                <w:caps/>
                <w:color w:val="022749"/>
                <w:sz w:val="18"/>
                <w:szCs w:val="18"/>
              </w:rPr>
              <w:t>NET PROFIT FOR THE YEAR</w:t>
            </w: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93</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101</w:t>
            </w:r>
          </w:p>
        </w:tc>
      </w:tr>
      <w:tr w:rsidR="00E92FD7" w:rsidRPr="00E92FD7" w:rsidTr="00E92FD7">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r>
      <w:tr w:rsidR="00E92FD7" w:rsidRPr="00E92FD7" w:rsidTr="00E92FD7">
        <w:tc>
          <w:tcPr>
            <w:tcW w:w="6847" w:type="dxa"/>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Result attributable to minority interest</w:t>
            </w:r>
          </w:p>
        </w:tc>
        <w:tc>
          <w:tcPr>
            <w:tcW w:w="0" w:type="auto"/>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21" w:anchor="result-attributable-to-minority-interest" w:history="1">
              <w:r w:rsidR="00E92FD7" w:rsidRPr="00E92FD7">
                <w:rPr>
                  <w:rFonts w:ascii="Verdana" w:eastAsia="Times New Roman" w:hAnsi="Verdana" w:cs="Times New Roman"/>
                  <w:color w:val="152949"/>
                  <w:sz w:val="18"/>
                </w:rPr>
                <w:t>13</w:t>
              </w:r>
            </w:hyperlink>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w:t>
            </w: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w:t>
            </w:r>
          </w:p>
        </w:tc>
      </w:tr>
      <w:tr w:rsidR="00E92FD7" w:rsidRPr="00E92FD7" w:rsidTr="00E92FD7">
        <w:tc>
          <w:tcPr>
            <w:tcW w:w="0" w:type="auto"/>
            <w:tcBorders>
              <w:top w:val="single" w:sz="6" w:space="0" w:color="022749"/>
              <w:bottom w:val="single" w:sz="6" w:space="0" w:color="022749"/>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single" w:sz="6" w:space="0" w:color="022749"/>
              <w:bottom w:val="single" w:sz="6" w:space="0" w:color="022749"/>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27"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0" w:type="auto"/>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36"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r>
      <w:tr w:rsidR="00E92FD7" w:rsidRPr="00E92FD7" w:rsidTr="00E92FD7">
        <w:tc>
          <w:tcPr>
            <w:tcW w:w="0" w:type="auto"/>
            <w:tcBorders>
              <w:bottom w:val="single" w:sz="6" w:space="0" w:color="022749"/>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9"/>
                <w:szCs w:val="19"/>
              </w:rPr>
            </w:pPr>
            <w:r w:rsidRPr="00E92FD7">
              <w:rPr>
                <w:rFonts w:ascii="Verdana" w:eastAsia="Times New Roman" w:hAnsi="Verdana" w:cs="Times New Roman"/>
                <w:b/>
                <w:bCs/>
                <w:caps/>
                <w:color w:val="022749"/>
                <w:sz w:val="19"/>
                <w:szCs w:val="19"/>
              </w:rPr>
              <w:t>NET PROFIT ATTRIBUTABLE TO PARENT SHAREHOLDERS</w:t>
            </w:r>
          </w:p>
        </w:tc>
        <w:tc>
          <w:tcPr>
            <w:tcW w:w="0" w:type="auto"/>
            <w:tcBorders>
              <w:bottom w:val="single" w:sz="6" w:space="0" w:color="022749"/>
            </w:tcBorders>
            <w:tcMar>
              <w:top w:w="0" w:type="dxa"/>
              <w:left w:w="162"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bottom w:val="single" w:sz="6" w:space="0" w:color="022749"/>
            </w:tcBorders>
            <w:vAlign w:val="center"/>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c>
          <w:tcPr>
            <w:tcW w:w="0" w:type="auto"/>
            <w:tcBorders>
              <w:bottom w:val="single" w:sz="6" w:space="0" w:color="022749"/>
            </w:tcBorders>
            <w:tcMar>
              <w:top w:w="0" w:type="dxa"/>
              <w:left w:w="162"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92</w:t>
            </w:r>
          </w:p>
        </w:tc>
        <w:tc>
          <w:tcPr>
            <w:tcW w:w="0" w:type="auto"/>
            <w:tcBorders>
              <w:bottom w:val="single" w:sz="6" w:space="0" w:color="022749"/>
            </w:tcBorders>
            <w:vAlign w:val="center"/>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c>
          <w:tcPr>
            <w:tcW w:w="0" w:type="auto"/>
            <w:tcBorders>
              <w:bottom w:val="single" w:sz="6" w:space="0" w:color="022749"/>
            </w:tcBorders>
            <w:tcMar>
              <w:top w:w="0" w:type="dxa"/>
              <w:left w:w="162"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98</w:t>
            </w:r>
          </w:p>
        </w:tc>
      </w:tr>
    </w:tbl>
    <w:p w:rsidR="00E92FD7" w:rsidRPr="00E92FD7" w:rsidRDefault="00E92FD7" w:rsidP="00E92FD7">
      <w:pPr>
        <w:spacing w:after="0" w:line="728" w:lineRule="atLeast"/>
        <w:rPr>
          <w:rFonts w:ascii="Trebuchet MS" w:eastAsia="Times New Roman" w:hAnsi="Trebuchet MS" w:cs="Times New Roman"/>
          <w:color w:val="152949"/>
          <w:sz w:val="53"/>
          <w:szCs w:val="53"/>
        </w:rPr>
      </w:pPr>
      <w:r w:rsidRPr="00E92FD7">
        <w:rPr>
          <w:rFonts w:ascii="Trebuchet MS" w:eastAsia="Times New Roman" w:hAnsi="Trebuchet MS" w:cs="Times New Roman"/>
          <w:color w:val="152949"/>
          <w:sz w:val="53"/>
          <w:szCs w:val="53"/>
        </w:rPr>
        <w:t>Consolidated Balance Sheet</w:t>
      </w:r>
    </w:p>
    <w:p w:rsidR="00E92FD7" w:rsidRPr="00E92FD7" w:rsidRDefault="00E92FD7" w:rsidP="00E92FD7">
      <w:pPr>
        <w:spacing w:after="0" w:line="388" w:lineRule="atLeast"/>
        <w:rPr>
          <w:rFonts w:ascii="Trebuchet MS" w:eastAsia="Times New Roman" w:hAnsi="Trebuchet MS" w:cs="Times New Roman"/>
          <w:color w:val="152949"/>
          <w:sz w:val="26"/>
          <w:szCs w:val="26"/>
        </w:rPr>
      </w:pPr>
      <w:r w:rsidRPr="00E92FD7">
        <w:rPr>
          <w:rFonts w:ascii="Trebuchet MS" w:eastAsia="Times New Roman" w:hAnsi="Trebuchet MS" w:cs="Times New Roman"/>
          <w:color w:val="152949"/>
          <w:sz w:val="26"/>
          <w:szCs w:val="26"/>
        </w:rPr>
        <w:t>At 31 December</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tbl>
      <w:tblPr>
        <w:tblW w:w="0" w:type="auto"/>
        <w:tblCellMar>
          <w:left w:w="0" w:type="dxa"/>
          <w:right w:w="0" w:type="dxa"/>
        </w:tblCellMar>
        <w:tblLook w:val="04A0"/>
      </w:tblPr>
      <w:tblGrid>
        <w:gridCol w:w="6736"/>
        <w:gridCol w:w="423"/>
        <w:gridCol w:w="14"/>
        <w:gridCol w:w="1087"/>
        <w:gridCol w:w="21"/>
        <w:gridCol w:w="1087"/>
      </w:tblGrid>
      <w:tr w:rsidR="00E92FD7" w:rsidRPr="00E92FD7" w:rsidTr="00E92FD7">
        <w:tc>
          <w:tcPr>
            <w:tcW w:w="0" w:type="auto"/>
            <w:tcBorders>
              <w:top w:val="single" w:sz="6" w:space="0" w:color="022749"/>
              <w:left w:val="nil"/>
              <w:bottom w:val="single" w:sz="6" w:space="0" w:color="022749"/>
              <w:right w:val="nil"/>
            </w:tcBorders>
            <w:tcMar>
              <w:top w:w="32" w:type="dxa"/>
              <w:left w:w="0" w:type="dxa"/>
              <w:bottom w:w="32" w:type="dxa"/>
              <w:right w:w="0" w:type="dxa"/>
            </w:tcMar>
            <w:vAlign w:val="bottom"/>
            <w:hideMark/>
          </w:tcPr>
          <w:p w:rsidR="00E92FD7" w:rsidRPr="00E92FD7" w:rsidRDefault="00E92FD7" w:rsidP="00E92FD7">
            <w:pPr>
              <w:spacing w:after="0" w:line="240" w:lineRule="auto"/>
              <w:rPr>
                <w:rFonts w:ascii="Verdana" w:eastAsia="Times New Roman" w:hAnsi="Verdana" w:cs="Times New Roman"/>
                <w:caps/>
                <w:color w:val="022749"/>
                <w:sz w:val="15"/>
                <w:szCs w:val="15"/>
              </w:rPr>
            </w:pPr>
            <w:r w:rsidRPr="00E92FD7">
              <w:rPr>
                <w:rFonts w:ascii="Verdana" w:eastAsia="Times New Roman" w:hAnsi="Verdana" w:cs="Times New Roman"/>
                <w:caps/>
                <w:color w:val="022749"/>
                <w:sz w:val="15"/>
                <w:szCs w:val="15"/>
              </w:rPr>
              <w:t>IN EUR MILLIONS</w:t>
            </w:r>
          </w:p>
        </w:tc>
        <w:tc>
          <w:tcPr>
            <w:tcW w:w="0" w:type="auto"/>
            <w:tcBorders>
              <w:top w:val="single" w:sz="6" w:space="0" w:color="022749"/>
              <w:left w:val="nil"/>
              <w:bottom w:val="single" w:sz="6" w:space="0" w:color="022749"/>
              <w:right w:val="nil"/>
            </w:tcBorders>
            <w:tcMar>
              <w:top w:w="32" w:type="dxa"/>
              <w:left w:w="0" w:type="dxa"/>
              <w:bottom w:w="32" w:type="dxa"/>
              <w:right w:w="0" w:type="dxa"/>
            </w:tcMar>
            <w:vAlign w:val="bottom"/>
            <w:hideMark/>
          </w:tcPr>
          <w:p w:rsidR="00E92FD7" w:rsidRPr="00E92FD7" w:rsidRDefault="00E92FD7" w:rsidP="00E92FD7">
            <w:pPr>
              <w:spacing w:after="0" w:line="194" w:lineRule="atLeast"/>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Note</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1133" w:type="dxa"/>
            <w:tcBorders>
              <w:top w:val="single" w:sz="6" w:space="0" w:color="022749"/>
              <w:left w:val="single" w:sz="6" w:space="0" w:color="022749"/>
              <w:bottom w:val="single" w:sz="6" w:space="0" w:color="022749"/>
              <w:right w:val="single" w:sz="6" w:space="0" w:color="022749"/>
            </w:tcBorders>
            <w:shd w:val="clear" w:color="auto" w:fill="022749"/>
            <w:tcMar>
              <w:top w:w="32" w:type="dxa"/>
              <w:left w:w="0" w:type="dxa"/>
              <w:bottom w:w="65"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FFFFFF"/>
                <w:sz w:val="18"/>
                <w:szCs w:val="18"/>
              </w:rPr>
            </w:pPr>
            <w:r w:rsidRPr="00E92FD7">
              <w:rPr>
                <w:rFonts w:ascii="Verdana" w:eastAsia="Times New Roman" w:hAnsi="Verdana" w:cs="Times New Roman"/>
                <w:color w:val="FFFFFF"/>
                <w:sz w:val="18"/>
                <w:szCs w:val="18"/>
              </w:rPr>
              <w:t>2008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1133"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65"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FFFFFF"/>
                <w:sz w:val="18"/>
                <w:szCs w:val="18"/>
              </w:rPr>
            </w:pPr>
            <w:r w:rsidRPr="00E92FD7">
              <w:rPr>
                <w:rFonts w:ascii="Verdana" w:eastAsia="Times New Roman" w:hAnsi="Verdana" w:cs="Times New Roman"/>
                <w:color w:val="FFFFFF"/>
                <w:sz w:val="18"/>
                <w:szCs w:val="18"/>
              </w:rPr>
              <w:t>2007</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olor w:val="152949"/>
                <w:sz w:val="24"/>
                <w:szCs w:val="24"/>
              </w:rPr>
            </w:pPr>
            <w:r w:rsidRPr="00E92FD7">
              <w:rPr>
                <w:rFonts w:ascii="Verdana" w:eastAsia="Times New Roman" w:hAnsi="Verdana" w:cs="Times New Roman"/>
                <w:b/>
                <w:bCs/>
                <w:color w:val="152949"/>
                <w:sz w:val="24"/>
                <w:szCs w:val="24"/>
              </w:rPr>
              <w:t>Assets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aps/>
                <w:color w:val="48A4D4"/>
                <w:sz w:val="18"/>
                <w:szCs w:val="18"/>
              </w:rPr>
            </w:pPr>
            <w:r w:rsidRPr="00E92FD7">
              <w:rPr>
                <w:rFonts w:ascii="Verdana" w:eastAsia="Times New Roman" w:hAnsi="Verdana" w:cs="Times New Roman"/>
                <w:caps/>
                <w:color w:val="48A4D4"/>
                <w:sz w:val="18"/>
                <w:szCs w:val="18"/>
              </w:rPr>
              <w:t>FINANCIAL ASSETS AT AMORTISED COST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Cash and balances with central banks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22" w:anchor="cash-and-balances-with-central-banks-amortised-cost" w:history="1">
              <w:r w:rsidR="00E92FD7" w:rsidRPr="00E92FD7">
                <w:rPr>
                  <w:rFonts w:ascii="Verdana" w:eastAsia="Times New Roman" w:hAnsi="Verdana" w:cs="Times New Roman"/>
                  <w:color w:val="152949"/>
                  <w:sz w:val="18"/>
                </w:rPr>
                <w:t>14</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1,113</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874</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Due from other banks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23" w:anchor="due-from-other-banks-amortised-cost" w:history="1">
              <w:r w:rsidR="00E92FD7" w:rsidRPr="00E92FD7">
                <w:rPr>
                  <w:rFonts w:ascii="Verdana" w:eastAsia="Times New Roman" w:hAnsi="Verdana" w:cs="Times New Roman"/>
                  <w:color w:val="152949"/>
                  <w:sz w:val="18"/>
                </w:rPr>
                <w:t>15</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1,770</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3,145</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Loans and Receivables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Loans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24" w:anchor="loans-amortised-cost" w:history="1">
              <w:r w:rsidR="00E92FD7" w:rsidRPr="00E92FD7">
                <w:rPr>
                  <w:rFonts w:ascii="Verdana" w:eastAsia="Times New Roman" w:hAnsi="Verdana" w:cs="Times New Roman"/>
                  <w:color w:val="152949"/>
                  <w:sz w:val="18"/>
                </w:rPr>
                <w:t>16</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6,303</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1,490</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Debt investments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25" w:anchor="debt-investments-amortised-cost" w:history="1">
              <w:r w:rsidR="00E92FD7" w:rsidRPr="00E92FD7">
                <w:rPr>
                  <w:rFonts w:ascii="Verdana" w:eastAsia="Times New Roman" w:hAnsi="Verdana" w:cs="Times New Roman"/>
                  <w:color w:val="152949"/>
                  <w:sz w:val="18"/>
                </w:rPr>
                <w:t>17</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738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proofErr w:type="spellStart"/>
            <w:r w:rsidRPr="00E92FD7">
              <w:rPr>
                <w:rFonts w:ascii="Verdana" w:eastAsia="Times New Roman" w:hAnsi="Verdana" w:cs="Times New Roman"/>
                <w:color w:val="152949"/>
                <w:sz w:val="18"/>
                <w:szCs w:val="18"/>
              </w:rPr>
              <w:t>Securitised</w:t>
            </w:r>
            <w:proofErr w:type="spellEnd"/>
            <w:r w:rsidRPr="00E92FD7">
              <w:rPr>
                <w:rFonts w:ascii="Verdana" w:eastAsia="Times New Roman" w:hAnsi="Verdana" w:cs="Times New Roman"/>
                <w:color w:val="152949"/>
                <w:sz w:val="18"/>
                <w:szCs w:val="18"/>
              </w:rPr>
              <w:t xml:space="preserve"> loans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26" w:anchor="securitised-loans-amortised-cost" w:history="1">
              <w:r w:rsidR="00E92FD7" w:rsidRPr="00E92FD7">
                <w:rPr>
                  <w:rFonts w:ascii="Verdana" w:eastAsia="Times New Roman" w:hAnsi="Verdana" w:cs="Times New Roman"/>
                  <w:color w:val="152949"/>
                  <w:sz w:val="18"/>
                </w:rPr>
                <w:t>18</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630</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638</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aps/>
                <w:color w:val="48A4D4"/>
                <w:sz w:val="18"/>
                <w:szCs w:val="18"/>
              </w:rPr>
            </w:pPr>
            <w:r w:rsidRPr="00E92FD7">
              <w:rPr>
                <w:rFonts w:ascii="Verdana" w:eastAsia="Times New Roman" w:hAnsi="Verdana" w:cs="Times New Roman"/>
                <w:caps/>
                <w:color w:val="48A4D4"/>
                <w:sz w:val="18"/>
                <w:szCs w:val="18"/>
              </w:rPr>
              <w:t>FINANCIAL ASSETS AT AVAILABLE FOR SALE</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lastRenderedPageBreak/>
              <w:t>Loans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27" w:anchor="loans-available-for-sale" w:history="1">
              <w:r w:rsidR="00E92FD7" w:rsidRPr="00E92FD7">
                <w:rPr>
                  <w:rFonts w:ascii="Verdana" w:eastAsia="Times New Roman" w:hAnsi="Verdana" w:cs="Times New Roman"/>
                  <w:color w:val="152949"/>
                  <w:sz w:val="18"/>
                </w:rPr>
                <w:t>19</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5,468</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Equity investments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28" w:anchor="equity-investments-available-for-sale" w:history="1">
              <w:r w:rsidR="00E92FD7" w:rsidRPr="00E92FD7">
                <w:rPr>
                  <w:rFonts w:ascii="Verdana" w:eastAsia="Times New Roman" w:hAnsi="Verdana" w:cs="Times New Roman"/>
                  <w:color w:val="152949"/>
                  <w:sz w:val="18"/>
                </w:rPr>
                <w:t>20</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108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144</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Debt investments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29" w:anchor="debt-investments-available-for-sale" w:history="1">
              <w:r w:rsidR="00E92FD7" w:rsidRPr="00E92FD7">
                <w:rPr>
                  <w:rFonts w:ascii="Verdana" w:eastAsia="Times New Roman" w:hAnsi="Verdana" w:cs="Times New Roman"/>
                  <w:color w:val="152949"/>
                  <w:sz w:val="18"/>
                </w:rPr>
                <w:t>21</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35</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311</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aps/>
                <w:color w:val="48A4D4"/>
                <w:sz w:val="18"/>
                <w:szCs w:val="18"/>
              </w:rPr>
            </w:pPr>
            <w:r w:rsidRPr="00E92FD7">
              <w:rPr>
                <w:rFonts w:ascii="Verdana" w:eastAsia="Times New Roman" w:hAnsi="Verdana" w:cs="Times New Roman"/>
                <w:caps/>
                <w:color w:val="48A4D4"/>
                <w:sz w:val="18"/>
                <w:szCs w:val="18"/>
              </w:rPr>
              <w:t>FINANCIAL ASSETS AT FAIR VALUE THROUGH PROFIT OR LOSS (INCLUDING TRADING)</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Loans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30" w:anchor="loans-designated-at-fair-value-through-profit-or-loss" w:history="1">
              <w:r w:rsidR="00E92FD7" w:rsidRPr="00E92FD7">
                <w:rPr>
                  <w:rFonts w:ascii="Verdana" w:eastAsia="Times New Roman" w:hAnsi="Verdana" w:cs="Times New Roman"/>
                  <w:color w:val="152949"/>
                  <w:sz w:val="18"/>
                </w:rPr>
                <w:t>22</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1,136</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1,374</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Residential mortgages own book</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31" w:anchor="residential-mortgages-own-book" w:history="1">
              <w:r w:rsidR="00E92FD7" w:rsidRPr="00E92FD7">
                <w:rPr>
                  <w:rFonts w:ascii="Verdana" w:eastAsia="Times New Roman" w:hAnsi="Verdana" w:cs="Times New Roman"/>
                  <w:color w:val="152949"/>
                  <w:sz w:val="18"/>
                </w:rPr>
                <w:t>23</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6,201</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5,285</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proofErr w:type="spellStart"/>
            <w:r w:rsidRPr="00E92FD7">
              <w:rPr>
                <w:rFonts w:ascii="Verdana" w:eastAsia="Times New Roman" w:hAnsi="Verdana" w:cs="Times New Roman"/>
                <w:color w:val="152949"/>
                <w:sz w:val="18"/>
                <w:szCs w:val="18"/>
              </w:rPr>
              <w:t>Securitised</w:t>
            </w:r>
            <w:proofErr w:type="spellEnd"/>
            <w:r w:rsidRPr="00E92FD7">
              <w:rPr>
                <w:rFonts w:ascii="Verdana" w:eastAsia="Times New Roman" w:hAnsi="Verdana" w:cs="Times New Roman"/>
                <w:color w:val="152949"/>
                <w:sz w:val="18"/>
                <w:szCs w:val="18"/>
              </w:rPr>
              <w:t xml:space="preserve"> residential mortgages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32" w:anchor="securitised-residential-mortgages" w:history="1">
              <w:r w:rsidR="00E92FD7" w:rsidRPr="00E92FD7">
                <w:rPr>
                  <w:rFonts w:ascii="Verdana" w:eastAsia="Times New Roman" w:hAnsi="Verdana" w:cs="Times New Roman"/>
                  <w:color w:val="152949"/>
                  <w:sz w:val="18"/>
                </w:rPr>
                <w:t>24</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5,250</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6,356</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Debt investments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33" w:anchor="debt-investments-at-fair-value-through-profit-or-loss-including-trading" w:history="1">
              <w:r w:rsidR="00E92FD7" w:rsidRPr="00E92FD7">
                <w:rPr>
                  <w:rFonts w:ascii="Verdana" w:eastAsia="Times New Roman" w:hAnsi="Verdana" w:cs="Times New Roman"/>
                  <w:color w:val="152949"/>
                  <w:sz w:val="18"/>
                </w:rPr>
                <w:t>25</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732</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2,329</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Structured investments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34" w:anchor="structured-investments-designated-at-fair-value-through-profit-or-loss" w:history="1">
              <w:r w:rsidR="00E92FD7" w:rsidRPr="00E92FD7">
                <w:rPr>
                  <w:rFonts w:ascii="Verdana" w:eastAsia="Times New Roman" w:hAnsi="Verdana" w:cs="Times New Roman"/>
                  <w:color w:val="152949"/>
                  <w:sz w:val="18"/>
                </w:rPr>
                <w:t>26</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1,079</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1,212</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Investments in associates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35" w:anchor="investments-in-associates-designated-at-fair-value-through-profit-or-loss" w:history="1">
              <w:r w:rsidR="00E92FD7" w:rsidRPr="00E92FD7">
                <w:rPr>
                  <w:rFonts w:ascii="Verdana" w:eastAsia="Times New Roman" w:hAnsi="Verdana" w:cs="Times New Roman"/>
                  <w:color w:val="152949"/>
                  <w:sz w:val="18"/>
                </w:rPr>
                <w:t>27</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188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147</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Derivative financial assets Held for Trading</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36" w:anchor="derivative-financial-instruments" w:history="1">
              <w:r w:rsidR="00E92FD7" w:rsidRPr="00E92FD7">
                <w:rPr>
                  <w:rFonts w:ascii="Verdana" w:eastAsia="Times New Roman" w:hAnsi="Verdana" w:cs="Times New Roman"/>
                  <w:color w:val="152949"/>
                  <w:sz w:val="18"/>
                </w:rPr>
                <w:t>28</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3,137</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2,641</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Derivative financial assets used for hedging</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37" w:anchor="investments-in-associates-equity-method" w:history="1">
              <w:r w:rsidR="00E92FD7" w:rsidRPr="00E92FD7">
                <w:rPr>
                  <w:rFonts w:ascii="Verdana" w:eastAsia="Times New Roman" w:hAnsi="Verdana" w:cs="Times New Roman"/>
                  <w:color w:val="152949"/>
                  <w:sz w:val="18"/>
                </w:rPr>
                <w:t>29</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215</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85</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Investments in associates (equity method)</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38" w:anchor="investments-in-associates-equity-method" w:history="1">
              <w:r w:rsidR="00E92FD7" w:rsidRPr="00E92FD7">
                <w:rPr>
                  <w:rFonts w:ascii="Verdana" w:eastAsia="Times New Roman" w:hAnsi="Verdana" w:cs="Times New Roman"/>
                  <w:color w:val="152949"/>
                  <w:sz w:val="18"/>
                </w:rPr>
                <w:t>29</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40</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44</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Intangible assets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39" w:anchor="intangible-assets" w:history="1">
              <w:r w:rsidR="00E92FD7" w:rsidRPr="00E92FD7">
                <w:rPr>
                  <w:rFonts w:ascii="Verdana" w:eastAsia="Times New Roman" w:hAnsi="Verdana" w:cs="Times New Roman"/>
                  <w:color w:val="152949"/>
                  <w:sz w:val="18"/>
                </w:rPr>
                <w:t>30</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44</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Property, plant and equipment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40" w:anchor="property-plant-and-equipment" w:history="1">
              <w:r w:rsidR="00E92FD7" w:rsidRPr="00E92FD7">
                <w:rPr>
                  <w:rFonts w:ascii="Verdana" w:eastAsia="Times New Roman" w:hAnsi="Verdana" w:cs="Times New Roman"/>
                  <w:color w:val="152949"/>
                  <w:sz w:val="18"/>
                </w:rPr>
                <w:t>31</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102</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72</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Investment property</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41" w:anchor="investment-property" w:history="1">
              <w:r w:rsidR="00E92FD7" w:rsidRPr="00E92FD7">
                <w:rPr>
                  <w:rFonts w:ascii="Verdana" w:eastAsia="Times New Roman" w:hAnsi="Verdana" w:cs="Times New Roman"/>
                  <w:color w:val="152949"/>
                  <w:sz w:val="18"/>
                </w:rPr>
                <w:t>32</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30</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Current tax</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42" w:anchor="current-tax" w:history="1">
              <w:r w:rsidR="00E92FD7" w:rsidRPr="00E92FD7">
                <w:rPr>
                  <w:rFonts w:ascii="Verdana" w:eastAsia="Times New Roman" w:hAnsi="Verdana" w:cs="Times New Roman"/>
                  <w:color w:val="152949"/>
                  <w:sz w:val="18"/>
                </w:rPr>
                <w:t>33</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6</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40</w:t>
            </w:r>
          </w:p>
        </w:tc>
      </w:tr>
      <w:tr w:rsidR="00E92FD7" w:rsidRPr="00E92FD7" w:rsidTr="00E92FD7">
        <w:tc>
          <w:tcPr>
            <w:tcW w:w="7928"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Other assets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43" w:anchor="other-assets" w:history="1">
              <w:r w:rsidR="00E92FD7" w:rsidRPr="00E92FD7">
                <w:rPr>
                  <w:rFonts w:ascii="Verdana" w:eastAsia="Times New Roman" w:hAnsi="Verdana" w:cs="Times New Roman"/>
                  <w:color w:val="152949"/>
                  <w:sz w:val="18"/>
                </w:rPr>
                <w:t>35</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80</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153</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r>
      <w:tr w:rsidR="00E92FD7" w:rsidRPr="00E92FD7" w:rsidTr="00E92FD7">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1133"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1133"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sz w:val="2"/>
                <w:szCs w:val="2"/>
              </w:rPr>
            </w:pPr>
          </w:p>
        </w:tc>
      </w:tr>
      <w:tr w:rsidR="00E92FD7" w:rsidRPr="00E92FD7" w:rsidTr="00E92FD7">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9"/>
                <w:szCs w:val="19"/>
              </w:rPr>
            </w:pPr>
            <w:r w:rsidRPr="00E92FD7">
              <w:rPr>
                <w:rFonts w:ascii="Verdana" w:eastAsia="Times New Roman" w:hAnsi="Verdana" w:cs="Times New Roman"/>
                <w:b/>
                <w:bCs/>
                <w:caps/>
                <w:color w:val="022749"/>
                <w:sz w:val="19"/>
                <w:szCs w:val="19"/>
              </w:rPr>
              <w:t>TOTAL ASSETS</w:t>
            </w:r>
          </w:p>
        </w:tc>
        <w:tc>
          <w:tcPr>
            <w:tcW w:w="0" w:type="auto"/>
            <w:tcBorders>
              <w:top w:val="nil"/>
              <w:left w:val="nil"/>
              <w:bottom w:val="single" w:sz="6" w:space="0" w:color="022749"/>
              <w:right w:val="nil"/>
            </w:tcBorders>
            <w:tcMar>
              <w:top w:w="0" w:type="dxa"/>
              <w:left w:w="162"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single" w:sz="6" w:space="0" w:color="022749"/>
              <w:right w:val="nil"/>
            </w:tcBorders>
            <w:vAlign w:val="center"/>
            <w:hideMark/>
          </w:tcPr>
          <w:p w:rsidR="00E92FD7" w:rsidRPr="00E92FD7" w:rsidRDefault="00E92FD7" w:rsidP="00E92FD7">
            <w:pPr>
              <w:spacing w:after="0" w:line="240" w:lineRule="auto"/>
              <w:rPr>
                <w:rFonts w:ascii="Verdana" w:eastAsia="Times New Roman" w:hAnsi="Verdana" w:cs="Times New Roman"/>
                <w:sz w:val="24"/>
                <w:szCs w:val="24"/>
              </w:rPr>
            </w:pPr>
          </w:p>
        </w:tc>
        <w:tc>
          <w:tcPr>
            <w:tcW w:w="0" w:type="auto"/>
            <w:tcBorders>
              <w:top w:val="nil"/>
              <w:left w:val="nil"/>
              <w:bottom w:val="single" w:sz="6" w:space="0" w:color="022749"/>
              <w:right w:val="nil"/>
            </w:tcBorders>
            <w:tcMar>
              <w:top w:w="0" w:type="dxa"/>
              <w:left w:w="162"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28,937</w:t>
            </w:r>
          </w:p>
        </w:tc>
        <w:tc>
          <w:tcPr>
            <w:tcW w:w="0" w:type="auto"/>
            <w:tcBorders>
              <w:top w:val="nil"/>
              <w:left w:val="nil"/>
              <w:bottom w:val="single" w:sz="6" w:space="0" w:color="022749"/>
              <w:right w:val="nil"/>
            </w:tcBorders>
            <w:vAlign w:val="center"/>
            <w:hideMark/>
          </w:tcPr>
          <w:p w:rsidR="00E92FD7" w:rsidRPr="00E92FD7" w:rsidRDefault="00E92FD7" w:rsidP="00E92FD7">
            <w:pPr>
              <w:spacing w:after="0" w:line="240" w:lineRule="auto"/>
              <w:rPr>
                <w:rFonts w:ascii="Verdana" w:eastAsia="Times New Roman" w:hAnsi="Verdana" w:cs="Times New Roman"/>
                <w:sz w:val="24"/>
                <w:szCs w:val="24"/>
              </w:rPr>
            </w:pPr>
          </w:p>
        </w:tc>
        <w:tc>
          <w:tcPr>
            <w:tcW w:w="0" w:type="auto"/>
            <w:tcBorders>
              <w:top w:val="nil"/>
              <w:left w:val="nil"/>
              <w:bottom w:val="single" w:sz="6" w:space="0" w:color="022749"/>
              <w:right w:val="nil"/>
            </w:tcBorders>
            <w:tcMar>
              <w:top w:w="0" w:type="dxa"/>
              <w:left w:w="162"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31,809</w:t>
            </w:r>
          </w:p>
        </w:tc>
      </w:tr>
    </w:tbl>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tbl>
      <w:tblPr>
        <w:tblW w:w="0" w:type="auto"/>
        <w:tblCellMar>
          <w:left w:w="0" w:type="dxa"/>
          <w:right w:w="0" w:type="dxa"/>
        </w:tblCellMar>
        <w:tblLook w:val="04A0"/>
      </w:tblPr>
      <w:tblGrid>
        <w:gridCol w:w="6736"/>
        <w:gridCol w:w="423"/>
        <w:gridCol w:w="14"/>
        <w:gridCol w:w="1087"/>
        <w:gridCol w:w="21"/>
        <w:gridCol w:w="1087"/>
      </w:tblGrid>
      <w:tr w:rsidR="00E92FD7" w:rsidRPr="00E92FD7" w:rsidTr="00E92FD7">
        <w:tc>
          <w:tcPr>
            <w:tcW w:w="0" w:type="auto"/>
            <w:tcBorders>
              <w:top w:val="single" w:sz="6" w:space="0" w:color="022749"/>
              <w:left w:val="nil"/>
              <w:bottom w:val="single" w:sz="6" w:space="0" w:color="022749"/>
              <w:right w:val="nil"/>
            </w:tcBorders>
            <w:tcMar>
              <w:top w:w="32" w:type="dxa"/>
              <w:left w:w="0" w:type="dxa"/>
              <w:bottom w:w="32" w:type="dxa"/>
              <w:right w:w="0" w:type="dxa"/>
            </w:tcMar>
            <w:vAlign w:val="bottom"/>
            <w:hideMark/>
          </w:tcPr>
          <w:p w:rsidR="00E92FD7" w:rsidRPr="00E92FD7" w:rsidRDefault="00E92FD7" w:rsidP="00E92FD7">
            <w:pPr>
              <w:spacing w:after="0" w:line="240" w:lineRule="auto"/>
              <w:rPr>
                <w:rFonts w:ascii="Verdana" w:eastAsia="Times New Roman" w:hAnsi="Verdana" w:cs="Times New Roman"/>
                <w:caps/>
                <w:color w:val="022749"/>
                <w:sz w:val="15"/>
                <w:szCs w:val="15"/>
              </w:rPr>
            </w:pPr>
            <w:r w:rsidRPr="00E92FD7">
              <w:rPr>
                <w:rFonts w:ascii="Verdana" w:eastAsia="Times New Roman" w:hAnsi="Verdana" w:cs="Times New Roman"/>
                <w:caps/>
                <w:color w:val="022749"/>
                <w:sz w:val="15"/>
                <w:szCs w:val="15"/>
              </w:rPr>
              <w:t>IN EUR MILLIONS</w:t>
            </w:r>
          </w:p>
        </w:tc>
        <w:tc>
          <w:tcPr>
            <w:tcW w:w="0" w:type="auto"/>
            <w:tcBorders>
              <w:top w:val="single" w:sz="6" w:space="0" w:color="022749"/>
              <w:left w:val="nil"/>
              <w:bottom w:val="single" w:sz="6" w:space="0" w:color="022749"/>
              <w:right w:val="nil"/>
            </w:tcBorders>
            <w:tcMar>
              <w:top w:w="32" w:type="dxa"/>
              <w:left w:w="0" w:type="dxa"/>
              <w:bottom w:w="32" w:type="dxa"/>
              <w:right w:w="0" w:type="dxa"/>
            </w:tcMar>
            <w:vAlign w:val="bottom"/>
            <w:hideMark/>
          </w:tcPr>
          <w:p w:rsidR="00E92FD7" w:rsidRPr="00E92FD7" w:rsidRDefault="00E92FD7" w:rsidP="00E92FD7">
            <w:pPr>
              <w:spacing w:after="0" w:line="194" w:lineRule="atLeast"/>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Note</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1087" w:type="dxa"/>
            <w:tcBorders>
              <w:top w:val="single" w:sz="6" w:space="0" w:color="022749"/>
              <w:left w:val="single" w:sz="6" w:space="0" w:color="022749"/>
              <w:bottom w:val="single" w:sz="6" w:space="0" w:color="022749"/>
              <w:right w:val="single" w:sz="6" w:space="0" w:color="022749"/>
            </w:tcBorders>
            <w:shd w:val="clear" w:color="auto" w:fill="022749"/>
            <w:tcMar>
              <w:top w:w="32" w:type="dxa"/>
              <w:left w:w="0" w:type="dxa"/>
              <w:bottom w:w="65"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FFFFFF"/>
                <w:sz w:val="18"/>
                <w:szCs w:val="18"/>
              </w:rPr>
            </w:pPr>
            <w:r w:rsidRPr="00E92FD7">
              <w:rPr>
                <w:rFonts w:ascii="Verdana" w:eastAsia="Times New Roman" w:hAnsi="Verdana" w:cs="Times New Roman"/>
                <w:color w:val="FFFFFF"/>
                <w:sz w:val="18"/>
                <w:szCs w:val="18"/>
              </w:rPr>
              <w:t>2008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1087"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65"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FFFFFF"/>
                <w:sz w:val="18"/>
                <w:szCs w:val="18"/>
              </w:rPr>
            </w:pPr>
            <w:r w:rsidRPr="00E92FD7">
              <w:rPr>
                <w:rFonts w:ascii="Verdana" w:eastAsia="Times New Roman" w:hAnsi="Verdana" w:cs="Times New Roman"/>
                <w:color w:val="FFFFFF"/>
                <w:sz w:val="18"/>
                <w:szCs w:val="18"/>
              </w:rPr>
              <w:t>2007</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r>
      <w:tr w:rsidR="00E92FD7" w:rsidRPr="00E92FD7" w:rsidTr="00E92FD7">
        <w:tc>
          <w:tcPr>
            <w:tcW w:w="6736"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olor w:val="152949"/>
                <w:sz w:val="24"/>
                <w:szCs w:val="24"/>
              </w:rPr>
            </w:pPr>
            <w:r w:rsidRPr="00E92FD7">
              <w:rPr>
                <w:rFonts w:ascii="Verdana" w:eastAsia="Times New Roman" w:hAnsi="Verdana" w:cs="Times New Roman"/>
                <w:b/>
                <w:bCs/>
                <w:color w:val="152949"/>
                <w:sz w:val="24"/>
                <w:szCs w:val="24"/>
              </w:rPr>
              <w:t>Liabilities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r>
      <w:tr w:rsidR="00E92FD7" w:rsidRPr="00E92FD7" w:rsidTr="00E92FD7">
        <w:tc>
          <w:tcPr>
            <w:tcW w:w="6736"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aps/>
                <w:color w:val="48A4D4"/>
                <w:sz w:val="18"/>
                <w:szCs w:val="18"/>
              </w:rPr>
            </w:pPr>
            <w:r w:rsidRPr="00E92FD7">
              <w:rPr>
                <w:rFonts w:ascii="Verdana" w:eastAsia="Times New Roman" w:hAnsi="Verdana" w:cs="Times New Roman"/>
                <w:caps/>
                <w:color w:val="48A4D4"/>
                <w:sz w:val="18"/>
                <w:szCs w:val="18"/>
              </w:rPr>
              <w:t>FINANCIAL LIABILITIES AT AMORTISED COST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r>
      <w:tr w:rsidR="00E92FD7" w:rsidRPr="00E92FD7" w:rsidTr="00E92FD7">
        <w:tc>
          <w:tcPr>
            <w:tcW w:w="6736"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Due to other banks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44" w:anchor="due-to-other-banks-amortised-cost" w:history="1">
              <w:r w:rsidR="00E92FD7" w:rsidRPr="00E92FD7">
                <w:rPr>
                  <w:rFonts w:ascii="Verdana" w:eastAsia="Times New Roman" w:hAnsi="Verdana" w:cs="Times New Roman"/>
                  <w:color w:val="152949"/>
                  <w:sz w:val="18"/>
                </w:rPr>
                <w:t>36</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5,537</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4,700</w:t>
            </w:r>
          </w:p>
        </w:tc>
      </w:tr>
      <w:tr w:rsidR="00E92FD7" w:rsidRPr="00E92FD7" w:rsidTr="00E92FD7">
        <w:tc>
          <w:tcPr>
            <w:tcW w:w="6736"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Deposits from customers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45" w:anchor="deposits-from-customers-amortised-cost" w:history="1">
              <w:r w:rsidR="00E92FD7" w:rsidRPr="00E92FD7">
                <w:rPr>
                  <w:rFonts w:ascii="Verdana" w:eastAsia="Times New Roman" w:hAnsi="Verdana" w:cs="Times New Roman"/>
                  <w:color w:val="152949"/>
                  <w:sz w:val="18"/>
                </w:rPr>
                <w:t>37</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2,293</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1,516</w:t>
            </w:r>
          </w:p>
        </w:tc>
      </w:tr>
      <w:tr w:rsidR="00E92FD7" w:rsidRPr="00E92FD7" w:rsidTr="00E92FD7">
        <w:tc>
          <w:tcPr>
            <w:tcW w:w="6736"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Own debt securities in issue</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46" w:anchor="own-debt-securities-in-issue-amortised-cost" w:history="1">
              <w:r w:rsidR="00E92FD7" w:rsidRPr="00E92FD7">
                <w:rPr>
                  <w:rFonts w:ascii="Verdana" w:eastAsia="Times New Roman" w:hAnsi="Verdana" w:cs="Times New Roman"/>
                  <w:color w:val="152949"/>
                  <w:sz w:val="18"/>
                </w:rPr>
                <w:t>38</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5,974</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9,035</w:t>
            </w:r>
          </w:p>
        </w:tc>
      </w:tr>
      <w:tr w:rsidR="00E92FD7" w:rsidRPr="00E92FD7" w:rsidTr="00E92FD7">
        <w:tc>
          <w:tcPr>
            <w:tcW w:w="6736"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 xml:space="preserve">Debt securities in issue related to </w:t>
            </w:r>
            <w:proofErr w:type="spellStart"/>
            <w:r w:rsidRPr="00E92FD7">
              <w:rPr>
                <w:rFonts w:ascii="Verdana" w:eastAsia="Times New Roman" w:hAnsi="Verdana" w:cs="Times New Roman"/>
                <w:color w:val="152949"/>
                <w:sz w:val="18"/>
                <w:szCs w:val="18"/>
              </w:rPr>
              <w:t>securitised</w:t>
            </w:r>
            <w:proofErr w:type="spellEnd"/>
            <w:r w:rsidRPr="00E92FD7">
              <w:rPr>
                <w:rFonts w:ascii="Verdana" w:eastAsia="Times New Roman" w:hAnsi="Verdana" w:cs="Times New Roman"/>
                <w:color w:val="152949"/>
                <w:sz w:val="18"/>
                <w:szCs w:val="18"/>
              </w:rPr>
              <w:t xml:space="preserve"> mortgages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47" w:anchor="debt-securities-in-issue-related-to-securitised-mortgages" w:history="1">
              <w:r w:rsidR="00E92FD7" w:rsidRPr="00E92FD7">
                <w:rPr>
                  <w:rFonts w:ascii="Verdana" w:eastAsia="Times New Roman" w:hAnsi="Verdana" w:cs="Times New Roman"/>
                  <w:color w:val="152949"/>
                  <w:sz w:val="18"/>
                </w:rPr>
                <w:t>39</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5,835</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7,214</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r>
      <w:tr w:rsidR="00E92FD7" w:rsidRPr="00E92FD7" w:rsidTr="00E92FD7">
        <w:tc>
          <w:tcPr>
            <w:tcW w:w="6736"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aps/>
                <w:color w:val="48A4D4"/>
                <w:sz w:val="18"/>
                <w:szCs w:val="18"/>
              </w:rPr>
            </w:pPr>
            <w:r w:rsidRPr="00E92FD7">
              <w:rPr>
                <w:rFonts w:ascii="Verdana" w:eastAsia="Times New Roman" w:hAnsi="Verdana" w:cs="Times New Roman"/>
                <w:caps/>
                <w:color w:val="48A4D4"/>
                <w:sz w:val="18"/>
                <w:szCs w:val="18"/>
              </w:rPr>
              <w:t>FINANCIAL LIABILITIES AT FAIR VALUE THROUGH PROFIT OR LOSS (INCLUDING TRADING)</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r>
      <w:tr w:rsidR="00E92FD7" w:rsidRPr="00E92FD7" w:rsidTr="00E92FD7">
        <w:tc>
          <w:tcPr>
            <w:tcW w:w="6736"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Own debt securities in issue</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48" w:anchor="own-debt-securities-in-issue-designated-at-fair-value-through-profit-or-loss" w:history="1">
              <w:r w:rsidR="00E92FD7" w:rsidRPr="00E92FD7">
                <w:rPr>
                  <w:rFonts w:ascii="Verdana" w:eastAsia="Times New Roman" w:hAnsi="Verdana" w:cs="Times New Roman"/>
                  <w:color w:val="152949"/>
                  <w:sz w:val="18"/>
                </w:rPr>
                <w:t>40</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168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215</w:t>
            </w:r>
          </w:p>
        </w:tc>
      </w:tr>
      <w:tr w:rsidR="00E92FD7" w:rsidRPr="00E92FD7" w:rsidTr="00E92FD7">
        <w:tc>
          <w:tcPr>
            <w:tcW w:w="6736"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Debt securities in issue structured</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49" w:anchor="debt-securities-in-issue-structured" w:history="1">
              <w:r w:rsidR="00E92FD7" w:rsidRPr="00E92FD7">
                <w:rPr>
                  <w:rFonts w:ascii="Verdana" w:eastAsia="Times New Roman" w:hAnsi="Verdana" w:cs="Times New Roman"/>
                  <w:color w:val="152949"/>
                  <w:sz w:val="18"/>
                </w:rPr>
                <w:t>41</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3,110</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4,152</w:t>
            </w:r>
          </w:p>
        </w:tc>
      </w:tr>
      <w:tr w:rsidR="00E92FD7" w:rsidRPr="00E92FD7" w:rsidTr="00E92FD7">
        <w:tc>
          <w:tcPr>
            <w:tcW w:w="6736"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Derivative financial liabilities Held for Trading</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50" w:anchor="derivative-financial-instruments" w:history="1">
              <w:r w:rsidR="00E92FD7" w:rsidRPr="00E92FD7">
                <w:rPr>
                  <w:rFonts w:ascii="Verdana" w:eastAsia="Times New Roman" w:hAnsi="Verdana" w:cs="Times New Roman"/>
                  <w:color w:val="152949"/>
                  <w:sz w:val="18"/>
                </w:rPr>
                <w:t>28</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3,439</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2,374</w:t>
            </w:r>
          </w:p>
        </w:tc>
      </w:tr>
      <w:tr w:rsidR="00E92FD7" w:rsidRPr="00E92FD7" w:rsidTr="00E92FD7">
        <w:tc>
          <w:tcPr>
            <w:tcW w:w="6736"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Derivative financial liabilities used for hedging</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51" w:anchor="derivative-financial-instruments" w:history="1">
              <w:r w:rsidR="00E92FD7" w:rsidRPr="00E92FD7">
                <w:rPr>
                  <w:rFonts w:ascii="Verdana" w:eastAsia="Times New Roman" w:hAnsi="Verdana" w:cs="Times New Roman"/>
                  <w:color w:val="152949"/>
                  <w:sz w:val="18"/>
                </w:rPr>
                <w:t>28</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42</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53</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r>
      <w:tr w:rsidR="00E92FD7" w:rsidRPr="00E92FD7" w:rsidTr="00E92FD7">
        <w:tc>
          <w:tcPr>
            <w:tcW w:w="6736"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Other liabilities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52" w:anchor="other-liabilities" w:history="1">
              <w:r w:rsidR="00E92FD7" w:rsidRPr="00E92FD7">
                <w:rPr>
                  <w:rFonts w:ascii="Verdana" w:eastAsia="Times New Roman" w:hAnsi="Verdana" w:cs="Times New Roman"/>
                  <w:color w:val="152949"/>
                  <w:sz w:val="18"/>
                </w:rPr>
                <w:t>42</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158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244</w:t>
            </w:r>
          </w:p>
        </w:tc>
      </w:tr>
      <w:tr w:rsidR="00E92FD7" w:rsidRPr="00E92FD7" w:rsidTr="00E92FD7">
        <w:tc>
          <w:tcPr>
            <w:tcW w:w="6736"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Deferred tax</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53" w:anchor="deferred-tax" w:history="1">
              <w:r w:rsidR="00E92FD7" w:rsidRPr="00E92FD7">
                <w:rPr>
                  <w:rFonts w:ascii="Verdana" w:eastAsia="Times New Roman" w:hAnsi="Verdana" w:cs="Times New Roman"/>
                  <w:color w:val="152949"/>
                  <w:sz w:val="18"/>
                </w:rPr>
                <w:t>34</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39</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w:t>
            </w:r>
          </w:p>
        </w:tc>
      </w:tr>
      <w:tr w:rsidR="00E92FD7" w:rsidRPr="00E92FD7" w:rsidTr="00E92FD7">
        <w:tc>
          <w:tcPr>
            <w:tcW w:w="6736"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Employee benefit obligations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54" w:anchor="employee-benefit-obligations" w:history="1">
              <w:r w:rsidR="00E92FD7" w:rsidRPr="00E92FD7">
                <w:rPr>
                  <w:rFonts w:ascii="Verdana" w:eastAsia="Times New Roman" w:hAnsi="Verdana" w:cs="Times New Roman"/>
                  <w:color w:val="152949"/>
                  <w:sz w:val="18"/>
                </w:rPr>
                <w:t>43</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11</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r>
      <w:tr w:rsidR="00E92FD7" w:rsidRPr="00E92FD7" w:rsidTr="00E92FD7">
        <w:tc>
          <w:tcPr>
            <w:tcW w:w="6736"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aps/>
                <w:color w:val="48A4D4"/>
                <w:sz w:val="18"/>
                <w:szCs w:val="18"/>
              </w:rPr>
            </w:pPr>
            <w:r w:rsidRPr="00E92FD7">
              <w:rPr>
                <w:rFonts w:ascii="Verdana" w:eastAsia="Times New Roman" w:hAnsi="Verdana" w:cs="Times New Roman"/>
                <w:caps/>
                <w:color w:val="48A4D4"/>
                <w:sz w:val="18"/>
                <w:szCs w:val="18"/>
              </w:rPr>
              <w:t>SUBORDINATED LIABILITIES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r>
      <w:tr w:rsidR="00E92FD7" w:rsidRPr="00E92FD7" w:rsidTr="00E92FD7">
        <w:tc>
          <w:tcPr>
            <w:tcW w:w="6736"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proofErr w:type="spellStart"/>
            <w:r w:rsidRPr="00E92FD7">
              <w:rPr>
                <w:rFonts w:ascii="Verdana" w:eastAsia="Times New Roman" w:hAnsi="Verdana" w:cs="Times New Roman"/>
                <w:color w:val="152949"/>
                <w:sz w:val="18"/>
                <w:szCs w:val="18"/>
              </w:rPr>
              <w:t>Amortised</w:t>
            </w:r>
            <w:proofErr w:type="spellEnd"/>
            <w:r w:rsidRPr="00E92FD7">
              <w:rPr>
                <w:rFonts w:ascii="Verdana" w:eastAsia="Times New Roman" w:hAnsi="Verdana" w:cs="Times New Roman"/>
                <w:color w:val="152949"/>
                <w:sz w:val="18"/>
                <w:szCs w:val="18"/>
              </w:rPr>
              <w:t xml:space="preserve"> Cost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55" w:anchor="subordinated-liabilities-amortised-cost" w:history="1">
              <w:r w:rsidR="00E92FD7" w:rsidRPr="00E92FD7">
                <w:rPr>
                  <w:rFonts w:ascii="Verdana" w:eastAsia="Times New Roman" w:hAnsi="Verdana" w:cs="Times New Roman"/>
                  <w:color w:val="152949"/>
                  <w:sz w:val="18"/>
                </w:rPr>
                <w:t>44</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229</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236</w:t>
            </w:r>
          </w:p>
        </w:tc>
      </w:tr>
      <w:tr w:rsidR="00E92FD7" w:rsidRPr="00E92FD7" w:rsidTr="00E92FD7">
        <w:tc>
          <w:tcPr>
            <w:tcW w:w="6736" w:type="dxa"/>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Fair Value through Profit or Loss</w:t>
            </w: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56" w:anchor="subordinated-liabilities-designated-at-fair-value-through-profit-or-loss" w:history="1">
              <w:r w:rsidR="00E92FD7" w:rsidRPr="00E92FD7">
                <w:rPr>
                  <w:rFonts w:ascii="Verdana" w:eastAsia="Times New Roman" w:hAnsi="Verdana" w:cs="Times New Roman"/>
                  <w:color w:val="152949"/>
                  <w:sz w:val="18"/>
                </w:rPr>
                <w:t>45</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467</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497</w:t>
            </w:r>
          </w:p>
        </w:tc>
      </w:tr>
      <w:tr w:rsidR="00E92FD7" w:rsidRPr="00E92FD7" w:rsidTr="00E92FD7">
        <w:tc>
          <w:tcPr>
            <w:tcW w:w="6736"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8"/>
                <w:szCs w:val="18"/>
              </w:rPr>
            </w:pPr>
            <w:r w:rsidRPr="00E92FD7">
              <w:rPr>
                <w:rFonts w:ascii="Verdana" w:eastAsia="Times New Roman" w:hAnsi="Verdana" w:cs="Times New Roman"/>
                <w:b/>
                <w:bCs/>
                <w:caps/>
                <w:color w:val="022749"/>
                <w:sz w:val="18"/>
                <w:szCs w:val="18"/>
              </w:rPr>
              <w:t>TOTAL LIABILITIES</w:t>
            </w:r>
          </w:p>
        </w:tc>
        <w:tc>
          <w:tcPr>
            <w:tcW w:w="0" w:type="auto"/>
            <w:tcBorders>
              <w:top w:val="nil"/>
              <w:left w:val="nil"/>
              <w:bottom w:val="nil"/>
              <w:right w:val="nil"/>
            </w:tcBorders>
            <w:tcMar>
              <w:top w:w="129"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27,299</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30,251</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r>
      <w:tr w:rsidR="00E92FD7" w:rsidRPr="00E92FD7" w:rsidTr="00E92FD7">
        <w:tc>
          <w:tcPr>
            <w:tcW w:w="6736"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aps/>
                <w:color w:val="48A4D4"/>
                <w:sz w:val="18"/>
                <w:szCs w:val="18"/>
              </w:rPr>
            </w:pPr>
            <w:r w:rsidRPr="00E92FD7">
              <w:rPr>
                <w:rFonts w:ascii="Verdana" w:eastAsia="Times New Roman" w:hAnsi="Verdana" w:cs="Times New Roman"/>
                <w:caps/>
                <w:color w:val="48A4D4"/>
                <w:sz w:val="18"/>
                <w:szCs w:val="18"/>
              </w:rPr>
              <w:t>SHAREHOLDERS’ EQUITY</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r>
      <w:tr w:rsidR="00E92FD7" w:rsidRPr="00E92FD7" w:rsidTr="00E92FD7">
        <w:tc>
          <w:tcPr>
            <w:tcW w:w="6736"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Share capital</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57" w:anchor="shareholders-rsquo-equity" w:history="1">
              <w:r w:rsidR="00E92FD7" w:rsidRPr="00E92FD7">
                <w:rPr>
                  <w:rFonts w:ascii="Verdana" w:eastAsia="Times New Roman" w:hAnsi="Verdana" w:cs="Times New Roman"/>
                  <w:color w:val="152949"/>
                  <w:sz w:val="18"/>
                </w:rPr>
                <w:t>46</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80</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80</w:t>
            </w:r>
          </w:p>
        </w:tc>
      </w:tr>
      <w:tr w:rsidR="00E92FD7" w:rsidRPr="00E92FD7" w:rsidTr="00E92FD7">
        <w:tc>
          <w:tcPr>
            <w:tcW w:w="6736"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lastRenderedPageBreak/>
              <w:t>Other reserves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DD0B42" w:rsidP="00E92FD7">
            <w:pPr>
              <w:spacing w:after="0" w:line="240" w:lineRule="auto"/>
              <w:jc w:val="right"/>
              <w:rPr>
                <w:rFonts w:ascii="Verdana" w:eastAsia="Times New Roman" w:hAnsi="Verdana" w:cs="Times New Roman"/>
                <w:color w:val="152949"/>
                <w:sz w:val="18"/>
                <w:szCs w:val="18"/>
              </w:rPr>
            </w:pPr>
            <w:hyperlink r:id="rId58" w:anchor="shareholders-rsquo-equity" w:history="1">
              <w:r w:rsidR="00E92FD7" w:rsidRPr="00E92FD7">
                <w:rPr>
                  <w:rFonts w:ascii="Verdana" w:eastAsia="Times New Roman" w:hAnsi="Verdana" w:cs="Times New Roman"/>
                  <w:color w:val="152949"/>
                  <w:sz w:val="18"/>
                </w:rPr>
                <w:t>46</w:t>
              </w:r>
            </w:hyperlink>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274</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296</w:t>
            </w:r>
          </w:p>
        </w:tc>
      </w:tr>
      <w:tr w:rsidR="00E92FD7" w:rsidRPr="00E92FD7" w:rsidTr="00E92FD7">
        <w:tc>
          <w:tcPr>
            <w:tcW w:w="6736"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Retained earnings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1,175</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1,073</w:t>
            </w:r>
          </w:p>
        </w:tc>
      </w:tr>
      <w:tr w:rsidR="00E92FD7" w:rsidRPr="00E92FD7" w:rsidTr="00E92FD7">
        <w:tc>
          <w:tcPr>
            <w:tcW w:w="6736" w:type="dxa"/>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Net profit attributable to parent shareholders</w:t>
            </w: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92</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98</w:t>
            </w:r>
          </w:p>
        </w:tc>
      </w:tr>
      <w:tr w:rsidR="00E92FD7" w:rsidRPr="00E92FD7" w:rsidTr="00E92FD7">
        <w:tc>
          <w:tcPr>
            <w:tcW w:w="6736"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8"/>
                <w:szCs w:val="18"/>
              </w:rPr>
            </w:pPr>
            <w:r w:rsidRPr="00E92FD7">
              <w:rPr>
                <w:rFonts w:ascii="Verdana" w:eastAsia="Times New Roman" w:hAnsi="Verdana" w:cs="Times New Roman"/>
                <w:b/>
                <w:bCs/>
                <w:caps/>
                <w:color w:val="022749"/>
                <w:sz w:val="18"/>
                <w:szCs w:val="18"/>
              </w:rPr>
              <w:t>TOTAL PARENT SHAREHOLDERS’ EQUITY</w:t>
            </w:r>
          </w:p>
        </w:tc>
        <w:tc>
          <w:tcPr>
            <w:tcW w:w="0" w:type="auto"/>
            <w:tcBorders>
              <w:top w:val="nil"/>
              <w:left w:val="nil"/>
              <w:bottom w:val="nil"/>
              <w:right w:val="nil"/>
            </w:tcBorders>
            <w:tcMar>
              <w:top w:w="129"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1,621</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1,547</w:t>
            </w:r>
          </w:p>
        </w:tc>
      </w:tr>
      <w:tr w:rsidR="00E92FD7" w:rsidRPr="00E92FD7" w:rsidTr="00E92FD7">
        <w:tc>
          <w:tcPr>
            <w:tcW w:w="6736" w:type="dxa"/>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8"/>
                <w:szCs w:val="18"/>
              </w:rPr>
            </w:pPr>
            <w:r w:rsidRPr="00E92FD7">
              <w:rPr>
                <w:rFonts w:ascii="Verdana" w:eastAsia="Times New Roman" w:hAnsi="Verdana" w:cs="Times New Roman"/>
                <w:b/>
                <w:bCs/>
                <w:caps/>
                <w:color w:val="022749"/>
                <w:sz w:val="18"/>
                <w:szCs w:val="18"/>
              </w:rPr>
              <w:t>TOTAL MINORITY INTEREST</w:t>
            </w: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17</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11</w:t>
            </w:r>
          </w:p>
        </w:tc>
      </w:tr>
      <w:tr w:rsidR="00E92FD7" w:rsidRPr="00E92FD7" w:rsidTr="00E92FD7">
        <w:tc>
          <w:tcPr>
            <w:tcW w:w="6736"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8"/>
                <w:szCs w:val="18"/>
              </w:rPr>
            </w:pPr>
            <w:r w:rsidRPr="00E92FD7">
              <w:rPr>
                <w:rFonts w:ascii="Verdana" w:eastAsia="Times New Roman" w:hAnsi="Verdana" w:cs="Times New Roman"/>
                <w:b/>
                <w:bCs/>
                <w:caps/>
                <w:color w:val="022749"/>
                <w:sz w:val="18"/>
                <w:szCs w:val="18"/>
              </w:rPr>
              <w:t>TOTAL SHAREHOLDERS’ EQUITY</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1,638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1,558</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240" w:lineRule="auto"/>
              <w:rPr>
                <w:rFonts w:ascii="Verdana" w:eastAsia="Times New Roman" w:hAnsi="Verdana" w:cs="Times New Roman"/>
                <w:sz w:val="24"/>
                <w:szCs w:val="24"/>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r>
      <w:tr w:rsidR="00E92FD7" w:rsidRPr="00E92FD7" w:rsidTr="00E92FD7">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1087"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sz w:val="2"/>
                <w:szCs w:val="2"/>
              </w:rPr>
            </w:pPr>
          </w:p>
        </w:tc>
        <w:tc>
          <w:tcPr>
            <w:tcW w:w="1087"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sz w:val="2"/>
                <w:szCs w:val="2"/>
              </w:rPr>
            </w:pPr>
          </w:p>
        </w:tc>
      </w:tr>
      <w:tr w:rsidR="00E92FD7" w:rsidRPr="00E92FD7" w:rsidTr="00E92FD7">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9"/>
                <w:szCs w:val="19"/>
              </w:rPr>
            </w:pPr>
            <w:r w:rsidRPr="00E92FD7">
              <w:rPr>
                <w:rFonts w:ascii="Verdana" w:eastAsia="Times New Roman" w:hAnsi="Verdana" w:cs="Times New Roman"/>
                <w:b/>
                <w:bCs/>
                <w:caps/>
                <w:color w:val="022749"/>
                <w:sz w:val="19"/>
                <w:szCs w:val="19"/>
              </w:rPr>
              <w:t>TOTAL LIABILITIES AND SHAREHOLDERS’ EQUITY</w:t>
            </w:r>
          </w:p>
        </w:tc>
        <w:tc>
          <w:tcPr>
            <w:tcW w:w="0" w:type="auto"/>
            <w:tcBorders>
              <w:top w:val="nil"/>
              <w:left w:val="nil"/>
              <w:bottom w:val="single" w:sz="6" w:space="0" w:color="022749"/>
              <w:right w:val="nil"/>
            </w:tcBorders>
            <w:tcMar>
              <w:top w:w="0" w:type="dxa"/>
              <w:left w:w="162"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sz w:val="24"/>
                <w:szCs w:val="24"/>
              </w:rPr>
            </w:pPr>
          </w:p>
        </w:tc>
        <w:tc>
          <w:tcPr>
            <w:tcW w:w="0" w:type="auto"/>
            <w:tcBorders>
              <w:top w:val="nil"/>
              <w:left w:val="nil"/>
              <w:bottom w:val="single" w:sz="6" w:space="0" w:color="022749"/>
              <w:right w:val="nil"/>
            </w:tcBorders>
            <w:vAlign w:val="center"/>
            <w:hideMark/>
          </w:tcPr>
          <w:p w:rsidR="00E92FD7" w:rsidRPr="00E92FD7" w:rsidRDefault="00E92FD7" w:rsidP="00E92FD7">
            <w:pPr>
              <w:spacing w:after="0" w:line="240" w:lineRule="auto"/>
              <w:rPr>
                <w:rFonts w:ascii="Verdana" w:eastAsia="Times New Roman" w:hAnsi="Verdana" w:cs="Times New Roman"/>
                <w:sz w:val="24"/>
                <w:szCs w:val="24"/>
              </w:rPr>
            </w:pPr>
          </w:p>
        </w:tc>
        <w:tc>
          <w:tcPr>
            <w:tcW w:w="0" w:type="auto"/>
            <w:tcBorders>
              <w:top w:val="nil"/>
              <w:left w:val="nil"/>
              <w:bottom w:val="single" w:sz="6" w:space="0" w:color="022749"/>
              <w:right w:val="nil"/>
            </w:tcBorders>
            <w:tcMar>
              <w:top w:w="0" w:type="dxa"/>
              <w:left w:w="162"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28,937</w:t>
            </w:r>
          </w:p>
        </w:tc>
        <w:tc>
          <w:tcPr>
            <w:tcW w:w="0" w:type="auto"/>
            <w:tcBorders>
              <w:top w:val="nil"/>
              <w:left w:val="nil"/>
              <w:bottom w:val="single" w:sz="6" w:space="0" w:color="022749"/>
              <w:right w:val="nil"/>
            </w:tcBorders>
            <w:vAlign w:val="center"/>
            <w:hideMark/>
          </w:tcPr>
          <w:p w:rsidR="00E92FD7" w:rsidRPr="00E92FD7" w:rsidRDefault="00E92FD7" w:rsidP="00E92FD7">
            <w:pPr>
              <w:spacing w:after="0" w:line="240" w:lineRule="auto"/>
              <w:rPr>
                <w:rFonts w:ascii="Verdana" w:eastAsia="Times New Roman" w:hAnsi="Verdana" w:cs="Times New Roman"/>
                <w:sz w:val="24"/>
                <w:szCs w:val="24"/>
              </w:rPr>
            </w:pPr>
          </w:p>
        </w:tc>
        <w:tc>
          <w:tcPr>
            <w:tcW w:w="0" w:type="auto"/>
            <w:tcBorders>
              <w:top w:val="nil"/>
              <w:left w:val="nil"/>
              <w:bottom w:val="single" w:sz="6" w:space="0" w:color="022749"/>
              <w:right w:val="nil"/>
            </w:tcBorders>
            <w:tcMar>
              <w:top w:w="0" w:type="dxa"/>
              <w:left w:w="162"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31,809</w:t>
            </w:r>
          </w:p>
        </w:tc>
      </w:tr>
    </w:tbl>
    <w:p w:rsidR="00E92FD7" w:rsidRPr="00E92FD7" w:rsidRDefault="00E92FD7" w:rsidP="00E92FD7">
      <w:pPr>
        <w:spacing w:after="0" w:line="728" w:lineRule="atLeast"/>
        <w:rPr>
          <w:rFonts w:ascii="Times New Roman" w:eastAsia="Times New Roman" w:hAnsi="Times New Roman" w:cs="Times New Roman"/>
          <w:color w:val="152949"/>
          <w:sz w:val="53"/>
          <w:szCs w:val="53"/>
        </w:rPr>
      </w:pPr>
      <w:r w:rsidRPr="00E92FD7">
        <w:rPr>
          <w:rFonts w:ascii="Times New Roman" w:eastAsia="Times New Roman" w:hAnsi="Times New Roman" w:cs="Times New Roman"/>
          <w:color w:val="152949"/>
          <w:sz w:val="53"/>
          <w:szCs w:val="53"/>
        </w:rPr>
        <w:t>Consolidated Statement of</w:t>
      </w:r>
      <w:r w:rsidRPr="00E92FD7">
        <w:rPr>
          <w:rFonts w:ascii="Times New Roman" w:eastAsia="Times New Roman" w:hAnsi="Times New Roman" w:cs="Times New Roman"/>
          <w:color w:val="152949"/>
          <w:sz w:val="53"/>
        </w:rPr>
        <w:t> </w:t>
      </w:r>
      <w:r w:rsidRPr="00E92FD7">
        <w:rPr>
          <w:rFonts w:ascii="Times New Roman" w:eastAsia="Times New Roman" w:hAnsi="Times New Roman" w:cs="Times New Roman"/>
          <w:color w:val="152949"/>
          <w:sz w:val="53"/>
          <w:szCs w:val="53"/>
        </w:rPr>
        <w:br/>
        <w:t>Changes in Shareholders’ Equity</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tbl>
      <w:tblPr>
        <w:tblW w:w="0" w:type="auto"/>
        <w:tblCellMar>
          <w:left w:w="0" w:type="dxa"/>
          <w:right w:w="0" w:type="dxa"/>
        </w:tblCellMar>
        <w:tblLook w:val="04A0"/>
      </w:tblPr>
      <w:tblGrid>
        <w:gridCol w:w="3331"/>
        <w:gridCol w:w="95"/>
        <w:gridCol w:w="823"/>
        <w:gridCol w:w="1098"/>
        <w:gridCol w:w="1070"/>
        <w:gridCol w:w="807"/>
        <w:gridCol w:w="95"/>
        <w:gridCol w:w="988"/>
        <w:gridCol w:w="21"/>
        <w:gridCol w:w="1040"/>
      </w:tblGrid>
      <w:tr w:rsidR="00E92FD7" w:rsidRPr="00E92FD7" w:rsidTr="00E92FD7">
        <w:tc>
          <w:tcPr>
            <w:tcW w:w="0" w:type="auto"/>
            <w:vMerge w:val="restart"/>
            <w:tcBorders>
              <w:top w:val="single" w:sz="6" w:space="0" w:color="022749"/>
              <w:left w:val="nil"/>
              <w:bottom w:val="single" w:sz="6" w:space="0" w:color="022749"/>
              <w:right w:val="nil"/>
            </w:tcBorders>
            <w:tcMar>
              <w:top w:w="32" w:type="dxa"/>
              <w:left w:w="0" w:type="dxa"/>
              <w:bottom w:w="32" w:type="dxa"/>
              <w:right w:w="0" w:type="dxa"/>
            </w:tcMar>
            <w:vAlign w:val="bottom"/>
            <w:hideMark/>
          </w:tcPr>
          <w:p w:rsidR="00E92FD7" w:rsidRPr="00E92FD7" w:rsidRDefault="00E92FD7" w:rsidP="00E92FD7">
            <w:pPr>
              <w:spacing w:after="0" w:line="240" w:lineRule="auto"/>
              <w:rPr>
                <w:rFonts w:ascii="Verdana" w:eastAsia="Times New Roman" w:hAnsi="Verdana" w:cs="Times New Roman"/>
                <w:caps/>
                <w:color w:val="022749"/>
                <w:sz w:val="15"/>
                <w:szCs w:val="15"/>
              </w:rPr>
            </w:pPr>
            <w:r w:rsidRPr="00E92FD7">
              <w:rPr>
                <w:rFonts w:ascii="Verdana" w:eastAsia="Times New Roman" w:hAnsi="Verdana" w:cs="Times New Roman"/>
                <w:caps/>
                <w:color w:val="022749"/>
                <w:sz w:val="15"/>
                <w:szCs w:val="15"/>
              </w:rPr>
              <w:t>IN EUR MILLIONS</w:t>
            </w:r>
          </w:p>
        </w:tc>
        <w:tc>
          <w:tcPr>
            <w:tcW w:w="0" w:type="auto"/>
            <w:vMerge w:val="restart"/>
            <w:tcBorders>
              <w:top w:val="single" w:sz="6" w:space="0" w:color="022749"/>
              <w:left w:val="nil"/>
              <w:bottom w:val="nil"/>
              <w:right w:val="nil"/>
            </w:tcBorders>
            <w:vAlign w:val="center"/>
            <w:hideMark/>
          </w:tcPr>
          <w:p w:rsidR="00E92FD7" w:rsidRPr="00E92FD7" w:rsidRDefault="00E92FD7" w:rsidP="00E92FD7">
            <w:pPr>
              <w:spacing w:after="0" w:line="240" w:lineRule="auto"/>
              <w:rPr>
                <w:rFonts w:ascii="Verdana" w:eastAsia="Times New Roman" w:hAnsi="Verdana" w:cs="Times New Roman"/>
                <w:color w:val="000000"/>
                <w:sz w:val="27"/>
                <w:szCs w:val="27"/>
              </w:rPr>
            </w:pPr>
            <w:r w:rsidRPr="00E92FD7">
              <w:rPr>
                <w:rFonts w:ascii="Verdana" w:eastAsia="Times New Roman" w:hAnsi="Verdana" w:cs="Times New Roman"/>
                <w:color w:val="000000"/>
                <w:sz w:val="27"/>
                <w:szCs w:val="27"/>
              </w:rPr>
              <w:t> </w:t>
            </w:r>
          </w:p>
        </w:tc>
        <w:tc>
          <w:tcPr>
            <w:tcW w:w="0" w:type="auto"/>
            <w:gridSpan w:val="4"/>
            <w:tcBorders>
              <w:top w:val="single" w:sz="6" w:space="0" w:color="022749"/>
              <w:left w:val="nil"/>
              <w:bottom w:val="nil"/>
              <w:right w:val="nil"/>
            </w:tcBorders>
            <w:vAlign w:val="center"/>
            <w:hideMark/>
          </w:tcPr>
          <w:p w:rsidR="00E92FD7" w:rsidRPr="00E92FD7" w:rsidRDefault="00E92FD7" w:rsidP="00E92FD7">
            <w:pPr>
              <w:spacing w:after="0" w:line="210" w:lineRule="atLeast"/>
              <w:jc w:val="right"/>
              <w:rPr>
                <w:rFonts w:ascii="Verdana" w:eastAsia="Times New Roman" w:hAnsi="Verdana" w:cs="Times New Roman"/>
                <w:color w:val="022749"/>
                <w:sz w:val="18"/>
                <w:szCs w:val="18"/>
              </w:rPr>
            </w:pPr>
            <w:r w:rsidRPr="00E92FD7">
              <w:rPr>
                <w:rFonts w:ascii="Verdana" w:eastAsia="Times New Roman" w:hAnsi="Verdana" w:cs="Times New Roman"/>
                <w:color w:val="022749"/>
                <w:sz w:val="18"/>
                <w:szCs w:val="18"/>
              </w:rPr>
              <w:t>Attributable to parent shareholders</w:t>
            </w:r>
            <w:r w:rsidRPr="00E92FD7">
              <w:rPr>
                <w:rFonts w:ascii="Verdana" w:eastAsia="Times New Roman" w:hAnsi="Verdana" w:cs="Times New Roman"/>
                <w:color w:val="022749"/>
                <w:sz w:val="18"/>
              </w:rPr>
              <w:t> </w:t>
            </w:r>
            <w:r w:rsidRPr="00E92FD7">
              <w:rPr>
                <w:rFonts w:ascii="Verdana" w:eastAsia="Times New Roman" w:hAnsi="Verdana" w:cs="Times New Roman"/>
                <w:color w:val="022749"/>
                <w:sz w:val="11"/>
              </w:rPr>
              <w:t>1</w:t>
            </w:r>
          </w:p>
        </w:tc>
        <w:tc>
          <w:tcPr>
            <w:tcW w:w="0" w:type="auto"/>
            <w:tcBorders>
              <w:top w:val="single" w:sz="6" w:space="0" w:color="022749"/>
              <w:left w:val="nil"/>
              <w:bottom w:val="nil"/>
              <w:right w:val="nil"/>
            </w:tcBorders>
            <w:vAlign w:val="center"/>
            <w:hideMark/>
          </w:tcPr>
          <w:p w:rsidR="00E92FD7" w:rsidRPr="00E92FD7" w:rsidRDefault="00E92FD7" w:rsidP="00E92FD7">
            <w:pPr>
              <w:spacing w:after="0" w:line="240" w:lineRule="auto"/>
              <w:rPr>
                <w:rFonts w:ascii="Verdana" w:eastAsia="Times New Roman" w:hAnsi="Verdana" w:cs="Times New Roman"/>
                <w:color w:val="000000"/>
                <w:sz w:val="27"/>
                <w:szCs w:val="27"/>
              </w:rPr>
            </w:pPr>
            <w:r w:rsidRPr="00E92FD7">
              <w:rPr>
                <w:rFonts w:ascii="Verdana" w:eastAsia="Times New Roman" w:hAnsi="Verdana" w:cs="Times New Roman"/>
                <w:color w:val="000000"/>
                <w:sz w:val="27"/>
                <w:szCs w:val="27"/>
              </w:rPr>
              <w:t> </w:t>
            </w:r>
          </w:p>
        </w:tc>
        <w:tc>
          <w:tcPr>
            <w:tcW w:w="0" w:type="auto"/>
            <w:tcBorders>
              <w:top w:val="single" w:sz="6" w:space="0" w:color="022749"/>
              <w:left w:val="nil"/>
              <w:bottom w:val="nil"/>
              <w:right w:val="nil"/>
            </w:tcBorders>
            <w:vAlign w:val="center"/>
            <w:hideMark/>
          </w:tcPr>
          <w:p w:rsidR="00E92FD7" w:rsidRPr="00E92FD7" w:rsidRDefault="00E92FD7" w:rsidP="00E92FD7">
            <w:pPr>
              <w:spacing w:after="0" w:line="240" w:lineRule="auto"/>
              <w:rPr>
                <w:rFonts w:ascii="Verdana" w:eastAsia="Times New Roman" w:hAnsi="Verdana" w:cs="Times New Roman"/>
                <w:color w:val="000000"/>
                <w:sz w:val="27"/>
                <w:szCs w:val="27"/>
              </w:rPr>
            </w:pPr>
            <w:r w:rsidRPr="00E92FD7">
              <w:rPr>
                <w:rFonts w:ascii="Verdana" w:eastAsia="Times New Roman" w:hAnsi="Verdana" w:cs="Times New Roman"/>
                <w:color w:val="000000"/>
                <w:sz w:val="27"/>
                <w:szCs w:val="27"/>
              </w:rPr>
              <w:t> </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r w:rsidRPr="00E92FD7">
              <w:rPr>
                <w:rFonts w:ascii="Verdana" w:eastAsia="Times New Roman" w:hAnsi="Verdana" w:cs="Times New Roman"/>
                <w:color w:val="000000"/>
                <w:sz w:val="2"/>
                <w:szCs w:val="2"/>
              </w:rPr>
              <w:t> </w:t>
            </w:r>
          </w:p>
        </w:tc>
        <w:tc>
          <w:tcPr>
            <w:tcW w:w="949" w:type="dxa"/>
            <w:vMerge w:val="restart"/>
            <w:tcBorders>
              <w:top w:val="single" w:sz="6" w:space="0" w:color="022749"/>
              <w:left w:val="single" w:sz="6" w:space="0" w:color="022749"/>
              <w:bottom w:val="single" w:sz="6" w:space="0" w:color="022749"/>
              <w:right w:val="single" w:sz="6" w:space="0" w:color="022749"/>
            </w:tcBorders>
            <w:shd w:val="clear" w:color="auto" w:fill="022749"/>
            <w:tcMar>
              <w:top w:w="32" w:type="dxa"/>
              <w:left w:w="0" w:type="dxa"/>
              <w:bottom w:w="65"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FFFFFF"/>
                <w:sz w:val="18"/>
                <w:szCs w:val="18"/>
              </w:rPr>
            </w:pPr>
            <w:r w:rsidRPr="00E92FD7">
              <w:rPr>
                <w:rFonts w:ascii="Verdana" w:eastAsia="Times New Roman" w:hAnsi="Verdana" w:cs="Times New Roman"/>
                <w:color w:val="FFFFFF"/>
                <w:sz w:val="18"/>
                <w:szCs w:val="18"/>
              </w:rPr>
              <w:t>Total</w:t>
            </w:r>
          </w:p>
        </w:tc>
      </w:tr>
      <w:tr w:rsidR="00E92FD7" w:rsidRPr="00E92FD7" w:rsidTr="00E92FD7">
        <w:tc>
          <w:tcPr>
            <w:tcW w:w="0" w:type="auto"/>
            <w:vMerge/>
            <w:tcBorders>
              <w:top w:val="single" w:sz="6" w:space="0" w:color="022749"/>
              <w:left w:val="nil"/>
              <w:bottom w:val="single" w:sz="6" w:space="0" w:color="022749"/>
              <w:right w:val="nil"/>
            </w:tcBorders>
            <w:vAlign w:val="center"/>
            <w:hideMark/>
          </w:tcPr>
          <w:p w:rsidR="00E92FD7" w:rsidRPr="00E92FD7" w:rsidRDefault="00E92FD7" w:rsidP="00E92FD7">
            <w:pPr>
              <w:spacing w:after="0" w:line="240" w:lineRule="auto"/>
              <w:rPr>
                <w:rFonts w:ascii="Verdana" w:eastAsia="Times New Roman" w:hAnsi="Verdana" w:cs="Times New Roman"/>
                <w:caps/>
                <w:color w:val="022749"/>
                <w:sz w:val="15"/>
                <w:szCs w:val="15"/>
              </w:rPr>
            </w:pPr>
          </w:p>
        </w:tc>
        <w:tc>
          <w:tcPr>
            <w:tcW w:w="0" w:type="auto"/>
            <w:vMerge/>
            <w:tcBorders>
              <w:top w:val="single" w:sz="6" w:space="0" w:color="022749"/>
              <w:left w:val="nil"/>
              <w:bottom w:val="nil"/>
              <w:right w:val="nil"/>
            </w:tcBorders>
            <w:vAlign w:val="center"/>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c>
          <w:tcPr>
            <w:tcW w:w="0" w:type="auto"/>
            <w:tcBorders>
              <w:top w:val="single" w:sz="6" w:space="0" w:color="022749"/>
              <w:left w:val="nil"/>
              <w:bottom w:val="single" w:sz="6" w:space="0" w:color="022749"/>
              <w:right w:val="nil"/>
            </w:tcBorders>
            <w:tcMar>
              <w:top w:w="65" w:type="dxa"/>
              <w:left w:w="0" w:type="dxa"/>
              <w:bottom w:w="65" w:type="dxa"/>
              <w:right w:w="0" w:type="dxa"/>
            </w:tcMar>
            <w:vAlign w:val="center"/>
            <w:hideMark/>
          </w:tcPr>
          <w:p w:rsidR="00E92FD7" w:rsidRPr="00E92FD7" w:rsidRDefault="00E92FD7" w:rsidP="00E92FD7">
            <w:pPr>
              <w:spacing w:after="0" w:line="210" w:lineRule="atLeast"/>
              <w:jc w:val="right"/>
              <w:rPr>
                <w:rFonts w:ascii="Verdana" w:eastAsia="Times New Roman" w:hAnsi="Verdana" w:cs="Times New Roman"/>
                <w:color w:val="022749"/>
                <w:sz w:val="18"/>
                <w:szCs w:val="18"/>
              </w:rPr>
            </w:pPr>
            <w:r w:rsidRPr="00E92FD7">
              <w:rPr>
                <w:rFonts w:ascii="Verdana" w:eastAsia="Times New Roman" w:hAnsi="Verdana" w:cs="Times New Roman"/>
                <w:color w:val="022749"/>
                <w:sz w:val="18"/>
                <w:szCs w:val="18"/>
              </w:rPr>
              <w:t>Share</w:t>
            </w:r>
            <w:r w:rsidRPr="00E92FD7">
              <w:rPr>
                <w:rFonts w:ascii="Verdana" w:eastAsia="Times New Roman" w:hAnsi="Verdana" w:cs="Times New Roman"/>
                <w:color w:val="022749"/>
                <w:sz w:val="18"/>
              </w:rPr>
              <w:t> </w:t>
            </w:r>
            <w:r w:rsidRPr="00E92FD7">
              <w:rPr>
                <w:rFonts w:ascii="Verdana" w:eastAsia="Times New Roman" w:hAnsi="Verdana" w:cs="Times New Roman"/>
                <w:color w:val="022749"/>
                <w:sz w:val="18"/>
                <w:szCs w:val="18"/>
              </w:rPr>
              <w:br/>
              <w:t>capital</w:t>
            </w:r>
          </w:p>
        </w:tc>
        <w:tc>
          <w:tcPr>
            <w:tcW w:w="0" w:type="auto"/>
            <w:tcBorders>
              <w:top w:val="single" w:sz="6" w:space="0" w:color="022749"/>
              <w:left w:val="nil"/>
              <w:bottom w:val="single" w:sz="6" w:space="0" w:color="022749"/>
              <w:right w:val="nil"/>
            </w:tcBorders>
            <w:tcMar>
              <w:top w:w="65" w:type="dxa"/>
              <w:left w:w="0" w:type="dxa"/>
              <w:bottom w:w="65" w:type="dxa"/>
              <w:right w:w="0" w:type="dxa"/>
            </w:tcMar>
            <w:vAlign w:val="center"/>
            <w:hideMark/>
          </w:tcPr>
          <w:p w:rsidR="00E92FD7" w:rsidRPr="00E92FD7" w:rsidRDefault="00E92FD7" w:rsidP="00E92FD7">
            <w:pPr>
              <w:spacing w:after="0" w:line="210" w:lineRule="atLeast"/>
              <w:jc w:val="right"/>
              <w:rPr>
                <w:rFonts w:ascii="Verdana" w:eastAsia="Times New Roman" w:hAnsi="Verdana" w:cs="Times New Roman"/>
                <w:color w:val="022749"/>
                <w:sz w:val="18"/>
                <w:szCs w:val="18"/>
              </w:rPr>
            </w:pPr>
            <w:r w:rsidRPr="00E92FD7">
              <w:rPr>
                <w:rFonts w:ascii="Verdana" w:eastAsia="Times New Roman" w:hAnsi="Verdana" w:cs="Times New Roman"/>
                <w:color w:val="022749"/>
                <w:sz w:val="18"/>
                <w:szCs w:val="18"/>
              </w:rPr>
              <w:t>Other Reserves</w:t>
            </w:r>
          </w:p>
        </w:tc>
        <w:tc>
          <w:tcPr>
            <w:tcW w:w="0" w:type="auto"/>
            <w:tcBorders>
              <w:top w:val="single" w:sz="6" w:space="0" w:color="022749"/>
              <w:left w:val="nil"/>
              <w:bottom w:val="single" w:sz="6" w:space="0" w:color="022749"/>
              <w:right w:val="nil"/>
            </w:tcBorders>
            <w:tcMar>
              <w:top w:w="65" w:type="dxa"/>
              <w:left w:w="0" w:type="dxa"/>
              <w:bottom w:w="65" w:type="dxa"/>
              <w:right w:w="0" w:type="dxa"/>
            </w:tcMar>
            <w:vAlign w:val="center"/>
            <w:hideMark/>
          </w:tcPr>
          <w:p w:rsidR="00E92FD7" w:rsidRPr="00E92FD7" w:rsidRDefault="00E92FD7" w:rsidP="00E92FD7">
            <w:pPr>
              <w:spacing w:after="0" w:line="210" w:lineRule="atLeast"/>
              <w:jc w:val="right"/>
              <w:rPr>
                <w:rFonts w:ascii="Verdana" w:eastAsia="Times New Roman" w:hAnsi="Verdana" w:cs="Times New Roman"/>
                <w:color w:val="022749"/>
                <w:sz w:val="18"/>
                <w:szCs w:val="18"/>
              </w:rPr>
            </w:pPr>
            <w:r w:rsidRPr="00E92FD7">
              <w:rPr>
                <w:rFonts w:ascii="Verdana" w:eastAsia="Times New Roman" w:hAnsi="Verdana" w:cs="Times New Roman"/>
                <w:color w:val="022749"/>
                <w:sz w:val="18"/>
                <w:szCs w:val="18"/>
              </w:rPr>
              <w:t>Retained earnings</w:t>
            </w:r>
          </w:p>
        </w:tc>
        <w:tc>
          <w:tcPr>
            <w:tcW w:w="0" w:type="auto"/>
            <w:tcBorders>
              <w:top w:val="single" w:sz="6" w:space="0" w:color="022749"/>
              <w:left w:val="nil"/>
              <w:bottom w:val="single" w:sz="6" w:space="0" w:color="022749"/>
              <w:right w:val="nil"/>
            </w:tcBorders>
            <w:tcMar>
              <w:top w:w="65" w:type="dxa"/>
              <w:left w:w="0" w:type="dxa"/>
              <w:bottom w:w="65" w:type="dxa"/>
              <w:right w:w="0" w:type="dxa"/>
            </w:tcMar>
            <w:vAlign w:val="center"/>
            <w:hideMark/>
          </w:tcPr>
          <w:p w:rsidR="00E92FD7" w:rsidRPr="00E92FD7" w:rsidRDefault="00E92FD7" w:rsidP="00E92FD7">
            <w:pPr>
              <w:spacing w:after="0" w:line="210" w:lineRule="atLeast"/>
              <w:jc w:val="right"/>
              <w:rPr>
                <w:rFonts w:ascii="Verdana" w:eastAsia="Times New Roman" w:hAnsi="Verdana" w:cs="Times New Roman"/>
                <w:color w:val="022749"/>
                <w:sz w:val="18"/>
                <w:szCs w:val="18"/>
              </w:rPr>
            </w:pPr>
            <w:r w:rsidRPr="00E92FD7">
              <w:rPr>
                <w:rFonts w:ascii="Verdana" w:eastAsia="Times New Roman" w:hAnsi="Verdana" w:cs="Times New Roman"/>
                <w:color w:val="022749"/>
                <w:sz w:val="18"/>
                <w:szCs w:val="18"/>
              </w:rPr>
              <w:t>Net</w:t>
            </w:r>
            <w:r w:rsidRPr="00E92FD7">
              <w:rPr>
                <w:rFonts w:ascii="Verdana" w:eastAsia="Times New Roman" w:hAnsi="Verdana" w:cs="Times New Roman"/>
                <w:color w:val="022749"/>
                <w:sz w:val="18"/>
              </w:rPr>
              <w:t> </w:t>
            </w:r>
            <w:r w:rsidRPr="00E92FD7">
              <w:rPr>
                <w:rFonts w:ascii="Verdana" w:eastAsia="Times New Roman" w:hAnsi="Verdana" w:cs="Times New Roman"/>
                <w:color w:val="022749"/>
                <w:sz w:val="18"/>
                <w:szCs w:val="18"/>
              </w:rPr>
              <w:br/>
              <w:t>Profit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single" w:sz="6" w:space="0" w:color="022749"/>
              <w:right w:val="nil"/>
            </w:tcBorders>
            <w:tcMar>
              <w:top w:w="65" w:type="dxa"/>
              <w:left w:w="0" w:type="dxa"/>
              <w:bottom w:w="65" w:type="dxa"/>
              <w:right w:w="0" w:type="dxa"/>
            </w:tcMar>
            <w:vAlign w:val="center"/>
            <w:hideMark/>
          </w:tcPr>
          <w:p w:rsidR="00E92FD7" w:rsidRPr="00E92FD7" w:rsidRDefault="00E92FD7" w:rsidP="00E92FD7">
            <w:pPr>
              <w:spacing w:after="0" w:line="210" w:lineRule="atLeast"/>
              <w:jc w:val="right"/>
              <w:rPr>
                <w:rFonts w:ascii="Verdana" w:eastAsia="Times New Roman" w:hAnsi="Verdana" w:cs="Times New Roman"/>
                <w:color w:val="022749"/>
                <w:sz w:val="18"/>
                <w:szCs w:val="18"/>
              </w:rPr>
            </w:pPr>
            <w:r w:rsidRPr="00E92FD7">
              <w:rPr>
                <w:rFonts w:ascii="Verdana" w:eastAsia="Times New Roman" w:hAnsi="Verdana" w:cs="Times New Roman"/>
                <w:color w:val="022749"/>
                <w:sz w:val="18"/>
                <w:szCs w:val="18"/>
              </w:rPr>
              <w:t>Minority Interest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vMerge/>
            <w:tcBorders>
              <w:top w:val="single" w:sz="6" w:space="0" w:color="022749"/>
              <w:left w:val="single" w:sz="6" w:space="0" w:color="022749"/>
              <w:bottom w:val="single" w:sz="6" w:space="0" w:color="022749"/>
              <w:right w:val="single" w:sz="6" w:space="0" w:color="022749"/>
            </w:tcBorders>
            <w:vAlign w:val="center"/>
            <w:hideMark/>
          </w:tcPr>
          <w:p w:rsidR="00E92FD7" w:rsidRPr="00E92FD7" w:rsidRDefault="00E92FD7" w:rsidP="00E92FD7">
            <w:pPr>
              <w:spacing w:after="0" w:line="240" w:lineRule="auto"/>
              <w:rPr>
                <w:rFonts w:ascii="Verdana" w:eastAsia="Times New Roman" w:hAnsi="Verdana" w:cs="Times New Roman"/>
                <w:color w:val="FFFFFF"/>
                <w:sz w:val="18"/>
                <w:szCs w:val="18"/>
              </w:rPr>
            </w:pP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r w:rsidRPr="00E92FD7">
              <w:rPr>
                <w:rFonts w:ascii="Verdana" w:eastAsia="Times New Roman" w:hAnsi="Verdana" w:cs="Times New Roman"/>
                <w:color w:val="000000"/>
                <w:sz w:val="2"/>
                <w:szCs w:val="2"/>
              </w:rPr>
              <w:t> </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r w:rsidRPr="00E92FD7">
              <w:rPr>
                <w:rFonts w:ascii="Verdana" w:eastAsia="Times New Roman" w:hAnsi="Verdana" w:cs="Times New Roman"/>
                <w:color w:val="000000"/>
                <w:sz w:val="2"/>
                <w:szCs w:val="2"/>
              </w:rPr>
              <w:t> </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r w:rsidRPr="00E92FD7">
              <w:rPr>
                <w:rFonts w:ascii="Verdana" w:eastAsia="Times New Roman" w:hAnsi="Verdana" w:cs="Times New Roman"/>
                <w:color w:val="000000"/>
                <w:sz w:val="2"/>
                <w:szCs w:val="2"/>
              </w:rPr>
              <w:t> </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r w:rsidRPr="00E92FD7">
              <w:rPr>
                <w:rFonts w:ascii="Verdana" w:eastAsia="Times New Roman" w:hAnsi="Verdana" w:cs="Times New Roman"/>
                <w:color w:val="000000"/>
                <w:sz w:val="2"/>
                <w:szCs w:val="2"/>
              </w:rPr>
              <w:t> </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r w:rsidRPr="00E92FD7">
              <w:rPr>
                <w:rFonts w:ascii="Verdana" w:eastAsia="Times New Roman" w:hAnsi="Verdana" w:cs="Times New Roman"/>
                <w:color w:val="000000"/>
                <w:sz w:val="2"/>
                <w:szCs w:val="2"/>
              </w:rPr>
              <w:t> </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r w:rsidRPr="00E92FD7">
              <w:rPr>
                <w:rFonts w:ascii="Verdana" w:eastAsia="Times New Roman" w:hAnsi="Verdana" w:cs="Times New Roman"/>
                <w:color w:val="000000"/>
                <w:sz w:val="2"/>
                <w:szCs w:val="2"/>
              </w:rPr>
              <w:t> </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r w:rsidRPr="00E92FD7">
              <w:rPr>
                <w:rFonts w:ascii="Verdana" w:eastAsia="Times New Roman" w:hAnsi="Verdana" w:cs="Times New Roman"/>
                <w:color w:val="000000"/>
                <w:sz w:val="2"/>
                <w:szCs w:val="2"/>
              </w:rPr>
              <w:t> </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r w:rsidRPr="00E92FD7">
              <w:rPr>
                <w:rFonts w:ascii="Verdana" w:eastAsia="Times New Roman" w:hAnsi="Verdana" w:cs="Times New Roman"/>
                <w:color w:val="000000"/>
                <w:sz w:val="2"/>
                <w:szCs w:val="2"/>
              </w:rPr>
              <w:t> </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r w:rsidRPr="00E92FD7">
              <w:rPr>
                <w:rFonts w:ascii="Verdana" w:eastAsia="Times New Roman" w:hAnsi="Verdana" w:cs="Times New Roman"/>
                <w:color w:val="000000"/>
                <w:sz w:val="2"/>
                <w:szCs w:val="2"/>
              </w:rPr>
              <w:t> </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r w:rsidRPr="00E92FD7">
              <w:rPr>
                <w:rFonts w:ascii="Verdana" w:eastAsia="Times New Roman" w:hAnsi="Verdana" w:cs="Times New Roman"/>
                <w:color w:val="000000"/>
                <w:sz w:val="2"/>
                <w:szCs w:val="2"/>
              </w:rPr>
              <w:t> </w:t>
            </w:r>
          </w:p>
        </w:tc>
      </w:tr>
      <w:tr w:rsidR="00E92FD7" w:rsidRPr="00E92FD7" w:rsidTr="00E92FD7">
        <w:tc>
          <w:tcPr>
            <w:tcW w:w="3765"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8"/>
                <w:szCs w:val="18"/>
              </w:rPr>
            </w:pPr>
            <w:r w:rsidRPr="00E92FD7">
              <w:rPr>
                <w:rFonts w:ascii="Verdana" w:eastAsia="Times New Roman" w:hAnsi="Verdana" w:cs="Times New Roman"/>
                <w:b/>
                <w:bCs/>
                <w:caps/>
                <w:color w:val="022749"/>
                <w:sz w:val="18"/>
                <w:szCs w:val="18"/>
              </w:rPr>
              <w:t>BALANCE AT 1 JANUARY 2007</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80</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470</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923</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243</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1,716</w:t>
            </w:r>
          </w:p>
        </w:tc>
      </w:tr>
      <w:tr w:rsidR="00E92FD7" w:rsidRPr="00E92FD7" w:rsidTr="00E92FD7">
        <w:tc>
          <w:tcPr>
            <w:tcW w:w="3765" w:type="dxa"/>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First time adoption capital contribution share based payments</w:t>
            </w:r>
            <w:r w:rsidRPr="00E92FD7">
              <w:rPr>
                <w:rFonts w:ascii="Verdana" w:eastAsia="Times New Roman" w:hAnsi="Verdana" w:cs="Times New Roman"/>
                <w:color w:val="152949"/>
                <w:sz w:val="18"/>
              </w:rPr>
              <w:t> </w:t>
            </w:r>
            <w:r w:rsidRPr="00E92FD7">
              <w:rPr>
                <w:rFonts w:ascii="Verdana" w:eastAsia="Times New Roman" w:hAnsi="Verdana" w:cs="Times New Roman"/>
                <w:color w:val="152949"/>
                <w:sz w:val="11"/>
              </w:rPr>
              <w:t>2</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24</w:t>
            </w: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24</w:t>
            </w:r>
          </w:p>
        </w:tc>
      </w:tr>
      <w:tr w:rsidR="00E92FD7" w:rsidRPr="00E92FD7" w:rsidTr="00E92FD7">
        <w:tc>
          <w:tcPr>
            <w:tcW w:w="3765"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8"/>
                <w:szCs w:val="18"/>
              </w:rPr>
            </w:pPr>
            <w:r w:rsidRPr="00E92FD7">
              <w:rPr>
                <w:rFonts w:ascii="Verdana" w:eastAsia="Times New Roman" w:hAnsi="Verdana" w:cs="Times New Roman"/>
                <w:b/>
                <w:bCs/>
                <w:caps/>
                <w:color w:val="022749"/>
                <w:sz w:val="18"/>
                <w:szCs w:val="18"/>
              </w:rPr>
              <w:t>BALANCE AT 1 JANUARY 2007</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80</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470</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947</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243</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1,740</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r>
      <w:tr w:rsidR="00E92FD7" w:rsidRPr="00E92FD7" w:rsidTr="00E92FD7">
        <w:tc>
          <w:tcPr>
            <w:tcW w:w="3765"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Net result on cash flow hedging instruments</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(11)</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(11)</w:t>
            </w:r>
          </w:p>
        </w:tc>
      </w:tr>
      <w:tr w:rsidR="00E92FD7" w:rsidRPr="00E92FD7" w:rsidTr="00E92FD7">
        <w:tc>
          <w:tcPr>
            <w:tcW w:w="3765"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Revaluation loans and receivables (net of tax)</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(117)</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(117)</w:t>
            </w:r>
          </w:p>
        </w:tc>
      </w:tr>
      <w:tr w:rsidR="00E92FD7" w:rsidRPr="00E92FD7" w:rsidTr="00E92FD7">
        <w:tc>
          <w:tcPr>
            <w:tcW w:w="3765"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Revaluation equity investments (net of tax)</w:t>
            </w:r>
            <w:r w:rsidRPr="00E92FD7">
              <w:rPr>
                <w:rFonts w:ascii="Verdana" w:eastAsia="Times New Roman" w:hAnsi="Verdana" w:cs="Times New Roman"/>
                <w:color w:val="152949"/>
                <w:sz w:val="11"/>
              </w:rPr>
              <w:t> 3</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(41)</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17</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(24)</w:t>
            </w:r>
          </w:p>
        </w:tc>
      </w:tr>
      <w:tr w:rsidR="00E92FD7" w:rsidRPr="00E92FD7" w:rsidTr="00E92FD7">
        <w:tc>
          <w:tcPr>
            <w:tcW w:w="3765"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Revaluation debt investments (net of tax)</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(6)</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(6)</w:t>
            </w:r>
          </w:p>
        </w:tc>
      </w:tr>
      <w:tr w:rsidR="00E92FD7" w:rsidRPr="00E92FD7" w:rsidTr="00E92FD7">
        <w:tc>
          <w:tcPr>
            <w:tcW w:w="3765" w:type="dxa"/>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Revaluation property, plant and equipment (net of tax)</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w:t>
            </w: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w:t>
            </w:r>
          </w:p>
        </w:tc>
      </w:tr>
      <w:tr w:rsidR="00E92FD7" w:rsidRPr="00E92FD7" w:rsidTr="00E92FD7">
        <w:tc>
          <w:tcPr>
            <w:tcW w:w="3765"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8"/>
                <w:szCs w:val="18"/>
              </w:rPr>
            </w:pPr>
            <w:r w:rsidRPr="00E92FD7">
              <w:rPr>
                <w:rFonts w:ascii="Verdana" w:eastAsia="Times New Roman" w:hAnsi="Verdana" w:cs="Times New Roman"/>
                <w:b/>
                <w:bCs/>
                <w:caps/>
                <w:color w:val="022749"/>
                <w:sz w:val="18"/>
                <w:szCs w:val="18"/>
              </w:rPr>
              <w:t>TOTAL GAINS/(LOSSES) RECOGNISED</w:t>
            </w:r>
            <w:r w:rsidRPr="00E92FD7">
              <w:rPr>
                <w:rFonts w:ascii="Verdana" w:eastAsia="Times New Roman" w:hAnsi="Verdana" w:cs="Times New Roman"/>
                <w:b/>
                <w:bCs/>
                <w:caps/>
                <w:color w:val="022749"/>
                <w:sz w:val="18"/>
              </w:rPr>
              <w:t> </w:t>
            </w:r>
            <w:r w:rsidRPr="00E92FD7">
              <w:rPr>
                <w:rFonts w:ascii="Verdana" w:eastAsia="Times New Roman" w:hAnsi="Verdana" w:cs="Times New Roman"/>
                <w:b/>
                <w:bCs/>
                <w:caps/>
                <w:color w:val="022749"/>
                <w:sz w:val="18"/>
                <w:szCs w:val="18"/>
              </w:rPr>
              <w:br/>
              <w:t>DIRECTLY IN EQUITY</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(174)</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17</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(157)</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r>
      <w:tr w:rsidR="00E92FD7" w:rsidRPr="00E92FD7" w:rsidTr="00E92FD7">
        <w:tc>
          <w:tcPr>
            <w:tcW w:w="3765"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Profit appropriation</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243</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(243)</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r>
      <w:tr w:rsidR="00E92FD7" w:rsidRPr="00E92FD7" w:rsidTr="00E92FD7">
        <w:tc>
          <w:tcPr>
            <w:tcW w:w="3765" w:type="dxa"/>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Net profit for the period</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98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101</w:t>
            </w:r>
          </w:p>
        </w:tc>
      </w:tr>
      <w:tr w:rsidR="00E92FD7" w:rsidRPr="00E92FD7" w:rsidTr="00E92FD7">
        <w:tc>
          <w:tcPr>
            <w:tcW w:w="3765"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8"/>
                <w:szCs w:val="18"/>
              </w:rPr>
            </w:pPr>
            <w:r w:rsidRPr="00E92FD7">
              <w:rPr>
                <w:rFonts w:ascii="Verdana" w:eastAsia="Times New Roman" w:hAnsi="Verdana" w:cs="Times New Roman"/>
                <w:b/>
                <w:bCs/>
                <w:caps/>
                <w:color w:val="022749"/>
                <w:sz w:val="18"/>
                <w:szCs w:val="18"/>
              </w:rPr>
              <w:t>COMPREHENSIVE NET RESULT</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(174)</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260</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(145)</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3</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(56)</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r>
      <w:tr w:rsidR="00E92FD7" w:rsidRPr="00E92FD7" w:rsidTr="00E92FD7">
        <w:tc>
          <w:tcPr>
            <w:tcW w:w="3765"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Dividends</w:t>
            </w:r>
            <w:r w:rsidRPr="00E92FD7">
              <w:rPr>
                <w:rFonts w:ascii="Verdana" w:eastAsia="Times New Roman" w:hAnsi="Verdana" w:cs="Times New Roman"/>
                <w:color w:val="152949"/>
                <w:sz w:val="11"/>
              </w:rPr>
              <w:t> 4</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(146)</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(147)</w:t>
            </w:r>
          </w:p>
        </w:tc>
      </w:tr>
      <w:tr w:rsidR="00E92FD7" w:rsidRPr="00E92FD7" w:rsidTr="00E92FD7">
        <w:tc>
          <w:tcPr>
            <w:tcW w:w="3765"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Capital contribution of third parties in a subsidiary controlled by NIBC</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9</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9</w:t>
            </w:r>
          </w:p>
        </w:tc>
      </w:tr>
      <w:tr w:rsidR="00E92FD7" w:rsidRPr="00E92FD7" w:rsidTr="00E92FD7">
        <w:tc>
          <w:tcPr>
            <w:tcW w:w="3765"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Capital contribution share based payments</w:t>
            </w:r>
            <w:r w:rsidRPr="00E92FD7">
              <w:rPr>
                <w:rFonts w:ascii="Verdana" w:eastAsia="Times New Roman" w:hAnsi="Verdana" w:cs="Times New Roman"/>
                <w:color w:val="152949"/>
                <w:sz w:val="11"/>
              </w:rPr>
              <w:t> 2</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12</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12</w:t>
            </w:r>
          </w:p>
        </w:tc>
      </w:tr>
      <w:tr w:rsidR="00E92FD7" w:rsidRPr="00E92FD7" w:rsidTr="00E92FD7">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791"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991"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971"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779"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911"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949"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r>
      <w:tr w:rsidR="00E92FD7" w:rsidRPr="00E92FD7" w:rsidTr="00E92FD7">
        <w:tc>
          <w:tcPr>
            <w:tcW w:w="3765"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9"/>
                <w:szCs w:val="19"/>
              </w:rPr>
            </w:pPr>
            <w:r w:rsidRPr="00E92FD7">
              <w:rPr>
                <w:rFonts w:ascii="Verdana" w:eastAsia="Times New Roman" w:hAnsi="Verdana" w:cs="Times New Roman"/>
                <w:b/>
                <w:bCs/>
                <w:caps/>
                <w:color w:val="022749"/>
                <w:sz w:val="19"/>
                <w:szCs w:val="19"/>
              </w:rPr>
              <w:t>BALANCE AT 31 DECEMBER 2007</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80</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296</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1,073</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98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11</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1,558</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r>
      <w:tr w:rsidR="00E92FD7" w:rsidRPr="00E92FD7" w:rsidTr="00E92FD7">
        <w:tc>
          <w:tcPr>
            <w:tcW w:w="3765"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8"/>
                <w:szCs w:val="18"/>
              </w:rPr>
            </w:pPr>
            <w:r w:rsidRPr="00E92FD7">
              <w:rPr>
                <w:rFonts w:ascii="Verdana" w:eastAsia="Times New Roman" w:hAnsi="Verdana" w:cs="Times New Roman"/>
                <w:b/>
                <w:bCs/>
                <w:caps/>
                <w:color w:val="022749"/>
                <w:sz w:val="18"/>
                <w:szCs w:val="18"/>
              </w:rPr>
              <w:t>BALANCE AT 1 JANUARY 2008</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80</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296</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1,073</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98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11</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1,558</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r>
      <w:tr w:rsidR="00E92FD7" w:rsidRPr="00E92FD7" w:rsidTr="00E92FD7">
        <w:tc>
          <w:tcPr>
            <w:tcW w:w="3765"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Net result on cash flow hedging instruments</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40</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40</w:t>
            </w:r>
          </w:p>
        </w:tc>
      </w:tr>
      <w:tr w:rsidR="00E92FD7" w:rsidRPr="00E92FD7" w:rsidTr="00E92FD7">
        <w:tc>
          <w:tcPr>
            <w:tcW w:w="3765"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lastRenderedPageBreak/>
              <w:t>Revaluation loans and receivables (net of tax)</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(14)</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(14)</w:t>
            </w:r>
          </w:p>
        </w:tc>
      </w:tr>
      <w:tr w:rsidR="00E92FD7" w:rsidRPr="00E92FD7" w:rsidTr="00E92FD7">
        <w:tc>
          <w:tcPr>
            <w:tcW w:w="3765"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Revaluation equity investments (net of tax)</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(36)</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(36)</w:t>
            </w:r>
          </w:p>
        </w:tc>
      </w:tr>
      <w:tr w:rsidR="00E92FD7" w:rsidRPr="00E92FD7" w:rsidTr="00E92FD7">
        <w:tc>
          <w:tcPr>
            <w:tcW w:w="3765"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Revaluation debt investments (net of tax)</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(12)</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(12)</w:t>
            </w:r>
          </w:p>
        </w:tc>
      </w:tr>
      <w:tr w:rsidR="00E92FD7" w:rsidRPr="00E92FD7" w:rsidTr="00E92FD7">
        <w:tc>
          <w:tcPr>
            <w:tcW w:w="3765" w:type="dxa"/>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Revaluation property, plant and equipment (net of tax)</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r>
      <w:tr w:rsidR="00E92FD7" w:rsidRPr="00E92FD7" w:rsidTr="00E92FD7">
        <w:tc>
          <w:tcPr>
            <w:tcW w:w="3765"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8"/>
                <w:szCs w:val="18"/>
              </w:rPr>
            </w:pPr>
            <w:r w:rsidRPr="00E92FD7">
              <w:rPr>
                <w:rFonts w:ascii="Verdana" w:eastAsia="Times New Roman" w:hAnsi="Verdana" w:cs="Times New Roman"/>
                <w:b/>
                <w:bCs/>
                <w:caps/>
                <w:color w:val="022749"/>
                <w:sz w:val="18"/>
                <w:szCs w:val="18"/>
              </w:rPr>
              <w:t>TOTAL GAINS/(LOSSES) RECOGNISED DIRECTLY IN EQUITY</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(22)</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(22)</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r>
      <w:tr w:rsidR="00E92FD7" w:rsidRPr="00E92FD7" w:rsidTr="00E92FD7">
        <w:tc>
          <w:tcPr>
            <w:tcW w:w="3765"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Profit appropriation</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98</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(98)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r>
      <w:tr w:rsidR="00E92FD7" w:rsidRPr="00E92FD7" w:rsidTr="00E92FD7">
        <w:tc>
          <w:tcPr>
            <w:tcW w:w="3765" w:type="dxa"/>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Net profit for the period</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92</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93</w:t>
            </w:r>
          </w:p>
        </w:tc>
      </w:tr>
      <w:tr w:rsidR="00E92FD7" w:rsidRPr="00E92FD7" w:rsidTr="00E92FD7">
        <w:tc>
          <w:tcPr>
            <w:tcW w:w="3765"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8"/>
                <w:szCs w:val="18"/>
              </w:rPr>
            </w:pPr>
            <w:r w:rsidRPr="00E92FD7">
              <w:rPr>
                <w:rFonts w:ascii="Verdana" w:eastAsia="Times New Roman" w:hAnsi="Verdana" w:cs="Times New Roman"/>
                <w:b/>
                <w:bCs/>
                <w:caps/>
                <w:color w:val="022749"/>
                <w:sz w:val="18"/>
                <w:szCs w:val="18"/>
              </w:rPr>
              <w:t>COMPREHENSIVE NET RESULT</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(22)</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98</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(6)</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71</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r>
      <w:tr w:rsidR="00E92FD7" w:rsidRPr="00E92FD7" w:rsidTr="00E92FD7">
        <w:tc>
          <w:tcPr>
            <w:tcW w:w="3765"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Dividends</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r>
      <w:tr w:rsidR="00E92FD7" w:rsidRPr="00E92FD7" w:rsidTr="00E92FD7">
        <w:tc>
          <w:tcPr>
            <w:tcW w:w="3765"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Capital contribution of third parties in a subsidiary controlled by NIBC</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5</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5</w:t>
            </w:r>
          </w:p>
        </w:tc>
      </w:tr>
      <w:tr w:rsidR="00E92FD7" w:rsidRPr="00E92FD7" w:rsidTr="00E92FD7">
        <w:tc>
          <w:tcPr>
            <w:tcW w:w="3765"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Capital contribution share based payments</w:t>
            </w:r>
          </w:p>
        </w:tc>
        <w:tc>
          <w:tcPr>
            <w:tcW w:w="0" w:type="auto"/>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w:t>
            </w:r>
          </w:p>
        </w:tc>
      </w:tr>
      <w:tr w:rsidR="00E92FD7" w:rsidRPr="00E92FD7" w:rsidTr="00E92FD7">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791"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991"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971"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779"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911"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949"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r>
      <w:tr w:rsidR="00E92FD7" w:rsidRPr="00E92FD7" w:rsidTr="00E92FD7">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9"/>
                <w:szCs w:val="19"/>
              </w:rPr>
            </w:pPr>
            <w:r w:rsidRPr="00E92FD7">
              <w:rPr>
                <w:rFonts w:ascii="Verdana" w:eastAsia="Times New Roman" w:hAnsi="Verdana" w:cs="Times New Roman"/>
                <w:b/>
                <w:bCs/>
                <w:caps/>
                <w:color w:val="022749"/>
                <w:sz w:val="19"/>
                <w:szCs w:val="19"/>
              </w:rPr>
              <w:t>BALANCE AT 31 DECEMBER 2008</w:t>
            </w: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c>
          <w:tcPr>
            <w:tcW w:w="0" w:type="auto"/>
            <w:tcBorders>
              <w:top w:val="nil"/>
              <w:left w:val="nil"/>
              <w:bottom w:val="single" w:sz="6" w:space="0" w:color="022749"/>
              <w:right w:val="nil"/>
            </w:tcBorders>
            <w:tcMar>
              <w:top w:w="0" w:type="dxa"/>
              <w:left w:w="162"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80</w:t>
            </w:r>
          </w:p>
        </w:tc>
        <w:tc>
          <w:tcPr>
            <w:tcW w:w="0" w:type="auto"/>
            <w:tcBorders>
              <w:top w:val="nil"/>
              <w:left w:val="nil"/>
              <w:bottom w:val="single" w:sz="6" w:space="0" w:color="022749"/>
              <w:right w:val="nil"/>
            </w:tcBorders>
            <w:tcMar>
              <w:top w:w="0"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274</w:t>
            </w: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1,175</w:t>
            </w:r>
          </w:p>
        </w:tc>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92</w:t>
            </w:r>
          </w:p>
        </w:tc>
        <w:tc>
          <w:tcPr>
            <w:tcW w:w="0" w:type="auto"/>
            <w:tcBorders>
              <w:top w:val="nil"/>
              <w:left w:val="nil"/>
              <w:bottom w:val="single" w:sz="6" w:space="0" w:color="022749"/>
              <w:right w:val="nil"/>
            </w:tcBorders>
            <w:vAlign w:val="center"/>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c>
          <w:tcPr>
            <w:tcW w:w="0" w:type="auto"/>
            <w:tcBorders>
              <w:top w:val="nil"/>
              <w:left w:val="nil"/>
              <w:bottom w:val="single" w:sz="6" w:space="0" w:color="022749"/>
              <w:right w:val="nil"/>
            </w:tcBorders>
            <w:tcMar>
              <w:top w:w="0" w:type="dxa"/>
              <w:left w:w="162"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17</w:t>
            </w:r>
          </w:p>
        </w:tc>
        <w:tc>
          <w:tcPr>
            <w:tcW w:w="0" w:type="auto"/>
            <w:tcBorders>
              <w:top w:val="nil"/>
              <w:left w:val="nil"/>
              <w:bottom w:val="single" w:sz="6" w:space="0" w:color="022749"/>
              <w:right w:val="nil"/>
            </w:tcBorders>
            <w:vAlign w:val="center"/>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c>
          <w:tcPr>
            <w:tcW w:w="0" w:type="auto"/>
            <w:tcBorders>
              <w:top w:val="nil"/>
              <w:left w:val="nil"/>
              <w:bottom w:val="single" w:sz="6" w:space="0" w:color="022749"/>
              <w:right w:val="nil"/>
            </w:tcBorders>
            <w:tcMar>
              <w:top w:w="0" w:type="dxa"/>
              <w:left w:w="162"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1,638</w:t>
            </w:r>
          </w:p>
        </w:tc>
      </w:tr>
      <w:tr w:rsidR="00E92FD7" w:rsidRPr="00E92FD7" w:rsidTr="00E92FD7">
        <w:tc>
          <w:tcPr>
            <w:tcW w:w="0" w:type="auto"/>
            <w:gridSpan w:val="10"/>
            <w:tcBorders>
              <w:top w:val="nil"/>
              <w:left w:val="nil"/>
              <w:bottom w:val="nil"/>
              <w:right w:val="nil"/>
            </w:tcBorders>
            <w:tcMar>
              <w:top w:w="129" w:type="dxa"/>
              <w:left w:w="0" w:type="dxa"/>
              <w:bottom w:w="32" w:type="dxa"/>
              <w:right w:w="0" w:type="dxa"/>
            </w:tcMar>
            <w:vAlign w:val="center"/>
            <w:hideMark/>
          </w:tcPr>
          <w:p w:rsidR="00E92FD7" w:rsidRPr="00E92FD7" w:rsidRDefault="00E92FD7" w:rsidP="00E92FD7">
            <w:pPr>
              <w:numPr>
                <w:ilvl w:val="0"/>
                <w:numId w:val="2"/>
              </w:numPr>
              <w:spacing w:after="49" w:line="194" w:lineRule="atLeast"/>
              <w:ind w:left="453"/>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See note 46 for the impact of the implementation of IASB amendment ‘IAS 39 Financial Instruments: Recognition and Measurement’ on Shareholders’ equity at 31 December 2008.</w:t>
            </w:r>
          </w:p>
          <w:p w:rsidR="00E92FD7" w:rsidRPr="00E92FD7" w:rsidRDefault="00E92FD7" w:rsidP="00E92FD7">
            <w:pPr>
              <w:numPr>
                <w:ilvl w:val="0"/>
                <w:numId w:val="2"/>
              </w:numPr>
              <w:spacing w:after="49" w:line="194" w:lineRule="atLeast"/>
              <w:ind w:left="453"/>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Shareholders’ equity at 1 January 2007 has been increased by EUR 24 million and at 31 December 2007 by EUR 36 million compared to the figures displayed in the Financial Statements 2007 due to the implementation of IFRS IFRIC 11.</w:t>
            </w:r>
          </w:p>
          <w:p w:rsidR="00E92FD7" w:rsidRPr="00E92FD7" w:rsidRDefault="00E92FD7" w:rsidP="00E92FD7">
            <w:pPr>
              <w:numPr>
                <w:ilvl w:val="0"/>
                <w:numId w:val="2"/>
              </w:numPr>
              <w:spacing w:after="49" w:line="194" w:lineRule="atLeast"/>
              <w:ind w:left="453"/>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 xml:space="preserve">In 2004, NIBC sold a number of investments and did not release the corresponding revaluation reserve of EUR 17 million. The correction of this error, to transfer the revaluation reserve of EUR 17 million directly to Retained earnings, has no effect on the Income Statement </w:t>
            </w:r>
            <w:proofErr w:type="gramStart"/>
            <w:r w:rsidRPr="00E92FD7">
              <w:rPr>
                <w:rFonts w:ascii="Verdana" w:eastAsia="Times New Roman" w:hAnsi="Verdana" w:cs="Times New Roman"/>
                <w:color w:val="152949"/>
                <w:sz w:val="18"/>
                <w:szCs w:val="18"/>
              </w:rPr>
              <w:t>of 2007, nor</w:t>
            </w:r>
            <w:proofErr w:type="gramEnd"/>
            <w:r w:rsidRPr="00E92FD7">
              <w:rPr>
                <w:rFonts w:ascii="Verdana" w:eastAsia="Times New Roman" w:hAnsi="Verdana" w:cs="Times New Roman"/>
                <w:color w:val="152949"/>
                <w:sz w:val="18"/>
                <w:szCs w:val="18"/>
              </w:rPr>
              <w:t xml:space="preserve"> on Total Shareholders’ equity and the Balance Sheet total at 31 December 2007.</w:t>
            </w:r>
          </w:p>
          <w:p w:rsidR="00E92FD7" w:rsidRPr="00E92FD7" w:rsidRDefault="00E92FD7" w:rsidP="00E92FD7">
            <w:pPr>
              <w:numPr>
                <w:ilvl w:val="0"/>
                <w:numId w:val="2"/>
              </w:numPr>
              <w:spacing w:after="49" w:line="194" w:lineRule="atLeast"/>
              <w:ind w:left="453"/>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 xml:space="preserve">Dividends in 2007 are comprised of EUR 61 million final ordinary </w:t>
            </w:r>
            <w:proofErr w:type="gramStart"/>
            <w:r w:rsidRPr="00E92FD7">
              <w:rPr>
                <w:rFonts w:ascii="Verdana" w:eastAsia="Times New Roman" w:hAnsi="Verdana" w:cs="Times New Roman"/>
                <w:color w:val="152949"/>
                <w:sz w:val="18"/>
                <w:szCs w:val="18"/>
              </w:rPr>
              <w:t>dividend</w:t>
            </w:r>
            <w:proofErr w:type="gramEnd"/>
            <w:r w:rsidRPr="00E92FD7">
              <w:rPr>
                <w:rFonts w:ascii="Verdana" w:eastAsia="Times New Roman" w:hAnsi="Verdana" w:cs="Times New Roman"/>
                <w:color w:val="152949"/>
                <w:sz w:val="18"/>
                <w:szCs w:val="18"/>
              </w:rPr>
              <w:t xml:space="preserve"> over 2006 and EUR 85 million extraordinary dividend in 2007.</w:t>
            </w:r>
          </w:p>
        </w:tc>
      </w:tr>
    </w:tbl>
    <w:p w:rsidR="00E92FD7" w:rsidRPr="00E92FD7" w:rsidRDefault="00E92FD7" w:rsidP="00E92FD7">
      <w:pPr>
        <w:spacing w:after="0" w:line="728" w:lineRule="atLeast"/>
        <w:rPr>
          <w:rFonts w:ascii="Times New Roman" w:eastAsia="Times New Roman" w:hAnsi="Times New Roman" w:cs="Times New Roman"/>
          <w:color w:val="152949"/>
          <w:sz w:val="53"/>
          <w:szCs w:val="53"/>
        </w:rPr>
      </w:pPr>
      <w:r w:rsidRPr="00E92FD7">
        <w:rPr>
          <w:rFonts w:ascii="Times New Roman" w:eastAsia="Times New Roman" w:hAnsi="Times New Roman" w:cs="Times New Roman"/>
          <w:color w:val="152949"/>
          <w:sz w:val="53"/>
          <w:szCs w:val="53"/>
        </w:rPr>
        <w:t>Consolidated Cash Flow Statement</w:t>
      </w:r>
    </w:p>
    <w:p w:rsidR="00E92FD7" w:rsidRPr="00E92FD7" w:rsidRDefault="00E92FD7" w:rsidP="00E92FD7">
      <w:pPr>
        <w:spacing w:after="0" w:line="388" w:lineRule="atLeast"/>
        <w:rPr>
          <w:rFonts w:ascii="Times New Roman" w:eastAsia="Times New Roman" w:hAnsi="Times New Roman" w:cs="Times New Roman"/>
          <w:color w:val="152949"/>
          <w:sz w:val="27"/>
          <w:szCs w:val="27"/>
        </w:rPr>
      </w:pPr>
      <w:r w:rsidRPr="00E92FD7">
        <w:rPr>
          <w:rFonts w:ascii="Times New Roman" w:eastAsia="Times New Roman" w:hAnsi="Times New Roman" w:cs="Times New Roman"/>
          <w:color w:val="152949"/>
          <w:sz w:val="27"/>
          <w:szCs w:val="27"/>
        </w:rPr>
        <w:t>For the year ended 31 December</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tbl>
      <w:tblPr>
        <w:tblW w:w="0" w:type="auto"/>
        <w:tblCellMar>
          <w:left w:w="0" w:type="dxa"/>
          <w:right w:w="0" w:type="dxa"/>
        </w:tblCellMar>
        <w:tblLook w:val="04A0"/>
      </w:tblPr>
      <w:tblGrid>
        <w:gridCol w:w="7163"/>
        <w:gridCol w:w="6"/>
        <w:gridCol w:w="14"/>
        <w:gridCol w:w="1082"/>
        <w:gridCol w:w="21"/>
        <w:gridCol w:w="1082"/>
      </w:tblGrid>
      <w:tr w:rsidR="00E92FD7" w:rsidRPr="00E92FD7" w:rsidTr="00E92FD7">
        <w:tc>
          <w:tcPr>
            <w:tcW w:w="0" w:type="auto"/>
            <w:tcBorders>
              <w:top w:val="single" w:sz="6" w:space="0" w:color="022749"/>
              <w:left w:val="nil"/>
              <w:bottom w:val="single" w:sz="6" w:space="0" w:color="022749"/>
              <w:right w:val="nil"/>
            </w:tcBorders>
            <w:tcMar>
              <w:top w:w="32" w:type="dxa"/>
              <w:left w:w="0" w:type="dxa"/>
              <w:bottom w:w="32" w:type="dxa"/>
              <w:right w:w="0" w:type="dxa"/>
            </w:tcMar>
            <w:vAlign w:val="bottom"/>
            <w:hideMark/>
          </w:tcPr>
          <w:p w:rsidR="00E92FD7" w:rsidRPr="00E92FD7" w:rsidRDefault="00E92FD7" w:rsidP="00E92FD7">
            <w:pPr>
              <w:spacing w:after="0" w:line="240" w:lineRule="auto"/>
              <w:rPr>
                <w:rFonts w:ascii="Verdana" w:eastAsia="Times New Roman" w:hAnsi="Verdana" w:cs="Times New Roman"/>
                <w:caps/>
                <w:color w:val="022749"/>
                <w:sz w:val="15"/>
                <w:szCs w:val="15"/>
              </w:rPr>
            </w:pPr>
            <w:r w:rsidRPr="00E92FD7">
              <w:rPr>
                <w:rFonts w:ascii="Verdana" w:eastAsia="Times New Roman" w:hAnsi="Verdana" w:cs="Times New Roman"/>
                <w:caps/>
                <w:color w:val="022749"/>
                <w:sz w:val="15"/>
                <w:szCs w:val="15"/>
              </w:rPr>
              <w:t>IN EUR MILLIONS</w:t>
            </w:r>
          </w:p>
        </w:tc>
        <w:tc>
          <w:tcPr>
            <w:tcW w:w="0" w:type="auto"/>
            <w:tcBorders>
              <w:top w:val="single" w:sz="6" w:space="0" w:color="022749"/>
              <w:left w:val="nil"/>
              <w:bottom w:val="single" w:sz="6" w:space="0" w:color="022749"/>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022749"/>
              <w:left w:val="single" w:sz="6" w:space="0" w:color="022749"/>
              <w:bottom w:val="single" w:sz="6" w:space="0" w:color="022749"/>
              <w:right w:val="single" w:sz="6" w:space="0" w:color="022749"/>
            </w:tcBorders>
            <w:shd w:val="clear" w:color="auto" w:fill="022749"/>
            <w:tcMar>
              <w:top w:w="32" w:type="dxa"/>
              <w:left w:w="0" w:type="dxa"/>
              <w:bottom w:w="65"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FFFFFF"/>
                <w:sz w:val="18"/>
                <w:szCs w:val="18"/>
              </w:rPr>
            </w:pPr>
            <w:r w:rsidRPr="00E92FD7">
              <w:rPr>
                <w:rFonts w:ascii="Verdana" w:eastAsia="Times New Roman" w:hAnsi="Verdana" w:cs="Times New Roman"/>
                <w:color w:val="FFFFFF"/>
                <w:sz w:val="18"/>
                <w:szCs w:val="18"/>
              </w:rPr>
              <w:t>2008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65"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FFFFFF"/>
                <w:sz w:val="18"/>
                <w:szCs w:val="18"/>
              </w:rPr>
            </w:pPr>
            <w:r w:rsidRPr="00E92FD7">
              <w:rPr>
                <w:rFonts w:ascii="Verdana" w:eastAsia="Times New Roman" w:hAnsi="Verdana" w:cs="Times New Roman"/>
                <w:color w:val="FFFFFF"/>
                <w:sz w:val="18"/>
                <w:szCs w:val="18"/>
              </w:rPr>
              <w:t>2007</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aps/>
                <w:color w:val="48A4D4"/>
                <w:sz w:val="18"/>
                <w:szCs w:val="18"/>
              </w:rPr>
            </w:pPr>
            <w:r w:rsidRPr="00E92FD7">
              <w:rPr>
                <w:rFonts w:ascii="Verdana" w:eastAsia="Times New Roman" w:hAnsi="Verdana" w:cs="Times New Roman"/>
                <w:caps/>
                <w:color w:val="48A4D4"/>
                <w:sz w:val="18"/>
                <w:szCs w:val="18"/>
              </w:rPr>
              <w:t>OPERATING ACTIVITIES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Net profit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92</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98</w:t>
            </w: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aps/>
                <w:color w:val="48A4D4"/>
                <w:sz w:val="18"/>
                <w:szCs w:val="18"/>
              </w:rPr>
            </w:pPr>
            <w:r w:rsidRPr="00E92FD7">
              <w:rPr>
                <w:rFonts w:ascii="Verdana" w:eastAsia="Times New Roman" w:hAnsi="Verdana" w:cs="Times New Roman"/>
                <w:caps/>
                <w:color w:val="48A4D4"/>
                <w:sz w:val="18"/>
                <w:szCs w:val="18"/>
              </w:rPr>
              <w:t>ADJUSTMENTS FOR NON-CASH ITEMS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 xml:space="preserve">Depreciation, </w:t>
            </w:r>
            <w:proofErr w:type="spellStart"/>
            <w:r w:rsidRPr="00E92FD7">
              <w:rPr>
                <w:rFonts w:ascii="Verdana" w:eastAsia="Times New Roman" w:hAnsi="Verdana" w:cs="Times New Roman"/>
                <w:color w:val="152949"/>
                <w:sz w:val="18"/>
                <w:szCs w:val="18"/>
              </w:rPr>
              <w:t>amortisation</w:t>
            </w:r>
            <w:proofErr w:type="spellEnd"/>
            <w:r w:rsidRPr="00E92FD7">
              <w:rPr>
                <w:rFonts w:ascii="Verdana" w:eastAsia="Times New Roman" w:hAnsi="Verdana" w:cs="Times New Roman"/>
                <w:color w:val="152949"/>
                <w:sz w:val="18"/>
                <w:szCs w:val="18"/>
              </w:rPr>
              <w:t xml:space="preserve"> and impairment losses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79</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19</w:t>
            </w: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Changes in employee benefit obligations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(6)</w:t>
            </w: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Gains less losses from financial assets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57</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(107)</w:t>
            </w: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Share in result of associates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(7)</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w:t>
            </w: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aps/>
                <w:color w:val="48A4D4"/>
                <w:sz w:val="18"/>
                <w:szCs w:val="18"/>
              </w:rPr>
            </w:pPr>
            <w:r w:rsidRPr="00E92FD7">
              <w:rPr>
                <w:rFonts w:ascii="Verdana" w:eastAsia="Times New Roman" w:hAnsi="Verdana" w:cs="Times New Roman"/>
                <w:caps/>
                <w:color w:val="48A4D4"/>
                <w:sz w:val="18"/>
                <w:szCs w:val="18"/>
              </w:rPr>
              <w:t>CHANGES IN OPERATING ASSETS AND LIABILITIES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Derivative financial instruments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468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(217)</w:t>
            </w: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Operating assets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2,243</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3,142</w:t>
            </w: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lastRenderedPageBreak/>
              <w:t>Operating liabilities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171</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(319)</w:t>
            </w: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Dividends received from associates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6</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r>
      <w:tr w:rsidR="00E92FD7" w:rsidRPr="00E92FD7" w:rsidTr="00E92FD7">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9"/>
                <w:szCs w:val="19"/>
              </w:rPr>
            </w:pPr>
            <w:r w:rsidRPr="00E92FD7">
              <w:rPr>
                <w:rFonts w:ascii="Verdana" w:eastAsia="Times New Roman" w:hAnsi="Verdana" w:cs="Times New Roman"/>
                <w:b/>
                <w:bCs/>
                <w:caps/>
                <w:color w:val="022749"/>
                <w:sz w:val="19"/>
                <w:szCs w:val="19"/>
              </w:rPr>
              <w:t>CASH FLOWS FROM OPERATING ACTIVITIES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3,106</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2,609</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aps/>
                <w:color w:val="48A4D4"/>
                <w:sz w:val="18"/>
                <w:szCs w:val="18"/>
              </w:rPr>
            </w:pPr>
            <w:r w:rsidRPr="00E92FD7">
              <w:rPr>
                <w:rFonts w:ascii="Verdana" w:eastAsia="Times New Roman" w:hAnsi="Verdana" w:cs="Times New Roman"/>
                <w:caps/>
                <w:color w:val="48A4D4"/>
                <w:sz w:val="18"/>
                <w:szCs w:val="18"/>
              </w:rPr>
              <w:t>INVESTING ACTIVITIES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Proceeds from the sale of property, plant and equipment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8</w:t>
            </w: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Acquisition of property, plant and equipment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(37)</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(9)</w:t>
            </w: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Disposal of subsidiaries, associates and joint ventures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6</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w:t>
            </w: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Acquisition of subsidiaries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(97)</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Acquisition of associates and joint ventures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(25)</w:t>
            </w:r>
          </w:p>
        </w:tc>
      </w:tr>
      <w:tr w:rsidR="00E92FD7" w:rsidRPr="00E92FD7" w:rsidTr="00E92FD7">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9"/>
                <w:szCs w:val="19"/>
              </w:rPr>
            </w:pPr>
            <w:r w:rsidRPr="00E92FD7">
              <w:rPr>
                <w:rFonts w:ascii="Verdana" w:eastAsia="Times New Roman" w:hAnsi="Verdana" w:cs="Times New Roman"/>
                <w:b/>
                <w:bCs/>
                <w:caps/>
                <w:color w:val="022749"/>
                <w:sz w:val="19"/>
                <w:szCs w:val="19"/>
              </w:rPr>
              <w:t>CASH FLOWS FROM INVESTING ACTIVITIES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(127)</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(24)</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aps/>
                <w:color w:val="48A4D4"/>
                <w:sz w:val="18"/>
                <w:szCs w:val="18"/>
              </w:rPr>
            </w:pPr>
            <w:r w:rsidRPr="00E92FD7">
              <w:rPr>
                <w:rFonts w:ascii="Verdana" w:eastAsia="Times New Roman" w:hAnsi="Verdana" w:cs="Times New Roman"/>
                <w:caps/>
                <w:color w:val="48A4D4"/>
                <w:sz w:val="18"/>
                <w:szCs w:val="18"/>
              </w:rPr>
              <w:t>FINANCING ACTIVITIES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Net increase/(decrease) in own debt securities in issue</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(3,108)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(85)</w:t>
            </w: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Net increase/(decrease) in subordinated liabilities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(37)</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45</w:t>
            </w: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Net increase/(decrease) in debt securities in issue structured</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(1,042)</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(401)</w:t>
            </w: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Dividends paid</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(146)</w:t>
            </w:r>
          </w:p>
        </w:tc>
      </w:tr>
      <w:tr w:rsidR="00E92FD7" w:rsidRPr="00E92FD7" w:rsidTr="00E92FD7">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9"/>
                <w:szCs w:val="19"/>
              </w:rPr>
            </w:pPr>
            <w:r w:rsidRPr="00E92FD7">
              <w:rPr>
                <w:rFonts w:ascii="Verdana" w:eastAsia="Times New Roman" w:hAnsi="Verdana" w:cs="Times New Roman"/>
                <w:b/>
                <w:bCs/>
                <w:caps/>
                <w:color w:val="022749"/>
                <w:sz w:val="19"/>
                <w:szCs w:val="19"/>
              </w:rPr>
              <w:t>CASH FLOWS FROM FINANCING ACTIVITIES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(4,187)</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(587)</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r>
      <w:tr w:rsidR="00E92FD7" w:rsidRPr="00E92FD7" w:rsidTr="00E92FD7">
        <w:tc>
          <w:tcPr>
            <w:tcW w:w="0" w:type="auto"/>
            <w:tcBorders>
              <w:top w:val="single" w:sz="6" w:space="0" w:color="022749"/>
              <w:left w:val="nil"/>
              <w:bottom w:val="single" w:sz="6" w:space="0" w:color="022749"/>
              <w:right w:val="nil"/>
            </w:tcBorders>
            <w:vAlign w:val="bottom"/>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9"/>
                <w:szCs w:val="19"/>
              </w:rPr>
            </w:pPr>
            <w:r w:rsidRPr="00E92FD7">
              <w:rPr>
                <w:rFonts w:ascii="Verdana" w:eastAsia="Times New Roman" w:hAnsi="Verdana" w:cs="Times New Roman"/>
                <w:b/>
                <w:bCs/>
                <w:caps/>
                <w:color w:val="022749"/>
                <w:sz w:val="19"/>
                <w:szCs w:val="19"/>
              </w:rPr>
              <w:t>NET INCREASE/(DECREASE) IN CASH AND CASH EQUIVALENTS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(1,208)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1,998</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8"/>
                <w:szCs w:val="18"/>
              </w:rPr>
            </w:pPr>
            <w:r w:rsidRPr="00E92FD7">
              <w:rPr>
                <w:rFonts w:ascii="Verdana" w:eastAsia="Times New Roman" w:hAnsi="Verdana" w:cs="Times New Roman"/>
                <w:b/>
                <w:bCs/>
                <w:caps/>
                <w:color w:val="022749"/>
                <w:sz w:val="18"/>
                <w:szCs w:val="18"/>
              </w:rPr>
              <w:t>CASH AND CASH EQUIVALENTS AT 1 JANUARY</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3,976</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1,978</w:t>
            </w: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Net increase/(decrease) in cash and cash equivalents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(1,208)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1,998</w:t>
            </w:r>
          </w:p>
        </w:tc>
      </w:tr>
      <w:tr w:rsidR="00E92FD7" w:rsidRPr="00E92FD7" w:rsidTr="00E92FD7">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9"/>
                <w:szCs w:val="19"/>
              </w:rPr>
            </w:pPr>
            <w:r w:rsidRPr="00E92FD7">
              <w:rPr>
                <w:rFonts w:ascii="Verdana" w:eastAsia="Times New Roman" w:hAnsi="Verdana" w:cs="Times New Roman"/>
                <w:b/>
                <w:bCs/>
                <w:caps/>
                <w:color w:val="022749"/>
                <w:sz w:val="19"/>
                <w:szCs w:val="19"/>
              </w:rPr>
              <w:t>CASH AND CASH EQUIVALENTS AT 31 DECEMBER</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2,768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3,976</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aps/>
                <w:color w:val="48A4D4"/>
                <w:sz w:val="18"/>
                <w:szCs w:val="18"/>
              </w:rPr>
            </w:pPr>
            <w:r w:rsidRPr="00E92FD7">
              <w:rPr>
                <w:rFonts w:ascii="Verdana" w:eastAsia="Times New Roman" w:hAnsi="Verdana" w:cs="Times New Roman"/>
                <w:caps/>
                <w:color w:val="48A4D4"/>
                <w:sz w:val="18"/>
                <w:szCs w:val="18"/>
              </w:rPr>
              <w:t>CASH FLOWS FROM OPERATING ACTIVITIES INCLUDE:</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Taxes paid</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(101)</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w:t>
            </w: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aps/>
                <w:color w:val="48A4D4"/>
                <w:sz w:val="18"/>
                <w:szCs w:val="18"/>
              </w:rPr>
            </w:pPr>
            <w:r w:rsidRPr="00E92FD7">
              <w:rPr>
                <w:rFonts w:ascii="Verdana" w:eastAsia="Times New Roman" w:hAnsi="Verdana" w:cs="Times New Roman"/>
                <w:caps/>
                <w:color w:val="48A4D4"/>
                <w:sz w:val="18"/>
                <w:szCs w:val="18"/>
              </w:rPr>
              <w:t>RECONCILIATION OF CASH AND CASH EQUIVALENTS: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Cash and balances with central banks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1,113</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874</w:t>
            </w:r>
          </w:p>
        </w:tc>
      </w:tr>
      <w:tr w:rsidR="00E92FD7" w:rsidRPr="00E92FD7" w:rsidTr="00E92FD7">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Due from other banks (maturity 3 months or less)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1,655</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3,102</w:t>
            </w:r>
          </w:p>
        </w:tc>
      </w:tr>
      <w:tr w:rsidR="00E92FD7" w:rsidRPr="00E92FD7" w:rsidTr="00E92FD7">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r>
      <w:tr w:rsidR="00E92FD7" w:rsidRPr="00E92FD7" w:rsidTr="00E92FD7">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c>
          <w:tcPr>
            <w:tcW w:w="0" w:type="auto"/>
            <w:tcBorders>
              <w:top w:val="nil"/>
              <w:left w:val="nil"/>
              <w:bottom w:val="single" w:sz="6" w:space="0" w:color="022749"/>
              <w:right w:val="nil"/>
            </w:tcBorders>
            <w:vAlign w:val="center"/>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c>
          <w:tcPr>
            <w:tcW w:w="0" w:type="auto"/>
            <w:tcBorders>
              <w:top w:val="nil"/>
              <w:left w:val="nil"/>
              <w:bottom w:val="single" w:sz="6" w:space="0" w:color="022749"/>
              <w:right w:val="nil"/>
            </w:tcBorders>
            <w:vAlign w:val="center"/>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c>
          <w:tcPr>
            <w:tcW w:w="0" w:type="auto"/>
            <w:tcBorders>
              <w:top w:val="nil"/>
              <w:left w:val="nil"/>
              <w:bottom w:val="single" w:sz="6" w:space="0" w:color="022749"/>
              <w:right w:val="nil"/>
            </w:tcBorders>
            <w:tcMar>
              <w:top w:w="0" w:type="dxa"/>
              <w:left w:w="162"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2,768</w:t>
            </w:r>
          </w:p>
        </w:tc>
        <w:tc>
          <w:tcPr>
            <w:tcW w:w="0" w:type="auto"/>
            <w:tcBorders>
              <w:top w:val="nil"/>
              <w:left w:val="nil"/>
              <w:bottom w:val="single" w:sz="6" w:space="0" w:color="022749"/>
              <w:right w:val="nil"/>
            </w:tcBorders>
            <w:vAlign w:val="center"/>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c>
          <w:tcPr>
            <w:tcW w:w="0" w:type="auto"/>
            <w:tcBorders>
              <w:top w:val="nil"/>
              <w:left w:val="nil"/>
              <w:bottom w:val="single" w:sz="6" w:space="0" w:color="022749"/>
              <w:right w:val="nil"/>
            </w:tcBorders>
            <w:tcMar>
              <w:top w:w="0" w:type="dxa"/>
              <w:left w:w="162"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3,976</w:t>
            </w:r>
          </w:p>
        </w:tc>
      </w:tr>
    </w:tbl>
    <w:p w:rsidR="00E92FD7" w:rsidRPr="00E92FD7" w:rsidRDefault="00E92FD7" w:rsidP="00E92FD7">
      <w:pPr>
        <w:spacing w:after="0" w:line="728" w:lineRule="atLeast"/>
        <w:rPr>
          <w:rFonts w:ascii="Times New Roman" w:eastAsia="Times New Roman" w:hAnsi="Times New Roman" w:cs="Times New Roman"/>
          <w:color w:val="152949"/>
          <w:sz w:val="53"/>
          <w:szCs w:val="53"/>
        </w:rPr>
      </w:pPr>
      <w:r w:rsidRPr="00E92FD7">
        <w:rPr>
          <w:rFonts w:ascii="Times New Roman" w:eastAsia="Times New Roman" w:hAnsi="Times New Roman" w:cs="Times New Roman"/>
          <w:color w:val="152949"/>
          <w:sz w:val="53"/>
          <w:szCs w:val="53"/>
        </w:rPr>
        <w:t>Consolidated Cash Flow Statement</w:t>
      </w:r>
    </w:p>
    <w:p w:rsidR="00E92FD7" w:rsidRPr="00E92FD7" w:rsidRDefault="00E92FD7" w:rsidP="00E92FD7">
      <w:pPr>
        <w:spacing w:after="0" w:line="388" w:lineRule="atLeast"/>
        <w:rPr>
          <w:rFonts w:ascii="Times New Roman" w:eastAsia="Times New Roman" w:hAnsi="Times New Roman" w:cs="Times New Roman"/>
          <w:color w:val="152949"/>
          <w:sz w:val="27"/>
          <w:szCs w:val="27"/>
        </w:rPr>
      </w:pPr>
      <w:r w:rsidRPr="00E92FD7">
        <w:rPr>
          <w:rFonts w:ascii="Times New Roman" w:eastAsia="Times New Roman" w:hAnsi="Times New Roman" w:cs="Times New Roman"/>
          <w:color w:val="152949"/>
          <w:sz w:val="27"/>
          <w:szCs w:val="27"/>
        </w:rPr>
        <w:t>For the year ended 31 December</w:t>
      </w:r>
    </w:p>
    <w:p w:rsidR="00E92FD7" w:rsidRPr="00E92FD7" w:rsidRDefault="00E92FD7" w:rsidP="00E92FD7">
      <w:pPr>
        <w:spacing w:after="0" w:line="324" w:lineRule="atLeast"/>
        <w:rPr>
          <w:rFonts w:ascii="Times" w:eastAsia="Times New Roman" w:hAnsi="Times" w:cs="Times"/>
          <w:color w:val="152949"/>
          <w:sz w:val="23"/>
          <w:szCs w:val="23"/>
        </w:rPr>
      </w:pPr>
      <w:r w:rsidRPr="00E92FD7">
        <w:rPr>
          <w:rFonts w:ascii="Times" w:eastAsia="Times New Roman" w:hAnsi="Times" w:cs="Times"/>
          <w:color w:val="152949"/>
          <w:sz w:val="23"/>
          <w:szCs w:val="23"/>
        </w:rPr>
        <w:t> </w:t>
      </w:r>
    </w:p>
    <w:tbl>
      <w:tblPr>
        <w:tblW w:w="0" w:type="auto"/>
        <w:tblCellMar>
          <w:left w:w="0" w:type="dxa"/>
          <w:right w:w="0" w:type="dxa"/>
        </w:tblCellMar>
        <w:tblLook w:val="04A0"/>
      </w:tblPr>
      <w:tblGrid>
        <w:gridCol w:w="7163"/>
        <w:gridCol w:w="6"/>
        <w:gridCol w:w="14"/>
        <w:gridCol w:w="1082"/>
        <w:gridCol w:w="21"/>
        <w:gridCol w:w="1082"/>
      </w:tblGrid>
      <w:tr w:rsidR="00E92FD7" w:rsidRPr="00E92FD7" w:rsidTr="00835F56">
        <w:tc>
          <w:tcPr>
            <w:tcW w:w="0" w:type="auto"/>
            <w:tcBorders>
              <w:top w:val="single" w:sz="6" w:space="0" w:color="022749"/>
              <w:left w:val="nil"/>
              <w:bottom w:val="single" w:sz="6" w:space="0" w:color="022749"/>
              <w:right w:val="nil"/>
            </w:tcBorders>
            <w:tcMar>
              <w:top w:w="32" w:type="dxa"/>
              <w:left w:w="0" w:type="dxa"/>
              <w:bottom w:w="32" w:type="dxa"/>
              <w:right w:w="0" w:type="dxa"/>
            </w:tcMar>
            <w:vAlign w:val="bottom"/>
            <w:hideMark/>
          </w:tcPr>
          <w:p w:rsidR="00E92FD7" w:rsidRPr="00E92FD7" w:rsidRDefault="00E92FD7" w:rsidP="00E92FD7">
            <w:pPr>
              <w:spacing w:after="0" w:line="240" w:lineRule="auto"/>
              <w:rPr>
                <w:rFonts w:ascii="Verdana" w:eastAsia="Times New Roman" w:hAnsi="Verdana" w:cs="Times New Roman"/>
                <w:caps/>
                <w:color w:val="022749"/>
                <w:sz w:val="15"/>
                <w:szCs w:val="15"/>
              </w:rPr>
            </w:pPr>
            <w:r w:rsidRPr="00E92FD7">
              <w:rPr>
                <w:rFonts w:ascii="Verdana" w:eastAsia="Times New Roman" w:hAnsi="Verdana" w:cs="Times New Roman"/>
                <w:caps/>
                <w:color w:val="022749"/>
                <w:sz w:val="15"/>
                <w:szCs w:val="15"/>
              </w:rPr>
              <w:t>IN EUR MILLIONS</w:t>
            </w:r>
          </w:p>
        </w:tc>
        <w:tc>
          <w:tcPr>
            <w:tcW w:w="0" w:type="auto"/>
            <w:tcBorders>
              <w:top w:val="single" w:sz="6" w:space="0" w:color="022749"/>
              <w:left w:val="nil"/>
              <w:bottom w:val="single" w:sz="6" w:space="0" w:color="022749"/>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022749"/>
              <w:left w:val="single" w:sz="6" w:space="0" w:color="022749"/>
              <w:bottom w:val="single" w:sz="6" w:space="0" w:color="022749"/>
              <w:right w:val="single" w:sz="6" w:space="0" w:color="022749"/>
            </w:tcBorders>
            <w:shd w:val="clear" w:color="auto" w:fill="022749"/>
            <w:tcMar>
              <w:top w:w="32" w:type="dxa"/>
              <w:left w:w="0" w:type="dxa"/>
              <w:bottom w:w="65"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FFFFFF"/>
                <w:sz w:val="18"/>
                <w:szCs w:val="18"/>
              </w:rPr>
            </w:pPr>
            <w:r w:rsidRPr="00E92FD7">
              <w:rPr>
                <w:rFonts w:ascii="Verdana" w:eastAsia="Times New Roman" w:hAnsi="Verdana" w:cs="Times New Roman"/>
                <w:color w:val="FFFFFF"/>
                <w:sz w:val="18"/>
                <w:szCs w:val="18"/>
              </w:rPr>
              <w:t>2008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65"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FFFFFF"/>
                <w:sz w:val="18"/>
                <w:szCs w:val="18"/>
              </w:rPr>
            </w:pPr>
            <w:r w:rsidRPr="00E92FD7">
              <w:rPr>
                <w:rFonts w:ascii="Verdana" w:eastAsia="Times New Roman" w:hAnsi="Verdana" w:cs="Times New Roman"/>
                <w:color w:val="FFFFFF"/>
                <w:sz w:val="18"/>
                <w:szCs w:val="18"/>
              </w:rPr>
              <w:t>2007</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aps/>
                <w:color w:val="48A4D4"/>
                <w:sz w:val="18"/>
                <w:szCs w:val="18"/>
              </w:rPr>
            </w:pPr>
            <w:r w:rsidRPr="00E92FD7">
              <w:rPr>
                <w:rFonts w:ascii="Verdana" w:eastAsia="Times New Roman" w:hAnsi="Verdana" w:cs="Times New Roman"/>
                <w:caps/>
                <w:color w:val="48A4D4"/>
                <w:sz w:val="18"/>
                <w:szCs w:val="18"/>
              </w:rPr>
              <w:t>OPERATING ACTIVITIES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Net profit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92</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98</w:t>
            </w: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aps/>
                <w:color w:val="48A4D4"/>
                <w:sz w:val="18"/>
                <w:szCs w:val="18"/>
              </w:rPr>
            </w:pPr>
            <w:r w:rsidRPr="00E92FD7">
              <w:rPr>
                <w:rFonts w:ascii="Verdana" w:eastAsia="Times New Roman" w:hAnsi="Verdana" w:cs="Times New Roman"/>
                <w:caps/>
                <w:color w:val="48A4D4"/>
                <w:sz w:val="18"/>
                <w:szCs w:val="18"/>
              </w:rPr>
              <w:t>ADJUSTMENTS FOR NON-CASH ITEMS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 xml:space="preserve">Depreciation, </w:t>
            </w:r>
            <w:proofErr w:type="spellStart"/>
            <w:r w:rsidRPr="00E92FD7">
              <w:rPr>
                <w:rFonts w:ascii="Verdana" w:eastAsia="Times New Roman" w:hAnsi="Verdana" w:cs="Times New Roman"/>
                <w:color w:val="152949"/>
                <w:sz w:val="18"/>
                <w:szCs w:val="18"/>
              </w:rPr>
              <w:t>amortisation</w:t>
            </w:r>
            <w:proofErr w:type="spellEnd"/>
            <w:r w:rsidRPr="00E92FD7">
              <w:rPr>
                <w:rFonts w:ascii="Verdana" w:eastAsia="Times New Roman" w:hAnsi="Verdana" w:cs="Times New Roman"/>
                <w:color w:val="152949"/>
                <w:sz w:val="18"/>
                <w:szCs w:val="18"/>
              </w:rPr>
              <w:t xml:space="preserve"> and impairment losses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79</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19</w:t>
            </w: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Changes in employee benefit obligations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(6)</w:t>
            </w: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Gains less losses from financial assets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57</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(107)</w:t>
            </w: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Share in result of associates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(7)</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w:t>
            </w: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aps/>
                <w:color w:val="48A4D4"/>
                <w:sz w:val="18"/>
                <w:szCs w:val="18"/>
              </w:rPr>
            </w:pPr>
            <w:r w:rsidRPr="00E92FD7">
              <w:rPr>
                <w:rFonts w:ascii="Verdana" w:eastAsia="Times New Roman" w:hAnsi="Verdana" w:cs="Times New Roman"/>
                <w:caps/>
                <w:color w:val="48A4D4"/>
                <w:sz w:val="18"/>
                <w:szCs w:val="18"/>
              </w:rPr>
              <w:t>CHANGES IN OPERATING ASSETS AND LIABILITIES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Derivative financial instruments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468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(217)</w:t>
            </w: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Operating assets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2,243</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3,142</w:t>
            </w: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Operating liabilities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171</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(319)</w:t>
            </w: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lastRenderedPageBreak/>
              <w:t>Dividends received from associates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6</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r>
      <w:tr w:rsidR="00E92FD7" w:rsidRPr="00E92FD7" w:rsidTr="00835F56">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9"/>
                <w:szCs w:val="19"/>
              </w:rPr>
            </w:pPr>
            <w:r w:rsidRPr="00E92FD7">
              <w:rPr>
                <w:rFonts w:ascii="Verdana" w:eastAsia="Times New Roman" w:hAnsi="Verdana" w:cs="Times New Roman"/>
                <w:b/>
                <w:bCs/>
                <w:caps/>
                <w:color w:val="022749"/>
                <w:sz w:val="19"/>
                <w:szCs w:val="19"/>
              </w:rPr>
              <w:t>CASH FLOWS FROM OPERATING ACTIVITIES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3,106</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2,609</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aps/>
                <w:color w:val="48A4D4"/>
                <w:sz w:val="18"/>
                <w:szCs w:val="18"/>
              </w:rPr>
            </w:pPr>
            <w:r w:rsidRPr="00E92FD7">
              <w:rPr>
                <w:rFonts w:ascii="Verdana" w:eastAsia="Times New Roman" w:hAnsi="Verdana" w:cs="Times New Roman"/>
                <w:caps/>
                <w:color w:val="48A4D4"/>
                <w:sz w:val="18"/>
                <w:szCs w:val="18"/>
              </w:rPr>
              <w:t>INVESTING ACTIVITIES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Proceeds from the sale of property, plant and equipment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8</w:t>
            </w: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Acquisition of property, plant and equipment</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(37)</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(9)</w:t>
            </w: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Disposal of subsidiaries, associates and joint ventures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6</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w:t>
            </w: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Acquisition of subsidiaries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(97)</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Acquisition of associates and joint ventures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(25)</w:t>
            </w:r>
          </w:p>
        </w:tc>
      </w:tr>
      <w:tr w:rsidR="00E92FD7" w:rsidRPr="00E92FD7" w:rsidTr="00835F56">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9"/>
                <w:szCs w:val="19"/>
              </w:rPr>
            </w:pPr>
            <w:r w:rsidRPr="00E92FD7">
              <w:rPr>
                <w:rFonts w:ascii="Verdana" w:eastAsia="Times New Roman" w:hAnsi="Verdana" w:cs="Times New Roman"/>
                <w:b/>
                <w:bCs/>
                <w:caps/>
                <w:color w:val="022749"/>
                <w:sz w:val="19"/>
                <w:szCs w:val="19"/>
              </w:rPr>
              <w:t>CASH FLOWS FROM INVESTING ACTIVITIES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(127)</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(24)</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aps/>
                <w:color w:val="48A4D4"/>
                <w:sz w:val="18"/>
                <w:szCs w:val="18"/>
              </w:rPr>
            </w:pPr>
            <w:r w:rsidRPr="00E92FD7">
              <w:rPr>
                <w:rFonts w:ascii="Verdana" w:eastAsia="Times New Roman" w:hAnsi="Verdana" w:cs="Times New Roman"/>
                <w:caps/>
                <w:color w:val="48A4D4"/>
                <w:sz w:val="18"/>
                <w:szCs w:val="18"/>
              </w:rPr>
              <w:t>FINANCING ACTIVITIES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Net increase/(decrease) in own debt securities in issue</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(3,108)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(85)</w:t>
            </w: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Net increase/(decrease) in subordinated liabilities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(37)</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45</w:t>
            </w: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Net increase/(decrease) in debt securities in issue structured</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(1,042)</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(401)</w:t>
            </w: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Dividends paid</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(146)</w:t>
            </w:r>
          </w:p>
        </w:tc>
      </w:tr>
      <w:tr w:rsidR="00E92FD7" w:rsidRPr="00E92FD7" w:rsidTr="00835F56">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9"/>
                <w:szCs w:val="19"/>
              </w:rPr>
            </w:pPr>
            <w:r w:rsidRPr="00E92FD7">
              <w:rPr>
                <w:rFonts w:ascii="Verdana" w:eastAsia="Times New Roman" w:hAnsi="Verdana" w:cs="Times New Roman"/>
                <w:b/>
                <w:bCs/>
                <w:caps/>
                <w:color w:val="022749"/>
                <w:sz w:val="19"/>
                <w:szCs w:val="19"/>
              </w:rPr>
              <w:t>CASH FLOWS FROM FINANCING ACTIVITIES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(4,187)</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(587)</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r>
      <w:tr w:rsidR="00E92FD7" w:rsidRPr="00E92FD7" w:rsidTr="00835F56">
        <w:tc>
          <w:tcPr>
            <w:tcW w:w="0" w:type="auto"/>
            <w:tcBorders>
              <w:top w:val="single" w:sz="6" w:space="0" w:color="022749"/>
              <w:left w:val="nil"/>
              <w:bottom w:val="single" w:sz="6" w:space="0" w:color="022749"/>
              <w:right w:val="nil"/>
            </w:tcBorders>
            <w:vAlign w:val="bottom"/>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9"/>
                <w:szCs w:val="19"/>
              </w:rPr>
            </w:pPr>
            <w:r w:rsidRPr="00E92FD7">
              <w:rPr>
                <w:rFonts w:ascii="Verdana" w:eastAsia="Times New Roman" w:hAnsi="Verdana" w:cs="Times New Roman"/>
                <w:b/>
                <w:bCs/>
                <w:caps/>
                <w:color w:val="022749"/>
                <w:sz w:val="19"/>
                <w:szCs w:val="19"/>
              </w:rPr>
              <w:t>NET INCREASE/(DECREASE) IN CASH AND CASH EQUIVALENTS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(1,208)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1,998</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8"/>
                <w:szCs w:val="18"/>
              </w:rPr>
            </w:pPr>
            <w:r w:rsidRPr="00E92FD7">
              <w:rPr>
                <w:rFonts w:ascii="Verdana" w:eastAsia="Times New Roman" w:hAnsi="Verdana" w:cs="Times New Roman"/>
                <w:b/>
                <w:bCs/>
                <w:caps/>
                <w:color w:val="022749"/>
                <w:sz w:val="18"/>
                <w:szCs w:val="18"/>
              </w:rPr>
              <w:t>CASH AND CASH EQUIVALENTS AT 1 JANUARY</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3,976</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1,978</w:t>
            </w: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Net increase/(decrease) in cash and cash equivalents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(1,208)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1,998</w:t>
            </w:r>
          </w:p>
        </w:tc>
      </w:tr>
      <w:tr w:rsidR="00E92FD7" w:rsidRPr="00E92FD7" w:rsidTr="00835F56">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b/>
                <w:bCs/>
                <w:caps/>
                <w:color w:val="022749"/>
                <w:sz w:val="19"/>
                <w:szCs w:val="19"/>
              </w:rPr>
            </w:pPr>
            <w:r w:rsidRPr="00E92FD7">
              <w:rPr>
                <w:rFonts w:ascii="Verdana" w:eastAsia="Times New Roman" w:hAnsi="Verdana" w:cs="Times New Roman"/>
                <w:b/>
                <w:bCs/>
                <w:caps/>
                <w:color w:val="022749"/>
                <w:sz w:val="19"/>
                <w:szCs w:val="19"/>
              </w:rPr>
              <w:t>CASH AND CASH EQUIVALENTS AT 31 DECEMBER</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8"/>
                <w:szCs w:val="18"/>
              </w:rPr>
            </w:pPr>
            <w:r w:rsidRPr="00E92FD7">
              <w:rPr>
                <w:rFonts w:ascii="Verdana" w:eastAsia="Times New Roman" w:hAnsi="Verdana" w:cs="Times New Roman"/>
                <w:b/>
                <w:bCs/>
                <w:color w:val="022749"/>
                <w:sz w:val="18"/>
                <w:szCs w:val="18"/>
              </w:rPr>
              <w:t>2,768</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3,976</w:t>
            </w:r>
          </w:p>
        </w:tc>
      </w:tr>
      <w:tr w:rsidR="00E92FD7" w:rsidRPr="00E92FD7" w:rsidTr="00E92FD7">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aps/>
                <w:color w:val="48A4D4"/>
                <w:sz w:val="18"/>
                <w:szCs w:val="18"/>
              </w:rPr>
            </w:pPr>
            <w:r w:rsidRPr="00E92FD7">
              <w:rPr>
                <w:rFonts w:ascii="Verdana" w:eastAsia="Times New Roman" w:hAnsi="Verdana" w:cs="Times New Roman"/>
                <w:caps/>
                <w:color w:val="48A4D4"/>
                <w:sz w:val="18"/>
                <w:szCs w:val="18"/>
              </w:rPr>
              <w:t>CASH FLOWS FROM OPERATING ACTIVITIES INCLUDE:</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Taxes paid</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(101)</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4</w:t>
            </w: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aps/>
                <w:color w:val="48A4D4"/>
                <w:sz w:val="18"/>
                <w:szCs w:val="18"/>
              </w:rPr>
            </w:pPr>
            <w:r w:rsidRPr="00E92FD7">
              <w:rPr>
                <w:rFonts w:ascii="Verdana" w:eastAsia="Times New Roman" w:hAnsi="Verdana" w:cs="Times New Roman"/>
                <w:caps/>
                <w:color w:val="48A4D4"/>
                <w:sz w:val="18"/>
                <w:szCs w:val="18"/>
              </w:rPr>
              <w:t>RECONCILIATION OF CASH AND CASH EQUIVALENTS: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Cash and balances with central banks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1,113</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874</w:t>
            </w:r>
          </w:p>
        </w:tc>
      </w:tr>
      <w:tr w:rsidR="00E92FD7" w:rsidRPr="00E92FD7" w:rsidTr="00835F56">
        <w:tc>
          <w:tcPr>
            <w:tcW w:w="7163" w:type="dxa"/>
            <w:tcBorders>
              <w:top w:val="nil"/>
              <w:left w:val="nil"/>
              <w:bottom w:val="nil"/>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Due from other banks (maturity 3 months or less)</w:t>
            </w: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000000"/>
                <w:sz w:val="27"/>
                <w:szCs w:val="27"/>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1,655</w:t>
            </w: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E92FD7" w:rsidRPr="00E92FD7" w:rsidRDefault="00E92FD7" w:rsidP="00E92FD7">
            <w:pPr>
              <w:spacing w:after="0" w:line="240" w:lineRule="auto"/>
              <w:jc w:val="right"/>
              <w:rPr>
                <w:rFonts w:ascii="Verdana" w:eastAsia="Times New Roman" w:hAnsi="Verdana" w:cs="Times New Roman"/>
                <w:color w:val="152949"/>
                <w:sz w:val="18"/>
                <w:szCs w:val="18"/>
              </w:rPr>
            </w:pPr>
            <w:r w:rsidRPr="00E92FD7">
              <w:rPr>
                <w:rFonts w:ascii="Verdana" w:eastAsia="Times New Roman" w:hAnsi="Verdana" w:cs="Times New Roman"/>
                <w:color w:val="152949"/>
                <w:sz w:val="18"/>
                <w:szCs w:val="18"/>
              </w:rPr>
              <w:t>3,102</w:t>
            </w:r>
          </w:p>
        </w:tc>
      </w:tr>
      <w:tr w:rsidR="00E92FD7" w:rsidRPr="00E92FD7" w:rsidTr="00835F56">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single" w:sz="6" w:space="0" w:color="022749"/>
              <w:left w:val="nil"/>
              <w:bottom w:val="single" w:sz="6" w:space="0" w:color="022749"/>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c>
          <w:tcPr>
            <w:tcW w:w="0" w:type="auto"/>
            <w:tcBorders>
              <w:top w:val="nil"/>
              <w:left w:val="nil"/>
              <w:bottom w:val="nil"/>
              <w:right w:val="nil"/>
            </w:tcBorders>
            <w:vAlign w:val="center"/>
            <w:hideMark/>
          </w:tcPr>
          <w:p w:rsidR="00E92FD7" w:rsidRPr="00E92FD7" w:rsidRDefault="00E92FD7" w:rsidP="00E92FD7">
            <w:pPr>
              <w:spacing w:after="0" w:line="0" w:lineRule="atLeast"/>
              <w:rPr>
                <w:rFonts w:ascii="Verdana" w:eastAsia="Times New Roman" w:hAnsi="Verdana" w:cs="Times New Roman"/>
                <w:color w:val="000000"/>
                <w:sz w:val="2"/>
                <w:szCs w:val="2"/>
              </w:rPr>
            </w:pPr>
          </w:p>
        </w:tc>
        <w:tc>
          <w:tcPr>
            <w:tcW w:w="1082" w:type="dxa"/>
            <w:tcBorders>
              <w:top w:val="single" w:sz="6" w:space="0" w:color="48A4D4"/>
              <w:left w:val="single" w:sz="6" w:space="0" w:color="48A4D4"/>
              <w:bottom w:val="single" w:sz="6" w:space="0" w:color="48A4D4"/>
              <w:right w:val="single" w:sz="6" w:space="0" w:color="48A4D4"/>
            </w:tcBorders>
            <w:shd w:val="clear" w:color="auto" w:fill="48A4D4"/>
            <w:tcMar>
              <w:top w:w="32" w:type="dxa"/>
              <w:left w:w="0" w:type="dxa"/>
              <w:bottom w:w="32" w:type="dxa"/>
              <w:right w:w="0" w:type="dxa"/>
            </w:tcMar>
            <w:vAlign w:val="center"/>
            <w:hideMark/>
          </w:tcPr>
          <w:p w:rsidR="00E92FD7" w:rsidRPr="00E92FD7" w:rsidRDefault="00E92FD7" w:rsidP="00E92FD7">
            <w:pPr>
              <w:spacing w:after="0" w:line="0" w:lineRule="atLeast"/>
              <w:jc w:val="right"/>
              <w:rPr>
                <w:rFonts w:ascii="Verdana" w:eastAsia="Times New Roman" w:hAnsi="Verdana" w:cs="Times New Roman"/>
                <w:color w:val="000000"/>
                <w:sz w:val="2"/>
                <w:szCs w:val="2"/>
              </w:rPr>
            </w:pPr>
          </w:p>
        </w:tc>
      </w:tr>
      <w:tr w:rsidR="00E92FD7" w:rsidRPr="00E92FD7" w:rsidTr="00E92FD7">
        <w:tc>
          <w:tcPr>
            <w:tcW w:w="0" w:type="auto"/>
            <w:tcBorders>
              <w:top w:val="nil"/>
              <w:left w:val="nil"/>
              <w:bottom w:val="single" w:sz="6" w:space="0" w:color="022749"/>
              <w:right w:val="nil"/>
            </w:tcBorders>
            <w:tcMar>
              <w:top w:w="32" w:type="dxa"/>
              <w:left w:w="0" w:type="dxa"/>
              <w:bottom w:w="32" w:type="dxa"/>
              <w:right w:w="0" w:type="dxa"/>
            </w:tcMar>
            <w:vAlign w:val="center"/>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c>
          <w:tcPr>
            <w:tcW w:w="0" w:type="auto"/>
            <w:tcBorders>
              <w:top w:val="nil"/>
              <w:left w:val="nil"/>
              <w:bottom w:val="single" w:sz="6" w:space="0" w:color="022749"/>
              <w:right w:val="nil"/>
            </w:tcBorders>
            <w:vAlign w:val="center"/>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c>
          <w:tcPr>
            <w:tcW w:w="0" w:type="auto"/>
            <w:tcBorders>
              <w:top w:val="nil"/>
              <w:left w:val="nil"/>
              <w:bottom w:val="single" w:sz="6" w:space="0" w:color="022749"/>
              <w:right w:val="nil"/>
            </w:tcBorders>
            <w:vAlign w:val="center"/>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c>
          <w:tcPr>
            <w:tcW w:w="0" w:type="auto"/>
            <w:tcBorders>
              <w:top w:val="nil"/>
              <w:left w:val="nil"/>
              <w:bottom w:val="single" w:sz="6" w:space="0" w:color="022749"/>
              <w:right w:val="nil"/>
            </w:tcBorders>
            <w:tcMar>
              <w:top w:w="0" w:type="dxa"/>
              <w:left w:w="162"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2,768</w:t>
            </w:r>
          </w:p>
        </w:tc>
        <w:tc>
          <w:tcPr>
            <w:tcW w:w="0" w:type="auto"/>
            <w:tcBorders>
              <w:top w:val="nil"/>
              <w:left w:val="nil"/>
              <w:bottom w:val="single" w:sz="6" w:space="0" w:color="022749"/>
              <w:right w:val="nil"/>
            </w:tcBorders>
            <w:vAlign w:val="center"/>
            <w:hideMark/>
          </w:tcPr>
          <w:p w:rsidR="00E92FD7" w:rsidRPr="00E92FD7" w:rsidRDefault="00E92FD7" w:rsidP="00E92FD7">
            <w:pPr>
              <w:spacing w:after="0" w:line="240" w:lineRule="auto"/>
              <w:rPr>
                <w:rFonts w:ascii="Verdana" w:eastAsia="Times New Roman" w:hAnsi="Verdana" w:cs="Times New Roman"/>
                <w:color w:val="000000"/>
                <w:sz w:val="27"/>
                <w:szCs w:val="27"/>
              </w:rPr>
            </w:pPr>
          </w:p>
        </w:tc>
        <w:tc>
          <w:tcPr>
            <w:tcW w:w="0" w:type="auto"/>
            <w:tcBorders>
              <w:top w:val="nil"/>
              <w:left w:val="nil"/>
              <w:bottom w:val="single" w:sz="6" w:space="0" w:color="022749"/>
              <w:right w:val="nil"/>
            </w:tcBorders>
            <w:tcMar>
              <w:top w:w="0" w:type="dxa"/>
              <w:left w:w="162" w:type="dxa"/>
              <w:bottom w:w="32" w:type="dxa"/>
              <w:right w:w="0" w:type="dxa"/>
            </w:tcMar>
            <w:vAlign w:val="center"/>
            <w:hideMark/>
          </w:tcPr>
          <w:p w:rsidR="00E92FD7" w:rsidRPr="00E92FD7" w:rsidRDefault="00E92FD7" w:rsidP="00E92FD7">
            <w:pPr>
              <w:spacing w:after="0" w:line="240" w:lineRule="auto"/>
              <w:jc w:val="right"/>
              <w:rPr>
                <w:rFonts w:ascii="Verdana" w:eastAsia="Times New Roman" w:hAnsi="Verdana" w:cs="Times New Roman"/>
                <w:b/>
                <w:bCs/>
                <w:color w:val="022749"/>
                <w:sz w:val="19"/>
                <w:szCs w:val="19"/>
              </w:rPr>
            </w:pPr>
            <w:r w:rsidRPr="00E92FD7">
              <w:rPr>
                <w:rFonts w:ascii="Verdana" w:eastAsia="Times New Roman" w:hAnsi="Verdana" w:cs="Times New Roman"/>
                <w:b/>
                <w:bCs/>
                <w:color w:val="022749"/>
                <w:sz w:val="19"/>
                <w:szCs w:val="19"/>
              </w:rPr>
              <w:t>3,976</w:t>
            </w:r>
          </w:p>
        </w:tc>
      </w:tr>
    </w:tbl>
    <w:p w:rsidR="00835F56" w:rsidRPr="00835F56" w:rsidRDefault="00835F56" w:rsidP="00835F56">
      <w:pPr>
        <w:spacing w:after="0" w:line="728" w:lineRule="atLeast"/>
        <w:rPr>
          <w:rFonts w:ascii="Trebuchet MS" w:eastAsia="Times New Roman" w:hAnsi="Trebuchet MS" w:cs="Times New Roman"/>
          <w:color w:val="022749"/>
          <w:sz w:val="57"/>
          <w:szCs w:val="57"/>
        </w:rPr>
      </w:pPr>
      <w:r w:rsidRPr="00835F56">
        <w:rPr>
          <w:rFonts w:ascii="Trebuchet MS" w:eastAsia="Times New Roman" w:hAnsi="Trebuchet MS" w:cs="Times New Roman"/>
          <w:color w:val="022749"/>
          <w:sz w:val="57"/>
          <w:szCs w:val="57"/>
        </w:rPr>
        <w:t>Accounting</w:t>
      </w:r>
      <w:r w:rsidRPr="00835F56">
        <w:rPr>
          <w:rFonts w:ascii="Trebuchet MS" w:eastAsia="Times New Roman" w:hAnsi="Trebuchet MS" w:cs="Times New Roman"/>
          <w:color w:val="022749"/>
          <w:sz w:val="57"/>
        </w:rPr>
        <w:t> </w:t>
      </w:r>
      <w:r w:rsidRPr="00835F56">
        <w:rPr>
          <w:rFonts w:ascii="Trebuchet MS" w:eastAsia="Times New Roman" w:hAnsi="Trebuchet MS" w:cs="Times New Roman"/>
          <w:color w:val="48A4D4"/>
          <w:sz w:val="57"/>
        </w:rPr>
        <w:t>Policies</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General</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information</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i/>
          <w:iCs/>
          <w:color w:val="152949"/>
          <w:sz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i/>
          <w:iCs/>
          <w:color w:val="152949"/>
          <w:sz w:val="23"/>
        </w:rPr>
        <w:t>NIBC Bank N.V.</w:t>
      </w:r>
      <w:r w:rsidRPr="00835F56">
        <w:rPr>
          <w:rFonts w:ascii="Times" w:eastAsia="Times New Roman" w:hAnsi="Times" w:cs="Times"/>
          <w:color w:val="152949"/>
          <w:sz w:val="23"/>
        </w:rPr>
        <w:t> </w:t>
      </w:r>
      <w:r w:rsidRPr="00835F56">
        <w:rPr>
          <w:rFonts w:ascii="Times" w:eastAsia="Times New Roman" w:hAnsi="Times" w:cs="Times"/>
          <w:color w:val="152949"/>
          <w:sz w:val="23"/>
          <w:szCs w:val="23"/>
        </w:rPr>
        <w:t>(the</w:t>
      </w:r>
      <w:r w:rsidRPr="00835F56">
        <w:rPr>
          <w:rFonts w:ascii="Times" w:eastAsia="Times New Roman" w:hAnsi="Times" w:cs="Times"/>
          <w:color w:val="152949"/>
          <w:sz w:val="23"/>
        </w:rPr>
        <w:t> </w:t>
      </w:r>
      <w:r w:rsidRPr="00835F56">
        <w:rPr>
          <w:rFonts w:ascii="Times" w:eastAsia="Times New Roman" w:hAnsi="Times" w:cs="Times"/>
          <w:b/>
          <w:bCs/>
          <w:color w:val="152949"/>
          <w:sz w:val="23"/>
        </w:rPr>
        <w:t>Company</w:t>
      </w:r>
      <w:r w:rsidRPr="00835F56">
        <w:rPr>
          <w:rFonts w:ascii="Times" w:eastAsia="Times New Roman" w:hAnsi="Times" w:cs="Times"/>
          <w:color w:val="152949"/>
          <w:sz w:val="23"/>
          <w:szCs w:val="23"/>
        </w:rPr>
        <w:t>), together with</w:t>
      </w:r>
      <w:r w:rsidRPr="00835F56">
        <w:rPr>
          <w:rFonts w:ascii="Times" w:eastAsia="Times New Roman" w:hAnsi="Times" w:cs="Times"/>
          <w:color w:val="152949"/>
          <w:sz w:val="23"/>
        </w:rPr>
        <w:t> </w:t>
      </w:r>
      <w:r w:rsidRPr="00835F56">
        <w:rPr>
          <w:rFonts w:ascii="Times" w:eastAsia="Times New Roman" w:hAnsi="Times" w:cs="Times"/>
          <w:i/>
          <w:iCs/>
          <w:color w:val="152949"/>
          <w:sz w:val="23"/>
        </w:rPr>
        <w:t>its subsidiaries</w:t>
      </w:r>
      <w:r w:rsidRPr="00835F56">
        <w:rPr>
          <w:rFonts w:ascii="Times" w:eastAsia="Times New Roman" w:hAnsi="Times" w:cs="Times"/>
          <w:color w:val="152949"/>
          <w:sz w:val="23"/>
        </w:rPr>
        <w:t> </w:t>
      </w:r>
      <w:r w:rsidRPr="00835F56">
        <w:rPr>
          <w:rFonts w:ascii="Times" w:eastAsia="Times New Roman" w:hAnsi="Times" w:cs="Times"/>
          <w:color w:val="152949"/>
          <w:sz w:val="23"/>
          <w:szCs w:val="23"/>
        </w:rPr>
        <w:t>(</w:t>
      </w:r>
      <w:r w:rsidRPr="00835F56">
        <w:rPr>
          <w:rFonts w:ascii="Times" w:eastAsia="Times New Roman" w:hAnsi="Times" w:cs="Times"/>
          <w:b/>
          <w:bCs/>
          <w:color w:val="152949"/>
          <w:sz w:val="23"/>
        </w:rPr>
        <w:t>NIBC</w:t>
      </w:r>
      <w:r w:rsidRPr="00835F56">
        <w:rPr>
          <w:rFonts w:ascii="Times" w:eastAsia="Times New Roman" w:hAnsi="Times" w:cs="Times"/>
          <w:color w:val="152949"/>
          <w:sz w:val="23"/>
        </w:rPr>
        <w:t> </w:t>
      </w:r>
      <w:r w:rsidRPr="00835F56">
        <w:rPr>
          <w:rFonts w:ascii="Times" w:eastAsia="Times New Roman" w:hAnsi="Times" w:cs="Times"/>
          <w:color w:val="152949"/>
          <w:sz w:val="23"/>
          <w:szCs w:val="23"/>
        </w:rPr>
        <w:t>or</w:t>
      </w:r>
      <w:r w:rsidRPr="00835F56">
        <w:rPr>
          <w:rFonts w:ascii="Times" w:eastAsia="Times New Roman" w:hAnsi="Times" w:cs="Times"/>
          <w:color w:val="152949"/>
          <w:sz w:val="23"/>
        </w:rPr>
        <w:t> </w:t>
      </w:r>
      <w:r w:rsidRPr="00835F56">
        <w:rPr>
          <w:rFonts w:ascii="Times" w:eastAsia="Times New Roman" w:hAnsi="Times" w:cs="Times"/>
          <w:b/>
          <w:bCs/>
          <w:color w:val="152949"/>
          <w:sz w:val="23"/>
        </w:rPr>
        <w:t>the</w:t>
      </w:r>
      <w:r w:rsidRPr="00835F56">
        <w:rPr>
          <w:rFonts w:ascii="Times" w:eastAsia="Times New Roman" w:hAnsi="Times" w:cs="Times"/>
          <w:color w:val="152949"/>
          <w:sz w:val="23"/>
        </w:rPr>
        <w:t> </w:t>
      </w:r>
      <w:r w:rsidRPr="00835F56">
        <w:rPr>
          <w:rFonts w:ascii="Times" w:eastAsia="Times New Roman" w:hAnsi="Times" w:cs="Times"/>
          <w:b/>
          <w:bCs/>
          <w:color w:val="152949"/>
          <w:sz w:val="23"/>
        </w:rPr>
        <w:t>Group</w:t>
      </w:r>
      <w:r w:rsidRPr="00835F56">
        <w:rPr>
          <w:rFonts w:ascii="Times" w:eastAsia="Times New Roman" w:hAnsi="Times" w:cs="Times"/>
          <w:color w:val="152949"/>
          <w:sz w:val="23"/>
          <w:szCs w:val="23"/>
        </w:rPr>
        <w:t xml:space="preserve">) is a Dutch merchant bank that offers integrated solutions to mid-cap clients in the Benelux and Germany through a combination of advising, financing and co-investing. The bank is also a meaningful player in a select number of clearly-defined asset classes. It employs its expertise to provide asset financing in sectors such as corporate lending, leveraged finance, oil &amp; gas services, infrastructure and </w:t>
      </w:r>
      <w:proofErr w:type="spellStart"/>
      <w:r w:rsidRPr="00835F56">
        <w:rPr>
          <w:rFonts w:ascii="Times" w:eastAsia="Times New Roman" w:hAnsi="Times" w:cs="Times"/>
          <w:color w:val="152949"/>
          <w:sz w:val="23"/>
          <w:szCs w:val="23"/>
        </w:rPr>
        <w:t>renewables</w:t>
      </w:r>
      <w:proofErr w:type="spellEnd"/>
      <w:r w:rsidRPr="00835F56">
        <w:rPr>
          <w:rFonts w:ascii="Times" w:eastAsia="Times New Roman" w:hAnsi="Times" w:cs="Times"/>
          <w:color w:val="152949"/>
          <w:sz w:val="23"/>
          <w:szCs w:val="23"/>
        </w:rPr>
        <w:t>, shipping and real estate. NIBC’s clients are mid-cap companies, financial institutions, institutional investors, financial sponsors, family offices and high net worth entrepreneurs/owners. NIBC has offices in The Hague, Brussels, Frankfurt, London and Singapore.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NIBC is domiciled in the Netherlands, and is a 100% subsidiary of NIBC Holding N.V.</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lastRenderedPageBreak/>
        <w:t>These Consolidated Financial Statements were approved for issue by the Managing Board of NIBC Bank N.V. on 5 March 2009.</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Summary of</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significant accounting policies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48A4D4"/>
          <w:sz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principal accounting policies applied in the preparation of these Consolidated Financial Statements are set out below. These policies have been consistently applied to all the years presented, unless otherwise stated.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proofErr w:type="gramStart"/>
      <w:r w:rsidRPr="00835F56">
        <w:rPr>
          <w:rFonts w:ascii="Times" w:eastAsia="Times New Roman" w:hAnsi="Times" w:cs="Times"/>
          <w:color w:val="152949"/>
          <w:sz w:val="23"/>
          <w:szCs w:val="23"/>
        </w:rPr>
        <w:t>Where necessary comparative figures have been adjusted to conform to changes in presentation in the current year.</w:t>
      </w:r>
      <w:proofErr w:type="gramEnd"/>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Basis of preparation</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Group’s Consolidated Financial Statements have been prepared in accordance with</w:t>
      </w:r>
      <w:r w:rsidRPr="00835F56">
        <w:rPr>
          <w:rFonts w:ascii="Times" w:eastAsia="Times New Roman" w:hAnsi="Times" w:cs="Times"/>
          <w:color w:val="152949"/>
          <w:sz w:val="23"/>
        </w:rPr>
        <w:t> </w:t>
      </w:r>
      <w:r w:rsidRPr="00835F56">
        <w:rPr>
          <w:rFonts w:ascii="Times" w:eastAsia="Times New Roman" w:hAnsi="Times" w:cs="Times"/>
          <w:i/>
          <w:iCs/>
          <w:color w:val="152949"/>
          <w:sz w:val="23"/>
        </w:rPr>
        <w:t>International Financial Reporting Standards</w:t>
      </w:r>
      <w:r w:rsidRPr="00835F56">
        <w:rPr>
          <w:rFonts w:ascii="Times" w:eastAsia="Times New Roman" w:hAnsi="Times" w:cs="Times"/>
          <w:color w:val="152949"/>
          <w:sz w:val="23"/>
        </w:rPr>
        <w:t> </w:t>
      </w:r>
      <w:r w:rsidRPr="00835F56">
        <w:rPr>
          <w:rFonts w:ascii="Times" w:eastAsia="Times New Roman" w:hAnsi="Times" w:cs="Times"/>
          <w:color w:val="152949"/>
          <w:sz w:val="23"/>
          <w:szCs w:val="23"/>
        </w:rPr>
        <w:t>as endorsed by the European Union (</w:t>
      </w:r>
      <w:r w:rsidRPr="00835F56">
        <w:rPr>
          <w:rFonts w:ascii="Times" w:eastAsia="Times New Roman" w:hAnsi="Times" w:cs="Times"/>
          <w:b/>
          <w:bCs/>
          <w:color w:val="152949"/>
          <w:sz w:val="23"/>
        </w:rPr>
        <w:t>IFRS</w:t>
      </w:r>
      <w:r w:rsidRPr="00835F56">
        <w:rPr>
          <w:rFonts w:ascii="Times" w:eastAsia="Times New Roman" w:hAnsi="Times" w:cs="Times"/>
          <w:color w:val="152949"/>
          <w:sz w:val="23"/>
          <w:szCs w:val="23"/>
        </w:rPr>
        <w:t>). The Consolidated Financial Statements have been prepared under the historical cost convention, as modified by the revaluation of property, Available for Sale financial assets, financial assets and financial liabilities held at Fair Value through Profit or Loss, and all derivative contracts.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preparation of Financial Statements in conformity with IFRS requires the use of certain critical accounting estimates. It also requires management to exercise </w:t>
      </w:r>
      <w:proofErr w:type="spellStart"/>
      <w:r w:rsidRPr="00835F56">
        <w:rPr>
          <w:rFonts w:ascii="Times" w:eastAsia="Times New Roman" w:hAnsi="Times" w:cs="Times"/>
          <w:color w:val="152949"/>
          <w:sz w:val="23"/>
          <w:szCs w:val="23"/>
        </w:rPr>
        <w:t>judgement</w:t>
      </w:r>
      <w:proofErr w:type="spellEnd"/>
      <w:r w:rsidRPr="00835F56">
        <w:rPr>
          <w:rFonts w:ascii="Times" w:eastAsia="Times New Roman" w:hAnsi="Times" w:cs="Times"/>
          <w:color w:val="152949"/>
          <w:sz w:val="23"/>
          <w:szCs w:val="23"/>
        </w:rPr>
        <w:t xml:space="preserve"> in the process of applying the Group’s accounting policies. The areas involving a higher degree of </w:t>
      </w:r>
      <w:proofErr w:type="spellStart"/>
      <w:r w:rsidRPr="00835F56">
        <w:rPr>
          <w:rFonts w:ascii="Times" w:eastAsia="Times New Roman" w:hAnsi="Times" w:cs="Times"/>
          <w:color w:val="152949"/>
          <w:sz w:val="23"/>
          <w:szCs w:val="23"/>
        </w:rPr>
        <w:t>judgement</w:t>
      </w:r>
      <w:proofErr w:type="spellEnd"/>
      <w:r w:rsidRPr="00835F56">
        <w:rPr>
          <w:rFonts w:ascii="Times" w:eastAsia="Times New Roman" w:hAnsi="Times" w:cs="Times"/>
          <w:color w:val="152949"/>
          <w:sz w:val="23"/>
          <w:szCs w:val="23"/>
        </w:rPr>
        <w:t xml:space="preserve"> or complexity, or areas where assumptions and estimates are significant to the Consolidated Financial Statements are disclosed in the ‘Critical Accounting Estimates and </w:t>
      </w:r>
      <w:proofErr w:type="spellStart"/>
      <w:r w:rsidRPr="00835F56">
        <w:rPr>
          <w:rFonts w:ascii="Times" w:eastAsia="Times New Roman" w:hAnsi="Times" w:cs="Times"/>
          <w:color w:val="152949"/>
          <w:sz w:val="23"/>
          <w:szCs w:val="23"/>
        </w:rPr>
        <w:t>Judgements’</w:t>
      </w:r>
      <w:proofErr w:type="spellEnd"/>
      <w:r w:rsidRPr="00835F56">
        <w:rPr>
          <w:rFonts w:ascii="Times" w:eastAsia="Times New Roman" w:hAnsi="Times" w:cs="Times"/>
          <w:color w:val="152949"/>
          <w:sz w:val="23"/>
          <w:szCs w:val="23"/>
        </w:rPr>
        <w: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275" w:lineRule="atLeast"/>
        <w:rPr>
          <w:rFonts w:ascii="Trebuchet MS" w:eastAsia="Times New Roman" w:hAnsi="Trebuchet MS" w:cs="Times New Roman"/>
          <w:color w:val="48A4D4"/>
          <w:spacing w:val="5"/>
          <w:sz w:val="26"/>
          <w:szCs w:val="26"/>
        </w:rPr>
      </w:pPr>
      <w:r w:rsidRPr="00835F56">
        <w:rPr>
          <w:rFonts w:ascii="Trebuchet MS" w:eastAsia="Times New Roman" w:hAnsi="Trebuchet MS" w:cs="Times New Roman"/>
          <w:color w:val="48A4D4"/>
          <w:spacing w:val="5"/>
          <w:sz w:val="26"/>
          <w:szCs w:val="26"/>
        </w:rPr>
        <w:t>Standards, amendments and interpretations effective in 2008</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following standards, amendments and interpretations to published standards are mandatory for accounting periods beginning on or after 1 January 2008:</w:t>
      </w:r>
    </w:p>
    <w:p w:rsidR="00835F56" w:rsidRPr="00835F56" w:rsidRDefault="00835F56" w:rsidP="00835F56">
      <w:pPr>
        <w:numPr>
          <w:ilvl w:val="0"/>
          <w:numId w:val="3"/>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IFRIC 11, IFRS 2 - Group and treasury share transactions. IFRIC 11 provides guidance on whether share-based transactions involving treasury shares or involving group entities (for example, options on parent’s shares) should be accounted for as equity-settled or cash-settled share-based payment transactions in the stand-alone accounts of the parent and group companies. IFRIC 11 was implemented with effect from 1 January 2008. The retrospective application of IFRIC 11 affected the Group’s equity position as of 1 January 2007 and 31 December 2007. The impact at 1 January 2007 amounts to a credit of EUR 24 million and at 31 December 2007 to a credit of EUR 36 million compared to the amounts presented in the Financial Statements of NIBC Bank N.V. for the year </w:t>
      </w:r>
      <w:r w:rsidRPr="00835F56">
        <w:rPr>
          <w:rFonts w:ascii="Times" w:eastAsia="Times New Roman" w:hAnsi="Times" w:cs="Times"/>
          <w:color w:val="152949"/>
          <w:sz w:val="23"/>
          <w:szCs w:val="23"/>
        </w:rPr>
        <w:lastRenderedPageBreak/>
        <w:t>ended 31 December 2007. See Consolidated Statement of Changes in and note 46 about Shareholders’ equity; and</w:t>
      </w:r>
    </w:p>
    <w:p w:rsidR="00835F56" w:rsidRPr="00835F56" w:rsidRDefault="00835F56" w:rsidP="00835F56">
      <w:pPr>
        <w:numPr>
          <w:ilvl w:val="0"/>
          <w:numId w:val="3"/>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IFRIC 14, IAS 19 - The limit on a defined benefit asset, minimum funding requirements and their interaction. IFRIC 14 provides guidance on assessing the limit in IAS 19 on the amount of the surplus that can be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as an asset. It also explains how the pension asset or liability may be affected by a statutory or contractual minimum funding requirement. NIBC has applied IFRIC 14 from 1 January 2008, but it has no material impact on NIBC’s financial position.</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275" w:lineRule="atLeast"/>
        <w:rPr>
          <w:rFonts w:ascii="Trebuchet MS" w:eastAsia="Times New Roman" w:hAnsi="Trebuchet MS" w:cs="Times New Roman"/>
          <w:color w:val="48A4D4"/>
          <w:spacing w:val="5"/>
          <w:sz w:val="26"/>
          <w:szCs w:val="26"/>
        </w:rPr>
      </w:pPr>
      <w:r w:rsidRPr="00835F56">
        <w:rPr>
          <w:rFonts w:ascii="Trebuchet MS" w:eastAsia="Times New Roman" w:hAnsi="Trebuchet MS" w:cs="Times New Roman"/>
          <w:color w:val="48A4D4"/>
          <w:spacing w:val="5"/>
          <w:sz w:val="26"/>
          <w:szCs w:val="26"/>
        </w:rPr>
        <w:t>Amendments effective from 1 July 2008</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IAS 39, </w:t>
      </w:r>
      <w:proofErr w:type="gramStart"/>
      <w:r w:rsidRPr="00835F56">
        <w:rPr>
          <w:rFonts w:ascii="Times" w:eastAsia="Times New Roman" w:hAnsi="Times" w:cs="Times"/>
          <w:color w:val="152949"/>
          <w:sz w:val="23"/>
          <w:szCs w:val="23"/>
        </w:rPr>
        <w:t>Financial</w:t>
      </w:r>
      <w:proofErr w:type="gramEnd"/>
      <w:r w:rsidRPr="00835F56">
        <w:rPr>
          <w:rFonts w:ascii="Times" w:eastAsia="Times New Roman" w:hAnsi="Times" w:cs="Times"/>
          <w:color w:val="152949"/>
          <w:sz w:val="23"/>
          <w:szCs w:val="23"/>
        </w:rPr>
        <w:t xml:space="preserve"> instruments: Recognition and measurement, amendment on reclassification of financial assets permits reclassification of certain financial assets out of the Held for Trading and Available for Sale categories if specified conditions are met. The related amendment to IFRS 7, Financial instruments: Disclosures, introduces disclosure requirements with respect to financial assets reclassified out of the Held for Trading and Available for Sale categories. The amendment is effective prospectively from 1 July 2008. The Group adopted the amendment from 1 July 2008.</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275" w:lineRule="atLeast"/>
        <w:rPr>
          <w:rFonts w:ascii="Trebuchet MS" w:eastAsia="Times New Roman" w:hAnsi="Trebuchet MS" w:cs="Times New Roman"/>
          <w:color w:val="48A4D4"/>
          <w:spacing w:val="5"/>
          <w:sz w:val="26"/>
          <w:szCs w:val="26"/>
        </w:rPr>
      </w:pPr>
      <w:r w:rsidRPr="00835F56">
        <w:rPr>
          <w:rFonts w:ascii="Trebuchet MS" w:eastAsia="Times New Roman" w:hAnsi="Trebuchet MS" w:cs="Times New Roman"/>
          <w:color w:val="48A4D4"/>
          <w:spacing w:val="5"/>
          <w:sz w:val="26"/>
          <w:szCs w:val="26"/>
        </w:rPr>
        <w:t>Standards, amendments and interpretations early adopted by NIBC</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IFRS 8, </w:t>
      </w:r>
      <w:proofErr w:type="gramStart"/>
      <w:r w:rsidRPr="00835F56">
        <w:rPr>
          <w:rFonts w:ascii="Times" w:eastAsia="Times New Roman" w:hAnsi="Times" w:cs="Times"/>
          <w:color w:val="152949"/>
          <w:sz w:val="23"/>
          <w:szCs w:val="23"/>
        </w:rPr>
        <w:t>Operating</w:t>
      </w:r>
      <w:proofErr w:type="gramEnd"/>
      <w:r w:rsidRPr="00835F56">
        <w:rPr>
          <w:rFonts w:ascii="Times" w:eastAsia="Times New Roman" w:hAnsi="Times" w:cs="Times"/>
          <w:color w:val="152949"/>
          <w:sz w:val="23"/>
          <w:szCs w:val="23"/>
        </w:rPr>
        <w:t xml:space="preserve"> segments (effective 1 January 2009). IFRS 8 replaces IAS 14 Segment reporting and aligns segment reporting with the requirements of the US standard SFAS 131, Disclosures about segments of an enterprise and related information. The new standard requires a ‘management approach’, under which segment information is presented on the same basis as that used for internal reporting purposes. NIBC decided to early adopt IFRS 8 as of the third quarter of 2008. This has resulted in a decrease in the number of reportable segments presented. In addition, the segments are reported in a manner that is consistent with the internal reporting provided to the chief operating decision-maker.</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275" w:lineRule="atLeast"/>
        <w:rPr>
          <w:rFonts w:ascii="Trebuchet MS" w:eastAsia="Times New Roman" w:hAnsi="Trebuchet MS" w:cs="Times New Roman"/>
          <w:color w:val="48A4D4"/>
          <w:spacing w:val="5"/>
          <w:sz w:val="26"/>
          <w:szCs w:val="26"/>
        </w:rPr>
      </w:pPr>
      <w:r w:rsidRPr="00835F56">
        <w:rPr>
          <w:rFonts w:ascii="Trebuchet MS" w:eastAsia="Times New Roman" w:hAnsi="Trebuchet MS" w:cs="Times New Roman"/>
          <w:color w:val="48A4D4"/>
          <w:spacing w:val="5"/>
          <w:sz w:val="26"/>
          <w:szCs w:val="26"/>
        </w:rPr>
        <w:t>Standards, amendments and interpretations to existing standards that are not yet effective and have not been early adopted by the Group</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following standards, amendments and interpretations to existing standards have been published and are mandatory for the Group’s accounting periods beginning on or after 1 January 2009 or later periods, but the Group has not early adopted them:</w:t>
      </w:r>
    </w:p>
    <w:p w:rsidR="00835F56" w:rsidRPr="00835F56" w:rsidRDefault="00835F56" w:rsidP="00835F56">
      <w:pPr>
        <w:numPr>
          <w:ilvl w:val="0"/>
          <w:numId w:val="4"/>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IAS 27 (Revised), Consolidated and separate Financial Statements (effective from 1 July 2009). The revised standard requires the effects of all transactions with non-controlling interests to be recorded in equity if there is no change in control and these transactions will no longer result in goodwill or gains and losses. The standard also specifies the accounting when control is lost. Any remaining interest in the entity is </w:t>
      </w:r>
      <w:proofErr w:type="spellStart"/>
      <w:r w:rsidRPr="00835F56">
        <w:rPr>
          <w:rFonts w:ascii="Times" w:eastAsia="Times New Roman" w:hAnsi="Times" w:cs="Times"/>
          <w:color w:val="152949"/>
          <w:sz w:val="23"/>
          <w:szCs w:val="23"/>
        </w:rPr>
        <w:t>remeasured</w:t>
      </w:r>
      <w:proofErr w:type="spellEnd"/>
      <w:r w:rsidRPr="00835F56">
        <w:rPr>
          <w:rFonts w:ascii="Times" w:eastAsia="Times New Roman" w:hAnsi="Times" w:cs="Times"/>
          <w:color w:val="152949"/>
          <w:sz w:val="23"/>
          <w:szCs w:val="23"/>
        </w:rPr>
        <w:t xml:space="preserve"> to fair value and a gain or loss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profit or loss. The Group will apply IAS 27 (Revised) prospectively to transactions with non-controlling interests from 1 January 2010;</w:t>
      </w:r>
    </w:p>
    <w:p w:rsidR="00835F56" w:rsidRPr="00835F56" w:rsidRDefault="00835F56" w:rsidP="00835F56">
      <w:pPr>
        <w:numPr>
          <w:ilvl w:val="0"/>
          <w:numId w:val="4"/>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IFRS 3 (Revised), Business combinations (effective from 1 July 2009). The revised standard continues to apply the acquisition method to business combinations, with some significant changes. </w:t>
      </w:r>
      <w:r w:rsidRPr="00835F56">
        <w:rPr>
          <w:rFonts w:ascii="Times" w:eastAsia="Times New Roman" w:hAnsi="Times" w:cs="Times"/>
          <w:color w:val="152949"/>
          <w:sz w:val="23"/>
          <w:szCs w:val="23"/>
        </w:rPr>
        <w:lastRenderedPageBreak/>
        <w:t xml:space="preserve">For example, all payments to purchase a business are to be recorded at fair value at the acquisition date, with contingent payments classified as debt subsequently </w:t>
      </w:r>
      <w:proofErr w:type="spellStart"/>
      <w:r w:rsidRPr="00835F56">
        <w:rPr>
          <w:rFonts w:ascii="Times" w:eastAsia="Times New Roman" w:hAnsi="Times" w:cs="Times"/>
          <w:color w:val="152949"/>
          <w:sz w:val="23"/>
          <w:szCs w:val="23"/>
        </w:rPr>
        <w:t>remeasured</w:t>
      </w:r>
      <w:proofErr w:type="spellEnd"/>
      <w:r w:rsidRPr="00835F56">
        <w:rPr>
          <w:rFonts w:ascii="Times" w:eastAsia="Times New Roman" w:hAnsi="Times" w:cs="Times"/>
          <w:color w:val="152949"/>
          <w:sz w:val="23"/>
          <w:szCs w:val="23"/>
        </w:rPr>
        <w:t xml:space="preserve"> through the income statement. There is a choice on an acquisition-by-acquisition basis to measure the non-controlling interest in the </w:t>
      </w:r>
      <w:proofErr w:type="spellStart"/>
      <w:r w:rsidRPr="00835F56">
        <w:rPr>
          <w:rFonts w:ascii="Times" w:eastAsia="Times New Roman" w:hAnsi="Times" w:cs="Times"/>
          <w:color w:val="152949"/>
          <w:sz w:val="23"/>
          <w:szCs w:val="23"/>
        </w:rPr>
        <w:t>acquiree</w:t>
      </w:r>
      <w:proofErr w:type="spellEnd"/>
      <w:r w:rsidRPr="00835F56">
        <w:rPr>
          <w:rFonts w:ascii="Times" w:eastAsia="Times New Roman" w:hAnsi="Times" w:cs="Times"/>
          <w:color w:val="152949"/>
          <w:sz w:val="23"/>
          <w:szCs w:val="23"/>
        </w:rPr>
        <w:t xml:space="preserve"> either at fair value or at the non-controlling interest’s proportionate share of the </w:t>
      </w:r>
      <w:proofErr w:type="spellStart"/>
      <w:r w:rsidRPr="00835F56">
        <w:rPr>
          <w:rFonts w:ascii="Times" w:eastAsia="Times New Roman" w:hAnsi="Times" w:cs="Times"/>
          <w:color w:val="152949"/>
          <w:sz w:val="23"/>
          <w:szCs w:val="23"/>
        </w:rPr>
        <w:t>acquiree’s</w:t>
      </w:r>
      <w:proofErr w:type="spellEnd"/>
      <w:r w:rsidRPr="00835F56">
        <w:rPr>
          <w:rFonts w:ascii="Times" w:eastAsia="Times New Roman" w:hAnsi="Times" w:cs="Times"/>
          <w:color w:val="152949"/>
          <w:sz w:val="23"/>
          <w:szCs w:val="23"/>
        </w:rPr>
        <w:t xml:space="preserve"> net assets. All acquisition-related costs should be expensed. The Group will apply IFRS 3 (Revised) prospectively to all business combinations from 1 January 2010;</w:t>
      </w:r>
    </w:p>
    <w:p w:rsidR="00835F56" w:rsidRPr="00835F56" w:rsidRDefault="00835F56" w:rsidP="00835F56">
      <w:pPr>
        <w:numPr>
          <w:ilvl w:val="0"/>
          <w:numId w:val="4"/>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IAS 23 (Amendment), Borrowing costs. The amendment requires an entity to </w:t>
      </w:r>
      <w:proofErr w:type="spellStart"/>
      <w:r w:rsidRPr="00835F56">
        <w:rPr>
          <w:rFonts w:ascii="Times" w:eastAsia="Times New Roman" w:hAnsi="Times" w:cs="Times"/>
          <w:color w:val="152949"/>
          <w:sz w:val="23"/>
          <w:szCs w:val="23"/>
        </w:rPr>
        <w:t>capitalise</w:t>
      </w:r>
      <w:proofErr w:type="spellEnd"/>
      <w:r w:rsidRPr="00835F56">
        <w:rPr>
          <w:rFonts w:ascii="Times" w:eastAsia="Times New Roman" w:hAnsi="Times" w:cs="Times"/>
          <w:color w:val="152949"/>
          <w:sz w:val="23"/>
          <w:szCs w:val="23"/>
        </w:rPr>
        <w:t xml:space="preserve"> borrowing costs directly attributable to the acquisition, construction or production of a qualifying asset (one that takes a substantial period of time to get ready for use or sale) as part of the cost of that asset. The option of immediately expensing those borrowing costs will be removed. NIBC will apply IAS 23 (Amended) from 1 January 2009, but the Standard is currently not applicable to NIBC as NIBC has no qualifying assets;</w:t>
      </w:r>
    </w:p>
    <w:p w:rsidR="00835F56" w:rsidRPr="00835F56" w:rsidRDefault="00835F56" w:rsidP="00835F56">
      <w:pPr>
        <w:numPr>
          <w:ilvl w:val="0"/>
          <w:numId w:val="4"/>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IFRIC 13, Customer loyalty </w:t>
      </w:r>
      <w:proofErr w:type="spellStart"/>
      <w:r w:rsidRPr="00835F56">
        <w:rPr>
          <w:rFonts w:ascii="Times" w:eastAsia="Times New Roman" w:hAnsi="Times" w:cs="Times"/>
          <w:color w:val="152949"/>
          <w:sz w:val="23"/>
          <w:szCs w:val="23"/>
        </w:rPr>
        <w:t>programmes</w:t>
      </w:r>
      <w:proofErr w:type="spellEnd"/>
      <w:r w:rsidRPr="00835F56">
        <w:rPr>
          <w:rFonts w:ascii="Times" w:eastAsia="Times New Roman" w:hAnsi="Times" w:cs="Times"/>
          <w:color w:val="152949"/>
          <w:sz w:val="23"/>
          <w:szCs w:val="23"/>
        </w:rPr>
        <w:t xml:space="preserve">. IFRIC 13 clarifies that where goods or services are sold together with a customer loyalty incentive (for example, loyalty points or free products), the arrangement is a multiple-element arrangement and the consideration receivable from the customer is allocated between the components of the arrangement using fair values. IFRIC 13 is not relevant to NIBC’s operations because NIBC does not operate any loyalty </w:t>
      </w:r>
      <w:proofErr w:type="spellStart"/>
      <w:r w:rsidRPr="00835F56">
        <w:rPr>
          <w:rFonts w:ascii="Times" w:eastAsia="Times New Roman" w:hAnsi="Times" w:cs="Times"/>
          <w:color w:val="152949"/>
          <w:sz w:val="23"/>
          <w:szCs w:val="23"/>
        </w:rPr>
        <w:t>programmes</w:t>
      </w:r>
      <w:proofErr w:type="spellEnd"/>
      <w:r w:rsidRPr="00835F56">
        <w:rPr>
          <w:rFonts w:ascii="Times" w:eastAsia="Times New Roman" w:hAnsi="Times" w:cs="Times"/>
          <w:color w:val="152949"/>
          <w:sz w:val="23"/>
          <w:szCs w:val="23"/>
        </w:rPr>
        <w:t>;</w:t>
      </w:r>
    </w:p>
    <w:p w:rsidR="00835F56" w:rsidRPr="00835F56" w:rsidRDefault="00835F56" w:rsidP="00835F56">
      <w:pPr>
        <w:numPr>
          <w:ilvl w:val="0"/>
          <w:numId w:val="4"/>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IAS 1 (Revised), Presentation of Financial Statements (effective from 1 January 2009). The revised standard will prohibit the presentation of items of income and expenses (that is, Non-owner changes in equity) in the statement of changes in equity, requiring Non-owner changes in</w:t>
      </w:r>
      <w:proofErr w:type="gramStart"/>
      <w:r w:rsidRPr="00835F56">
        <w:rPr>
          <w:rFonts w:ascii="Times" w:eastAsia="Times New Roman" w:hAnsi="Times" w:cs="Times"/>
          <w:color w:val="152949"/>
          <w:sz w:val="23"/>
          <w:szCs w:val="23"/>
        </w:rPr>
        <w:t>  equity</w:t>
      </w:r>
      <w:proofErr w:type="gramEnd"/>
      <w:r w:rsidRPr="00835F56">
        <w:rPr>
          <w:rFonts w:ascii="Times" w:eastAsia="Times New Roman" w:hAnsi="Times" w:cs="Times"/>
          <w:color w:val="152949"/>
          <w:sz w:val="23"/>
          <w:szCs w:val="23"/>
        </w:rPr>
        <w:t xml:space="preserve"> to be presented separately from Owner changes in equity. All Non-owner changes in equity will be required to be shown in a performance statement, but entities can choose whether to present one performance statement (the statement of comprehensive income) or two statements (the income statement and statement of comprehensive income). Where entities restate or reclassify comparative information, they will be required to present a restated balance sheet as at the beginning of the comparative period in addition to the current requirement to present balance sheets at the end of the current period and comparative period. The Group will apply IAS 1 (Revised) from 1 January 2009. It is likely that both the Income Statement and statement of comprehensive income will be presented as performance statements; and</w:t>
      </w:r>
    </w:p>
    <w:p w:rsidR="00835F56" w:rsidRPr="00835F56" w:rsidRDefault="00835F56" w:rsidP="00835F56">
      <w:pPr>
        <w:numPr>
          <w:ilvl w:val="0"/>
          <w:numId w:val="4"/>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IFRS 2 (Amendment), Share-based payment: Vesting conditions and cancellations (effective from 1 January 2009). The amended standard deals with vesting conditions and cancellations. It clarifies that vesting conditions are service conditions and performance conditions only. Other features of a share-based payment are not vesting conditions. As such these features would need to be included in the grant date fair value for transactions with employees and others providing similar services, that is, these features would not impact the number of awards expected to vest or valuation thereof subsequent to grant date. All cancellations, whether by the entity or by other parties, should receive the same accounting treatment. The Group will apply IFRS 2 (Amendment) from 1 January 2009, but this is not expected to have a material impact on the Consolidated Financial Statements.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lastRenderedPageBreak/>
        <w:t>Company Income Statement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Under Article 402 of Part 9, Book 2 of the Netherlands Civil Code, it is sufficient for a company’s statutory Income Statement to present only results of participating interests after tax and other results after tax.</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Basis of</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consolidation</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Consolidated Financial Statements are comprised of the Financial Statements of NIBC and its subsidiaries as at and for the years ended 31 December 2007 and 2008.</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Subsidiaries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Subsidiaries are all entities (including special purpose entities) controlled by the Group. Control exists when the Group has the power, directly or indirectly, to govern the financial and operating policies of an entity so as to obtain benefits from its activities. The existence and effect of potential voting rights that are presently exercisable or presently convertible are considered when assessing whether the Group controls another entity. The Financial Statements of subsidiaries are included in the Consolidated Financial Statements from the date that control commences until the date that control ceases.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purchase method of accounting is used to account for the acquisition of subsidiaries. The cost of an acquisition is measured at the fair value of the assets given up, equity instruments issued and liabilities incurred or assumed at the date of acquisition, plus costs directly attributable to the acquisition. Identifiable assets acquired and liabilities and contingent liabilities assumed in a business combination are measured initially at their fair values at the acquisition date, irrespective of the extent of any minority interest. The excess of the cost of acquisition over the fair value of the Group’s share of the identifiable net assets acquired is recorded as goodwill. If the cost of acquisition is less than the fair value of the net assets acquired, the difference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directly in the Income Statement.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accounting policies of subsidiaries have been changed where necessary to ensure consistency with the policies adopted by NIBC.</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Intercompany transactions, balances and </w:t>
      </w:r>
      <w:proofErr w:type="spellStart"/>
      <w:r w:rsidRPr="00835F56">
        <w:rPr>
          <w:rFonts w:ascii="Times" w:eastAsia="Times New Roman" w:hAnsi="Times" w:cs="Times"/>
          <w:color w:val="152949"/>
          <w:sz w:val="23"/>
          <w:szCs w:val="23"/>
        </w:rPr>
        <w:t>unrealised</w:t>
      </w:r>
      <w:proofErr w:type="spellEnd"/>
      <w:r w:rsidRPr="00835F56">
        <w:rPr>
          <w:rFonts w:ascii="Times" w:eastAsia="Times New Roman" w:hAnsi="Times" w:cs="Times"/>
          <w:color w:val="152949"/>
          <w:sz w:val="23"/>
          <w:szCs w:val="23"/>
        </w:rPr>
        <w:t xml:space="preserve"> gains on transactions between group companies are eliminated. </w:t>
      </w:r>
      <w:proofErr w:type="spellStart"/>
      <w:r w:rsidRPr="00835F56">
        <w:rPr>
          <w:rFonts w:ascii="Times" w:eastAsia="Times New Roman" w:hAnsi="Times" w:cs="Times"/>
          <w:color w:val="152949"/>
          <w:sz w:val="23"/>
          <w:szCs w:val="23"/>
        </w:rPr>
        <w:t>Unrealised</w:t>
      </w:r>
      <w:proofErr w:type="spellEnd"/>
      <w:r w:rsidRPr="00835F56">
        <w:rPr>
          <w:rFonts w:ascii="Times" w:eastAsia="Times New Roman" w:hAnsi="Times" w:cs="Times"/>
          <w:color w:val="152949"/>
          <w:sz w:val="23"/>
          <w:szCs w:val="23"/>
        </w:rPr>
        <w:t xml:space="preserve"> losses are also eliminated unless the transaction provides evidence of impairment of the assets transferred.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lastRenderedPageBreak/>
        <w:t>Minority interests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Group applies a policy of treating transactions with minority interests as transactions with parties external to the Group. Minority interests in the net assets and net results of consolidated subsidiaries are shown separately on the Balance Sheet and Income Statement.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At the date of acquisition, minority interests are stated at the share of fair value of the net assets acquired (excluding goodwill). Subsequent to the date of acquisition, minority interests comprise the amount calculated at the date of acquisition adjusted for the minority’s share of changes in equity since the date of acquisition.</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Disposals of minority interests result in gains or losses for NIBC that are recorded in the Income Statement. Purchases of minority interests result in goodwill, being the difference between any consideration paid and the relevant share acquired of the carrying value of net assets of the subsidiary.</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Joint ventures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A joint venture exists where the Group has a contractual arrangement with one or more parties to undertake activities typically, though not necessarily, through entities that are subject to joint control.</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Group’s interests in jointly controlled entities are accounted for by proportionate consolidation. NIBC combines its share of the joint venture’s individual income and expenses, assets and liabilities and cash flows on a line-by-line basis with similar items in the Group’s Financial Statements. The Group </w:t>
      </w:r>
      <w:proofErr w:type="spellStart"/>
      <w:r w:rsidRPr="00835F56">
        <w:rPr>
          <w:rFonts w:ascii="Times" w:eastAsia="Times New Roman" w:hAnsi="Times" w:cs="Times"/>
          <w:color w:val="152949"/>
          <w:sz w:val="23"/>
          <w:szCs w:val="23"/>
        </w:rPr>
        <w:t>recognises</w:t>
      </w:r>
      <w:proofErr w:type="spellEnd"/>
      <w:r w:rsidRPr="00835F56">
        <w:rPr>
          <w:rFonts w:ascii="Times" w:eastAsia="Times New Roman" w:hAnsi="Times" w:cs="Times"/>
          <w:color w:val="152949"/>
          <w:sz w:val="23"/>
          <w:szCs w:val="23"/>
        </w:rPr>
        <w:t xml:space="preserve"> the portion of gains or losses on the sale of assets by the Group to the joint venture that is attributable to the other </w:t>
      </w:r>
      <w:proofErr w:type="spellStart"/>
      <w:r w:rsidRPr="00835F56">
        <w:rPr>
          <w:rFonts w:ascii="Times" w:eastAsia="Times New Roman" w:hAnsi="Times" w:cs="Times"/>
          <w:color w:val="152949"/>
          <w:sz w:val="23"/>
          <w:szCs w:val="23"/>
        </w:rPr>
        <w:t>venturers</w:t>
      </w:r>
      <w:proofErr w:type="spellEnd"/>
      <w:r w:rsidRPr="00835F56">
        <w:rPr>
          <w:rFonts w:ascii="Times" w:eastAsia="Times New Roman" w:hAnsi="Times" w:cs="Times"/>
          <w:color w:val="152949"/>
          <w:sz w:val="23"/>
          <w:szCs w:val="23"/>
        </w:rPr>
        <w:t xml:space="preserve">. The Group does not </w:t>
      </w:r>
      <w:proofErr w:type="spellStart"/>
      <w:r w:rsidRPr="00835F56">
        <w:rPr>
          <w:rFonts w:ascii="Times" w:eastAsia="Times New Roman" w:hAnsi="Times" w:cs="Times"/>
          <w:color w:val="152949"/>
          <w:sz w:val="23"/>
          <w:szCs w:val="23"/>
        </w:rPr>
        <w:t>recognise</w:t>
      </w:r>
      <w:proofErr w:type="spellEnd"/>
      <w:r w:rsidRPr="00835F56">
        <w:rPr>
          <w:rFonts w:ascii="Times" w:eastAsia="Times New Roman" w:hAnsi="Times" w:cs="Times"/>
          <w:color w:val="152949"/>
          <w:sz w:val="23"/>
          <w:szCs w:val="23"/>
        </w:rPr>
        <w:t xml:space="preserve"> its share of profits or losses from the joint venture that result from the Group’s purchase of assets from the joint venture until it resells the assets to an independent party. However, a loss on the transaction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immediately if the loss provides evidence of a reduction in the net </w:t>
      </w:r>
      <w:proofErr w:type="spellStart"/>
      <w:r w:rsidRPr="00835F56">
        <w:rPr>
          <w:rFonts w:ascii="Times" w:eastAsia="Times New Roman" w:hAnsi="Times" w:cs="Times"/>
          <w:color w:val="152949"/>
          <w:sz w:val="23"/>
          <w:szCs w:val="23"/>
        </w:rPr>
        <w:t>realisable</w:t>
      </w:r>
      <w:proofErr w:type="spellEnd"/>
      <w:r w:rsidRPr="00835F56">
        <w:rPr>
          <w:rFonts w:ascii="Times" w:eastAsia="Times New Roman" w:hAnsi="Times" w:cs="Times"/>
          <w:color w:val="152949"/>
          <w:sz w:val="23"/>
          <w:szCs w:val="23"/>
        </w:rPr>
        <w:t xml:space="preserve"> value of current assets, or an impairment loss.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With effect from 1 January 2007, to the extent that newly acquired joint ventures are held by the venture capital </w:t>
      </w:r>
      <w:proofErr w:type="spellStart"/>
      <w:r w:rsidRPr="00835F56">
        <w:rPr>
          <w:rFonts w:ascii="Times" w:eastAsia="Times New Roman" w:hAnsi="Times" w:cs="Times"/>
          <w:color w:val="152949"/>
          <w:sz w:val="23"/>
          <w:szCs w:val="23"/>
        </w:rPr>
        <w:t>organisation</w:t>
      </w:r>
      <w:proofErr w:type="spellEnd"/>
      <w:r w:rsidRPr="00835F56">
        <w:rPr>
          <w:rFonts w:ascii="Times" w:eastAsia="Times New Roman" w:hAnsi="Times" w:cs="Times"/>
          <w:color w:val="152949"/>
          <w:sz w:val="23"/>
          <w:szCs w:val="23"/>
        </w:rPr>
        <w:t xml:space="preserve"> within the operating segment Merchant Banking, which is considered to be a venture capital </w:t>
      </w:r>
      <w:proofErr w:type="spellStart"/>
      <w:r w:rsidRPr="00835F56">
        <w:rPr>
          <w:rFonts w:ascii="Times" w:eastAsia="Times New Roman" w:hAnsi="Times" w:cs="Times"/>
          <w:color w:val="152949"/>
          <w:sz w:val="23"/>
          <w:szCs w:val="23"/>
        </w:rPr>
        <w:t>organisation</w:t>
      </w:r>
      <w:proofErr w:type="spellEnd"/>
      <w:r w:rsidRPr="00835F56">
        <w:rPr>
          <w:rFonts w:ascii="Times" w:eastAsia="Times New Roman" w:hAnsi="Times" w:cs="Times"/>
          <w:color w:val="152949"/>
          <w:sz w:val="23"/>
          <w:szCs w:val="23"/>
        </w:rPr>
        <w:t xml:space="preserve"> as that term is used in IAS 31, the Group designates upon initial recognition all newly acquired investments in such joint ventures as financial assets at Fair Value through Profit or Loss. These assets are initially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at fair value, and subsequent changes in fair value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in the period of the change in fair value.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Associates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lastRenderedPageBreak/>
        <w:t>Associates are those entities over which NIBC has significant influence, but not control, generally accompanying a shareholding of between 20% and 50% of the voting rights.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Except as otherwise described below, investments in associates are accounted for by the equity method of accounting and are initially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at cost. The Group’s investment in associates includes goodwill (net of any accumulated impairment loss) identified on acquisition.</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With effect from 1 January 2007, all newly acquired investments in associates held by the venture capital </w:t>
      </w:r>
      <w:proofErr w:type="spellStart"/>
      <w:r w:rsidRPr="00835F56">
        <w:rPr>
          <w:rFonts w:ascii="Times" w:eastAsia="Times New Roman" w:hAnsi="Times" w:cs="Times"/>
          <w:color w:val="152949"/>
          <w:sz w:val="23"/>
          <w:szCs w:val="23"/>
        </w:rPr>
        <w:t>organisation</w:t>
      </w:r>
      <w:proofErr w:type="spellEnd"/>
      <w:r w:rsidRPr="00835F56">
        <w:rPr>
          <w:rFonts w:ascii="Times" w:eastAsia="Times New Roman" w:hAnsi="Times" w:cs="Times"/>
          <w:color w:val="152949"/>
          <w:sz w:val="23"/>
          <w:szCs w:val="23"/>
        </w:rPr>
        <w:t xml:space="preserve"> within the operating segment Merchant Banking, which is considered to be a venture capital </w:t>
      </w:r>
      <w:proofErr w:type="spellStart"/>
      <w:r w:rsidRPr="00835F56">
        <w:rPr>
          <w:rFonts w:ascii="Times" w:eastAsia="Times New Roman" w:hAnsi="Times" w:cs="Times"/>
          <w:color w:val="152949"/>
          <w:sz w:val="23"/>
          <w:szCs w:val="23"/>
        </w:rPr>
        <w:t>organisation</w:t>
      </w:r>
      <w:proofErr w:type="spellEnd"/>
      <w:r w:rsidRPr="00835F56">
        <w:rPr>
          <w:rFonts w:ascii="Times" w:eastAsia="Times New Roman" w:hAnsi="Times" w:cs="Times"/>
          <w:color w:val="152949"/>
          <w:sz w:val="23"/>
          <w:szCs w:val="23"/>
        </w:rPr>
        <w:t xml:space="preserve">, as that term is used in IAS 28, are designated upon initial recognition as financial assets at Fair Value through Profit or Loss. These assets are initially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at fair value and subsequent changes in fair value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in the period of the change in fair value.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Under the equity method, the Group’s share of its associates’ post-acquisition profits or losses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its share of post-acquisition movements in reserves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reserves. The cumulative post-acquisition movements are adjusted against the carrying amount of the investment. When the Group’s share of losses in an associate equals or exceeds its interest in the associate, including any other unsecured receivables, the Group does not </w:t>
      </w:r>
      <w:proofErr w:type="spellStart"/>
      <w:r w:rsidRPr="00835F56">
        <w:rPr>
          <w:rFonts w:ascii="Times" w:eastAsia="Times New Roman" w:hAnsi="Times" w:cs="Times"/>
          <w:color w:val="152949"/>
          <w:sz w:val="23"/>
          <w:szCs w:val="23"/>
        </w:rPr>
        <w:t>recognise</w:t>
      </w:r>
      <w:proofErr w:type="spellEnd"/>
      <w:r w:rsidRPr="00835F56">
        <w:rPr>
          <w:rFonts w:ascii="Times" w:eastAsia="Times New Roman" w:hAnsi="Times" w:cs="Times"/>
          <w:color w:val="152949"/>
          <w:sz w:val="23"/>
          <w:szCs w:val="23"/>
        </w:rPr>
        <w:t xml:space="preserve"> further losses, unless it has incurred obligations or made payments on behalf of the associate.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proofErr w:type="spellStart"/>
      <w:r w:rsidRPr="00835F56">
        <w:rPr>
          <w:rFonts w:ascii="Times" w:eastAsia="Times New Roman" w:hAnsi="Times" w:cs="Times"/>
          <w:color w:val="152949"/>
          <w:sz w:val="23"/>
          <w:szCs w:val="23"/>
        </w:rPr>
        <w:t>Unrealised</w:t>
      </w:r>
      <w:proofErr w:type="spellEnd"/>
      <w:r w:rsidRPr="00835F56">
        <w:rPr>
          <w:rFonts w:ascii="Times" w:eastAsia="Times New Roman" w:hAnsi="Times" w:cs="Times"/>
          <w:color w:val="152949"/>
          <w:sz w:val="23"/>
          <w:szCs w:val="23"/>
        </w:rPr>
        <w:t xml:space="preserve"> gains on transactions between the Group and its associates are eliminated to the extent of NIBC’s interest in the associates. </w:t>
      </w:r>
      <w:proofErr w:type="spellStart"/>
      <w:r w:rsidRPr="00835F56">
        <w:rPr>
          <w:rFonts w:ascii="Times" w:eastAsia="Times New Roman" w:hAnsi="Times" w:cs="Times"/>
          <w:color w:val="152949"/>
          <w:sz w:val="23"/>
          <w:szCs w:val="23"/>
        </w:rPr>
        <w:t>Unrealised</w:t>
      </w:r>
      <w:proofErr w:type="spellEnd"/>
      <w:r w:rsidRPr="00835F56">
        <w:rPr>
          <w:rFonts w:ascii="Times" w:eastAsia="Times New Roman" w:hAnsi="Times" w:cs="Times"/>
          <w:color w:val="152949"/>
          <w:sz w:val="23"/>
          <w:szCs w:val="23"/>
        </w:rPr>
        <w:t xml:space="preserve"> losses are also eliminated unless the transaction provides evidence of an impairment of the asset transferred. Accounting policies of associates have been changed where necessary to ensure consistency with the policies adopted by NIBC.</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Dilution gains or losses in associates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Segment</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reporting</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Operating segments are reported in a manner consistent with the internal reporting provided to the chief operating decision-maker. The chief operating decision-maker, who is responsible for allocating resources and assessing performance of the operating segments, has been identified as the Managing Board of NIBC.</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Foreign</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currency translation</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48A4D4"/>
          <w:sz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lastRenderedPageBreak/>
        <w:t>Functional and presentational currency</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Items included in the Financial Statements of each of the Group’s entities are measured using the currency of the primary economic environment in which the entity operates (‘the functional currency’).</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Consolidated Financial Statements are presented in </w:t>
      </w:r>
      <w:proofErr w:type="spellStart"/>
      <w:r w:rsidRPr="00835F56">
        <w:rPr>
          <w:rFonts w:ascii="Times" w:eastAsia="Times New Roman" w:hAnsi="Times" w:cs="Times"/>
          <w:color w:val="152949"/>
          <w:sz w:val="23"/>
          <w:szCs w:val="23"/>
        </w:rPr>
        <w:t>euros</w:t>
      </w:r>
      <w:proofErr w:type="spellEnd"/>
      <w:r w:rsidRPr="00835F56">
        <w:rPr>
          <w:rFonts w:ascii="Times" w:eastAsia="Times New Roman" w:hAnsi="Times" w:cs="Times"/>
          <w:color w:val="152949"/>
          <w:sz w:val="23"/>
          <w:szCs w:val="23"/>
        </w:rPr>
        <w:t>, the functional currency and presentation currency of NIBC.</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Transactions and balances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Foreign currency transactions are translated into the functional currency using the exchange rates prevailing at the dates of the transactions. Foreign exchange gains and losses resulting from the settlement of such transactions and from the translation at year-end exchange rates of monetary assets and liabilities denominated in foreign currencies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except when deferred in equity as qualifying net investment hedges.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Changes in the fair value of monetary loans denominated in foreign currency that are classified as Available for Sale are </w:t>
      </w:r>
      <w:proofErr w:type="spellStart"/>
      <w:r w:rsidRPr="00835F56">
        <w:rPr>
          <w:rFonts w:ascii="Times" w:eastAsia="Times New Roman" w:hAnsi="Times" w:cs="Times"/>
          <w:color w:val="152949"/>
          <w:sz w:val="23"/>
          <w:szCs w:val="23"/>
        </w:rPr>
        <w:t>analysed</w:t>
      </w:r>
      <w:proofErr w:type="spellEnd"/>
      <w:r w:rsidRPr="00835F56">
        <w:rPr>
          <w:rFonts w:ascii="Times" w:eastAsia="Times New Roman" w:hAnsi="Times" w:cs="Times"/>
          <w:color w:val="152949"/>
          <w:sz w:val="23"/>
          <w:szCs w:val="23"/>
        </w:rPr>
        <w:t xml:space="preserve"> between foreign exchange translation differences and other changes in the carrying amount of the loan. Foreign exchange translation differences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and other changes in the carrying amount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equity.</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Foreign exchange translation differences on non-monetary assets and liabilities that are stated at Fair Value through Profit or Loss are reported as part of the fair value gain or loss. Translation differences on non-monetary items classified as Available for Sale assets are included in the fair value reserve in equity.</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Group companies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results and financial positions of all Group entities (none of which has the currency of a hyperinflationary economy) that have a functional currency different from the presentation currency are translated into the presentation currency as follows:</w:t>
      </w:r>
    </w:p>
    <w:p w:rsidR="00835F56" w:rsidRPr="00835F56" w:rsidRDefault="00835F56" w:rsidP="00835F56">
      <w:pPr>
        <w:numPr>
          <w:ilvl w:val="0"/>
          <w:numId w:val="5"/>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Assets and liabilities for each balance sheet presented are translated at the closing rate at the date of that balance sheet;</w:t>
      </w:r>
    </w:p>
    <w:p w:rsidR="00835F56" w:rsidRPr="00835F56" w:rsidRDefault="00835F56" w:rsidP="00835F56">
      <w:pPr>
        <w:numPr>
          <w:ilvl w:val="0"/>
          <w:numId w:val="5"/>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Income and expenses for each income statement are translated at average exchange rates (unless this average is not a reasonable approximation of the cumulative effect of the rates prevailing on the transaction dates, in which case income and expenses are translated at the dates of the transactions); and</w:t>
      </w:r>
    </w:p>
    <w:p w:rsidR="00835F56" w:rsidRPr="00835F56" w:rsidRDefault="00835F56" w:rsidP="00835F56">
      <w:pPr>
        <w:numPr>
          <w:ilvl w:val="0"/>
          <w:numId w:val="5"/>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All resulting exchange differences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as a separate component of equity.</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lastRenderedPageBreak/>
        <w:t xml:space="preserve">On consolidation, exchange differences arising from the translation of the net investment in foreign entities, and of borrowings and other currency instruments designated as hedges of such investments, are taken to shareholders’ equity. When a foreign operation is disposed of, or partially disposed of, such exchange differences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as part of the gain or loss on sale.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Goodwill and fair value adjustments arising on the acquisition of a foreign entity are treated as assets and liabilities of the foreign entity and translated at the closing rate.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Recognition of</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financial instruments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48A4D4"/>
          <w:sz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A financial instrument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Balance Sheet when NIBC becomes a party to the contractual provisions that comprise the financial instrument.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NIBC applies trade date accounting to all financial instruments. All purchases and sales of financial assets requiring delivery within the time frame established by regulation or market convention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on the trade date, which is the date on which NIBC commits to purchase or sell the asset.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Forward purchases and sales other than those requiring delivery within the time frame established by regulation or market convention are treated as derivative forward contracts.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De-recognition of</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financial assets and liabilities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48A4D4"/>
          <w:sz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Financial assets (or, where applicable, a part of a financial asset or part of a group of similar financial assets) are </w:t>
      </w:r>
      <w:proofErr w:type="spellStart"/>
      <w:r w:rsidRPr="00835F56">
        <w:rPr>
          <w:rFonts w:ascii="Times" w:eastAsia="Times New Roman" w:hAnsi="Times" w:cs="Times"/>
          <w:color w:val="152949"/>
          <w:sz w:val="23"/>
          <w:szCs w:val="23"/>
        </w:rPr>
        <w:t>derecognised</w:t>
      </w:r>
      <w:proofErr w:type="spellEnd"/>
      <w:r w:rsidRPr="00835F56">
        <w:rPr>
          <w:rFonts w:ascii="Times" w:eastAsia="Times New Roman" w:hAnsi="Times" w:cs="Times"/>
          <w:color w:val="152949"/>
          <w:sz w:val="23"/>
          <w:szCs w:val="23"/>
        </w:rPr>
        <w:t xml:space="preserve"> when:</w:t>
      </w:r>
    </w:p>
    <w:p w:rsidR="00835F56" w:rsidRPr="00835F56" w:rsidRDefault="00835F56" w:rsidP="00835F56">
      <w:pPr>
        <w:numPr>
          <w:ilvl w:val="0"/>
          <w:numId w:val="6"/>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The rights to receive cash flows from the financial assets have expired; or</w:t>
      </w:r>
    </w:p>
    <w:p w:rsidR="00835F56" w:rsidRPr="00835F56" w:rsidRDefault="00835F56" w:rsidP="00835F56">
      <w:pPr>
        <w:numPr>
          <w:ilvl w:val="0"/>
          <w:numId w:val="6"/>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When NIBC has transferred its contractual right to receive the cash flows of the financial assets, and either</w:t>
      </w:r>
    </w:p>
    <w:p w:rsidR="00835F56" w:rsidRPr="00835F56" w:rsidRDefault="00835F56" w:rsidP="00835F56">
      <w:pPr>
        <w:numPr>
          <w:ilvl w:val="0"/>
          <w:numId w:val="6"/>
        </w:numPr>
        <w:spacing w:after="0" w:line="324" w:lineRule="atLeast"/>
        <w:ind w:left="518"/>
        <w:rPr>
          <w:rFonts w:ascii="Times" w:eastAsia="Times New Roman" w:hAnsi="Times" w:cs="Times"/>
          <w:color w:val="152949"/>
          <w:sz w:val="23"/>
          <w:szCs w:val="23"/>
        </w:rPr>
      </w:pPr>
      <w:r w:rsidRPr="00835F56">
        <w:rPr>
          <w:rFonts w:ascii="Times" w:eastAsia="Times New Roman" w:hAnsi="Times" w:cs="Times"/>
          <w:color w:val="152949"/>
          <w:sz w:val="23"/>
          <w:szCs w:val="23"/>
        </w:rPr>
        <w:t>substantially all risks and rewards of ownership have been transferred; or</w:t>
      </w:r>
    </w:p>
    <w:p w:rsidR="00835F56" w:rsidRPr="00835F56" w:rsidRDefault="00835F56" w:rsidP="00835F56">
      <w:pPr>
        <w:numPr>
          <w:ilvl w:val="0"/>
          <w:numId w:val="6"/>
        </w:numPr>
        <w:spacing w:after="0" w:line="324" w:lineRule="atLeast"/>
        <w:ind w:left="518"/>
        <w:rPr>
          <w:rFonts w:ascii="Times" w:eastAsia="Times New Roman" w:hAnsi="Times" w:cs="Times"/>
          <w:color w:val="152949"/>
          <w:sz w:val="23"/>
          <w:szCs w:val="23"/>
        </w:rPr>
      </w:pPr>
      <w:proofErr w:type="gramStart"/>
      <w:r w:rsidRPr="00835F56">
        <w:rPr>
          <w:rFonts w:ascii="Times" w:eastAsia="Times New Roman" w:hAnsi="Times" w:cs="Times"/>
          <w:color w:val="152949"/>
          <w:sz w:val="23"/>
          <w:szCs w:val="23"/>
        </w:rPr>
        <w:t>substantially</w:t>
      </w:r>
      <w:proofErr w:type="gramEnd"/>
      <w:r w:rsidRPr="00835F56">
        <w:rPr>
          <w:rFonts w:ascii="Times" w:eastAsia="Times New Roman" w:hAnsi="Times" w:cs="Times"/>
          <w:color w:val="152949"/>
          <w:sz w:val="23"/>
          <w:szCs w:val="23"/>
        </w:rPr>
        <w:t xml:space="preserve"> all the risks and rewards have neither been retained nor transferred but control is not retained.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If NIBC has transferred its contractual rights to receive cash flows from an asset and has neither transferred nor retained substantially all the risks and rewards of the asset nor transferred control of the asset, the asset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to the extent of NIBC’s continuing involvement in the asset.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lastRenderedPageBreak/>
        <w:t>Continuing involvement that takes the form of a guarantee over the transferred asset is measured at the lower of the original carrying amount of the asset and the maximum amount of consideration that NIBC could be required to repay.</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When continuing involvement takes the form of a written and/or purchased option (including a cash settled option or similar provision) on the transferred asset, the extent of NIBC’s continuing involvement is the amount of the transferred asset that NIBC may repurchase, except that in the case of a written put option (including a cash settled option or similar provision) on an asset measured at fair value, the extent of NIBC’s continuing involvement is limited to the lower of the fair value of the transferred asset and the option exercise price.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A financial liability is </w:t>
      </w:r>
      <w:proofErr w:type="spellStart"/>
      <w:r w:rsidRPr="00835F56">
        <w:rPr>
          <w:rFonts w:ascii="Times" w:eastAsia="Times New Roman" w:hAnsi="Times" w:cs="Times"/>
          <w:color w:val="152949"/>
          <w:sz w:val="23"/>
          <w:szCs w:val="23"/>
        </w:rPr>
        <w:t>derecognised</w:t>
      </w:r>
      <w:proofErr w:type="spellEnd"/>
      <w:r w:rsidRPr="00835F56">
        <w:rPr>
          <w:rFonts w:ascii="Times" w:eastAsia="Times New Roman" w:hAnsi="Times" w:cs="Times"/>
          <w:color w:val="152949"/>
          <w:sz w:val="23"/>
          <w:szCs w:val="23"/>
        </w:rPr>
        <w:t xml:space="preserve"> when the obligation under the liability is discharged or cancelled or expires.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If an existing financial liability is replaced by another from the same lender on substantially different terms, or the terms of an existing liability are substantially modified, such an exchange or modification is treated as a de-recognition of the original liability and the recognition of a new liability, and the difference in the respective carrying amounts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Classification of</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financial instruments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48A4D4"/>
          <w:sz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Financial assets are classified as:</w:t>
      </w:r>
    </w:p>
    <w:p w:rsidR="00835F56" w:rsidRPr="00835F56" w:rsidRDefault="00835F56" w:rsidP="00835F56">
      <w:pPr>
        <w:numPr>
          <w:ilvl w:val="0"/>
          <w:numId w:val="7"/>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Financial instruments at Fair Value through Profit or Loss, including derivative instruments that do not qualify for cash flow hedge accounting;</w:t>
      </w:r>
    </w:p>
    <w:p w:rsidR="00835F56" w:rsidRPr="00835F56" w:rsidRDefault="00835F56" w:rsidP="00835F56">
      <w:pPr>
        <w:numPr>
          <w:ilvl w:val="0"/>
          <w:numId w:val="7"/>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Available for Sale financial instruments; and</w:t>
      </w:r>
    </w:p>
    <w:p w:rsidR="00835F56" w:rsidRPr="00835F56" w:rsidRDefault="00835F56" w:rsidP="00835F56">
      <w:pPr>
        <w:numPr>
          <w:ilvl w:val="0"/>
          <w:numId w:val="7"/>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Loans and Receivables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Financial liabilities are classified as:</w:t>
      </w:r>
    </w:p>
    <w:p w:rsidR="00835F56" w:rsidRPr="00835F56" w:rsidRDefault="00835F56" w:rsidP="00835F56">
      <w:pPr>
        <w:numPr>
          <w:ilvl w:val="0"/>
          <w:numId w:val="8"/>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Financial instruments at Fair Value through Profit or Loss, including derivative instruments that do not qualify for cash flow hedge accounting; and</w:t>
      </w:r>
    </w:p>
    <w:p w:rsidR="00835F56" w:rsidRPr="00835F56" w:rsidRDefault="00835F56" w:rsidP="00835F56">
      <w:pPr>
        <w:numPr>
          <w:ilvl w:val="0"/>
          <w:numId w:val="8"/>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Financial instruments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measurement and income recognition in the Income Statement depends on the IFRS classification of the financial asset or liability. The classification of financial instruments is determined upon initial recognition.</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lastRenderedPageBreak/>
        <w:t>Financial assets - reclassification</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In accordance with the amendment to IAS 39: Reclassifications of Financial Assets NIBC may reclassify certain non-derivative financial assets Held for Trading to </w:t>
      </w:r>
      <w:proofErr w:type="gramStart"/>
      <w:r w:rsidRPr="00835F56">
        <w:rPr>
          <w:rFonts w:ascii="Times" w:eastAsia="Times New Roman" w:hAnsi="Times" w:cs="Times"/>
          <w:color w:val="152949"/>
          <w:sz w:val="23"/>
          <w:szCs w:val="23"/>
        </w:rPr>
        <w:t>either the Loans and</w:t>
      </w:r>
      <w:proofErr w:type="gramEnd"/>
      <w:r w:rsidRPr="00835F56">
        <w:rPr>
          <w:rFonts w:ascii="Times" w:eastAsia="Times New Roman" w:hAnsi="Times" w:cs="Times"/>
          <w:color w:val="152949"/>
          <w:sz w:val="23"/>
          <w:szCs w:val="23"/>
        </w:rPr>
        <w:t xml:space="preserve"> Receivables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or Available for Sale categories. The amendment also allows for the transfer of certain non-derivative financial assets from Available for Sale to Loans and Receivables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NIBC is allowed to reclassify certain financial assets out of the Held for </w:t>
      </w:r>
      <w:proofErr w:type="gramStart"/>
      <w:r w:rsidRPr="00835F56">
        <w:rPr>
          <w:rFonts w:ascii="Times" w:eastAsia="Times New Roman" w:hAnsi="Times" w:cs="Times"/>
          <w:color w:val="152949"/>
          <w:sz w:val="23"/>
          <w:szCs w:val="23"/>
        </w:rPr>
        <w:t>Trading</w:t>
      </w:r>
      <w:proofErr w:type="gramEnd"/>
      <w:r w:rsidRPr="00835F56">
        <w:rPr>
          <w:rFonts w:ascii="Times" w:eastAsia="Times New Roman" w:hAnsi="Times" w:cs="Times"/>
          <w:color w:val="152949"/>
          <w:sz w:val="23"/>
          <w:szCs w:val="23"/>
        </w:rPr>
        <w:t xml:space="preserve"> category if they are no longer held for the purpose of selling or repurchasing them in the near term.</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NIBC now has the intention and ability to hold these financial assets for the foreseeable future. In order to align with market practice accounting treatment for such financial assets, NIBC has chosen to reclassify the assets to Loans and Receivables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or Available for Sale.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amendments distinguish between those financial assets, which would be eligible for classification as Loans and Receivables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and those which would not. The former are those instruments which, apart from being held with the intent of sale in the near term, have fixed or determinable </w:t>
      </w:r>
      <w:proofErr w:type="gramStart"/>
      <w:r w:rsidRPr="00835F56">
        <w:rPr>
          <w:rFonts w:ascii="Times" w:eastAsia="Times New Roman" w:hAnsi="Times" w:cs="Times"/>
          <w:color w:val="152949"/>
          <w:sz w:val="23"/>
          <w:szCs w:val="23"/>
        </w:rPr>
        <w:t>payments,</w:t>
      </w:r>
      <w:proofErr w:type="gramEnd"/>
      <w:r w:rsidRPr="00835F56">
        <w:rPr>
          <w:rFonts w:ascii="Times" w:eastAsia="Times New Roman" w:hAnsi="Times" w:cs="Times"/>
          <w:color w:val="152949"/>
          <w:sz w:val="23"/>
          <w:szCs w:val="23"/>
        </w:rPr>
        <w:t xml:space="preserve"> are not quoted in an active market and contain no features that could cause the holder not to recover substantially all of its initial investment, except through credit deterioration.</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Financial assets that are not eligible for classification as Loans and Receivables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may be transferred from Held for Trading to Available for Sale, only in rare circumstances arising from a single event that is unusual and highly unlikely to recur in the near term.</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Financial assets that would now meet the criteria to be classified as Loans and Receivables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may be transferred from Held for Trading or Available for Sale to Loans and Receivables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if the entity has the intention and ability to hold them for the foreseeable future.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Reclassifications are recorded at the fair value of the financial asset as of the reclassification date. The fair value at the date of reclassification becomes the new cost or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as applicable. Gains or losses due to changes in the fair value of the financial asset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profit or loss prior to reclassification date shall not be reversed. Effective interest rates for financial assets reclassified to the Loans and Receivables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category are determined at the reclassification date as the discount rate applicable to </w:t>
      </w:r>
      <w:proofErr w:type="spellStart"/>
      <w:r w:rsidRPr="00835F56">
        <w:rPr>
          <w:rFonts w:ascii="Times" w:eastAsia="Times New Roman" w:hAnsi="Times" w:cs="Times"/>
          <w:color w:val="152949"/>
          <w:sz w:val="23"/>
          <w:szCs w:val="23"/>
        </w:rPr>
        <w:t>amortise</w:t>
      </w:r>
      <w:proofErr w:type="spellEnd"/>
      <w:r w:rsidRPr="00835F56">
        <w:rPr>
          <w:rFonts w:ascii="Times" w:eastAsia="Times New Roman" w:hAnsi="Times" w:cs="Times"/>
          <w:color w:val="152949"/>
          <w:sz w:val="23"/>
          <w:szCs w:val="23"/>
        </w:rPr>
        <w:t xml:space="preserve"> the fair value back to expected future cash flows at that date. Subsequent increases in estimated future cash flows will result in a prospective adjustment to the effective interest rate applied.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lastRenderedPageBreak/>
        <w:t xml:space="preserve">For financial assets reclassified from Available for Sale to Loans and Receivables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previous changes in fair value that have been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equity revaluation reserve shall be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to profit or loss over the remaining life of the asset using the effective interest rate method. If such assets are subsequently determined to be impaired, the remaining balance of losses previously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equity shall be released to profit or loss to the extent of the impairment loss amount and if necessary, additional impairment losses shall be recorded in profit or loss to the extent they exceed the remaining (Available for Sale) Revaluation reserve in equity.</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Reclassification of financial assets (as of 1 July 2008)</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As of 1 July 2008, the effective date of the amendments to IAS 39 and IFRS 7, the following financial assets were reclassified:</w:t>
      </w:r>
    </w:p>
    <w:p w:rsidR="00835F56" w:rsidRPr="00835F56" w:rsidRDefault="00835F56" w:rsidP="00835F56">
      <w:pPr>
        <w:numPr>
          <w:ilvl w:val="0"/>
          <w:numId w:val="9"/>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Loans and Receivables: Loans, except for those that were designated at Fair Value through Profit or Loss, were reclassified out of the Available for Sale category to Loans and Receivables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w:t>
      </w:r>
    </w:p>
    <w:p w:rsidR="00835F56" w:rsidRPr="00835F56" w:rsidRDefault="00835F56" w:rsidP="00835F56">
      <w:pPr>
        <w:numPr>
          <w:ilvl w:val="0"/>
          <w:numId w:val="10"/>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Debt investments:</w:t>
      </w:r>
    </w:p>
    <w:p w:rsidR="00835F56" w:rsidRPr="00835F56" w:rsidRDefault="00835F56" w:rsidP="00835F56">
      <w:pPr>
        <w:numPr>
          <w:ilvl w:val="0"/>
          <w:numId w:val="10"/>
        </w:numPr>
        <w:spacing w:after="0" w:line="324" w:lineRule="atLeast"/>
        <w:ind w:left="518"/>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EU structured credits originated after 1 July 2007 were reclassified out of the Available for Sale category to Loans and Receivables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to the extent the assets meet the definition of Loans and Receivables;</w:t>
      </w:r>
    </w:p>
    <w:p w:rsidR="00835F56" w:rsidRPr="00835F56" w:rsidRDefault="00835F56" w:rsidP="00835F56">
      <w:pPr>
        <w:numPr>
          <w:ilvl w:val="0"/>
          <w:numId w:val="10"/>
        </w:numPr>
        <w:spacing w:after="0" w:line="324" w:lineRule="atLeast"/>
        <w:ind w:left="518"/>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EU corporate credits and EU structured credits originated before 1 July 2007 were reclassified out of the Held for Trading category to Loans and Receivables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to the extent the assets meet the definition of Loans and Receivables; and</w:t>
      </w:r>
    </w:p>
    <w:p w:rsidR="00835F56" w:rsidRPr="00835F56" w:rsidRDefault="00835F56" w:rsidP="00835F56">
      <w:pPr>
        <w:numPr>
          <w:ilvl w:val="0"/>
          <w:numId w:val="10"/>
        </w:numPr>
        <w:spacing w:after="0" w:line="324" w:lineRule="atLeast"/>
        <w:ind w:left="518"/>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EU CDO equity was reclassified out of the Held for </w:t>
      </w:r>
      <w:proofErr w:type="gramStart"/>
      <w:r w:rsidRPr="00835F56">
        <w:rPr>
          <w:rFonts w:ascii="Times" w:eastAsia="Times New Roman" w:hAnsi="Times" w:cs="Times"/>
          <w:color w:val="152949"/>
          <w:sz w:val="23"/>
          <w:szCs w:val="23"/>
        </w:rPr>
        <w:t>Trading</w:t>
      </w:r>
      <w:proofErr w:type="gramEnd"/>
      <w:r w:rsidRPr="00835F56">
        <w:rPr>
          <w:rFonts w:ascii="Times" w:eastAsia="Times New Roman" w:hAnsi="Times" w:cs="Times"/>
          <w:color w:val="152949"/>
          <w:sz w:val="23"/>
          <w:szCs w:val="23"/>
        </w:rPr>
        <w:t xml:space="preserve"> category to the Available for Sale category. Any subsequent change in fair value from the fair value at the date of reclassification will be recorded in the (Available for Sale) Revaluation reserve unless it is determined to be impaired or until the instrument is </w:t>
      </w:r>
      <w:proofErr w:type="spellStart"/>
      <w:r w:rsidRPr="00835F56">
        <w:rPr>
          <w:rFonts w:ascii="Times" w:eastAsia="Times New Roman" w:hAnsi="Times" w:cs="Times"/>
          <w:color w:val="152949"/>
          <w:sz w:val="23"/>
          <w:szCs w:val="23"/>
        </w:rPr>
        <w:t>derecognised</w:t>
      </w:r>
      <w:proofErr w:type="spellEnd"/>
      <w:r w:rsidRPr="00835F56">
        <w:rPr>
          <w:rFonts w:ascii="Times" w:eastAsia="Times New Roman" w:hAnsi="Times" w:cs="Times"/>
          <w:color w:val="152949"/>
          <w:sz w:val="23"/>
          <w:szCs w:val="23"/>
        </w:rPr>
        <w: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Changes to classification of financial assets (in 2007)</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In 2007, NIBC made the following changes:</w:t>
      </w:r>
    </w:p>
    <w:p w:rsidR="00835F56" w:rsidRPr="00835F56" w:rsidRDefault="00835F56" w:rsidP="00835F56">
      <w:pPr>
        <w:numPr>
          <w:ilvl w:val="0"/>
          <w:numId w:val="11"/>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Loans and Receivables: Loans originated before 1 July 2007 are accounted for at Fair Value through Profit or Loss (residential mortgages, commercial real estate loans and leveraged loan warehouses, secondary loan trading, and distressed asset trading) or Available for Sale (all other corporate lending). With the exception of residential mortgages, Loans originated after 1 July 2007 are classified as Loans and Receivables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These loans are initially measured at fair value plus directly attributable transaction costs, and are subsequently measured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using the effective interest method. The reason for this change in classification was to align with market practice;</w:t>
      </w:r>
    </w:p>
    <w:p w:rsidR="00835F56" w:rsidRPr="00835F56" w:rsidRDefault="00835F56" w:rsidP="00835F56">
      <w:pPr>
        <w:numPr>
          <w:ilvl w:val="0"/>
          <w:numId w:val="11"/>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lastRenderedPageBreak/>
        <w:t>Debt investments: with effect from 1 July 2007, newly originated assets in the EU structured credits books were classified as Available for Sale. Assets acquired before 1 July 2007 were classified as Held for Trading. The reason for this change in classification was to align with market practice;</w:t>
      </w:r>
    </w:p>
    <w:p w:rsidR="00835F56" w:rsidRPr="00835F56" w:rsidRDefault="00835F56" w:rsidP="00835F56">
      <w:pPr>
        <w:numPr>
          <w:ilvl w:val="0"/>
          <w:numId w:val="11"/>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Equity investments in associates and joint ventures: with effect from 1 January 2007, all newly acquired investments in associates and joint ventures held by the venture capital </w:t>
      </w:r>
      <w:proofErr w:type="spellStart"/>
      <w:r w:rsidRPr="00835F56">
        <w:rPr>
          <w:rFonts w:ascii="Times" w:eastAsia="Times New Roman" w:hAnsi="Times" w:cs="Times"/>
          <w:color w:val="152949"/>
          <w:sz w:val="23"/>
          <w:szCs w:val="23"/>
        </w:rPr>
        <w:t>organisation</w:t>
      </w:r>
      <w:proofErr w:type="spellEnd"/>
      <w:r w:rsidRPr="00835F56">
        <w:rPr>
          <w:rFonts w:ascii="Times" w:eastAsia="Times New Roman" w:hAnsi="Times" w:cs="Times"/>
          <w:color w:val="152949"/>
          <w:sz w:val="23"/>
          <w:szCs w:val="23"/>
        </w:rPr>
        <w:t xml:space="preserve"> (as that term is used in IAS 28 and IAS 31) are designated at Fair Value through Profit or Loss. Previously acquired investments in associates, where material, were accounted for using the equity method and investments in joint ventures were proportionally consolidated. The reason for this change in classification was to align with market practice; and</w:t>
      </w:r>
    </w:p>
    <w:p w:rsidR="00835F56" w:rsidRPr="00835F56" w:rsidRDefault="00835F56" w:rsidP="00835F56">
      <w:pPr>
        <w:numPr>
          <w:ilvl w:val="0"/>
          <w:numId w:val="11"/>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Equity investments: equity investments acquired before 1 January 2007 held in the investment portfolio of the venture capital </w:t>
      </w:r>
      <w:proofErr w:type="spellStart"/>
      <w:r w:rsidRPr="00835F56">
        <w:rPr>
          <w:rFonts w:ascii="Times" w:eastAsia="Times New Roman" w:hAnsi="Times" w:cs="Times"/>
          <w:color w:val="152949"/>
          <w:sz w:val="23"/>
          <w:szCs w:val="23"/>
        </w:rPr>
        <w:t>organisation</w:t>
      </w:r>
      <w:proofErr w:type="spellEnd"/>
      <w:r w:rsidRPr="00835F56">
        <w:rPr>
          <w:rFonts w:ascii="Times" w:eastAsia="Times New Roman" w:hAnsi="Times" w:cs="Times"/>
          <w:color w:val="152949"/>
          <w:sz w:val="23"/>
          <w:szCs w:val="23"/>
        </w:rPr>
        <w:t xml:space="preserve"> are classified as Available for Sale assets in the Consolidated Balance Sheet. With effect from 1 January 2007, all newly acquired equity investments held by the venture capital </w:t>
      </w:r>
      <w:proofErr w:type="spellStart"/>
      <w:r w:rsidRPr="00835F56">
        <w:rPr>
          <w:rFonts w:ascii="Times" w:eastAsia="Times New Roman" w:hAnsi="Times" w:cs="Times"/>
          <w:color w:val="152949"/>
          <w:sz w:val="23"/>
          <w:szCs w:val="23"/>
        </w:rPr>
        <w:t>organisation</w:t>
      </w:r>
      <w:proofErr w:type="spellEnd"/>
      <w:r w:rsidRPr="00835F56">
        <w:rPr>
          <w:rFonts w:ascii="Times" w:eastAsia="Times New Roman" w:hAnsi="Times" w:cs="Times"/>
          <w:color w:val="152949"/>
          <w:sz w:val="23"/>
          <w:szCs w:val="23"/>
        </w:rPr>
        <w:t xml:space="preserve"> are designated upon initial recognition as financial assets at Fair Value through Profit or Loss. The reason for this change in classification was to align with market practice.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An overview of the classification of different classes of financial assets is presented in the following table: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tbl>
      <w:tblPr>
        <w:tblW w:w="0" w:type="auto"/>
        <w:tblCellMar>
          <w:top w:w="15" w:type="dxa"/>
          <w:left w:w="15" w:type="dxa"/>
          <w:bottom w:w="15" w:type="dxa"/>
          <w:right w:w="15" w:type="dxa"/>
        </w:tblCellMar>
        <w:tblLook w:val="04A0"/>
      </w:tblPr>
      <w:tblGrid>
        <w:gridCol w:w="7048"/>
        <w:gridCol w:w="6"/>
        <w:gridCol w:w="1150"/>
        <w:gridCol w:w="6"/>
        <w:gridCol w:w="1150"/>
      </w:tblGrid>
      <w:tr w:rsidR="00835F56" w:rsidRPr="00835F56" w:rsidTr="00835F56">
        <w:tc>
          <w:tcPr>
            <w:tcW w:w="0" w:type="auto"/>
            <w:tcBorders>
              <w:top w:val="single" w:sz="6" w:space="0" w:color="022749"/>
              <w:left w:val="nil"/>
              <w:bottom w:val="single" w:sz="6" w:space="0" w:color="022749"/>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c>
          <w:tcPr>
            <w:tcW w:w="0" w:type="auto"/>
            <w:tcBorders>
              <w:top w:val="single" w:sz="6" w:space="0" w:color="022749"/>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sz w:val="24"/>
                <w:szCs w:val="24"/>
              </w:rPr>
            </w:pPr>
          </w:p>
        </w:tc>
        <w:tc>
          <w:tcPr>
            <w:tcW w:w="0" w:type="auto"/>
            <w:tcBorders>
              <w:top w:val="single" w:sz="6" w:space="0" w:color="022749"/>
              <w:left w:val="nil"/>
              <w:bottom w:val="single" w:sz="6" w:space="0" w:color="022749"/>
              <w:right w:val="nil"/>
            </w:tcBorders>
            <w:tcMar>
              <w:top w:w="32" w:type="dxa"/>
              <w:left w:w="0" w:type="dxa"/>
              <w:bottom w:w="32" w:type="dxa"/>
              <w:right w:w="0" w:type="dxa"/>
            </w:tcMar>
            <w:vAlign w:val="bottom"/>
            <w:hideMark/>
          </w:tcPr>
          <w:p w:rsidR="00835F56" w:rsidRPr="00835F56" w:rsidRDefault="00835F56" w:rsidP="00835F56">
            <w:pPr>
              <w:spacing w:after="0" w:line="210" w:lineRule="atLeast"/>
              <w:jc w:val="right"/>
              <w:rPr>
                <w:rFonts w:ascii="Times New Roman" w:eastAsia="Times New Roman" w:hAnsi="Times New Roman" w:cs="Times New Roman"/>
                <w:color w:val="022749"/>
                <w:sz w:val="18"/>
                <w:szCs w:val="18"/>
              </w:rPr>
            </w:pPr>
            <w:r w:rsidRPr="00835F56">
              <w:rPr>
                <w:rFonts w:ascii="Times New Roman" w:eastAsia="Times New Roman" w:hAnsi="Times New Roman" w:cs="Times New Roman"/>
                <w:color w:val="022749"/>
                <w:sz w:val="18"/>
                <w:szCs w:val="18"/>
              </w:rPr>
              <w:t>Before Reclassification</w:t>
            </w:r>
          </w:p>
        </w:tc>
        <w:tc>
          <w:tcPr>
            <w:tcW w:w="0" w:type="auto"/>
            <w:tcBorders>
              <w:top w:val="single" w:sz="6" w:space="0" w:color="022749"/>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sz w:val="24"/>
                <w:szCs w:val="24"/>
              </w:rPr>
            </w:pPr>
          </w:p>
        </w:tc>
        <w:tc>
          <w:tcPr>
            <w:tcW w:w="0" w:type="auto"/>
            <w:tcBorders>
              <w:top w:val="single" w:sz="6" w:space="0" w:color="022749"/>
              <w:left w:val="nil"/>
              <w:bottom w:val="single" w:sz="6" w:space="0" w:color="022749"/>
              <w:right w:val="nil"/>
            </w:tcBorders>
            <w:tcMar>
              <w:top w:w="32" w:type="dxa"/>
              <w:left w:w="0" w:type="dxa"/>
              <w:bottom w:w="32" w:type="dxa"/>
              <w:right w:w="0" w:type="dxa"/>
            </w:tcMar>
            <w:vAlign w:val="bottom"/>
            <w:hideMark/>
          </w:tcPr>
          <w:p w:rsidR="00835F56" w:rsidRPr="00835F56" w:rsidRDefault="00835F56" w:rsidP="00835F56">
            <w:pPr>
              <w:spacing w:after="0" w:line="210" w:lineRule="atLeast"/>
              <w:jc w:val="right"/>
              <w:rPr>
                <w:rFonts w:ascii="Times New Roman" w:eastAsia="Times New Roman" w:hAnsi="Times New Roman" w:cs="Times New Roman"/>
                <w:color w:val="022749"/>
                <w:sz w:val="18"/>
                <w:szCs w:val="18"/>
              </w:rPr>
            </w:pPr>
            <w:r w:rsidRPr="00835F56">
              <w:rPr>
                <w:rFonts w:ascii="Times New Roman" w:eastAsia="Times New Roman" w:hAnsi="Times New Roman" w:cs="Times New Roman"/>
                <w:color w:val="022749"/>
                <w:sz w:val="18"/>
                <w:szCs w:val="18"/>
              </w:rPr>
              <w:t>After Reclassification</w:t>
            </w:r>
          </w:p>
        </w:tc>
      </w:tr>
      <w:tr w:rsidR="00835F56" w:rsidRPr="00835F56" w:rsidTr="00835F56">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b/>
                <w:bCs/>
                <w:color w:val="152949"/>
                <w:sz w:val="24"/>
                <w:szCs w:val="24"/>
              </w:rPr>
            </w:pPr>
            <w:r w:rsidRPr="00835F56">
              <w:rPr>
                <w:rFonts w:ascii="Times New Roman" w:eastAsia="Times New Roman" w:hAnsi="Times New Roman" w:cs="Times New Roman"/>
                <w:b/>
                <w:bCs/>
                <w:color w:val="152949"/>
                <w:sz w:val="24"/>
                <w:szCs w:val="24"/>
              </w:rPr>
              <w:t>Financial assets</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aps/>
                <w:color w:val="48A4D4"/>
                <w:sz w:val="18"/>
                <w:szCs w:val="18"/>
              </w:rPr>
            </w:pPr>
            <w:r w:rsidRPr="00835F56">
              <w:rPr>
                <w:rFonts w:ascii="Times New Roman" w:eastAsia="Times New Roman" w:hAnsi="Times New Roman" w:cs="Times New Roman"/>
                <w:caps/>
                <w:color w:val="48A4D4"/>
                <w:sz w:val="18"/>
                <w:szCs w:val="18"/>
              </w:rPr>
              <w:t>LOANS AND RECEIVABLES</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aps/>
                <w:color w:val="022749"/>
                <w:sz w:val="18"/>
                <w:szCs w:val="18"/>
              </w:rPr>
            </w:pPr>
            <w:r w:rsidRPr="00835F56">
              <w:rPr>
                <w:rFonts w:ascii="Times New Roman" w:eastAsia="Times New Roman" w:hAnsi="Times New Roman" w:cs="Times New Roman"/>
                <w:caps/>
                <w:color w:val="022749"/>
                <w:sz w:val="18"/>
                <w:szCs w:val="18"/>
              </w:rPr>
              <w:t>COMMERCIAL REAL ESTATE LOAN PORTFOLIO</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Originated before 1 July 2007</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Designated at FVPL</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Designated at FVPL</w:t>
            </w: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Originated after 1 July 2007</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L&amp;R at AC</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L&amp;R at AC</w:t>
            </w:r>
          </w:p>
        </w:tc>
      </w:tr>
      <w:tr w:rsidR="00835F56" w:rsidRPr="00835F56" w:rsidTr="00835F56">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aps/>
                <w:color w:val="022749"/>
                <w:sz w:val="18"/>
                <w:szCs w:val="18"/>
              </w:rPr>
            </w:pPr>
            <w:r w:rsidRPr="00835F56">
              <w:rPr>
                <w:rFonts w:ascii="Times New Roman" w:eastAsia="Times New Roman" w:hAnsi="Times New Roman" w:cs="Times New Roman"/>
                <w:caps/>
                <w:color w:val="022749"/>
                <w:sz w:val="18"/>
                <w:szCs w:val="18"/>
              </w:rPr>
              <w:t>LEVERAGED LOAN WAREHOUSES</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Originated before 1 July 2007</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Designated at FVPL</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Designated at FVPL</w:t>
            </w: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Originated after 1 July 2007</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L&amp;R at AC</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L&amp;R at AC</w:t>
            </w:r>
          </w:p>
        </w:tc>
      </w:tr>
      <w:tr w:rsidR="00835F56" w:rsidRPr="00835F56" w:rsidTr="00835F56">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aps/>
                <w:color w:val="022749"/>
                <w:sz w:val="18"/>
                <w:szCs w:val="18"/>
              </w:rPr>
            </w:pPr>
            <w:r w:rsidRPr="00835F56">
              <w:rPr>
                <w:rFonts w:ascii="Times New Roman" w:eastAsia="Times New Roman" w:hAnsi="Times New Roman" w:cs="Times New Roman"/>
                <w:caps/>
                <w:color w:val="022749"/>
                <w:sz w:val="18"/>
                <w:szCs w:val="18"/>
              </w:rPr>
              <w:t>SECONDARY LOAN TRADING PORTFOLIO</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Originated before 1 July 2007</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Designated at FVPL</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Designated at FVPL</w:t>
            </w: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Originated after 1 July 2007</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L&amp;R at AC</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L&amp;R at AC</w:t>
            </w:r>
          </w:p>
        </w:tc>
      </w:tr>
      <w:tr w:rsidR="00835F56" w:rsidRPr="00835F56" w:rsidTr="00835F56">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aps/>
                <w:color w:val="022749"/>
                <w:sz w:val="18"/>
                <w:szCs w:val="18"/>
              </w:rPr>
            </w:pPr>
            <w:r w:rsidRPr="00835F56">
              <w:rPr>
                <w:rFonts w:ascii="Times New Roman" w:eastAsia="Times New Roman" w:hAnsi="Times New Roman" w:cs="Times New Roman"/>
                <w:caps/>
                <w:color w:val="022749"/>
                <w:sz w:val="18"/>
                <w:szCs w:val="18"/>
              </w:rPr>
              <w:t>DISTRESSED ASSET TRADING PORTFOLIO</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Originated before 1 July 2007</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Designated at FVPL</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Designated at FVPL</w:t>
            </w: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Originated after 1 July 2007</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L&amp;R at AC</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L&amp;R at AC</w:t>
            </w:r>
          </w:p>
        </w:tc>
      </w:tr>
      <w:tr w:rsidR="00835F56" w:rsidRPr="00835F56" w:rsidTr="00835F56">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aps/>
                <w:color w:val="022749"/>
                <w:sz w:val="18"/>
                <w:szCs w:val="18"/>
              </w:rPr>
            </w:pPr>
            <w:r w:rsidRPr="00835F56">
              <w:rPr>
                <w:rFonts w:ascii="Times New Roman" w:eastAsia="Times New Roman" w:hAnsi="Times New Roman" w:cs="Times New Roman"/>
                <w:caps/>
                <w:color w:val="022749"/>
                <w:sz w:val="18"/>
                <w:szCs w:val="18"/>
              </w:rPr>
              <w:t>OTHER CORPORATE LENDING PORTFOLIOS</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Originated before 1 July 2007</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AFS</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L&amp;R at AC</w:t>
            </w: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Originated after 1 July 2007</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L&amp;R at AC</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L&amp;R at AC</w:t>
            </w:r>
          </w:p>
        </w:tc>
      </w:tr>
      <w:tr w:rsidR="00835F56" w:rsidRPr="00835F56" w:rsidTr="00835F56">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aps/>
                <w:color w:val="48A4D4"/>
                <w:sz w:val="18"/>
                <w:szCs w:val="18"/>
              </w:rPr>
            </w:pPr>
            <w:r w:rsidRPr="00835F56">
              <w:rPr>
                <w:rFonts w:ascii="Times New Roman" w:eastAsia="Times New Roman" w:hAnsi="Times New Roman" w:cs="Times New Roman"/>
                <w:caps/>
                <w:color w:val="48A4D4"/>
                <w:sz w:val="18"/>
                <w:szCs w:val="18"/>
              </w:rPr>
              <w:t>DEBT INVESTMENTS</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aps/>
                <w:color w:val="022749"/>
                <w:sz w:val="18"/>
                <w:szCs w:val="18"/>
              </w:rPr>
            </w:pPr>
            <w:r w:rsidRPr="00835F56">
              <w:rPr>
                <w:rFonts w:ascii="Times New Roman" w:eastAsia="Times New Roman" w:hAnsi="Times New Roman" w:cs="Times New Roman"/>
                <w:caps/>
                <w:color w:val="022749"/>
                <w:sz w:val="18"/>
                <w:szCs w:val="18"/>
              </w:rPr>
              <w:t>STRUCTURED CREDITS EU</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lastRenderedPageBreak/>
              <w:t>Originated before 1 July 2007</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HFT</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L&amp;R at AC</w:t>
            </w: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Originated after 1 July 2007</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AFS</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L&amp;R at AC</w:t>
            </w: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Assets that do not meet the definition</w:t>
            </w:r>
            <w:r w:rsidRPr="00835F56">
              <w:rPr>
                <w:rFonts w:ascii="Times New Roman" w:eastAsia="Times New Roman" w:hAnsi="Times New Roman" w:cs="Times New Roman"/>
                <w:color w:val="152949"/>
                <w:sz w:val="18"/>
              </w:rPr>
              <w:t> </w:t>
            </w:r>
            <w:r w:rsidRPr="00835F56">
              <w:rPr>
                <w:rFonts w:ascii="Times New Roman" w:eastAsia="Times New Roman" w:hAnsi="Times New Roman" w:cs="Times New Roman"/>
                <w:color w:val="152949"/>
                <w:sz w:val="18"/>
                <w:szCs w:val="18"/>
              </w:rPr>
              <w:br/>
              <w:t>of Loans and Receivables</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HFT or AFS</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HFT or AFS</w:t>
            </w:r>
          </w:p>
        </w:tc>
      </w:tr>
      <w:tr w:rsidR="00835F56" w:rsidRPr="00835F56" w:rsidTr="00835F56">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aps/>
                <w:color w:val="022749"/>
                <w:sz w:val="18"/>
                <w:szCs w:val="18"/>
              </w:rPr>
            </w:pPr>
            <w:r w:rsidRPr="00835F56">
              <w:rPr>
                <w:rFonts w:ascii="Times New Roman" w:eastAsia="Times New Roman" w:hAnsi="Times New Roman" w:cs="Times New Roman"/>
                <w:caps/>
                <w:color w:val="022749"/>
                <w:sz w:val="18"/>
                <w:szCs w:val="18"/>
              </w:rPr>
              <w:t>CORPORATE CREDITS EU</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Originated before 1 July 2007</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HFT</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L&amp;R at AC</w:t>
            </w: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Originated after 1 July 2007</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AFS</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L&amp;R at AC</w:t>
            </w:r>
          </w:p>
        </w:tc>
      </w:tr>
      <w:tr w:rsidR="00835F56" w:rsidRPr="00835F56" w:rsidTr="00835F56">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aps/>
                <w:color w:val="022749"/>
                <w:sz w:val="18"/>
                <w:szCs w:val="18"/>
              </w:rPr>
            </w:pPr>
            <w:r w:rsidRPr="00835F56">
              <w:rPr>
                <w:rFonts w:ascii="Times New Roman" w:eastAsia="Times New Roman" w:hAnsi="Times New Roman" w:cs="Times New Roman"/>
                <w:caps/>
                <w:color w:val="022749"/>
                <w:sz w:val="18"/>
                <w:szCs w:val="18"/>
              </w:rPr>
              <w:t>EU EQUITY TRANCHE NOTES</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Originated before 1 July 2007</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HFT</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AFS</w:t>
            </w: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Originated after 1 July 2007</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AFS</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AFS</w:t>
            </w:r>
          </w:p>
        </w:tc>
      </w:tr>
      <w:tr w:rsidR="00835F56" w:rsidRPr="00835F56" w:rsidTr="00835F56">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aps/>
                <w:color w:val="48A4D4"/>
                <w:sz w:val="18"/>
                <w:szCs w:val="18"/>
              </w:rPr>
            </w:pPr>
            <w:r w:rsidRPr="00835F56">
              <w:rPr>
                <w:rFonts w:ascii="Times New Roman" w:eastAsia="Times New Roman" w:hAnsi="Times New Roman" w:cs="Times New Roman"/>
                <w:caps/>
                <w:color w:val="48A4D4"/>
                <w:sz w:val="18"/>
                <w:szCs w:val="18"/>
              </w:rPr>
              <w:t>EQUITY INVESTMENTS (HELD BY VENTURE</w:t>
            </w:r>
          </w:p>
          <w:p w:rsidR="00835F56" w:rsidRPr="00835F56" w:rsidRDefault="00835F56" w:rsidP="00835F56">
            <w:pPr>
              <w:spacing w:after="0" w:line="240" w:lineRule="auto"/>
              <w:rPr>
                <w:rFonts w:ascii="Times New Roman" w:eastAsia="Times New Roman" w:hAnsi="Times New Roman" w:cs="Times New Roman"/>
                <w:caps/>
                <w:color w:val="48A4D4"/>
                <w:sz w:val="18"/>
                <w:szCs w:val="18"/>
              </w:rPr>
            </w:pPr>
            <w:r w:rsidRPr="00835F56">
              <w:rPr>
                <w:rFonts w:ascii="Times New Roman" w:eastAsia="Times New Roman" w:hAnsi="Times New Roman" w:cs="Times New Roman"/>
                <w:caps/>
                <w:color w:val="48A4D4"/>
                <w:sz w:val="18"/>
                <w:szCs w:val="18"/>
              </w:rPr>
              <w:t>CAPITAL ORGANISATION)</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aps/>
                <w:color w:val="022749"/>
                <w:sz w:val="18"/>
                <w:szCs w:val="18"/>
              </w:rPr>
            </w:pPr>
            <w:r w:rsidRPr="00835F56">
              <w:rPr>
                <w:rFonts w:ascii="Times New Roman" w:eastAsia="Times New Roman" w:hAnsi="Times New Roman" w:cs="Times New Roman"/>
                <w:caps/>
                <w:color w:val="022749"/>
                <w:sz w:val="18"/>
                <w:szCs w:val="18"/>
              </w:rPr>
              <w:t>INVESTMENTS IN ASSOCIATES</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Originated before 1 January 2007</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Equity method</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Equity method</w:t>
            </w: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Originated after 1 January 2007</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Designated at FVPL</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Designated at FVPL</w:t>
            </w:r>
          </w:p>
        </w:tc>
      </w:tr>
      <w:tr w:rsidR="00835F56" w:rsidRPr="00835F56" w:rsidTr="00835F56">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aps/>
                <w:color w:val="022749"/>
                <w:sz w:val="18"/>
                <w:szCs w:val="18"/>
              </w:rPr>
            </w:pPr>
            <w:r w:rsidRPr="00835F56">
              <w:rPr>
                <w:rFonts w:ascii="Times New Roman" w:eastAsia="Times New Roman" w:hAnsi="Times New Roman" w:cs="Times New Roman"/>
                <w:caps/>
                <w:color w:val="022749"/>
                <w:sz w:val="18"/>
                <w:szCs w:val="18"/>
              </w:rPr>
              <w:t>INVESTMENTS IN JOINT VENTURES</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Originated before 1 January 2007</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Proportionately consolidated</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Proportionately consolidated</w:t>
            </w: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Originated after 1 January 2007</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Designated at FVPL</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Designated at FVPL</w:t>
            </w:r>
          </w:p>
        </w:tc>
      </w:tr>
      <w:tr w:rsidR="00835F56" w:rsidRPr="00835F56" w:rsidTr="00835F56">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aps/>
                <w:color w:val="022749"/>
                <w:sz w:val="18"/>
                <w:szCs w:val="18"/>
              </w:rPr>
            </w:pPr>
            <w:r w:rsidRPr="00835F56">
              <w:rPr>
                <w:rFonts w:ascii="Times New Roman" w:eastAsia="Times New Roman" w:hAnsi="Times New Roman" w:cs="Times New Roman"/>
                <w:caps/>
                <w:color w:val="022749"/>
                <w:sz w:val="18"/>
                <w:szCs w:val="18"/>
              </w:rPr>
              <w:t>OTHER INVESTMENTS</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sz w:val="24"/>
                <w:szCs w:val="24"/>
              </w:rPr>
            </w:pPr>
          </w:p>
        </w:tc>
      </w:tr>
      <w:tr w:rsidR="00835F56" w:rsidRPr="00835F56" w:rsidTr="00835F56">
        <w:tc>
          <w:tcPr>
            <w:tcW w:w="7928" w:type="dxa"/>
            <w:tcBorders>
              <w:top w:val="nil"/>
              <w:left w:val="nil"/>
              <w:bottom w:val="nil"/>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Originated before 1 January 2007</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AFS</w:t>
            </w:r>
          </w:p>
        </w:tc>
        <w:tc>
          <w:tcPr>
            <w:tcW w:w="0" w:type="auto"/>
            <w:tcBorders>
              <w:top w:val="nil"/>
              <w:left w:val="nil"/>
              <w:bottom w:val="nil"/>
              <w:right w:val="nil"/>
            </w:tcBorders>
            <w:tcMar>
              <w:top w:w="0" w:type="dxa"/>
              <w:left w:w="0" w:type="dxa"/>
              <w:bottom w:w="0" w:type="dxa"/>
              <w:right w:w="0" w:type="dxa"/>
            </w:tcMar>
            <w:vAlign w:val="center"/>
            <w:hideMark/>
          </w:tcPr>
          <w:p w:rsidR="00835F56" w:rsidRPr="00835F56" w:rsidRDefault="00835F56" w:rsidP="00835F56">
            <w:pPr>
              <w:spacing w:after="0" w:line="0" w:lineRule="atLeast"/>
              <w:rPr>
                <w:rFonts w:ascii="Times New Roman" w:eastAsia="Times New Roman" w:hAnsi="Times New Roman" w:cs="Times New Roman"/>
                <w:sz w:val="2"/>
                <w:szCs w:val="2"/>
              </w:rPr>
            </w:pPr>
          </w:p>
        </w:tc>
        <w:tc>
          <w:tcPr>
            <w:tcW w:w="0" w:type="auto"/>
            <w:tcBorders>
              <w:top w:val="nil"/>
              <w:left w:val="nil"/>
              <w:bottom w:val="nil"/>
              <w:right w:val="nil"/>
            </w:tcBorders>
            <w:tcMar>
              <w:top w:w="32" w:type="dxa"/>
              <w:left w:w="0" w:type="dxa"/>
              <w:bottom w:w="32" w:type="dxa"/>
              <w:right w:w="0" w:type="dxa"/>
            </w:tcMar>
            <w:vAlign w:val="bottom"/>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AFS</w:t>
            </w:r>
          </w:p>
        </w:tc>
      </w:tr>
      <w:tr w:rsidR="00835F56" w:rsidRPr="00835F56" w:rsidTr="00835F56">
        <w:tc>
          <w:tcPr>
            <w:tcW w:w="0" w:type="auto"/>
            <w:tcBorders>
              <w:top w:val="nil"/>
              <w:left w:val="nil"/>
              <w:bottom w:val="single" w:sz="6" w:space="0" w:color="022749"/>
              <w:right w:val="nil"/>
            </w:tcBorders>
            <w:tcMar>
              <w:top w:w="32" w:type="dxa"/>
              <w:left w:w="0" w:type="dxa"/>
              <w:bottom w:w="32"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Originated after 1 January 2007</w:t>
            </w:r>
          </w:p>
        </w:tc>
        <w:tc>
          <w:tcPr>
            <w:tcW w:w="0" w:type="auto"/>
            <w:tcBorders>
              <w:top w:val="nil"/>
              <w:left w:val="nil"/>
              <w:bottom w:val="single" w:sz="6" w:space="0" w:color="022749"/>
              <w:right w:val="nil"/>
            </w:tcBorders>
            <w:tcMar>
              <w:top w:w="0" w:type="dxa"/>
              <w:left w:w="0" w:type="dxa"/>
              <w:bottom w:w="0"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sz w:val="24"/>
                <w:szCs w:val="24"/>
              </w:rPr>
            </w:pPr>
          </w:p>
        </w:tc>
        <w:tc>
          <w:tcPr>
            <w:tcW w:w="0" w:type="auto"/>
            <w:tcBorders>
              <w:top w:val="nil"/>
              <w:left w:val="nil"/>
              <w:bottom w:val="single" w:sz="6" w:space="0" w:color="022749"/>
              <w:right w:val="nil"/>
            </w:tcBorders>
            <w:tcMar>
              <w:top w:w="0" w:type="dxa"/>
              <w:left w:w="162" w:type="dxa"/>
              <w:bottom w:w="32" w:type="dxa"/>
              <w:right w:w="15" w:type="dxa"/>
            </w:tcMar>
            <w:vAlign w:val="center"/>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Designated at FVPL</w:t>
            </w:r>
          </w:p>
        </w:tc>
        <w:tc>
          <w:tcPr>
            <w:tcW w:w="0" w:type="auto"/>
            <w:tcBorders>
              <w:top w:val="nil"/>
              <w:left w:val="nil"/>
              <w:bottom w:val="single" w:sz="6" w:space="0" w:color="022749"/>
              <w:right w:val="nil"/>
            </w:tcBorders>
            <w:tcMar>
              <w:top w:w="0" w:type="dxa"/>
              <w:left w:w="0" w:type="dxa"/>
              <w:bottom w:w="0" w:type="dxa"/>
              <w:right w:w="0" w:type="dxa"/>
            </w:tcMar>
            <w:vAlign w:val="center"/>
            <w:hideMark/>
          </w:tcPr>
          <w:p w:rsidR="00835F56" w:rsidRPr="00835F56" w:rsidRDefault="00835F56" w:rsidP="00835F56">
            <w:pPr>
              <w:spacing w:after="0" w:line="240" w:lineRule="auto"/>
              <w:rPr>
                <w:rFonts w:ascii="Times New Roman" w:eastAsia="Times New Roman" w:hAnsi="Times New Roman" w:cs="Times New Roman"/>
                <w:sz w:val="24"/>
                <w:szCs w:val="24"/>
              </w:rPr>
            </w:pPr>
          </w:p>
        </w:tc>
        <w:tc>
          <w:tcPr>
            <w:tcW w:w="0" w:type="auto"/>
            <w:tcBorders>
              <w:top w:val="nil"/>
              <w:left w:val="nil"/>
              <w:bottom w:val="single" w:sz="6" w:space="0" w:color="022749"/>
              <w:right w:val="nil"/>
            </w:tcBorders>
            <w:tcMar>
              <w:top w:w="0" w:type="dxa"/>
              <w:left w:w="162" w:type="dxa"/>
              <w:bottom w:w="32" w:type="dxa"/>
              <w:right w:w="15" w:type="dxa"/>
            </w:tcMar>
            <w:vAlign w:val="center"/>
            <w:hideMark/>
          </w:tcPr>
          <w:p w:rsidR="00835F56" w:rsidRPr="00835F56" w:rsidRDefault="00835F56" w:rsidP="00835F56">
            <w:pPr>
              <w:spacing w:after="0" w:line="240" w:lineRule="auto"/>
              <w:jc w:val="righ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Designated at FVPL</w:t>
            </w:r>
          </w:p>
        </w:tc>
      </w:tr>
      <w:tr w:rsidR="00835F56" w:rsidRPr="00835F56" w:rsidTr="00835F56">
        <w:tc>
          <w:tcPr>
            <w:tcW w:w="0" w:type="auto"/>
            <w:gridSpan w:val="5"/>
            <w:tcBorders>
              <w:top w:val="nil"/>
              <w:left w:val="nil"/>
              <w:bottom w:val="nil"/>
              <w:right w:val="nil"/>
            </w:tcBorders>
            <w:tcMar>
              <w:top w:w="129" w:type="dxa"/>
              <w:left w:w="0" w:type="dxa"/>
              <w:bottom w:w="32" w:type="dxa"/>
              <w:right w:w="0" w:type="dxa"/>
            </w:tcMar>
            <w:vAlign w:val="center"/>
            <w:hideMark/>
          </w:tcPr>
          <w:p w:rsidR="00835F56" w:rsidRPr="00835F56" w:rsidRDefault="00835F56" w:rsidP="00835F56">
            <w:pPr>
              <w:spacing w:after="0" w:line="194" w:lineRule="atLeast"/>
              <w:rPr>
                <w:rFonts w:ascii="Times New Roman" w:eastAsia="Times New Roman" w:hAnsi="Times New Roman" w:cs="Times New Roman"/>
                <w:color w:val="152949"/>
                <w:sz w:val="18"/>
                <w:szCs w:val="18"/>
              </w:rPr>
            </w:pPr>
            <w:r w:rsidRPr="00835F56">
              <w:rPr>
                <w:rFonts w:ascii="Times New Roman" w:eastAsia="Times New Roman" w:hAnsi="Times New Roman" w:cs="Times New Roman"/>
                <w:color w:val="152949"/>
                <w:sz w:val="18"/>
                <w:szCs w:val="18"/>
              </w:rPr>
              <w:t xml:space="preserve">AC: </w:t>
            </w:r>
            <w:proofErr w:type="spellStart"/>
            <w:r w:rsidRPr="00835F56">
              <w:rPr>
                <w:rFonts w:ascii="Times New Roman" w:eastAsia="Times New Roman" w:hAnsi="Times New Roman" w:cs="Times New Roman"/>
                <w:color w:val="152949"/>
                <w:sz w:val="18"/>
                <w:szCs w:val="18"/>
              </w:rPr>
              <w:t>Amortised</w:t>
            </w:r>
            <w:proofErr w:type="spellEnd"/>
            <w:r w:rsidRPr="00835F56">
              <w:rPr>
                <w:rFonts w:ascii="Times New Roman" w:eastAsia="Times New Roman" w:hAnsi="Times New Roman" w:cs="Times New Roman"/>
                <w:color w:val="152949"/>
                <w:sz w:val="18"/>
                <w:szCs w:val="18"/>
              </w:rPr>
              <w:t xml:space="preserve"> Cost - AFS: Available for Sale - FVPL: Fair Value through Profit or Loss - HFT: Held for Trading - L&amp;R: Loans and Receivables.</w:t>
            </w:r>
          </w:p>
        </w:tc>
      </w:tr>
    </w:tbl>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amendments to IFRS 7 regarding reclassifications require disclosure of the impact of the reclassification of each category of financial assets on the financial position and performance of NIBC.</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Changes to classification of financial liabilities (in 2007)</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In 2007, a change was made to the classification of certain financial liabilities (debt securities in issue) upon origination. During the period commencing 1 January 2007, plain vanilla fixed rate long-term debt securities (liabilities) were issued together with matching interest rate swaps as part of a documented interest rate risk management strategy. An accounting mismatch would arise if the Debt securities in issue were accounted for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because the related derivatives are measured at fair value with movements in the fair value taken through the Income Statement. By designating the long-term debt as Fair Value through Profit or Loss, the movement in the fair value of the long-term debt will also be recorded in the Income Statement, and thereby off-set the gains and/or losses on the derivative instrument that is also included in the Income Statement.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lastRenderedPageBreak/>
        <w:t>Financial instruments at</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Fair Value through Profit or Loss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48A4D4"/>
          <w:sz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This category has two subcategories: financial instruments Held for Trading and financial instruments designated as Fair Value through Profit or Loss at inception.</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Financial instruments Held for Trading</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A financial instrument is classified as Held for Trading if it is acquired or incurred principally for the purpose of selling or repurchasing in the near future with the objective of generating a profit from short-term fluctuations in price or dealer’s margin. Derivatives are also </w:t>
      </w:r>
      <w:proofErr w:type="spellStart"/>
      <w:r w:rsidRPr="00835F56">
        <w:rPr>
          <w:rFonts w:ascii="Times" w:eastAsia="Times New Roman" w:hAnsi="Times" w:cs="Times"/>
          <w:color w:val="152949"/>
          <w:sz w:val="23"/>
          <w:szCs w:val="23"/>
        </w:rPr>
        <w:t>categorised</w:t>
      </w:r>
      <w:proofErr w:type="spellEnd"/>
      <w:r w:rsidRPr="00835F56">
        <w:rPr>
          <w:rFonts w:ascii="Times" w:eastAsia="Times New Roman" w:hAnsi="Times" w:cs="Times"/>
          <w:color w:val="152949"/>
          <w:sz w:val="23"/>
          <w:szCs w:val="23"/>
        </w:rPr>
        <w:t xml:space="preserve"> as Held for Trading unless they are designated as effective hedging instruments.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measurement of these financial instruments is initially at fair value, with transaction costs taken to the Income Statement. Subsequently, their fair value is </w:t>
      </w:r>
      <w:proofErr w:type="spellStart"/>
      <w:r w:rsidRPr="00835F56">
        <w:rPr>
          <w:rFonts w:ascii="Times" w:eastAsia="Times New Roman" w:hAnsi="Times" w:cs="Times"/>
          <w:color w:val="152949"/>
          <w:sz w:val="23"/>
          <w:szCs w:val="23"/>
        </w:rPr>
        <w:t>remeasured</w:t>
      </w:r>
      <w:proofErr w:type="spellEnd"/>
      <w:r w:rsidRPr="00835F56">
        <w:rPr>
          <w:rFonts w:ascii="Times" w:eastAsia="Times New Roman" w:hAnsi="Times" w:cs="Times"/>
          <w:color w:val="152949"/>
          <w:sz w:val="23"/>
          <w:szCs w:val="23"/>
        </w:rPr>
        <w:t xml:space="preserve">, and all gains and losses from changes therein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in Net trading income as they arise.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Financial instruments designated upon initial recognition as Fair Value through Profit or Loss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Financial instruments are classified in this category if they meet one or more of the criteria set out below, and provided they are so designated by management. NIBC may designate financial instruments at fair value when the designation:</w:t>
      </w:r>
    </w:p>
    <w:p w:rsidR="00835F56" w:rsidRPr="00835F56" w:rsidRDefault="00835F56" w:rsidP="00835F56">
      <w:pPr>
        <w:numPr>
          <w:ilvl w:val="0"/>
          <w:numId w:val="12"/>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Eliminates or significantly reduces valuation or recognition inconsistencies that would otherwise arise from measuring financial assets or financial liabilities, or </w:t>
      </w:r>
      <w:proofErr w:type="spellStart"/>
      <w:r w:rsidRPr="00835F56">
        <w:rPr>
          <w:rFonts w:ascii="Times" w:eastAsia="Times New Roman" w:hAnsi="Times" w:cs="Times"/>
          <w:color w:val="152949"/>
          <w:sz w:val="23"/>
          <w:szCs w:val="23"/>
        </w:rPr>
        <w:t>recognising</w:t>
      </w:r>
      <w:proofErr w:type="spellEnd"/>
      <w:r w:rsidRPr="00835F56">
        <w:rPr>
          <w:rFonts w:ascii="Times" w:eastAsia="Times New Roman" w:hAnsi="Times" w:cs="Times"/>
          <w:color w:val="152949"/>
          <w:sz w:val="23"/>
          <w:szCs w:val="23"/>
        </w:rPr>
        <w:t xml:space="preserve"> gains and losses on them, on different bases. Under this criterion, the main classes of financial instruments designated by NIBC at Fair Value through Profit or Loss are:</w:t>
      </w:r>
    </w:p>
    <w:p w:rsidR="00835F56" w:rsidRPr="00835F56" w:rsidRDefault="00835F56" w:rsidP="00835F56">
      <w:pPr>
        <w:numPr>
          <w:ilvl w:val="0"/>
          <w:numId w:val="12"/>
        </w:numPr>
        <w:spacing w:after="0" w:line="324" w:lineRule="atLeast"/>
        <w:ind w:left="518"/>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Residential mortgage loans (own book and </w:t>
      </w:r>
      <w:proofErr w:type="spellStart"/>
      <w:r w:rsidRPr="00835F56">
        <w:rPr>
          <w:rFonts w:ascii="Times" w:eastAsia="Times New Roman" w:hAnsi="Times" w:cs="Times"/>
          <w:color w:val="152949"/>
          <w:sz w:val="23"/>
          <w:szCs w:val="23"/>
        </w:rPr>
        <w:t>securitised</w:t>
      </w:r>
      <w:proofErr w:type="spellEnd"/>
      <w:r w:rsidRPr="00835F56">
        <w:rPr>
          <w:rFonts w:ascii="Times" w:eastAsia="Times New Roman" w:hAnsi="Times" w:cs="Times"/>
          <w:color w:val="152949"/>
          <w:sz w:val="23"/>
          <w:szCs w:val="23"/>
        </w:rPr>
        <w:t>);</w:t>
      </w:r>
    </w:p>
    <w:p w:rsidR="00835F56" w:rsidRPr="00835F56" w:rsidRDefault="00835F56" w:rsidP="00835F56">
      <w:pPr>
        <w:numPr>
          <w:ilvl w:val="0"/>
          <w:numId w:val="12"/>
        </w:numPr>
        <w:spacing w:after="0" w:line="324" w:lineRule="atLeast"/>
        <w:ind w:left="518"/>
        <w:rPr>
          <w:rFonts w:ascii="Times" w:eastAsia="Times New Roman" w:hAnsi="Times" w:cs="Times"/>
          <w:color w:val="152949"/>
          <w:sz w:val="23"/>
          <w:szCs w:val="23"/>
        </w:rPr>
      </w:pPr>
      <w:r w:rsidRPr="00835F56">
        <w:rPr>
          <w:rFonts w:ascii="Times" w:eastAsia="Times New Roman" w:hAnsi="Times" w:cs="Times"/>
          <w:color w:val="152949"/>
          <w:sz w:val="23"/>
          <w:szCs w:val="23"/>
        </w:rPr>
        <w:t>Certain debt investment portfolios;</w:t>
      </w:r>
    </w:p>
    <w:p w:rsidR="00835F56" w:rsidRPr="00835F56" w:rsidRDefault="00835F56" w:rsidP="00835F56">
      <w:pPr>
        <w:numPr>
          <w:ilvl w:val="0"/>
          <w:numId w:val="12"/>
        </w:numPr>
        <w:spacing w:after="0" w:line="324" w:lineRule="atLeast"/>
        <w:ind w:left="518"/>
        <w:rPr>
          <w:rFonts w:ascii="Times" w:eastAsia="Times New Roman" w:hAnsi="Times" w:cs="Times"/>
          <w:color w:val="152949"/>
          <w:sz w:val="23"/>
          <w:szCs w:val="23"/>
        </w:rPr>
      </w:pPr>
      <w:r w:rsidRPr="00835F56">
        <w:rPr>
          <w:rFonts w:ascii="Times" w:eastAsia="Times New Roman" w:hAnsi="Times" w:cs="Times"/>
          <w:color w:val="152949"/>
          <w:sz w:val="23"/>
          <w:szCs w:val="23"/>
        </w:rPr>
        <w:t>Structured investments;</w:t>
      </w:r>
    </w:p>
    <w:p w:rsidR="00835F56" w:rsidRPr="00835F56" w:rsidRDefault="00835F56" w:rsidP="00835F56">
      <w:pPr>
        <w:numPr>
          <w:ilvl w:val="0"/>
          <w:numId w:val="12"/>
        </w:numPr>
        <w:spacing w:after="0" w:line="324" w:lineRule="atLeast"/>
        <w:ind w:left="518"/>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Equity investments (including associates and joint ventures held by the venture capital </w:t>
      </w:r>
      <w:proofErr w:type="spellStart"/>
      <w:r w:rsidRPr="00835F56">
        <w:rPr>
          <w:rFonts w:ascii="Times" w:eastAsia="Times New Roman" w:hAnsi="Times" w:cs="Times"/>
          <w:color w:val="152949"/>
          <w:sz w:val="23"/>
          <w:szCs w:val="23"/>
        </w:rPr>
        <w:t>organisation</w:t>
      </w:r>
      <w:proofErr w:type="spellEnd"/>
      <w:r w:rsidRPr="00835F56">
        <w:rPr>
          <w:rFonts w:ascii="Times" w:eastAsia="Times New Roman" w:hAnsi="Times" w:cs="Times"/>
          <w:color w:val="152949"/>
          <w:sz w:val="23"/>
          <w:szCs w:val="23"/>
        </w:rPr>
        <w:t xml:space="preserve"> within the operating segment Merchant Banking); and</w:t>
      </w:r>
    </w:p>
    <w:p w:rsidR="00835F56" w:rsidRPr="00835F56" w:rsidRDefault="00835F56" w:rsidP="00835F56">
      <w:pPr>
        <w:numPr>
          <w:ilvl w:val="0"/>
          <w:numId w:val="12"/>
        </w:numPr>
        <w:spacing w:after="0" w:line="324" w:lineRule="atLeast"/>
        <w:ind w:left="518"/>
        <w:rPr>
          <w:rFonts w:ascii="Times" w:eastAsia="Times New Roman" w:hAnsi="Times" w:cs="Times"/>
          <w:color w:val="152949"/>
          <w:sz w:val="23"/>
          <w:szCs w:val="23"/>
        </w:rPr>
      </w:pPr>
      <w:r w:rsidRPr="00835F56">
        <w:rPr>
          <w:rFonts w:ascii="Times" w:eastAsia="Times New Roman" w:hAnsi="Times" w:cs="Times"/>
          <w:color w:val="152949"/>
          <w:sz w:val="23"/>
          <w:szCs w:val="23"/>
        </w:rPr>
        <w:t>Certain fixed rate long-term debt securities issued after 1 January 2007.</w:t>
      </w:r>
    </w:p>
    <w:p w:rsidR="00835F56" w:rsidRPr="00835F56" w:rsidRDefault="00835F56" w:rsidP="00835F56">
      <w:pPr>
        <w:numPr>
          <w:ilvl w:val="0"/>
          <w:numId w:val="12"/>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Applies to groups of financial assets, financial liabilities or combinations thereof that are managed, and their performance evaluated, on a fair value basis in accordance with a documented risk management or investment strategy, and where information about the groups of financial instruments is reported to management on that basis. Under this criterion, the main classes of financial instruments designated by NIBC at Fair Value through Profit or Loss are:</w:t>
      </w:r>
    </w:p>
    <w:p w:rsidR="00835F56" w:rsidRPr="00835F56" w:rsidRDefault="00835F56" w:rsidP="00835F56">
      <w:pPr>
        <w:numPr>
          <w:ilvl w:val="0"/>
          <w:numId w:val="12"/>
        </w:numPr>
        <w:spacing w:after="0" w:line="324" w:lineRule="atLeast"/>
        <w:ind w:left="518"/>
        <w:rPr>
          <w:rFonts w:ascii="Times" w:eastAsia="Times New Roman" w:hAnsi="Times" w:cs="Times"/>
          <w:color w:val="152949"/>
          <w:sz w:val="23"/>
          <w:szCs w:val="23"/>
        </w:rPr>
      </w:pPr>
      <w:r w:rsidRPr="00835F56">
        <w:rPr>
          <w:rFonts w:ascii="Times" w:eastAsia="Times New Roman" w:hAnsi="Times" w:cs="Times"/>
          <w:color w:val="152949"/>
          <w:sz w:val="23"/>
          <w:szCs w:val="23"/>
        </w:rPr>
        <w:t>Equity investments</w:t>
      </w:r>
      <w:r w:rsidRPr="00835F56">
        <w:rPr>
          <w:rFonts w:ascii="Times" w:eastAsia="Times New Roman" w:hAnsi="Times" w:cs="Times"/>
          <w:color w:val="152949"/>
          <w:sz w:val="23"/>
        </w:rPr>
        <w:t> </w:t>
      </w:r>
      <w:r w:rsidRPr="00835F56">
        <w:rPr>
          <w:rFonts w:ascii="Times" w:eastAsia="Times New Roman" w:hAnsi="Times" w:cs="Times"/>
          <w:color w:val="152949"/>
          <w:sz w:val="23"/>
          <w:szCs w:val="23"/>
        </w:rPr>
        <w:br/>
        <w:t>(originated after 1 January 2007);</w:t>
      </w:r>
    </w:p>
    <w:p w:rsidR="00835F56" w:rsidRPr="00835F56" w:rsidRDefault="00835F56" w:rsidP="00835F56">
      <w:pPr>
        <w:numPr>
          <w:ilvl w:val="0"/>
          <w:numId w:val="12"/>
        </w:numPr>
        <w:spacing w:after="0" w:line="324" w:lineRule="atLeast"/>
        <w:ind w:left="518"/>
        <w:rPr>
          <w:rFonts w:ascii="Times" w:eastAsia="Times New Roman" w:hAnsi="Times" w:cs="Times"/>
          <w:color w:val="152949"/>
          <w:sz w:val="23"/>
          <w:szCs w:val="23"/>
        </w:rPr>
      </w:pPr>
      <w:r w:rsidRPr="00835F56">
        <w:rPr>
          <w:rFonts w:ascii="Times" w:eastAsia="Times New Roman" w:hAnsi="Times" w:cs="Times"/>
          <w:color w:val="152949"/>
          <w:sz w:val="23"/>
          <w:szCs w:val="23"/>
        </w:rPr>
        <w:t>Commercial real estate loans (originated before 1 July 2007);</w:t>
      </w:r>
    </w:p>
    <w:p w:rsidR="00835F56" w:rsidRPr="00835F56" w:rsidRDefault="00835F56" w:rsidP="00835F56">
      <w:pPr>
        <w:numPr>
          <w:ilvl w:val="0"/>
          <w:numId w:val="12"/>
        </w:numPr>
        <w:spacing w:after="0" w:line="324" w:lineRule="atLeast"/>
        <w:ind w:left="518"/>
        <w:rPr>
          <w:rFonts w:ascii="Times" w:eastAsia="Times New Roman" w:hAnsi="Times" w:cs="Times"/>
          <w:color w:val="152949"/>
          <w:sz w:val="23"/>
          <w:szCs w:val="23"/>
        </w:rPr>
      </w:pPr>
      <w:r w:rsidRPr="00835F56">
        <w:rPr>
          <w:rFonts w:ascii="Times" w:eastAsia="Times New Roman" w:hAnsi="Times" w:cs="Times"/>
          <w:color w:val="152949"/>
          <w:sz w:val="23"/>
          <w:szCs w:val="23"/>
        </w:rPr>
        <w:lastRenderedPageBreak/>
        <w:t>Leveraged loan warehouses;</w:t>
      </w:r>
    </w:p>
    <w:p w:rsidR="00835F56" w:rsidRPr="00835F56" w:rsidRDefault="00835F56" w:rsidP="00835F56">
      <w:pPr>
        <w:numPr>
          <w:ilvl w:val="0"/>
          <w:numId w:val="12"/>
        </w:numPr>
        <w:spacing w:after="0" w:line="324" w:lineRule="atLeast"/>
        <w:ind w:left="518"/>
        <w:rPr>
          <w:rFonts w:ascii="Times" w:eastAsia="Times New Roman" w:hAnsi="Times" w:cs="Times"/>
          <w:color w:val="152949"/>
          <w:sz w:val="23"/>
          <w:szCs w:val="23"/>
        </w:rPr>
      </w:pPr>
      <w:r w:rsidRPr="00835F56">
        <w:rPr>
          <w:rFonts w:ascii="Times" w:eastAsia="Times New Roman" w:hAnsi="Times" w:cs="Times"/>
          <w:color w:val="152949"/>
          <w:sz w:val="23"/>
          <w:szCs w:val="23"/>
        </w:rPr>
        <w:t>Secondary loan trading; and</w:t>
      </w:r>
    </w:p>
    <w:p w:rsidR="00835F56" w:rsidRPr="00835F56" w:rsidRDefault="00835F56" w:rsidP="00835F56">
      <w:pPr>
        <w:numPr>
          <w:ilvl w:val="0"/>
          <w:numId w:val="12"/>
        </w:numPr>
        <w:spacing w:after="0" w:line="324" w:lineRule="atLeast"/>
        <w:ind w:left="518"/>
        <w:rPr>
          <w:rFonts w:ascii="Times" w:eastAsia="Times New Roman" w:hAnsi="Times" w:cs="Times"/>
          <w:color w:val="152949"/>
          <w:sz w:val="23"/>
          <w:szCs w:val="23"/>
        </w:rPr>
      </w:pPr>
      <w:r w:rsidRPr="00835F56">
        <w:rPr>
          <w:rFonts w:ascii="Times" w:eastAsia="Times New Roman" w:hAnsi="Times" w:cs="Times"/>
          <w:color w:val="152949"/>
          <w:sz w:val="23"/>
          <w:szCs w:val="23"/>
        </w:rPr>
        <w:t>Distressed asset trading.</w:t>
      </w:r>
    </w:p>
    <w:p w:rsidR="00835F56" w:rsidRPr="00835F56" w:rsidRDefault="00835F56" w:rsidP="00835F56">
      <w:pPr>
        <w:spacing w:after="0" w:line="324" w:lineRule="atLeast"/>
        <w:ind w:left="259"/>
        <w:rPr>
          <w:rFonts w:ascii="Times" w:eastAsia="Times New Roman" w:hAnsi="Times" w:cs="Times"/>
          <w:color w:val="152949"/>
          <w:sz w:val="23"/>
          <w:szCs w:val="23"/>
        </w:rPr>
      </w:pPr>
      <w:r w:rsidRPr="00835F56">
        <w:rPr>
          <w:rFonts w:ascii="Times" w:eastAsia="Times New Roman" w:hAnsi="Times" w:cs="Times"/>
          <w:color w:val="152949"/>
          <w:sz w:val="23"/>
          <w:szCs w:val="23"/>
        </w:rPr>
        <w:t>NIBC has documented risk management and investment strategies designed to manage such assets at fair value, taking into consideration the relationship of assets to liabilities in a way that mitigates market risks. Reports are provided to management on the fair value of the assets; and</w:t>
      </w:r>
    </w:p>
    <w:p w:rsidR="00835F56" w:rsidRPr="00835F56" w:rsidRDefault="00835F56" w:rsidP="00835F56">
      <w:pPr>
        <w:numPr>
          <w:ilvl w:val="0"/>
          <w:numId w:val="13"/>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Relates to financial instruments containing one or more embedded derivatives that significantly modify the cash flows resulting from those financial instruments. Under this criterion, the main classes of financial instruments designated by NIBC at Fair Value through Profit or Loss are:</w:t>
      </w:r>
    </w:p>
    <w:p w:rsidR="00835F56" w:rsidRPr="00835F56" w:rsidRDefault="00835F56" w:rsidP="00835F56">
      <w:pPr>
        <w:numPr>
          <w:ilvl w:val="0"/>
          <w:numId w:val="13"/>
        </w:numPr>
        <w:spacing w:after="0" w:line="324" w:lineRule="atLeast"/>
        <w:ind w:left="518"/>
        <w:rPr>
          <w:rFonts w:ascii="Times" w:eastAsia="Times New Roman" w:hAnsi="Times" w:cs="Times"/>
          <w:color w:val="152949"/>
          <w:sz w:val="23"/>
          <w:szCs w:val="23"/>
        </w:rPr>
      </w:pPr>
      <w:r w:rsidRPr="00835F56">
        <w:rPr>
          <w:rFonts w:ascii="Times" w:eastAsia="Times New Roman" w:hAnsi="Times" w:cs="Times"/>
          <w:color w:val="152949"/>
          <w:sz w:val="23"/>
          <w:szCs w:val="23"/>
        </w:rPr>
        <w:t>Debt securities in issue structured; and</w:t>
      </w:r>
    </w:p>
    <w:p w:rsidR="00835F56" w:rsidRPr="00835F56" w:rsidRDefault="00835F56" w:rsidP="00835F56">
      <w:pPr>
        <w:numPr>
          <w:ilvl w:val="0"/>
          <w:numId w:val="13"/>
        </w:numPr>
        <w:spacing w:after="0" w:line="324" w:lineRule="atLeast"/>
        <w:ind w:left="518"/>
        <w:rPr>
          <w:rFonts w:ascii="Times" w:eastAsia="Times New Roman" w:hAnsi="Times" w:cs="Times"/>
          <w:color w:val="152949"/>
          <w:sz w:val="23"/>
          <w:szCs w:val="23"/>
        </w:rPr>
      </w:pPr>
      <w:r w:rsidRPr="00835F56">
        <w:rPr>
          <w:rFonts w:ascii="Times" w:eastAsia="Times New Roman" w:hAnsi="Times" w:cs="Times"/>
          <w:color w:val="152949"/>
          <w:sz w:val="23"/>
          <w:szCs w:val="23"/>
        </w:rPr>
        <w:t>Subordinated liabilities at Fair Value through Profit or Loss.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fair value designation, once made, is irrevocable.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Gains and losses arising from changes in the fair value of derivatives that are managed in conjunction with designated financial assets or liabilities are included in Net trading income.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Financial instruments at Fair Value through Profit or Loss (comprising the categories described above) are initially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at fair value, and transaction costs are expensed in the Income Statement. Subsequent measurement is at fair value and all changes in fair value are reported in the Income Statement, either as Net trading income or as Gains less losses from financial assets. Interest is recorded in Interest income using the effective interest rate method, while dividend income is recorded in Dividend income when NIBC’s right to receive payment is established.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Available for Sale</w:t>
      </w:r>
      <w:r w:rsidRPr="00835F56">
        <w:rPr>
          <w:rFonts w:ascii="Trebuchet MS" w:eastAsia="Times New Roman" w:hAnsi="Trebuchet MS" w:cs="Times New Roman"/>
          <w:color w:val="48A4D4"/>
          <w:sz w:val="36"/>
        </w:rPr>
        <w:t> financial assets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48A4D4"/>
          <w:sz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Available for Sale financial assets are non-derivative financial assets that are designated at Available for Sale and are not classified as (a) Loans and Receivables, (b) Held-to-Maturity investments or (c) financial assets at Fair Value through Profit or Loss.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main classes of financial instruments designated at Available for Sale assets at 31 December 2008 include:</w:t>
      </w:r>
    </w:p>
    <w:p w:rsidR="00835F56" w:rsidRPr="00835F56" w:rsidRDefault="00835F56" w:rsidP="00835F56">
      <w:pPr>
        <w:numPr>
          <w:ilvl w:val="0"/>
          <w:numId w:val="14"/>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Equity investments (originated before 1 January 2007);</w:t>
      </w:r>
    </w:p>
    <w:p w:rsidR="00835F56" w:rsidRPr="00835F56" w:rsidRDefault="00835F56" w:rsidP="00835F56">
      <w:pPr>
        <w:numPr>
          <w:ilvl w:val="0"/>
          <w:numId w:val="14"/>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Certain debt investments that do not meet the definition of Loans and Receivables; and</w:t>
      </w:r>
    </w:p>
    <w:p w:rsidR="00835F56" w:rsidRPr="00835F56" w:rsidRDefault="00835F56" w:rsidP="00835F56">
      <w:pPr>
        <w:numPr>
          <w:ilvl w:val="0"/>
          <w:numId w:val="14"/>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EU equity tranche notes.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lastRenderedPageBreak/>
        <w:t>Available for Sale financial assets are intended to be held for an indefinite period of time, but may be sold in response to needs for liquidity or changes in interest rates, exchange rates or equity prices.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Available for Sale financial assets are initially measured at fair value plus transaction costs and are subsequently measured at fair value. Changes in fair value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directly in the Revaluation reserve in equity, until the financial instrument is </w:t>
      </w:r>
      <w:proofErr w:type="spellStart"/>
      <w:r w:rsidRPr="00835F56">
        <w:rPr>
          <w:rFonts w:ascii="Times" w:eastAsia="Times New Roman" w:hAnsi="Times" w:cs="Times"/>
          <w:color w:val="152949"/>
          <w:sz w:val="23"/>
          <w:szCs w:val="23"/>
        </w:rPr>
        <w:t>derecognised</w:t>
      </w:r>
      <w:proofErr w:type="spellEnd"/>
      <w:r w:rsidRPr="00835F56">
        <w:rPr>
          <w:rFonts w:ascii="Times" w:eastAsia="Times New Roman" w:hAnsi="Times" w:cs="Times"/>
          <w:color w:val="152949"/>
          <w:sz w:val="23"/>
          <w:szCs w:val="23"/>
        </w:rPr>
        <w:t xml:space="preserve"> or impaired. When Available for Sale investments are sold, cumulative gains or losses previously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equity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as Net trading income or as Gains less losses from financial assets (including equity investments).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Interest calculated using the effective interest method and foreign currency gains and losses on monetary instruments classified as Available for Sale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as Interest and similar income and Net trading income respectively. Dividends on Available for Sale financial instruments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as Dividend income when NIBC’s right to receive payment is established.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Loans and Receivables at</w:t>
      </w:r>
      <w:r w:rsidRPr="00835F56">
        <w:rPr>
          <w:rFonts w:ascii="Trebuchet MS" w:eastAsia="Times New Roman" w:hAnsi="Trebuchet MS" w:cs="Times New Roman"/>
          <w:color w:val="022749"/>
          <w:sz w:val="36"/>
        </w:rPr>
        <w:t> </w:t>
      </w:r>
      <w:proofErr w:type="spellStart"/>
      <w:r w:rsidRPr="00835F56">
        <w:rPr>
          <w:rFonts w:ascii="Trebuchet MS" w:eastAsia="Times New Roman" w:hAnsi="Trebuchet MS" w:cs="Times New Roman"/>
          <w:color w:val="48A4D4"/>
          <w:sz w:val="36"/>
        </w:rPr>
        <w:t>Amortised</w:t>
      </w:r>
      <w:proofErr w:type="spellEnd"/>
      <w:r w:rsidRPr="00835F56">
        <w:rPr>
          <w:rFonts w:ascii="Trebuchet MS" w:eastAsia="Times New Roman" w:hAnsi="Trebuchet MS" w:cs="Times New Roman"/>
          <w:color w:val="48A4D4"/>
          <w:sz w:val="36"/>
        </w:rPr>
        <w:t> Cost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48A4D4"/>
          <w:sz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Loans and Receivables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are non-derivative financial assets with fixed or determinable payments that are not quoted in an active market, other than:</w:t>
      </w:r>
    </w:p>
    <w:p w:rsidR="00835F56" w:rsidRPr="00835F56" w:rsidRDefault="00835F56" w:rsidP="00835F56">
      <w:pPr>
        <w:numPr>
          <w:ilvl w:val="0"/>
          <w:numId w:val="15"/>
        </w:numPr>
        <w:spacing w:after="0" w:line="324" w:lineRule="atLeast"/>
        <w:ind w:left="372"/>
        <w:rPr>
          <w:rFonts w:ascii="Times" w:eastAsia="Times New Roman" w:hAnsi="Times" w:cs="Times"/>
          <w:color w:val="152949"/>
          <w:sz w:val="23"/>
          <w:szCs w:val="23"/>
        </w:rPr>
      </w:pPr>
      <w:r w:rsidRPr="00835F56">
        <w:rPr>
          <w:rFonts w:ascii="Times" w:eastAsia="Times New Roman" w:hAnsi="Times" w:cs="Times"/>
          <w:color w:val="152949"/>
          <w:sz w:val="23"/>
          <w:szCs w:val="23"/>
        </w:rPr>
        <w:t>those that NIBC intends to sell immediately or in the short-term, which are classified as Held for Trading;</w:t>
      </w:r>
    </w:p>
    <w:p w:rsidR="00835F56" w:rsidRPr="00835F56" w:rsidRDefault="00835F56" w:rsidP="00835F56">
      <w:pPr>
        <w:numPr>
          <w:ilvl w:val="0"/>
          <w:numId w:val="15"/>
        </w:numPr>
        <w:spacing w:after="0" w:line="324" w:lineRule="atLeast"/>
        <w:ind w:left="372" w:hanging="360"/>
        <w:rPr>
          <w:rFonts w:ascii="Times" w:eastAsia="Times New Roman" w:hAnsi="Times" w:cs="Times"/>
          <w:color w:val="152949"/>
          <w:sz w:val="23"/>
          <w:szCs w:val="23"/>
        </w:rPr>
      </w:pPr>
      <w:r w:rsidRPr="00835F56">
        <w:rPr>
          <w:rFonts w:ascii="Times" w:eastAsia="Times New Roman" w:hAnsi="Times" w:cs="Times"/>
          <w:color w:val="152949"/>
          <w:sz w:val="23"/>
          <w:szCs w:val="23"/>
        </w:rPr>
        <w:t>those that NIBC upon initial recognition designates as at Fair Value through Profit or Loss;</w:t>
      </w:r>
    </w:p>
    <w:p w:rsidR="00835F56" w:rsidRPr="00835F56" w:rsidRDefault="00835F56" w:rsidP="00835F56">
      <w:pPr>
        <w:numPr>
          <w:ilvl w:val="0"/>
          <w:numId w:val="15"/>
        </w:numPr>
        <w:spacing w:after="0" w:line="324" w:lineRule="atLeast"/>
        <w:ind w:left="372" w:hanging="360"/>
        <w:rPr>
          <w:rFonts w:ascii="Times" w:eastAsia="Times New Roman" w:hAnsi="Times" w:cs="Times"/>
          <w:color w:val="152949"/>
          <w:sz w:val="23"/>
          <w:szCs w:val="23"/>
        </w:rPr>
      </w:pPr>
      <w:r w:rsidRPr="00835F56">
        <w:rPr>
          <w:rFonts w:ascii="Times" w:eastAsia="Times New Roman" w:hAnsi="Times" w:cs="Times"/>
          <w:color w:val="152949"/>
          <w:sz w:val="23"/>
          <w:szCs w:val="23"/>
        </w:rPr>
        <w:t>those that NIBC upon initial recognition designates as Available for Sale; and</w:t>
      </w:r>
    </w:p>
    <w:p w:rsidR="00835F56" w:rsidRPr="00835F56" w:rsidRDefault="00835F56" w:rsidP="00835F56">
      <w:pPr>
        <w:numPr>
          <w:ilvl w:val="0"/>
          <w:numId w:val="15"/>
        </w:numPr>
        <w:spacing w:after="0" w:line="324" w:lineRule="atLeast"/>
        <w:ind w:left="372" w:hanging="360"/>
        <w:rPr>
          <w:rFonts w:ascii="Times" w:eastAsia="Times New Roman" w:hAnsi="Times" w:cs="Times"/>
          <w:color w:val="152949"/>
          <w:sz w:val="23"/>
          <w:szCs w:val="23"/>
        </w:rPr>
      </w:pPr>
      <w:proofErr w:type="gramStart"/>
      <w:r w:rsidRPr="00835F56">
        <w:rPr>
          <w:rFonts w:ascii="Times" w:eastAsia="Times New Roman" w:hAnsi="Times" w:cs="Times"/>
          <w:color w:val="152949"/>
          <w:sz w:val="23"/>
          <w:szCs w:val="23"/>
        </w:rPr>
        <w:t>those</w:t>
      </w:r>
      <w:proofErr w:type="gramEnd"/>
      <w:r w:rsidRPr="00835F56">
        <w:rPr>
          <w:rFonts w:ascii="Times" w:eastAsia="Times New Roman" w:hAnsi="Times" w:cs="Times"/>
          <w:color w:val="152949"/>
          <w:sz w:val="23"/>
          <w:szCs w:val="23"/>
        </w:rPr>
        <w:t xml:space="preserve"> for which the holder may not recover substantially all of its initial investment, other than because of credit deterioration.</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An interest acquired in a pool of assets that are not Loans and Receivables (for example an interest in a mutual fund or similar fund) is not a loan or receivable.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main classes of Loans and Receivables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at 31 December 2008 include corporate lending (excluding commercial real estate and leverage loan warehouses, secondary loan trading and distressed asset trading) and investments in the EU corporate credits and EU structured credits portfolio that meet the Loans and Receivables definition.</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Loans and Receivables are initially measured at fair value plus directly attributable transaction costs, and are subsequently measured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using the effective interest method (including interest accruals less provision for impairment).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lastRenderedPageBreak/>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Financial</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liabilities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With the exception of those financial liabilities designated as at Fair Value through Profit or Loss, these are initially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at fair value net of transaction costs, and subsequently measured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using the effective interest method (including interest accruals), with the periodic </w:t>
      </w:r>
      <w:proofErr w:type="spellStart"/>
      <w:r w:rsidRPr="00835F56">
        <w:rPr>
          <w:rFonts w:ascii="Times" w:eastAsia="Times New Roman" w:hAnsi="Times" w:cs="Times"/>
          <w:color w:val="152949"/>
          <w:sz w:val="23"/>
          <w:szCs w:val="23"/>
        </w:rPr>
        <w:t>amortisation</w:t>
      </w:r>
      <w:proofErr w:type="spellEnd"/>
      <w:r w:rsidRPr="00835F56">
        <w:rPr>
          <w:rFonts w:ascii="Times" w:eastAsia="Times New Roman" w:hAnsi="Times" w:cs="Times"/>
          <w:color w:val="152949"/>
          <w:sz w:val="23"/>
          <w:szCs w:val="23"/>
        </w:rPr>
        <w:t xml:space="preserve"> recorded in the Income Statement.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main classes of financial liabilities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include amounts Due to other banks, Deposits from customers, Own debt securities in issue under NIBC’s European Medium Term Note </w:t>
      </w:r>
      <w:proofErr w:type="spellStart"/>
      <w:r w:rsidRPr="00835F56">
        <w:rPr>
          <w:rFonts w:ascii="Times" w:eastAsia="Times New Roman" w:hAnsi="Times" w:cs="Times"/>
          <w:color w:val="152949"/>
          <w:sz w:val="23"/>
          <w:szCs w:val="23"/>
        </w:rPr>
        <w:t>programme</w:t>
      </w:r>
      <w:proofErr w:type="spellEnd"/>
      <w:r w:rsidRPr="00835F56">
        <w:rPr>
          <w:rFonts w:ascii="Times" w:eastAsia="Times New Roman" w:hAnsi="Times" w:cs="Times"/>
          <w:color w:val="152949"/>
          <w:sz w:val="23"/>
          <w:szCs w:val="23"/>
        </w:rPr>
        <w:t xml:space="preserve">, Covered Bonds </w:t>
      </w:r>
      <w:proofErr w:type="spellStart"/>
      <w:r w:rsidRPr="00835F56">
        <w:rPr>
          <w:rFonts w:ascii="Times" w:eastAsia="Times New Roman" w:hAnsi="Times" w:cs="Times"/>
          <w:color w:val="152949"/>
          <w:sz w:val="23"/>
          <w:szCs w:val="23"/>
        </w:rPr>
        <w:t>programme</w:t>
      </w:r>
      <w:proofErr w:type="spellEnd"/>
      <w:r w:rsidRPr="00835F56">
        <w:rPr>
          <w:rFonts w:ascii="Times" w:eastAsia="Times New Roman" w:hAnsi="Times" w:cs="Times"/>
          <w:color w:val="152949"/>
          <w:sz w:val="23"/>
          <w:szCs w:val="23"/>
        </w:rPr>
        <w:t xml:space="preserve"> and the Dutch State’s Credit Guarantee Scheme and Debt securities in issue related to </w:t>
      </w:r>
      <w:proofErr w:type="spellStart"/>
      <w:r w:rsidRPr="00835F56">
        <w:rPr>
          <w:rFonts w:ascii="Times" w:eastAsia="Times New Roman" w:hAnsi="Times" w:cs="Times"/>
          <w:color w:val="152949"/>
          <w:sz w:val="23"/>
          <w:szCs w:val="23"/>
        </w:rPr>
        <w:t>securitised</w:t>
      </w:r>
      <w:proofErr w:type="spellEnd"/>
      <w:r w:rsidRPr="00835F56">
        <w:rPr>
          <w:rFonts w:ascii="Times" w:eastAsia="Times New Roman" w:hAnsi="Times" w:cs="Times"/>
          <w:color w:val="152949"/>
          <w:sz w:val="23"/>
          <w:szCs w:val="23"/>
        </w:rPr>
        <w:t xml:space="preserve"> mortgages. The main classes of financial liabilities at Fair Value through Profit or Loss include Debt securities in issue structured that consist of notes issued with embedded derivatives and derivative financial liabilities Held for Trading and hedging.</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NIBC classifies capital instruments as financial liabilities or equity instruments in accordance with the substance of the contractual terms of the instrument. The Group’s perpetual bonds are not redeemable by the holders but bear an entitlement to distributions that is not at the discretion of the Group. Accordingly, they are presented as a financial liability.</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Preference shares, which are mandatorily redeemable on a specific date, are classified as liabilities. The dividends on these preference shares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as interest expense.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Subordinated liabilities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initially at fair value net of transaction costs incurred. Subordinated liabilities without embedded derivatives are subsequently stated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any difference between proceeds net of transaction costs and the redemption value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over the period of the financial liability using the effective interest method. Subordinated liabilities containing one or more embedded derivatives that significantly modify the cash flows are designated at Fair Value through Profit or Loss.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Recognition of</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day one profit or loss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best evidence of fair value at initial recognition is the transaction price (i.e. the fair value of the consideration given or received), unless the fair value of that instrument is evidenced by comparison with other observable current market transactions in the same instrument (i.e. without modification or repackaging) or based on a valuation technique whose variables include only data from observable markets.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lastRenderedPageBreak/>
        <w:t xml:space="preserve">The Group has entered into transactions where fair value is determined using valuation models for which not all inputs are market observable prices or rates. Such financial instruments are initially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at the transaction price, which is the best indicator of fair value, although the value obtained from the relevant valuation model may differ. Significant differences between the transaction price and the model value, commonly referred to as ‘day one profit or loss’, are not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immediately in the Income Statement.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Deferred ‘day one profit or </w:t>
      </w:r>
      <w:proofErr w:type="gramStart"/>
      <w:r w:rsidRPr="00835F56">
        <w:rPr>
          <w:rFonts w:ascii="Times" w:eastAsia="Times New Roman" w:hAnsi="Times" w:cs="Times"/>
          <w:color w:val="152949"/>
          <w:sz w:val="23"/>
          <w:szCs w:val="23"/>
        </w:rPr>
        <w:t>loss’</w:t>
      </w:r>
      <w:proofErr w:type="gramEnd"/>
      <w:r w:rsidRPr="00835F56">
        <w:rPr>
          <w:rFonts w:ascii="Times" w:eastAsia="Times New Roman" w:hAnsi="Times" w:cs="Times"/>
          <w:color w:val="152949"/>
          <w:sz w:val="23"/>
          <w:szCs w:val="23"/>
        </w:rPr>
        <w:t xml:space="preserve"> is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to income over the life until maturity or settlement. The financial instrument is subsequently measured at fair value as determined by the relevant model adjusted for any deferred ‘day one profit or loss’.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Offsetting</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Financial assets and liabilities are offset, and the net amount is reported in the Balance Sheet when a legally enforceable right to set-off the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amounts exists and the Group intends to settle on a net basis, or </w:t>
      </w:r>
      <w:proofErr w:type="spellStart"/>
      <w:r w:rsidRPr="00835F56">
        <w:rPr>
          <w:rFonts w:ascii="Times" w:eastAsia="Times New Roman" w:hAnsi="Times" w:cs="Times"/>
          <w:color w:val="152949"/>
          <w:sz w:val="23"/>
          <w:szCs w:val="23"/>
        </w:rPr>
        <w:t>realise</w:t>
      </w:r>
      <w:proofErr w:type="spellEnd"/>
      <w:r w:rsidRPr="00835F56">
        <w:rPr>
          <w:rFonts w:ascii="Times" w:eastAsia="Times New Roman" w:hAnsi="Times" w:cs="Times"/>
          <w:color w:val="152949"/>
          <w:sz w:val="23"/>
          <w:szCs w:val="23"/>
        </w:rPr>
        <w:t xml:space="preserve"> the asset and settle the liability simultaneously.</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Collateral</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Group enters into master agreements and credit support annexes with counterparties whenever possible and when appropriate. Master agreements provide that, if the master agreement is being terminated as a consequence of an event of default or termination event, all outstanding transactions with the counterparty will fall due and all amounts outstanding will be settled on a net basis. In case of a Credit Support Annex with counterparties, the Group has the right to obtain collateral for the net counterparty exposure.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Group obtains collateral in respect of counterparty liabilities when this is considered appropriate. The collateral normally takes the form of a lien over the counterparty’s assets and gives the Group a claim on these assets for both existing and future liabilities.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Group also pays and receives collateral in the form of cash or securities in respect of other credit instruments, such as derivative contracts, in order to reduce credit risk. Collateral paid or received in the form of cash together with the underlying is recorded on the Balance Sheet at net </w:t>
      </w:r>
      <w:proofErr w:type="spellStart"/>
      <w:r w:rsidRPr="00835F56">
        <w:rPr>
          <w:rFonts w:ascii="Times" w:eastAsia="Times New Roman" w:hAnsi="Times" w:cs="Times"/>
          <w:color w:val="152949"/>
          <w:sz w:val="23"/>
          <w:szCs w:val="23"/>
        </w:rPr>
        <w:t>realisable</w:t>
      </w:r>
      <w:proofErr w:type="spellEnd"/>
      <w:r w:rsidRPr="00835F56">
        <w:rPr>
          <w:rFonts w:ascii="Times" w:eastAsia="Times New Roman" w:hAnsi="Times" w:cs="Times"/>
          <w:color w:val="152949"/>
          <w:sz w:val="23"/>
          <w:szCs w:val="23"/>
        </w:rPr>
        <w:t xml:space="preserve"> value. Any interest payable or receivable arising is recorded as interest expense or interest income respectively.</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lastRenderedPageBreak/>
        <w:t>Derivative financial instruments</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and hedging</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48A4D4"/>
          <w:sz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NIBC uses derivative financial instruments both for trading and hedging purposes. NIBC uses derivative financial instruments to hedge its exposure to foreign exchange and interest rate risks and to credit spread risk.</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Derivative financial instruments are initially measured, and are subsequently </w:t>
      </w:r>
      <w:proofErr w:type="spellStart"/>
      <w:r w:rsidRPr="00835F56">
        <w:rPr>
          <w:rFonts w:ascii="Times" w:eastAsia="Times New Roman" w:hAnsi="Times" w:cs="Times"/>
          <w:color w:val="152949"/>
          <w:sz w:val="23"/>
          <w:szCs w:val="23"/>
        </w:rPr>
        <w:t>remeasured</w:t>
      </w:r>
      <w:proofErr w:type="spellEnd"/>
      <w:r w:rsidRPr="00835F56">
        <w:rPr>
          <w:rFonts w:ascii="Times" w:eastAsia="Times New Roman" w:hAnsi="Times" w:cs="Times"/>
          <w:color w:val="152949"/>
          <w:sz w:val="23"/>
          <w:szCs w:val="23"/>
        </w:rPr>
        <w:t>, at fair value. The fair value of exchange-traded derivatives is obtained from quoted market prices. Fair values of over-the-counter derivatives are obtained using valuation techniques, including discounted cash flow models and option pricing models.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method of </w:t>
      </w:r>
      <w:proofErr w:type="spellStart"/>
      <w:r w:rsidRPr="00835F56">
        <w:rPr>
          <w:rFonts w:ascii="Times" w:eastAsia="Times New Roman" w:hAnsi="Times" w:cs="Times"/>
          <w:color w:val="152949"/>
          <w:sz w:val="23"/>
          <w:szCs w:val="23"/>
        </w:rPr>
        <w:t>recognising</w:t>
      </w:r>
      <w:proofErr w:type="spellEnd"/>
      <w:r w:rsidRPr="00835F56">
        <w:rPr>
          <w:rFonts w:ascii="Times" w:eastAsia="Times New Roman" w:hAnsi="Times" w:cs="Times"/>
          <w:color w:val="152949"/>
          <w:sz w:val="23"/>
          <w:szCs w:val="23"/>
        </w:rPr>
        <w:t xml:space="preserve"> fair value gains and losses depends on whether the derivatives are Held for Trading or are designated as hedging instruments, and if the latter, the nature of the risks being hedged. All gains and losses from changes in the fair value of derivatives Held for Trading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When derivatives are designated as hedges, NIBC classifies them as either a (</w:t>
      </w:r>
      <w:proofErr w:type="spellStart"/>
      <w:r w:rsidRPr="00835F56">
        <w:rPr>
          <w:rFonts w:ascii="Times" w:eastAsia="Times New Roman" w:hAnsi="Times" w:cs="Times"/>
          <w:color w:val="152949"/>
          <w:sz w:val="23"/>
          <w:szCs w:val="23"/>
        </w:rPr>
        <w:t>i</w:t>
      </w:r>
      <w:proofErr w:type="spellEnd"/>
      <w:r w:rsidRPr="00835F56">
        <w:rPr>
          <w:rFonts w:ascii="Times" w:eastAsia="Times New Roman" w:hAnsi="Times" w:cs="Times"/>
          <w:color w:val="152949"/>
          <w:sz w:val="23"/>
          <w:szCs w:val="23"/>
        </w:rPr>
        <w:t>) fair value hedge of interest rate risk (‘portfolio fair value hedges’); (ii) a fair value hedge of interest rate risk and foreign exchange rate risk (‘micro fair value hedges’) (iii) cash flow hedge of the variability of highly probable cash flows (‘cash flow hedges’); or (iv) hedges of net investments in a foreign operation (‘net investment hedge’). Hedge accounting is applied to derivatives designated as hedging instruments, provided certain criteria are met.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Hedge accounting</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Where derivatives are held for risk management purposes, and when transactions meet the criteria specified in IAS 39, the Group applies fair value hedge accounting, cash flow hedge accounting, or hedging of a net investment in a foreign operation, as appropriate, to the risks being hedged.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At the inception of a hedging relationship, NIBC documents the relationship between the hedging instrument and the hedged item, its risk management objective and its strategy for undertaking the hedge. NIBC also requires a documented assessment, both at hedge inception and on an ongoing basis, of whether or not the derivatives that are used in hedging relationships are highly effective in offsetting changes attributable to the hedged risk in the fair value or cash flows of the hedged items. Interest on designated qualifying hedges is included in Net interest income.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Group discontinues hedge accounting prospectively when:</w:t>
      </w:r>
    </w:p>
    <w:p w:rsidR="00835F56" w:rsidRPr="00835F56" w:rsidRDefault="00835F56" w:rsidP="00835F56">
      <w:pPr>
        <w:numPr>
          <w:ilvl w:val="0"/>
          <w:numId w:val="16"/>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It is determined that a derivative is not, or has ceased to be, highly effective as a hedge;</w:t>
      </w:r>
    </w:p>
    <w:p w:rsidR="00835F56" w:rsidRPr="00835F56" w:rsidRDefault="00835F56" w:rsidP="00835F56">
      <w:pPr>
        <w:numPr>
          <w:ilvl w:val="0"/>
          <w:numId w:val="16"/>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The derivative expires, or is sold, terminated or exercised;</w:t>
      </w:r>
    </w:p>
    <w:p w:rsidR="00835F56" w:rsidRPr="00835F56" w:rsidRDefault="00835F56" w:rsidP="00835F56">
      <w:pPr>
        <w:numPr>
          <w:ilvl w:val="0"/>
          <w:numId w:val="16"/>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lastRenderedPageBreak/>
        <w:t>The hedged item matures or is sold or repaid; or</w:t>
      </w:r>
    </w:p>
    <w:p w:rsidR="00835F56" w:rsidRPr="00835F56" w:rsidRDefault="00835F56" w:rsidP="00835F56">
      <w:pPr>
        <w:numPr>
          <w:ilvl w:val="0"/>
          <w:numId w:val="16"/>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A forecast transaction is no longer deemed highly probable.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Fair value hedge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NIBC applies portfolio fair value hedge accounting and fair value hedge accounting on a micro level.</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Changes in the fair value of derivatives that are designated and qualify as fair value hedging instruments are recorded in the Income Statement together with changes in the fair value of the hedged items attributable to the hedged risk.</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If a hedge relationship no longer meets the criteria for hedge accounting, the cumulative fair value adjustment to the carrying amount of the hedged item is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to the Income Statement over the remaining period to maturity using the effective interest method. If the hedged item is </w:t>
      </w:r>
      <w:proofErr w:type="spellStart"/>
      <w:r w:rsidRPr="00835F56">
        <w:rPr>
          <w:rFonts w:ascii="Times" w:eastAsia="Times New Roman" w:hAnsi="Times" w:cs="Times"/>
          <w:color w:val="152949"/>
          <w:sz w:val="23"/>
          <w:szCs w:val="23"/>
        </w:rPr>
        <w:t>derecognised</w:t>
      </w:r>
      <w:proofErr w:type="spellEnd"/>
      <w:r w:rsidRPr="00835F56">
        <w:rPr>
          <w:rFonts w:ascii="Times" w:eastAsia="Times New Roman" w:hAnsi="Times" w:cs="Times"/>
          <w:color w:val="152949"/>
          <w:sz w:val="23"/>
          <w:szCs w:val="23"/>
        </w:rPr>
        <w:t xml:space="preserve">, the </w:t>
      </w:r>
      <w:proofErr w:type="spellStart"/>
      <w:r w:rsidRPr="00835F56">
        <w:rPr>
          <w:rFonts w:ascii="Times" w:eastAsia="Times New Roman" w:hAnsi="Times" w:cs="Times"/>
          <w:color w:val="152949"/>
          <w:sz w:val="23"/>
          <w:szCs w:val="23"/>
        </w:rPr>
        <w:t>unamortised</w:t>
      </w:r>
      <w:proofErr w:type="spellEnd"/>
      <w:r w:rsidRPr="00835F56">
        <w:rPr>
          <w:rFonts w:ascii="Times" w:eastAsia="Times New Roman" w:hAnsi="Times" w:cs="Times"/>
          <w:color w:val="152949"/>
          <w:sz w:val="23"/>
          <w:szCs w:val="23"/>
        </w:rPr>
        <w:t xml:space="preserve"> fair value adjustment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immediately in the Income Statement.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275" w:lineRule="atLeast"/>
        <w:rPr>
          <w:rFonts w:ascii="Trebuchet MS" w:eastAsia="Times New Roman" w:hAnsi="Trebuchet MS" w:cs="Times New Roman"/>
          <w:color w:val="48A4D4"/>
          <w:spacing w:val="5"/>
          <w:sz w:val="26"/>
          <w:szCs w:val="26"/>
        </w:rPr>
      </w:pPr>
      <w:r w:rsidRPr="00835F56">
        <w:rPr>
          <w:rFonts w:ascii="Trebuchet MS" w:eastAsia="Times New Roman" w:hAnsi="Trebuchet MS" w:cs="Times New Roman"/>
          <w:color w:val="48A4D4"/>
          <w:spacing w:val="5"/>
          <w:sz w:val="26"/>
          <w:szCs w:val="26"/>
        </w:rPr>
        <w:t>Portfolio fair value hedge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NIBC applies portfolio fair value hedge accounting to the interest rate risk arising on portfolios of fixed interest rate corporate loans (classified as Available for Sale financial assets or as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assets) and to portfolios of plain vanilla fixed interest rate funding (liabilities classified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In order to apply portfolio fair value hedge accounting, the cash flows arising on the portfolios are scheduled into time buckets based upon when the cash flows are expected to occur. For the first two years, cash flows are scheduled using monthly time buckets; thereafter annual time buckets are used. Hedging instruments are designated for each time bucket, together with an amount of assets or liabilities that NIBC is seeking to hedge. Designation and de-designation of hedging relationships is undertaken on a monthly basis, together with an assessment of the effectiveness of the hedging relationship at a portfolio level, across all time buckets.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Ineffectiveness within the 80%-125% bandwidth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through the actual hedge adjustment. Ineffectiveness outside the 80%-125% bandwidth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by not posting a hedge adjustment to the hedged item.</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275" w:lineRule="atLeast"/>
        <w:rPr>
          <w:rFonts w:ascii="Trebuchet MS" w:eastAsia="Times New Roman" w:hAnsi="Trebuchet MS" w:cs="Times New Roman"/>
          <w:color w:val="48A4D4"/>
          <w:spacing w:val="5"/>
          <w:sz w:val="26"/>
          <w:szCs w:val="26"/>
        </w:rPr>
      </w:pPr>
      <w:r w:rsidRPr="00835F56">
        <w:rPr>
          <w:rFonts w:ascii="Trebuchet MS" w:eastAsia="Times New Roman" w:hAnsi="Trebuchet MS" w:cs="Times New Roman"/>
          <w:color w:val="48A4D4"/>
          <w:spacing w:val="5"/>
          <w:sz w:val="26"/>
          <w:szCs w:val="26"/>
        </w:rPr>
        <w:t>Micro fair value hedge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NIBC applies micro fair value hedge accounting to the interest rate risk and or the foreign exchange risk arising from plain vanilla fixed interest rate funding denominated in a foreign currency. Cross-currency interest rate swaps are used as hedging instruments. Changes in the fair value of derivatives that are designated and qualify as fair value hedging instruments are recorded in the Income Statement together with changes in the fair value of the hedged items attributable to the hedged risks.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lastRenderedPageBreak/>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Retrospective effectiveness is tested monthly, by comparing the cumulative fair value movement excluding interest (since inception) of the hedged item, due to changes in both benchmark interest rates and foreign exchange rates, to the total fair value movement excluding interest of the hedging instrument (the cumulative dollar offset method).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Ineffectiveness within the 80%-125% bandwidth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through the actual hedge adjustment. Ineffectiveness outside the 80%-125% bandwidth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by not posting a hedge adjustment to the hedged item. In this case, the micro hedge relationship is de-designated and it is re-designated at the beginning of the next period.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Cash flow hedge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Cash flow hedging is applied to hedge the variability arising on expected future cash flows due to interest rate risk on Available for Sale corporate loans and/or corporate loans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with floating interest rates. As interest rates fluctuate, the future cash flows on these instruments also fluctuate. NIBC uses interest rate swaps to hedge the risk of such cash flow fluctuations.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effective portion of changes in the fair value of hedging instruments that are designated and qualify as cash flow hedges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equity within the cash flow hedging reserve. Any gain or loss in fair value relating to an ineffective portion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immediately in the Income Statement.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Amounts accumulated in equity are recycled to the Income Statement in the periods in which the hedged item will affect profit or loss. When a hedging instrument expires or is sold, or when a hedge no longer meets the criteria for hedge accounting, any cumulative gain or loss in equity at that time remains in equity until the forecast cash flow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When a forecast transaction is no longer expected to occur, the cumulative gain or loss that was reported in equity is immediately transferred to the Income Statement.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Net investment hedge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Hedges of net investments in foreign operations are accounted for similarly to cash flow hedges. Any gain or loss on the hedging instrument relating to the effective portion of the hedge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equity; the gain or loss relating to the ineffective portion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immediately in the Income Statement. Gains and losses accumulated in equity are included in the Income Statement when the foreign operation is sold.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lastRenderedPageBreak/>
        <w:t>Hedge effectiveness testing</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To qualify for hedge accounting, NIBC requires that at the inception of the hedge and throughout its life, each hedge must be expected to be highly effective (prospective effectiveness). Actual effectiveness (retrospective effectiveness) must also be demonstrated on an ongoing basis.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documentation of each hedging relationship describes how effectiveness will be assessed. For prospective effectiveness, the hedging instrument must be expected to be highly effective in achieving offsetting changes in fair value or cash flows attributable to the hedged risk during the period for which the hedge is designated. For actual effectiveness, the changes in fair value or cash flows must offset each other in the range of 80%-125% for the hedge to be deemed effective.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Hedge ineffectiveness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in Net trading income.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Derivatives managed in conjunction with financial instruments designated as Fair Value through Profit or Loss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All gains and losses arising from changes in the fair value of any derivatives that do not qualify for hedge accounting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immediately in the Income Statement. Derivatives used to manage the interest rate and credit spread exposure on certain financial assets and liabilities (mainly structured funding, debt investments and residential mortgage loans) are not designated in hedging relationships. Gains and losses on these derivatives together with the fair value movements on these financial assets and liabilities are reported within Net trading income.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Embedded derivatives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Some hybrid contracts contain both a derivative and a non-derivative component. In such cases, the derivative component is termed an embedded derivative. Certain derivatives embedded in financial instruments are bifurcated when their risks and characteristics are not closely related to those of the host contract and the host contract is not reported as Fair Value through Profit or Loss. These embedded derivatives are separately accounted for and measured at fair value, with fair value movements reported in the Income Statement. The amendments to IFRIC 9 require the Group to assess whether these are embedded derivatives that should be separated from financial assets reclassified out of the Fair Value through Profit or Loss category.</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Sale and</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repurchase agreements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48A4D4"/>
          <w:sz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Securities sold subject to repurchase agreements (‘repos’) are reclassified in the Financial Statements as pledged assets when the transferee has the right by contract or custom to sell or re-pledge the </w:t>
      </w:r>
      <w:r w:rsidRPr="00835F56">
        <w:rPr>
          <w:rFonts w:ascii="Times" w:eastAsia="Times New Roman" w:hAnsi="Times" w:cs="Times"/>
          <w:color w:val="152949"/>
          <w:sz w:val="23"/>
          <w:szCs w:val="23"/>
        </w:rPr>
        <w:lastRenderedPageBreak/>
        <w:t>collateral; the counterparty liability is included in amounts Due to other banks or Deposits from customers as appropriate.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Securities purchased under agreements to resell (‘reverse repos’) are recorded as Loans and Receivables to other banks or customers, as appropriate. The difference between sale and repurchase price is treated as interest and accrued over the life of the agreements using the effective interest method. Securities lent to counterparties are also retained in the Financial Statements.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Impairment</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Group assesses at each balance sheet date whether there is objective evidence that a financial asset or group of financial assets is impaired. A financial asset or a group of financial assets is impaired and impairment losses are incurred only if there is objective evidence of impairment as a result of one or more events that occurred after the initial recognition of the asset (a ‘loss event’) and that loss event (or events) has an impact on the estimated future cash flows of the financial asset or group of financial assets that can be reliably estimated.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criteria that the Group uses to determine that there is objective evidence of an impairment loss include:</w:t>
      </w:r>
    </w:p>
    <w:p w:rsidR="00835F56" w:rsidRPr="00835F56" w:rsidRDefault="00835F56" w:rsidP="00835F56">
      <w:pPr>
        <w:numPr>
          <w:ilvl w:val="0"/>
          <w:numId w:val="17"/>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Delinquency in contractual payments of principal or interest;</w:t>
      </w:r>
    </w:p>
    <w:p w:rsidR="00835F56" w:rsidRPr="00835F56" w:rsidRDefault="00835F56" w:rsidP="00835F56">
      <w:pPr>
        <w:numPr>
          <w:ilvl w:val="0"/>
          <w:numId w:val="17"/>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Cash flow difficulties experienced by the borrower (for example, equity ratio, net income percentage of sales);</w:t>
      </w:r>
    </w:p>
    <w:p w:rsidR="00835F56" w:rsidRPr="00835F56" w:rsidRDefault="00835F56" w:rsidP="00835F56">
      <w:pPr>
        <w:numPr>
          <w:ilvl w:val="0"/>
          <w:numId w:val="17"/>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Breach of loan covenants or conditions;</w:t>
      </w:r>
    </w:p>
    <w:p w:rsidR="00835F56" w:rsidRPr="00835F56" w:rsidRDefault="00835F56" w:rsidP="00835F56">
      <w:pPr>
        <w:numPr>
          <w:ilvl w:val="0"/>
          <w:numId w:val="17"/>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Initiation of bankruptcy proceedings;</w:t>
      </w:r>
    </w:p>
    <w:p w:rsidR="00835F56" w:rsidRPr="00835F56" w:rsidRDefault="00835F56" w:rsidP="00835F56">
      <w:pPr>
        <w:numPr>
          <w:ilvl w:val="0"/>
          <w:numId w:val="17"/>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Deterioration of the borrower’s competitive position; and</w:t>
      </w:r>
    </w:p>
    <w:p w:rsidR="00835F56" w:rsidRPr="00835F56" w:rsidRDefault="00835F56" w:rsidP="00835F56">
      <w:pPr>
        <w:numPr>
          <w:ilvl w:val="0"/>
          <w:numId w:val="17"/>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Deterioration in the value of collateral.</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estimated period between a loss occurring and its identification is determined by management for each identified portfolio (corporate loans, EU corporate credits and EU structured credits).The average period used is three months for the different corporate loan portfolios.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Losses expected from future events, no matter how likely, are not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Financial assets reported at </w:t>
      </w:r>
      <w:proofErr w:type="spellStart"/>
      <w:r w:rsidRPr="00835F56">
        <w:rPr>
          <w:rFonts w:ascii="Trebuchet MS" w:eastAsia="Times New Roman" w:hAnsi="Trebuchet MS" w:cs="Times New Roman"/>
          <w:b/>
          <w:bCs/>
          <w:color w:val="152949"/>
          <w:spacing w:val="5"/>
          <w:sz w:val="29"/>
          <w:szCs w:val="29"/>
        </w:rPr>
        <w:t>Amortised</w:t>
      </w:r>
      <w:proofErr w:type="spellEnd"/>
      <w:r w:rsidRPr="00835F56">
        <w:rPr>
          <w:rFonts w:ascii="Trebuchet MS" w:eastAsia="Times New Roman" w:hAnsi="Trebuchet MS" w:cs="Times New Roman"/>
          <w:b/>
          <w:bCs/>
          <w:color w:val="152949"/>
          <w:spacing w:val="5"/>
          <w:sz w:val="29"/>
          <w:szCs w:val="29"/>
        </w:rPr>
        <w:t> Cost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Group first assesses whether objective evidence of impairment exists individually for financial assets that are individually significant, and individually or collectively for financial assets that are not individually significant. If the Group determines that no objective evidence of impairment exists for </w:t>
      </w:r>
      <w:r w:rsidRPr="00835F56">
        <w:rPr>
          <w:rFonts w:ascii="Times" w:eastAsia="Times New Roman" w:hAnsi="Times" w:cs="Times"/>
          <w:color w:val="152949"/>
          <w:sz w:val="23"/>
          <w:szCs w:val="23"/>
        </w:rPr>
        <w:lastRenderedPageBreak/>
        <w:t>an individually assessed financial asset, whether significant or not, it includes the asset in a group of financial assets with similar credit risk characteristics and collectively assesses them for impairment.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Assets that are individually assessed for impairment and for which an impairment loss is or continues to be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are not included in a collective assessment of impairment.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amount of the loss is measured as the difference between the asset’s carrying amount and the present value of estimated future cash flows (excluding future credit losses that have not been incurred) discounted at the financial asset’s original effective interest rate. The carrying amount of the asset is reduced through the use of an allowance account and the amount of the loss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If a loan has a variable interest rate, the discount rate for measuring any impairment loss is the current effective interest rate determined under the contract. As a practical expedient, the Group may measure impairment on the basis of an instrument’s fair value using an observable market price.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calculation of the present value of the estimated future cash flows of a </w:t>
      </w:r>
      <w:proofErr w:type="spellStart"/>
      <w:r w:rsidRPr="00835F56">
        <w:rPr>
          <w:rFonts w:ascii="Times" w:eastAsia="Times New Roman" w:hAnsi="Times" w:cs="Times"/>
          <w:color w:val="152949"/>
          <w:sz w:val="23"/>
          <w:szCs w:val="23"/>
        </w:rPr>
        <w:t>collateralised</w:t>
      </w:r>
      <w:proofErr w:type="spellEnd"/>
      <w:r w:rsidRPr="00835F56">
        <w:rPr>
          <w:rFonts w:ascii="Times" w:eastAsia="Times New Roman" w:hAnsi="Times" w:cs="Times"/>
          <w:color w:val="152949"/>
          <w:sz w:val="23"/>
          <w:szCs w:val="23"/>
        </w:rPr>
        <w:t xml:space="preserve"> financial asset reflects the cash flows that may result from foreclosure less costs for obtaining and selling the collateral, whether or not foreclosure is probable.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For the purposes of a collective evaluation of impairment, financial assets are grouped on the basis of similar credit risk characteristics (i.e. on the basis of the Group’s grading process that considers asset type, industry, geographical location, collateral type, past-due status and other relevant factors).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Those characteristics are relevant to the estimation of future cash flows for groups of such assets by being indicative of the debtors’ ability to pay all amounts due according to the contractual terms of the assets being evaluated.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Future cash flows from a group of financial assets that are collectively evaluated for impairment are estimated on the basis of the contractual cash flows of the assets in the Group and historical loss experience for assets with credit risk characteristics similar to those in the Group. Historical loss experience is adjusted on the basis of current observable data to reflect the effects of current conditions that did not affect the period on which the historical loss experience is based and to remove the effects of conditions in the historical period that do not currently exist.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Estimates of changes in future cash flows for groups of assets should reflect and be directionally consistent with changes in related observable data from period to period (for example, changes in unemployment rates, property prices, payment status, or other factors indicative of changes in the probability of losses in the Group and their magnitude). The methodology and assumptions used for estimating future cash flows are reviewed regularly by the Group to reduce any differences between loss estimates and actual loss experience.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lastRenderedPageBreak/>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Following impairment, interest income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using the original effective rate of interest that was used to discount the future cash flows for the purpose of measuring the impairment loss.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When a loan is uncollectible, it is written-off against the related allowance for loan impairment. Such loans are written-off after all the necessary procedures have been completed and the amount of the loss has been determined.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If, in a subsequent period, the amount of the impairment loss decreases and the decrease can be related objectively to an event occurring after the impairment was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(such as an improvement in the debtor’s credit rating), the previously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impairment loss is reversed by adjusting the allowance account. The amount of the reversal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under Impairment of corporate loans or Impairment of other interest bearing assets.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Financial Assets classified as Available for Sale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Group assesses at each balance sheet date whether there is objective evidence that a financial asset or a group of financial assets is impaired.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In the case of equity investments classified as Available for Sale, a significant or prolonged decline in the fair value of the security below its cost is considered in determining whether the assets are impaired.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If objective evidence of impairment exists for Available for Sale financial assets, the cumulative loss - measured as the difference between the acquisition cost and the current fair value, less any impairment loss on that financial asset previously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 is removed from equity and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under Gains less losses from financial assets (including equity investments).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Reversals of impairment losses are subject to contrasting treatments depending on the nature of the instrument concerned:</w:t>
      </w:r>
    </w:p>
    <w:p w:rsidR="00835F56" w:rsidRPr="00835F56" w:rsidRDefault="00835F56" w:rsidP="00835F56">
      <w:pPr>
        <w:numPr>
          <w:ilvl w:val="0"/>
          <w:numId w:val="18"/>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Impairment losses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on equity instruments are not reversed through the Income Statement; and</w:t>
      </w:r>
    </w:p>
    <w:p w:rsidR="00835F56" w:rsidRPr="00835F56" w:rsidRDefault="00835F56" w:rsidP="00835F56">
      <w:pPr>
        <w:numPr>
          <w:ilvl w:val="0"/>
          <w:numId w:val="18"/>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If, in a subsequent period, the fair value of a debt instrument classified as Available for Sale increases and the increase can be objectively related to an event occurring after the impairment loss was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the impairment loss is reversed through the Income Statement.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Non-financial assets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lastRenderedPageBreak/>
        <w:t xml:space="preserve">Assets that have an indefinite useful life are not subject to </w:t>
      </w:r>
      <w:proofErr w:type="spellStart"/>
      <w:r w:rsidRPr="00835F56">
        <w:rPr>
          <w:rFonts w:ascii="Times" w:eastAsia="Times New Roman" w:hAnsi="Times" w:cs="Times"/>
          <w:color w:val="152949"/>
          <w:sz w:val="23"/>
          <w:szCs w:val="23"/>
        </w:rPr>
        <w:t>amortisation</w:t>
      </w:r>
      <w:proofErr w:type="spellEnd"/>
      <w:r w:rsidRPr="00835F56">
        <w:rPr>
          <w:rFonts w:ascii="Times" w:eastAsia="Times New Roman" w:hAnsi="Times" w:cs="Times"/>
          <w:color w:val="152949"/>
          <w:sz w:val="23"/>
          <w:szCs w:val="23"/>
        </w:rPr>
        <w:t xml:space="preserve"> and are tested annually for impairment. Assets that are subject to </w:t>
      </w:r>
      <w:proofErr w:type="spellStart"/>
      <w:r w:rsidRPr="00835F56">
        <w:rPr>
          <w:rFonts w:ascii="Times" w:eastAsia="Times New Roman" w:hAnsi="Times" w:cs="Times"/>
          <w:color w:val="152949"/>
          <w:sz w:val="23"/>
          <w:szCs w:val="23"/>
        </w:rPr>
        <w:t>amortisation</w:t>
      </w:r>
      <w:proofErr w:type="spellEnd"/>
      <w:r w:rsidRPr="00835F56">
        <w:rPr>
          <w:rFonts w:ascii="Times" w:eastAsia="Times New Roman" w:hAnsi="Times" w:cs="Times"/>
          <w:color w:val="152949"/>
          <w:sz w:val="23"/>
          <w:szCs w:val="23"/>
        </w:rPr>
        <w:t xml:space="preserve"> are reviewed for impairment whenever events or changes in circumstances indicate that the carrying amount may not be recoverable. An impairment loss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for the amount by which the asset’s carrying amount exceeds its recoverable amount. The recoverable amount is the higher of an asset’s fair value less costs to sell and its value in use.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For the purpose of assessing impairment, assets are grouped at the lowest levels for which there are separately identifiable cash flows (cash-generating units). Non-financial assets other than goodwill that suffered </w:t>
      </w:r>
      <w:proofErr w:type="gramStart"/>
      <w:r w:rsidRPr="00835F56">
        <w:rPr>
          <w:rFonts w:ascii="Times" w:eastAsia="Times New Roman" w:hAnsi="Times" w:cs="Times"/>
          <w:color w:val="152949"/>
          <w:sz w:val="23"/>
          <w:szCs w:val="23"/>
        </w:rPr>
        <w:t>an impairment</w:t>
      </w:r>
      <w:proofErr w:type="gramEnd"/>
      <w:r w:rsidRPr="00835F56">
        <w:rPr>
          <w:rFonts w:ascii="Times" w:eastAsia="Times New Roman" w:hAnsi="Times" w:cs="Times"/>
          <w:color w:val="152949"/>
          <w:sz w:val="23"/>
          <w:szCs w:val="23"/>
        </w:rPr>
        <w:t xml:space="preserve"> are reviewed for possible reversal of the impairment at each reporting date. Impairment losses and the reversal of such losses, for non-financial assets other than goodwill,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directly in the Income Statement.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Renegotiated loans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Loans that are subject to collective impairment assessment and whose terms have been renegotiated are no longer considered past due but are treated as new loans only after the minimum number of payments required under the new arrangements have been received.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Intangible</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assets</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Goodwill</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Goodwill represents the excess of the cost of an acquisition over the fair value of the Group’s share of the net identifiable assets of the acquired subsidiary/associate at the date of acquisition. Goodwill on acquisitions of subsidiaries is included in Intangible assets. Goodwill on acquisitions of associates is included in Investments in associates. Goodwill is tested annually for impairment or more frequently when there are indications that impairments may have occurred and carried at cost less accumulated impairment losses. Impairment losses on goodwill are not reversed. Gains and losses on the disposal of an entity include the carrying amount of goodwill relating to the entity sold.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Goodwill is allocated to cash-generating units for the purpose of impairment testing. The allocation is made to those cash-generating units or groups of cash generating units that are expected to benefit from the business combination in which the goodwill arose identified according to operating segment.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 xml:space="preserve">Trademarks and </w:t>
      </w:r>
      <w:proofErr w:type="spellStart"/>
      <w:r w:rsidRPr="00835F56">
        <w:rPr>
          <w:rFonts w:ascii="Trebuchet MS" w:eastAsia="Times New Roman" w:hAnsi="Trebuchet MS" w:cs="Times New Roman"/>
          <w:b/>
          <w:bCs/>
          <w:color w:val="152949"/>
          <w:spacing w:val="5"/>
          <w:sz w:val="29"/>
          <w:szCs w:val="29"/>
        </w:rPr>
        <w:t>licences</w:t>
      </w:r>
      <w:proofErr w:type="spellEnd"/>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lastRenderedPageBreak/>
        <w:t xml:space="preserve">Separately acquired trademarks and </w:t>
      </w:r>
      <w:proofErr w:type="spellStart"/>
      <w:r w:rsidRPr="00835F56">
        <w:rPr>
          <w:rFonts w:ascii="Times" w:eastAsia="Times New Roman" w:hAnsi="Times" w:cs="Times"/>
          <w:color w:val="152949"/>
          <w:sz w:val="23"/>
          <w:szCs w:val="23"/>
        </w:rPr>
        <w:t>licences</w:t>
      </w:r>
      <w:proofErr w:type="spellEnd"/>
      <w:r w:rsidRPr="00835F56">
        <w:rPr>
          <w:rFonts w:ascii="Times" w:eastAsia="Times New Roman" w:hAnsi="Times" w:cs="Times"/>
          <w:color w:val="152949"/>
          <w:sz w:val="23"/>
          <w:szCs w:val="23"/>
        </w:rPr>
        <w:t xml:space="preserve"> are shown at historical cost. Trademarks and </w:t>
      </w:r>
      <w:proofErr w:type="spellStart"/>
      <w:r w:rsidRPr="00835F56">
        <w:rPr>
          <w:rFonts w:ascii="Times" w:eastAsia="Times New Roman" w:hAnsi="Times" w:cs="Times"/>
          <w:color w:val="152949"/>
          <w:sz w:val="23"/>
          <w:szCs w:val="23"/>
        </w:rPr>
        <w:t>licences</w:t>
      </w:r>
      <w:proofErr w:type="spellEnd"/>
      <w:r w:rsidRPr="00835F56">
        <w:rPr>
          <w:rFonts w:ascii="Times" w:eastAsia="Times New Roman" w:hAnsi="Times" w:cs="Times"/>
          <w:color w:val="152949"/>
          <w:sz w:val="23"/>
          <w:szCs w:val="23"/>
        </w:rPr>
        <w:t xml:space="preserve"> acquired in a business combination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at fair value at the acquisition date. Trademarks and </w:t>
      </w:r>
      <w:proofErr w:type="spellStart"/>
      <w:r w:rsidRPr="00835F56">
        <w:rPr>
          <w:rFonts w:ascii="Times" w:eastAsia="Times New Roman" w:hAnsi="Times" w:cs="Times"/>
          <w:color w:val="152949"/>
          <w:sz w:val="23"/>
          <w:szCs w:val="23"/>
        </w:rPr>
        <w:t>licences</w:t>
      </w:r>
      <w:proofErr w:type="spellEnd"/>
      <w:r w:rsidRPr="00835F56">
        <w:rPr>
          <w:rFonts w:ascii="Times" w:eastAsia="Times New Roman" w:hAnsi="Times" w:cs="Times"/>
          <w:color w:val="152949"/>
          <w:sz w:val="23"/>
          <w:szCs w:val="23"/>
        </w:rPr>
        <w:t xml:space="preserve"> have a finite useful life and are carried at cost less accumulated </w:t>
      </w:r>
      <w:proofErr w:type="spellStart"/>
      <w:r w:rsidRPr="00835F56">
        <w:rPr>
          <w:rFonts w:ascii="Times" w:eastAsia="Times New Roman" w:hAnsi="Times" w:cs="Times"/>
          <w:color w:val="152949"/>
          <w:sz w:val="23"/>
          <w:szCs w:val="23"/>
        </w:rPr>
        <w:t>amortisation</w:t>
      </w:r>
      <w:proofErr w:type="spellEnd"/>
      <w:r w:rsidRPr="00835F56">
        <w:rPr>
          <w:rFonts w:ascii="Times" w:eastAsia="Times New Roman" w:hAnsi="Times" w:cs="Times"/>
          <w:color w:val="152949"/>
          <w:sz w:val="23"/>
          <w:szCs w:val="23"/>
        </w:rPr>
        <w:t xml:space="preserve">. </w:t>
      </w:r>
      <w:proofErr w:type="spellStart"/>
      <w:r w:rsidRPr="00835F56">
        <w:rPr>
          <w:rFonts w:ascii="Times" w:eastAsia="Times New Roman" w:hAnsi="Times" w:cs="Times"/>
          <w:color w:val="152949"/>
          <w:sz w:val="23"/>
          <w:szCs w:val="23"/>
        </w:rPr>
        <w:t>Amortisation</w:t>
      </w:r>
      <w:proofErr w:type="spellEnd"/>
      <w:r w:rsidRPr="00835F56">
        <w:rPr>
          <w:rFonts w:ascii="Times" w:eastAsia="Times New Roman" w:hAnsi="Times" w:cs="Times"/>
          <w:color w:val="152949"/>
          <w:sz w:val="23"/>
          <w:szCs w:val="23"/>
        </w:rPr>
        <w:t xml:space="preserve"> is calculated using the straight line method to allocate the cost of trademarks and </w:t>
      </w:r>
      <w:proofErr w:type="spellStart"/>
      <w:r w:rsidRPr="00835F56">
        <w:rPr>
          <w:rFonts w:ascii="Times" w:eastAsia="Times New Roman" w:hAnsi="Times" w:cs="Times"/>
          <w:color w:val="152949"/>
          <w:sz w:val="23"/>
          <w:szCs w:val="23"/>
        </w:rPr>
        <w:t>licences</w:t>
      </w:r>
      <w:proofErr w:type="spellEnd"/>
      <w:r w:rsidRPr="00835F56">
        <w:rPr>
          <w:rFonts w:ascii="Times" w:eastAsia="Times New Roman" w:hAnsi="Times" w:cs="Times"/>
          <w:color w:val="152949"/>
          <w:sz w:val="23"/>
          <w:szCs w:val="23"/>
        </w:rPr>
        <w:t xml:space="preserve"> over their estimated useful lives of five years.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Acquired computer software </w:t>
      </w:r>
      <w:proofErr w:type="spellStart"/>
      <w:r w:rsidRPr="00835F56">
        <w:rPr>
          <w:rFonts w:ascii="Times" w:eastAsia="Times New Roman" w:hAnsi="Times" w:cs="Times"/>
          <w:color w:val="152949"/>
          <w:sz w:val="23"/>
          <w:szCs w:val="23"/>
        </w:rPr>
        <w:t>licences</w:t>
      </w:r>
      <w:proofErr w:type="spellEnd"/>
      <w:r w:rsidRPr="00835F56">
        <w:rPr>
          <w:rFonts w:ascii="Times" w:eastAsia="Times New Roman" w:hAnsi="Times" w:cs="Times"/>
          <w:color w:val="152949"/>
          <w:sz w:val="23"/>
          <w:szCs w:val="23"/>
        </w:rPr>
        <w:t xml:space="preserve"> are </w:t>
      </w:r>
      <w:proofErr w:type="spellStart"/>
      <w:r w:rsidRPr="00835F56">
        <w:rPr>
          <w:rFonts w:ascii="Times" w:eastAsia="Times New Roman" w:hAnsi="Times" w:cs="Times"/>
          <w:color w:val="152949"/>
          <w:sz w:val="23"/>
          <w:szCs w:val="23"/>
        </w:rPr>
        <w:t>capitalised</w:t>
      </w:r>
      <w:proofErr w:type="spellEnd"/>
      <w:r w:rsidRPr="00835F56">
        <w:rPr>
          <w:rFonts w:ascii="Times" w:eastAsia="Times New Roman" w:hAnsi="Times" w:cs="Times"/>
          <w:color w:val="152949"/>
          <w:sz w:val="23"/>
          <w:szCs w:val="23"/>
        </w:rPr>
        <w:t xml:space="preserve"> on the basis of the costs incurred to acquire and bring to use the specific software. These costs are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over their estimated useful lives of three years.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Order backlog</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An order backlog acquired in a business combination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at fair value at the acquisition date. The order backlog has a finite useful life and is carried at cost less accumulated </w:t>
      </w:r>
      <w:proofErr w:type="spellStart"/>
      <w:r w:rsidRPr="00835F56">
        <w:rPr>
          <w:rFonts w:ascii="Times" w:eastAsia="Times New Roman" w:hAnsi="Times" w:cs="Times"/>
          <w:color w:val="152949"/>
          <w:sz w:val="23"/>
          <w:szCs w:val="23"/>
        </w:rPr>
        <w:t>amortisation</w:t>
      </w:r>
      <w:proofErr w:type="spellEnd"/>
      <w:r w:rsidRPr="00835F56">
        <w:rPr>
          <w:rFonts w:ascii="Times" w:eastAsia="Times New Roman" w:hAnsi="Times" w:cs="Times"/>
          <w:color w:val="152949"/>
          <w:sz w:val="23"/>
          <w:szCs w:val="23"/>
        </w:rPr>
        <w:t xml:space="preserve">. </w:t>
      </w:r>
      <w:proofErr w:type="spellStart"/>
      <w:r w:rsidRPr="00835F56">
        <w:rPr>
          <w:rFonts w:ascii="Times" w:eastAsia="Times New Roman" w:hAnsi="Times" w:cs="Times"/>
          <w:color w:val="152949"/>
          <w:sz w:val="23"/>
          <w:szCs w:val="23"/>
        </w:rPr>
        <w:t>Amortisation</w:t>
      </w:r>
      <w:proofErr w:type="spellEnd"/>
      <w:r w:rsidRPr="00835F56">
        <w:rPr>
          <w:rFonts w:ascii="Times" w:eastAsia="Times New Roman" w:hAnsi="Times" w:cs="Times"/>
          <w:color w:val="152949"/>
          <w:sz w:val="23"/>
          <w:szCs w:val="23"/>
        </w:rPr>
        <w:t xml:space="preserve"> is calculated using the straight-line method over the expected life of two years of the order backlog.</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Customer relationships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Customer relationships acquired in a business combination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at fair value at the acquisition date. The (contractual) customer relations have a finite useful life and are carried at cost less accumulated </w:t>
      </w:r>
      <w:proofErr w:type="spellStart"/>
      <w:r w:rsidRPr="00835F56">
        <w:rPr>
          <w:rFonts w:ascii="Times" w:eastAsia="Times New Roman" w:hAnsi="Times" w:cs="Times"/>
          <w:color w:val="152949"/>
          <w:sz w:val="23"/>
          <w:szCs w:val="23"/>
        </w:rPr>
        <w:t>amortisation</w:t>
      </w:r>
      <w:proofErr w:type="spellEnd"/>
      <w:r w:rsidRPr="00835F56">
        <w:rPr>
          <w:rFonts w:ascii="Times" w:eastAsia="Times New Roman" w:hAnsi="Times" w:cs="Times"/>
          <w:color w:val="152949"/>
          <w:sz w:val="23"/>
          <w:szCs w:val="23"/>
        </w:rPr>
        <w:t xml:space="preserve">. </w:t>
      </w:r>
      <w:proofErr w:type="spellStart"/>
      <w:r w:rsidRPr="00835F56">
        <w:rPr>
          <w:rFonts w:ascii="Times" w:eastAsia="Times New Roman" w:hAnsi="Times" w:cs="Times"/>
          <w:color w:val="152949"/>
          <w:sz w:val="23"/>
          <w:szCs w:val="23"/>
        </w:rPr>
        <w:t>Amortisation</w:t>
      </w:r>
      <w:proofErr w:type="spellEnd"/>
      <w:r w:rsidRPr="00835F56">
        <w:rPr>
          <w:rFonts w:ascii="Times" w:eastAsia="Times New Roman" w:hAnsi="Times" w:cs="Times"/>
          <w:color w:val="152949"/>
          <w:sz w:val="23"/>
          <w:szCs w:val="23"/>
        </w:rPr>
        <w:t xml:space="preserve"> is calculated using the straight-line method over the expected life of thirteen years of the customer relationship.</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Computer software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Costs associated with research and maintaining computer software </w:t>
      </w:r>
      <w:proofErr w:type="spellStart"/>
      <w:r w:rsidRPr="00835F56">
        <w:rPr>
          <w:rFonts w:ascii="Times" w:eastAsia="Times New Roman" w:hAnsi="Times" w:cs="Times"/>
          <w:color w:val="152949"/>
          <w:sz w:val="23"/>
          <w:szCs w:val="23"/>
        </w:rPr>
        <w:t>programmes</w:t>
      </w:r>
      <w:proofErr w:type="spellEnd"/>
      <w:r w:rsidRPr="00835F56">
        <w:rPr>
          <w:rFonts w:ascii="Times" w:eastAsia="Times New Roman" w:hAnsi="Times" w:cs="Times"/>
          <w:color w:val="152949"/>
          <w:sz w:val="23"/>
          <w:szCs w:val="23"/>
        </w:rPr>
        <w:t xml:space="preserve">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as an expense as incurred. Costs that are directly associated with the development of identifiable and unique software products controlled by NIBC and that generate economic benefits exceeding one year are </w:t>
      </w:r>
      <w:proofErr w:type="spellStart"/>
      <w:r w:rsidRPr="00835F56">
        <w:rPr>
          <w:rFonts w:ascii="Times" w:eastAsia="Times New Roman" w:hAnsi="Times" w:cs="Times"/>
          <w:color w:val="152949"/>
          <w:sz w:val="23"/>
          <w:szCs w:val="23"/>
        </w:rPr>
        <w:t>capitalised</w:t>
      </w:r>
      <w:proofErr w:type="spellEnd"/>
      <w:r w:rsidRPr="00835F56">
        <w:rPr>
          <w:rFonts w:ascii="Times" w:eastAsia="Times New Roman" w:hAnsi="Times" w:cs="Times"/>
          <w:color w:val="152949"/>
          <w:sz w:val="23"/>
          <w:szCs w:val="23"/>
        </w:rPr>
        <w:t xml:space="preserve"> as intangible assets. Computer software development costs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as assets are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over their estimated useful lives of three to five years.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At each reporting date, NIBC assesses whether there is any indication that an asset may be impaired or whenever events or changes in circumstances indicate that the carrying value may not be recoverable (see Impairment - Non-financial assets).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Tangible</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assets</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lastRenderedPageBreak/>
        <w:t>Property (land and buildings), plant and equipment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Land and buildings comprise mainly factories and offices. Land and buildings are shown at fair value. This fair value is based on the most recent appraisals by independent registered appraisers, less straight-line depreciation for buildings over the estimated economic life taking into account any residual value. Any accumulated depreciation at the date of revaluation is eliminated against the carrying amount of the asset, and the net amount is restated to the re-valued amount of the asset. All other property, plant and equipment </w:t>
      </w:r>
      <w:proofErr w:type="gramStart"/>
      <w:r w:rsidRPr="00835F56">
        <w:rPr>
          <w:rFonts w:ascii="Times" w:eastAsia="Times New Roman" w:hAnsi="Times" w:cs="Times"/>
          <w:color w:val="152949"/>
          <w:sz w:val="23"/>
          <w:szCs w:val="23"/>
        </w:rPr>
        <w:t>is</w:t>
      </w:r>
      <w:proofErr w:type="gramEnd"/>
      <w:r w:rsidRPr="00835F56">
        <w:rPr>
          <w:rFonts w:ascii="Times" w:eastAsia="Times New Roman" w:hAnsi="Times" w:cs="Times"/>
          <w:color w:val="152949"/>
          <w:sz w:val="23"/>
          <w:szCs w:val="23"/>
        </w:rPr>
        <w:t xml:space="preserve"> stated at historical cost less depreciation. Historical cost includes expenditure that is directly attributable to the acquisition of the items.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Subsequent costs are included in the asset’s carrying amount or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as a separate asset, as appropriate, only when it is probable that future economic benefits associated with the item will flow to the Group and the cost of the item can be measured reliably. All other repairs and maintenance are charged to the Income Statement during the financial period in which they are incurred.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Increases in the carrying amount arising from revaluation of land and buildings are credited to </w:t>
      </w:r>
      <w:proofErr w:type="gramStart"/>
      <w:r w:rsidRPr="00835F56">
        <w:rPr>
          <w:rFonts w:ascii="Times" w:eastAsia="Times New Roman" w:hAnsi="Times" w:cs="Times"/>
          <w:color w:val="152949"/>
          <w:sz w:val="23"/>
          <w:szCs w:val="23"/>
        </w:rPr>
        <w:t>Other</w:t>
      </w:r>
      <w:proofErr w:type="gramEnd"/>
      <w:r w:rsidRPr="00835F56">
        <w:rPr>
          <w:rFonts w:ascii="Times" w:eastAsia="Times New Roman" w:hAnsi="Times" w:cs="Times"/>
          <w:color w:val="152949"/>
          <w:sz w:val="23"/>
          <w:szCs w:val="23"/>
        </w:rPr>
        <w:t xml:space="preserve"> reserves in Shareholders’ equity. Decreases that offset previous increases of the same asset are charged against </w:t>
      </w:r>
      <w:proofErr w:type="gramStart"/>
      <w:r w:rsidRPr="00835F56">
        <w:rPr>
          <w:rFonts w:ascii="Times" w:eastAsia="Times New Roman" w:hAnsi="Times" w:cs="Times"/>
          <w:color w:val="152949"/>
          <w:sz w:val="23"/>
          <w:szCs w:val="23"/>
        </w:rPr>
        <w:t>Other</w:t>
      </w:r>
      <w:proofErr w:type="gramEnd"/>
      <w:r w:rsidRPr="00835F56">
        <w:rPr>
          <w:rFonts w:ascii="Times" w:eastAsia="Times New Roman" w:hAnsi="Times" w:cs="Times"/>
          <w:color w:val="152949"/>
          <w:sz w:val="23"/>
          <w:szCs w:val="23"/>
        </w:rPr>
        <w:t xml:space="preserve"> reserves directly in equity; all other decreases are charged to the Income Statement. Each year the difference between depreciation based on the re-valued carrying amount of the asset charged to the Income Statement and depreciation based on the asset’s original cost is transferred from </w:t>
      </w:r>
      <w:proofErr w:type="gramStart"/>
      <w:r w:rsidRPr="00835F56">
        <w:rPr>
          <w:rFonts w:ascii="Times" w:eastAsia="Times New Roman" w:hAnsi="Times" w:cs="Times"/>
          <w:color w:val="152949"/>
          <w:sz w:val="23"/>
          <w:szCs w:val="23"/>
        </w:rPr>
        <w:t>Other</w:t>
      </w:r>
      <w:proofErr w:type="gramEnd"/>
      <w:r w:rsidRPr="00835F56">
        <w:rPr>
          <w:rFonts w:ascii="Times" w:eastAsia="Times New Roman" w:hAnsi="Times" w:cs="Times"/>
          <w:color w:val="152949"/>
          <w:sz w:val="23"/>
          <w:szCs w:val="23"/>
        </w:rPr>
        <w:t xml:space="preserve"> reserves to Retained earnings.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Land is not depreciated. Depreciation on other assets is calculated using the straight-line method to allocate their cost or revalued amounts to their residual values over their estimated useful lives, as follows:</w:t>
      </w:r>
    </w:p>
    <w:p w:rsidR="00835F56" w:rsidRPr="00835F56" w:rsidRDefault="00835F56" w:rsidP="00835F56">
      <w:pPr>
        <w:numPr>
          <w:ilvl w:val="0"/>
          <w:numId w:val="19"/>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Buildings    30-50 years</w:t>
      </w:r>
    </w:p>
    <w:p w:rsidR="00835F56" w:rsidRPr="00835F56" w:rsidRDefault="00835F56" w:rsidP="00835F56">
      <w:pPr>
        <w:numPr>
          <w:ilvl w:val="0"/>
          <w:numId w:val="19"/>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Machinery    4-10 years</w:t>
      </w:r>
    </w:p>
    <w:p w:rsidR="00835F56" w:rsidRPr="00835F56" w:rsidRDefault="00835F56" w:rsidP="00835F56">
      <w:pPr>
        <w:numPr>
          <w:ilvl w:val="0"/>
          <w:numId w:val="19"/>
        </w:numPr>
        <w:spacing w:after="0" w:line="324" w:lineRule="atLeast"/>
        <w:ind w:left="32"/>
        <w:rPr>
          <w:rFonts w:ascii="Times" w:eastAsia="Times New Roman" w:hAnsi="Times" w:cs="Times"/>
          <w:color w:val="152949"/>
          <w:sz w:val="23"/>
          <w:szCs w:val="23"/>
        </w:rPr>
      </w:pPr>
      <w:r w:rsidRPr="00835F56">
        <w:rPr>
          <w:rFonts w:ascii="Times" w:eastAsia="Times New Roman" w:hAnsi="Times" w:cs="Times"/>
          <w:color w:val="152949"/>
          <w:sz w:val="23"/>
          <w:szCs w:val="23"/>
        </w:rPr>
        <w:t>Furniture, fittings and equipment    4-10 years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assets’ residual values and useful lives are reviewed, and adjusted if appropriate, at each balance sheet date.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An asset’s carrying amount is written down immediately to its recoverable amount if the asset’s carrying amount is greater than its estimated recoverable amount.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Gains and losses on disposals are determined by comparing the proceeds with the carrying amount and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within </w:t>
      </w:r>
      <w:proofErr w:type="gramStart"/>
      <w:r w:rsidRPr="00835F56">
        <w:rPr>
          <w:rFonts w:ascii="Times" w:eastAsia="Times New Roman" w:hAnsi="Times" w:cs="Times"/>
          <w:color w:val="152949"/>
          <w:sz w:val="23"/>
          <w:szCs w:val="23"/>
        </w:rPr>
        <w:t>Other</w:t>
      </w:r>
      <w:proofErr w:type="gramEnd"/>
      <w:r w:rsidRPr="00835F56">
        <w:rPr>
          <w:rFonts w:ascii="Times" w:eastAsia="Times New Roman" w:hAnsi="Times" w:cs="Times"/>
          <w:color w:val="152949"/>
          <w:sz w:val="23"/>
          <w:szCs w:val="23"/>
        </w:rPr>
        <w:t xml:space="preserve"> operating income. When re-valued assets are sold, the amounts included in </w:t>
      </w:r>
      <w:proofErr w:type="gramStart"/>
      <w:r w:rsidRPr="00835F56">
        <w:rPr>
          <w:rFonts w:ascii="Times" w:eastAsia="Times New Roman" w:hAnsi="Times" w:cs="Times"/>
          <w:color w:val="152949"/>
          <w:sz w:val="23"/>
          <w:szCs w:val="23"/>
        </w:rPr>
        <w:t>Other</w:t>
      </w:r>
      <w:proofErr w:type="gramEnd"/>
      <w:r w:rsidRPr="00835F56">
        <w:rPr>
          <w:rFonts w:ascii="Times" w:eastAsia="Times New Roman" w:hAnsi="Times" w:cs="Times"/>
          <w:color w:val="152949"/>
          <w:sz w:val="23"/>
          <w:szCs w:val="23"/>
        </w:rPr>
        <w:t xml:space="preserve"> reserves are transferred to Retained earnings.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lastRenderedPageBreak/>
        <w:t>Investment</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property</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Investment property is property (land, or a building, -or part of a building, -or both) held to earn rentals or for capital appreciation or both, rather than for use in the production or supply of goods or services, for administrative purposes or sale in the ordinary course of business.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Investment properties are measured initially at cost, including transaction costs. Subsequent to initial recognition, investment properties are stated at fair value, which reflects market conditions at the balance sheet date. The fair value is the price at which the property could be exchanged between knowledgeable, willing parties in an arm’s length transaction, without any deduction for transaction costs it may incur on sale or other disposal. The </w:t>
      </w:r>
      <w:proofErr w:type="spellStart"/>
      <w:r w:rsidRPr="00835F56">
        <w:rPr>
          <w:rFonts w:ascii="Times" w:eastAsia="Times New Roman" w:hAnsi="Times" w:cs="Times"/>
          <w:color w:val="152949"/>
          <w:sz w:val="23"/>
          <w:szCs w:val="23"/>
        </w:rPr>
        <w:t>unrealised</w:t>
      </w:r>
      <w:proofErr w:type="spellEnd"/>
      <w:r w:rsidRPr="00835F56">
        <w:rPr>
          <w:rFonts w:ascii="Times" w:eastAsia="Times New Roman" w:hAnsi="Times" w:cs="Times"/>
          <w:color w:val="152949"/>
          <w:sz w:val="23"/>
          <w:szCs w:val="23"/>
        </w:rPr>
        <w:t xml:space="preserve"> gains and losses arising from the changes in fair value of the investment property as a result of appraisals are included in </w:t>
      </w:r>
      <w:proofErr w:type="gramStart"/>
      <w:r w:rsidRPr="00835F56">
        <w:rPr>
          <w:rFonts w:ascii="Times" w:eastAsia="Times New Roman" w:hAnsi="Times" w:cs="Times"/>
          <w:color w:val="152949"/>
          <w:sz w:val="23"/>
          <w:szCs w:val="23"/>
        </w:rPr>
        <w:t>Other</w:t>
      </w:r>
      <w:proofErr w:type="gramEnd"/>
      <w:r w:rsidRPr="00835F56">
        <w:rPr>
          <w:rFonts w:ascii="Times" w:eastAsia="Times New Roman" w:hAnsi="Times" w:cs="Times"/>
          <w:color w:val="152949"/>
          <w:sz w:val="23"/>
          <w:szCs w:val="23"/>
        </w:rPr>
        <w:t xml:space="preserve"> operating income in the Income Statement.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Investment properties are de-</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when they have been disposed of.</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Leases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Leases in which a significant portion of the risks and rewards of ownership are retained by the </w:t>
      </w:r>
      <w:proofErr w:type="spellStart"/>
      <w:r w:rsidRPr="00835F56">
        <w:rPr>
          <w:rFonts w:ascii="Times" w:eastAsia="Times New Roman" w:hAnsi="Times" w:cs="Times"/>
          <w:color w:val="152949"/>
          <w:sz w:val="23"/>
          <w:szCs w:val="23"/>
        </w:rPr>
        <w:t>lessor</w:t>
      </w:r>
      <w:proofErr w:type="spellEnd"/>
      <w:r w:rsidRPr="00835F56">
        <w:rPr>
          <w:rFonts w:ascii="Times" w:eastAsia="Times New Roman" w:hAnsi="Times" w:cs="Times"/>
          <w:color w:val="152949"/>
          <w:sz w:val="23"/>
          <w:szCs w:val="23"/>
        </w:rPr>
        <w:t xml:space="preserve"> are classified as operating leases. Payments made under operating leases (net of any incentives received from the </w:t>
      </w:r>
      <w:proofErr w:type="spellStart"/>
      <w:r w:rsidRPr="00835F56">
        <w:rPr>
          <w:rFonts w:ascii="Times" w:eastAsia="Times New Roman" w:hAnsi="Times" w:cs="Times"/>
          <w:color w:val="152949"/>
          <w:sz w:val="23"/>
          <w:szCs w:val="23"/>
        </w:rPr>
        <w:t>lessor</w:t>
      </w:r>
      <w:proofErr w:type="spellEnd"/>
      <w:r w:rsidRPr="00835F56">
        <w:rPr>
          <w:rFonts w:ascii="Times" w:eastAsia="Times New Roman" w:hAnsi="Times" w:cs="Times"/>
          <w:color w:val="152949"/>
          <w:sz w:val="23"/>
          <w:szCs w:val="23"/>
        </w:rPr>
        <w:t xml:space="preserve">) are charged to other Operating expenses in the Income Statement on a straight-line basis over the period of the lease. When an operating lease is terminated before the lease period has expired, any payment required to be made to the </w:t>
      </w:r>
      <w:proofErr w:type="spellStart"/>
      <w:r w:rsidRPr="00835F56">
        <w:rPr>
          <w:rFonts w:ascii="Times" w:eastAsia="Times New Roman" w:hAnsi="Times" w:cs="Times"/>
          <w:color w:val="152949"/>
          <w:sz w:val="23"/>
          <w:szCs w:val="23"/>
        </w:rPr>
        <w:t>lessor</w:t>
      </w:r>
      <w:proofErr w:type="spellEnd"/>
      <w:r w:rsidRPr="00835F56">
        <w:rPr>
          <w:rFonts w:ascii="Times" w:eastAsia="Times New Roman" w:hAnsi="Times" w:cs="Times"/>
          <w:color w:val="152949"/>
          <w:sz w:val="23"/>
          <w:szCs w:val="23"/>
        </w:rPr>
        <w:t xml:space="preserve"> by way of penalty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as an expense in the period in which termination takes place.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Group leases certain property, plant and equipment. </w:t>
      </w:r>
      <w:proofErr w:type="gramStart"/>
      <w:r w:rsidRPr="00835F56">
        <w:rPr>
          <w:rFonts w:ascii="Times" w:eastAsia="Times New Roman" w:hAnsi="Times" w:cs="Times"/>
          <w:color w:val="152949"/>
          <w:sz w:val="23"/>
          <w:szCs w:val="23"/>
        </w:rPr>
        <w:t>Leases of property, plant and equipment where the Group has substantially all the risks and rewards of ownership are classified as finance leases.</w:t>
      </w:r>
      <w:proofErr w:type="gramEnd"/>
      <w:r w:rsidRPr="00835F56">
        <w:rPr>
          <w:rFonts w:ascii="Times" w:eastAsia="Times New Roman" w:hAnsi="Times" w:cs="Times"/>
          <w:color w:val="152949"/>
          <w:sz w:val="23"/>
          <w:szCs w:val="23"/>
        </w:rPr>
        <w:t xml:space="preserve"> Finance leases are </w:t>
      </w:r>
      <w:proofErr w:type="spellStart"/>
      <w:r w:rsidRPr="00835F56">
        <w:rPr>
          <w:rFonts w:ascii="Times" w:eastAsia="Times New Roman" w:hAnsi="Times" w:cs="Times"/>
          <w:color w:val="152949"/>
          <w:sz w:val="23"/>
          <w:szCs w:val="23"/>
        </w:rPr>
        <w:t>capitalised</w:t>
      </w:r>
      <w:proofErr w:type="spellEnd"/>
      <w:r w:rsidRPr="00835F56">
        <w:rPr>
          <w:rFonts w:ascii="Times" w:eastAsia="Times New Roman" w:hAnsi="Times" w:cs="Times"/>
          <w:color w:val="152949"/>
          <w:sz w:val="23"/>
          <w:szCs w:val="23"/>
        </w:rPr>
        <w:t xml:space="preserve"> at the lease’s commencement at the lower of the fair value of the leased property and the present value of the minimum lease payments. Each lease payment is allocated between the liability and finance charges so as to achieve a constant rate on the finance balance outstanding.</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corresponding rental obligations, net of finance charges, are included in </w:t>
      </w:r>
      <w:proofErr w:type="gramStart"/>
      <w:r w:rsidRPr="00835F56">
        <w:rPr>
          <w:rFonts w:ascii="Times" w:eastAsia="Times New Roman" w:hAnsi="Times" w:cs="Times"/>
          <w:color w:val="152949"/>
          <w:sz w:val="23"/>
          <w:szCs w:val="23"/>
        </w:rPr>
        <w:t>Other</w:t>
      </w:r>
      <w:proofErr w:type="gramEnd"/>
      <w:r w:rsidRPr="00835F56">
        <w:rPr>
          <w:rFonts w:ascii="Times" w:eastAsia="Times New Roman" w:hAnsi="Times" w:cs="Times"/>
          <w:color w:val="152949"/>
          <w:sz w:val="23"/>
          <w:szCs w:val="23"/>
        </w:rPr>
        <w:t xml:space="preserve"> liabilities. The interest element of the finance cost is charged to the Income Statement over the lease period so as to produce a constant periodic rate of interest on the remaining balance of the liability for each period. The property, plant and equipment acquired under finance leases </w:t>
      </w:r>
      <w:proofErr w:type="gramStart"/>
      <w:r w:rsidRPr="00835F56">
        <w:rPr>
          <w:rFonts w:ascii="Times" w:eastAsia="Times New Roman" w:hAnsi="Times" w:cs="Times"/>
          <w:color w:val="152949"/>
          <w:sz w:val="23"/>
          <w:szCs w:val="23"/>
        </w:rPr>
        <w:t>is</w:t>
      </w:r>
      <w:proofErr w:type="gramEnd"/>
      <w:r w:rsidRPr="00835F56">
        <w:rPr>
          <w:rFonts w:ascii="Times" w:eastAsia="Times New Roman" w:hAnsi="Times" w:cs="Times"/>
          <w:color w:val="152949"/>
          <w:sz w:val="23"/>
          <w:szCs w:val="23"/>
        </w:rPr>
        <w:t xml:space="preserve"> depreciated over the shorter of the useful life of the asset and the lease term.</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lastRenderedPageBreak/>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Cash and</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cash equivalents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For the purpose of the cash flow statement, cash and cash equivalents comprise balances with less than three months’ maturity from the date of acquisition, including cash and non-restricted balances with central banks and net credit balances on current accounts with other banks.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Cash balances are measured at face value while bank balances are measured at cost.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Other</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assets</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Trade receivables related to consolidated non-financial companies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Trade receivables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initially at fair value and subsequently measured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using the effective interest method, less allowance for impairment. An allowance for impairment of trade receivables is established when there is objective evidence that the Group will not be able to collect all amounts due according to the original terms of the receivables. Significant financial difficulties of the debtor, probability that the debtor will enter bankruptcy or financial </w:t>
      </w:r>
      <w:proofErr w:type="spellStart"/>
      <w:r w:rsidRPr="00835F56">
        <w:rPr>
          <w:rFonts w:ascii="Times" w:eastAsia="Times New Roman" w:hAnsi="Times" w:cs="Times"/>
          <w:color w:val="152949"/>
          <w:sz w:val="23"/>
          <w:szCs w:val="23"/>
        </w:rPr>
        <w:t>reorganisation</w:t>
      </w:r>
      <w:proofErr w:type="spellEnd"/>
      <w:r w:rsidRPr="00835F56">
        <w:rPr>
          <w:rFonts w:ascii="Times" w:eastAsia="Times New Roman" w:hAnsi="Times" w:cs="Times"/>
          <w:color w:val="152949"/>
          <w:sz w:val="23"/>
          <w:szCs w:val="23"/>
        </w:rPr>
        <w:t xml:space="preserve">, and default or delinquency in payments (more than 30 days overdue) are considered indicators that the trade receivable is impaired. The amount of the allowance is the difference between the asset’s carrying amount and the present value of estimated future cash flows, discounted at the original effective interest rate. The carrying amount of the asset is reduced through the use of an allowance account, and the amount of the loss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within Other operating expenses. When a trade receivable is uncollectible, it is written off against the allowance account for trade receivables. Subsequent recoveries of amounts previously written off are credited against </w:t>
      </w:r>
      <w:proofErr w:type="gramStart"/>
      <w:r w:rsidRPr="00835F56">
        <w:rPr>
          <w:rFonts w:ascii="Times" w:eastAsia="Times New Roman" w:hAnsi="Times" w:cs="Times"/>
          <w:color w:val="152949"/>
          <w:sz w:val="23"/>
          <w:szCs w:val="23"/>
        </w:rPr>
        <w:t>Other</w:t>
      </w:r>
      <w:proofErr w:type="gramEnd"/>
      <w:r w:rsidRPr="00835F56">
        <w:rPr>
          <w:rFonts w:ascii="Times" w:eastAsia="Times New Roman" w:hAnsi="Times" w:cs="Times"/>
          <w:color w:val="152949"/>
          <w:sz w:val="23"/>
          <w:szCs w:val="23"/>
        </w:rPr>
        <w:t xml:space="preserve"> operating expenses in the Income Statement.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Inventories related to consolidated non-financial companies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Inventories are stated at the lower of cost or net </w:t>
      </w:r>
      <w:proofErr w:type="spellStart"/>
      <w:r w:rsidRPr="00835F56">
        <w:rPr>
          <w:rFonts w:ascii="Times" w:eastAsia="Times New Roman" w:hAnsi="Times" w:cs="Times"/>
          <w:color w:val="152949"/>
          <w:sz w:val="23"/>
          <w:szCs w:val="23"/>
        </w:rPr>
        <w:t>realisable</w:t>
      </w:r>
      <w:proofErr w:type="spellEnd"/>
      <w:r w:rsidRPr="00835F56">
        <w:rPr>
          <w:rFonts w:ascii="Times" w:eastAsia="Times New Roman" w:hAnsi="Times" w:cs="Times"/>
          <w:color w:val="152949"/>
          <w:sz w:val="23"/>
          <w:szCs w:val="23"/>
        </w:rPr>
        <w:t xml:space="preserve"> value. Cost is determined using the weighted average cost formula. The cost of finished goods and work in progress is comprised of design costs, raw materials, other direct costs and related production overheads (based on normal operating capacity). It excludes borrowing costs. Net </w:t>
      </w:r>
      <w:proofErr w:type="spellStart"/>
      <w:r w:rsidRPr="00835F56">
        <w:rPr>
          <w:rFonts w:ascii="Times" w:eastAsia="Times New Roman" w:hAnsi="Times" w:cs="Times"/>
          <w:color w:val="152949"/>
          <w:sz w:val="23"/>
          <w:szCs w:val="23"/>
        </w:rPr>
        <w:t>realisable</w:t>
      </w:r>
      <w:proofErr w:type="spellEnd"/>
      <w:r w:rsidRPr="00835F56">
        <w:rPr>
          <w:rFonts w:ascii="Times" w:eastAsia="Times New Roman" w:hAnsi="Times" w:cs="Times"/>
          <w:color w:val="152949"/>
          <w:sz w:val="23"/>
          <w:szCs w:val="23"/>
        </w:rPr>
        <w:t xml:space="preserve"> value is the estimated selling price in the ordinary course of business, less applicable variable selling expenses.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Construction contracts related to consolidated financial companies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lastRenderedPageBreak/>
        <w:t xml:space="preserve">Contract costs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when incurred. When the outcome of a construction contract cannot be estimated reliably, contract revenue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only to the extent of contract costs incurred that are likely to be recoverable.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When the outcome of a construction contract can be estimated reliably and it is probable that the contract will be profitable, contract revenue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over the period of the contract. When it is probable that the contract costs will exceed total contract revenue, the expected loss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as an expense immediately.</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Variations in contract work, claims and incentive payments are included in contract revenue to the extent that may have been agreed with the customer and are capable of being reliably measured.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Group uses the percentage of completion method to determine the appropriate amount to </w:t>
      </w:r>
      <w:proofErr w:type="spellStart"/>
      <w:r w:rsidRPr="00835F56">
        <w:rPr>
          <w:rFonts w:ascii="Times" w:eastAsia="Times New Roman" w:hAnsi="Times" w:cs="Times"/>
          <w:color w:val="152949"/>
          <w:sz w:val="23"/>
          <w:szCs w:val="23"/>
        </w:rPr>
        <w:t>recognise</w:t>
      </w:r>
      <w:proofErr w:type="spellEnd"/>
      <w:r w:rsidRPr="00835F56">
        <w:rPr>
          <w:rFonts w:ascii="Times" w:eastAsia="Times New Roman" w:hAnsi="Times" w:cs="Times"/>
          <w:color w:val="152949"/>
          <w:sz w:val="23"/>
          <w:szCs w:val="23"/>
        </w:rPr>
        <w:t xml:space="preserve"> in a given period. The stage of completion is measured by reference to the contract costs incurred up to the balance sheet date as a percentage of total estimated costs for each contract. Costs incurred in the year in connection with future activity on a contract are excluded from contract costs in determining the stage of completion. They are presented as inventories, prepayments or other assets, depending on their nature.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Group presents as an asset the gross amount due from customers for contract work for all contracts in progress for which costs incurred plus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profits (less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losses) exceed progress billings. Progress billings not yet paid by customers and retention are included within other assets.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Group presents as a liability the gross amount due to customers for contract work for all contracts in progress for which progress billings exceed costs incurred plus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profits (less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losses).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Provisions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Provisions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when NIBC has a present obligation (legal or constructive) as a result of a past event, it is more likely than not that an outflow of resources will be required to settle the obligations and a reliable estimate can be made of the amount of the obligation. Given their short-term nature, these provisions are not discounted.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Contingent liabilities are not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Financial Statements but are disclosed, unless they are remote.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lastRenderedPageBreak/>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Trade</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payables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Trade payables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initially at fair value and subsequently measured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w:t>
      </w:r>
    </w:p>
    <w:p w:rsidR="00835F56" w:rsidRPr="00835F56" w:rsidRDefault="00835F56" w:rsidP="00835F56">
      <w:pPr>
        <w:spacing w:after="0" w:line="324" w:lineRule="atLeast"/>
        <w:rPr>
          <w:rFonts w:ascii="Times" w:eastAsia="Times New Roman" w:hAnsi="Times" w:cs="Times"/>
          <w:color w:val="152949"/>
          <w:sz w:val="23"/>
          <w:szCs w:val="23"/>
        </w:rPr>
      </w:pPr>
      <w:proofErr w:type="gramStart"/>
      <w:r w:rsidRPr="00835F56">
        <w:rPr>
          <w:rFonts w:ascii="Times" w:eastAsia="Times New Roman" w:hAnsi="Times" w:cs="Times"/>
          <w:color w:val="152949"/>
          <w:sz w:val="23"/>
          <w:szCs w:val="23"/>
        </w:rPr>
        <w:t>using</w:t>
      </w:r>
      <w:proofErr w:type="gramEnd"/>
      <w:r w:rsidRPr="00835F56">
        <w:rPr>
          <w:rFonts w:ascii="Times" w:eastAsia="Times New Roman" w:hAnsi="Times" w:cs="Times"/>
          <w:color w:val="152949"/>
          <w:sz w:val="23"/>
          <w:szCs w:val="23"/>
        </w:rPr>
        <w:t xml:space="preserve"> the effective interest method.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Financial</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guarantee contracts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Financial guarantee contracts are contracts that require the issuer to make specified payments to reimburse the holder for a loss it incurs because a specified debtor fails to make payments when due, in accordance with the terms of a debt instrument. Such financial guarantees are given to banks, financial institutions and other bodies on behalf of customers to secure loans, and other banking facilities.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Financial guarantees are initially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Financial Statements at fair value on the date the guarantee was given. Subsequent to initial recognition, the liabilities under such guarantees are measured at the higher of the initial measurement, less </w:t>
      </w:r>
      <w:proofErr w:type="spellStart"/>
      <w:r w:rsidRPr="00835F56">
        <w:rPr>
          <w:rFonts w:ascii="Times" w:eastAsia="Times New Roman" w:hAnsi="Times" w:cs="Times"/>
          <w:color w:val="152949"/>
          <w:sz w:val="23"/>
          <w:szCs w:val="23"/>
        </w:rPr>
        <w:t>amortisation</w:t>
      </w:r>
      <w:proofErr w:type="spellEnd"/>
      <w:r w:rsidRPr="00835F56">
        <w:rPr>
          <w:rFonts w:ascii="Times" w:eastAsia="Times New Roman" w:hAnsi="Times" w:cs="Times"/>
          <w:color w:val="152949"/>
          <w:sz w:val="23"/>
          <w:szCs w:val="23"/>
        </w:rPr>
        <w:t xml:space="preserve"> calculated to </w:t>
      </w:r>
      <w:proofErr w:type="spellStart"/>
      <w:r w:rsidRPr="00835F56">
        <w:rPr>
          <w:rFonts w:ascii="Times" w:eastAsia="Times New Roman" w:hAnsi="Times" w:cs="Times"/>
          <w:color w:val="152949"/>
          <w:sz w:val="23"/>
          <w:szCs w:val="23"/>
        </w:rPr>
        <w:t>recognise</w:t>
      </w:r>
      <w:proofErr w:type="spellEnd"/>
      <w:r w:rsidRPr="00835F56">
        <w:rPr>
          <w:rFonts w:ascii="Times" w:eastAsia="Times New Roman" w:hAnsi="Times" w:cs="Times"/>
          <w:color w:val="152949"/>
          <w:sz w:val="23"/>
          <w:szCs w:val="23"/>
        </w:rPr>
        <w:t xml:space="preserve"> in the Income Statement the fee income earned over the period, and the best estimate of the expenditure required </w:t>
      </w:r>
      <w:proofErr w:type="gramStart"/>
      <w:r w:rsidRPr="00835F56">
        <w:rPr>
          <w:rFonts w:ascii="Times" w:eastAsia="Times New Roman" w:hAnsi="Times" w:cs="Times"/>
          <w:color w:val="152949"/>
          <w:sz w:val="23"/>
          <w:szCs w:val="23"/>
        </w:rPr>
        <w:t>to settle</w:t>
      </w:r>
      <w:proofErr w:type="gramEnd"/>
      <w:r w:rsidRPr="00835F56">
        <w:rPr>
          <w:rFonts w:ascii="Times" w:eastAsia="Times New Roman" w:hAnsi="Times" w:cs="Times"/>
          <w:color w:val="152949"/>
          <w:sz w:val="23"/>
          <w:szCs w:val="23"/>
        </w:rPr>
        <w:t xml:space="preserve"> any financial obligation arising at the balance sheet date. These estimates are determined based on experience of similar transactions and history of past losses, supplemented by the </w:t>
      </w:r>
      <w:proofErr w:type="spellStart"/>
      <w:r w:rsidRPr="00835F56">
        <w:rPr>
          <w:rFonts w:ascii="Times" w:eastAsia="Times New Roman" w:hAnsi="Times" w:cs="Times"/>
          <w:color w:val="152949"/>
          <w:sz w:val="23"/>
          <w:szCs w:val="23"/>
        </w:rPr>
        <w:t>judgement</w:t>
      </w:r>
      <w:proofErr w:type="spellEnd"/>
      <w:r w:rsidRPr="00835F56">
        <w:rPr>
          <w:rFonts w:ascii="Times" w:eastAsia="Times New Roman" w:hAnsi="Times" w:cs="Times"/>
          <w:color w:val="152949"/>
          <w:sz w:val="23"/>
          <w:szCs w:val="23"/>
        </w:rPr>
        <w:t xml:space="preserve"> of Management. Any increase in the liability relating to guarantees is taken to the Income Statement under Other operating expenses. Any liability remaining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when the guarantee is discharged, cancelled or expires.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Employee</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benefit obligations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48A4D4"/>
          <w:sz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Pension obligations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NIBC and its subsidiaries have various pension arrangements in accordance with the local conditions and practices in the countries in which they operate. NIBC generally funds these arrangements through payments to insurance companies or trustee administered funds, determined by periodic actuarial calculations. These various pension arrangements consist of a defined contribution plan, a defined benefit plan or a combination of these plans.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A defined contribution plan is a pension plan under which NIBC pays fixed contributions to a separate entity; the contributions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as an expense in the Income Statement as incurred. Prepaid contributions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as an asset to the extent that a cash refund or a reduction in the future payments is available. NIBC has no legal or constructive obligations to pay further defined </w:t>
      </w:r>
      <w:r w:rsidRPr="00835F56">
        <w:rPr>
          <w:rFonts w:ascii="Times" w:eastAsia="Times New Roman" w:hAnsi="Times" w:cs="Times"/>
          <w:color w:val="152949"/>
          <w:sz w:val="23"/>
          <w:szCs w:val="23"/>
        </w:rPr>
        <w:lastRenderedPageBreak/>
        <w:t>contributions if the fund does not hold sufficient assets to pay all employees the benefits relating to employee service in the current and prior periods.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A defined benefit plan is a pension plan that is not a defined contribution plan. Typically defined benefit plans defines an amount of pension benefit that an employee will receive on retirement, usually dependent on one or more factors, such as age, years of service and compensation.</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liability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Balance Sheet in respect of defined benefit pension plans is the present value of the defined benefit obligation at the balance sheet date less the fair value of plan assets, together with adjustments for </w:t>
      </w:r>
      <w:proofErr w:type="spellStart"/>
      <w:r w:rsidRPr="00835F56">
        <w:rPr>
          <w:rFonts w:ascii="Times" w:eastAsia="Times New Roman" w:hAnsi="Times" w:cs="Times"/>
          <w:color w:val="152949"/>
          <w:sz w:val="23"/>
          <w:szCs w:val="23"/>
        </w:rPr>
        <w:t>unrecognised</w:t>
      </w:r>
      <w:proofErr w:type="spellEnd"/>
      <w:r w:rsidRPr="00835F56">
        <w:rPr>
          <w:rFonts w:ascii="Times" w:eastAsia="Times New Roman" w:hAnsi="Times" w:cs="Times"/>
          <w:color w:val="152949"/>
          <w:sz w:val="23"/>
          <w:szCs w:val="23"/>
        </w:rPr>
        <w:t xml:space="preserve"> actuarial gains or losses and past service costs.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defined benefit obligation is calculated annually by independent actuaries using the projected unit credit method. The present value of the defined benefit obligation is determined by discounting the estimated future cash outflows using interest rates of high-quality corporate bonds that are denominated in the currency in which the benefits will be paid, and that have terms to maturity approximating the terms of the related pension liability.</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Actuarial gains and losses arising from experience adjustments and changes in actuarial assumptions in excess of the greater of 10% of the value of plan assets or 10% of the defined benefit obligation are charged or credited to income over the employees’ expected average remaining working lives. Past service costs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immediately in administrative expenses, unless the changes to the pension plan are conditional on the employees remaining in service for a specified period of time (the vesting period). In this case, past-service costs are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on a straight-line basis over the vesting period.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Termination benefits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Termination benefits are payable when employment is terminated by the Group before the normal retirement date, or whenever an employee accepts voluntary redundancy in exchange for these benefits. The Group </w:t>
      </w:r>
      <w:proofErr w:type="spellStart"/>
      <w:r w:rsidRPr="00835F56">
        <w:rPr>
          <w:rFonts w:ascii="Times" w:eastAsia="Times New Roman" w:hAnsi="Times" w:cs="Times"/>
          <w:color w:val="152949"/>
          <w:sz w:val="23"/>
          <w:szCs w:val="23"/>
        </w:rPr>
        <w:t>recognises</w:t>
      </w:r>
      <w:proofErr w:type="spellEnd"/>
      <w:r w:rsidRPr="00835F56">
        <w:rPr>
          <w:rFonts w:ascii="Times" w:eastAsia="Times New Roman" w:hAnsi="Times" w:cs="Times"/>
          <w:color w:val="152949"/>
          <w:sz w:val="23"/>
          <w:szCs w:val="23"/>
        </w:rPr>
        <w:t xml:space="preserve"> termination benefits when it is demonstrably committed to either: terminating the employment of current employees according to a detailed formal plan without possibility of withdrawal; or providing termination benefits as a result of an offer made to encourage voluntary redundancy. Benefits falling due more than 12 months after the balance sheet date are discounted to their present value.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Other post-retirement obligations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Some group companies provide post-retirement healthcare benefits to their retirees. The entitlement to these benefits is usually conditional on the employee remaining in service up to retirement age and </w:t>
      </w:r>
      <w:r w:rsidRPr="00835F56">
        <w:rPr>
          <w:rFonts w:ascii="Times" w:eastAsia="Times New Roman" w:hAnsi="Times" w:cs="Times"/>
          <w:color w:val="152949"/>
          <w:sz w:val="23"/>
          <w:szCs w:val="23"/>
        </w:rPr>
        <w:lastRenderedPageBreak/>
        <w:t>the completion of a minimum service period. The expected costs of these benefits are accrued over the period of employment using an accounting methodology that is the same as for defined benefit pension plans. Actuarial gains and losses arising from experience adjustments, and changes in actuarial assumptions in excess of the greater of 10% of the value of plan assets or 10% of the defined benefit obligation, are charged or credited to income over the expected average remaining working lives of the related employees. These obligations are valued annually by independent qualified actuaries.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Obligations arising in respect of these post-retirement healthcare plans were settled in 2007 and the plans terminated.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Share-based compensation</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NIBC operates both equity-settled and cash-settled share-based compensation plans.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For equity-settled share-based compensation plans, the fair value of the employee services received in exchange for the grant of the share-based compensation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as an expense in the Income Statement as Personnel expenses. Provided that the share-based arrangement is accounted for as equity settled in the Consolidated Financial Statements of the parent, the subsidiary shall measure the services received from its employees in accordance with the requirements applicable to equity settled share-based payment transactions, with the corresponding increase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equity as a contribution from the parent.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total amount to be expensed over the vesting period is determined by reference to the fair value of the instruments granted, excluding the impact of any non-market vesting conditions (for example, profitability and sales growth targets). Non-market vesting conditions are included in assumptions about the number of instruments that are expected to become exercisable. At each balance sheet date, NIBC revises its estimates of the number of instruments that are expected to become exercisable. It </w:t>
      </w:r>
      <w:proofErr w:type="spellStart"/>
      <w:r w:rsidRPr="00835F56">
        <w:rPr>
          <w:rFonts w:ascii="Times" w:eastAsia="Times New Roman" w:hAnsi="Times" w:cs="Times"/>
          <w:color w:val="152949"/>
          <w:sz w:val="23"/>
          <w:szCs w:val="23"/>
        </w:rPr>
        <w:t>recognises</w:t>
      </w:r>
      <w:proofErr w:type="spellEnd"/>
      <w:r w:rsidRPr="00835F56">
        <w:rPr>
          <w:rFonts w:ascii="Times" w:eastAsia="Times New Roman" w:hAnsi="Times" w:cs="Times"/>
          <w:color w:val="152949"/>
          <w:sz w:val="23"/>
          <w:szCs w:val="23"/>
        </w:rPr>
        <w:t xml:space="preserve"> the impact of the revision of original estimates, if any, in the Income Statement, and a corresponding adjustment to equity. The proceeds received, net of any directly attributable transaction costs, are credited to Retained Earnings when the instruments are vested.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For the cash-settled share-based compensation plan, the fair value of the employee services received in exchange for the grant of share-based compensation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as a liability. The liability is </w:t>
      </w:r>
      <w:proofErr w:type="spellStart"/>
      <w:r w:rsidRPr="00835F56">
        <w:rPr>
          <w:rFonts w:ascii="Times" w:eastAsia="Times New Roman" w:hAnsi="Times" w:cs="Times"/>
          <w:color w:val="152949"/>
          <w:sz w:val="23"/>
          <w:szCs w:val="23"/>
        </w:rPr>
        <w:t>remeasured</w:t>
      </w:r>
      <w:proofErr w:type="spellEnd"/>
      <w:r w:rsidRPr="00835F56">
        <w:rPr>
          <w:rFonts w:ascii="Times" w:eastAsia="Times New Roman" w:hAnsi="Times" w:cs="Times"/>
          <w:color w:val="152949"/>
          <w:sz w:val="23"/>
          <w:szCs w:val="23"/>
        </w:rPr>
        <w:t xml:space="preserve"> at each balance sheet date up to and including the settlement date with changes in fair value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in Personnel expenses.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Profit-sharing and bonus plans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lastRenderedPageBreak/>
        <w:t xml:space="preserve">A liability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for cash settled bonuses and profit-sharing, based on a formula that takes into consideration the profit attributable to our shareholders after certain adjustments.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NIBC </w:t>
      </w:r>
      <w:proofErr w:type="spellStart"/>
      <w:r w:rsidRPr="00835F56">
        <w:rPr>
          <w:rFonts w:ascii="Times" w:eastAsia="Times New Roman" w:hAnsi="Times" w:cs="Times"/>
          <w:color w:val="152949"/>
          <w:sz w:val="23"/>
          <w:szCs w:val="23"/>
        </w:rPr>
        <w:t>recognises</w:t>
      </w:r>
      <w:proofErr w:type="spellEnd"/>
      <w:r w:rsidRPr="00835F56">
        <w:rPr>
          <w:rFonts w:ascii="Times" w:eastAsia="Times New Roman" w:hAnsi="Times" w:cs="Times"/>
          <w:color w:val="152949"/>
          <w:sz w:val="23"/>
          <w:szCs w:val="23"/>
        </w:rPr>
        <w:t xml:space="preserve"> a provision where contractually obliged or where there is a past practice that has created a constructive obligation.</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Income</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tax</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Income tax on the profit or loss for the year is comprised of current tax and deferred tax. Income tax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except to the extent that it relates to items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directly in Shareholders’ equity, in which case it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Shareholders’ equity.</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Current tax is the tax expected to be payable on the taxable profit for the year, calculated using tax rates (and laws) enacted or substantially enacted by the balance sheet date, and any adjustment to tax payable in respect of previous years. Current tax assets and liabilities are offset when NIBC intends to settle on a net basis and a legal right of offset exists.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Deferred income tax is provided for in full, using the liability method, on temporary differences arising between the tax bases of assets and liabilities and their carrying amounts in the Consolidated Financial Statements. Deferred income tax is determined using tax rates (and laws) that have been enacted or substantially enacted by the balance sheet date and are expected to apply when the related deferred income tax asset is </w:t>
      </w:r>
      <w:proofErr w:type="spellStart"/>
      <w:r w:rsidRPr="00835F56">
        <w:rPr>
          <w:rFonts w:ascii="Times" w:eastAsia="Times New Roman" w:hAnsi="Times" w:cs="Times"/>
          <w:color w:val="152949"/>
          <w:sz w:val="23"/>
          <w:szCs w:val="23"/>
        </w:rPr>
        <w:t>realised</w:t>
      </w:r>
      <w:proofErr w:type="spellEnd"/>
      <w:r w:rsidRPr="00835F56">
        <w:rPr>
          <w:rFonts w:ascii="Times" w:eastAsia="Times New Roman" w:hAnsi="Times" w:cs="Times"/>
          <w:color w:val="152949"/>
          <w:sz w:val="23"/>
          <w:szCs w:val="23"/>
        </w:rPr>
        <w:t xml:space="preserve"> or the deferred income tax liability is settled.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NIBC’s principal temporary differences arise from the revaluation of certain financial assets and liabilities including derivative contracts, the depreciation of property and provisions for pensions and other post-retirement benefits and tax losses carried forward; and, in relation to acquisitions, on the difference between the fair values of the net assets acquired and their tax base.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Deferred income tax is not accounted for if it arises from initial recognition of an asset or liability in a transaction other than a business combination that at the time of the transaction affects </w:t>
      </w:r>
      <w:proofErr w:type="gramStart"/>
      <w:r w:rsidRPr="00835F56">
        <w:rPr>
          <w:rFonts w:ascii="Times" w:eastAsia="Times New Roman" w:hAnsi="Times" w:cs="Times"/>
          <w:color w:val="152949"/>
          <w:sz w:val="23"/>
          <w:szCs w:val="23"/>
        </w:rPr>
        <w:t>neither accounting nor taxable profit or</w:t>
      </w:r>
      <w:proofErr w:type="gramEnd"/>
      <w:r w:rsidRPr="00835F56">
        <w:rPr>
          <w:rFonts w:ascii="Times" w:eastAsia="Times New Roman" w:hAnsi="Times" w:cs="Times"/>
          <w:color w:val="152949"/>
          <w:sz w:val="23"/>
          <w:szCs w:val="23"/>
        </w:rPr>
        <w:t xml:space="preserve"> loss.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Deferred income tax is provided on temporary differences arising from investments in subsidiaries and associates, except where the timing of the reversal of the temporary difference is controlled by the Group and it is probable that the difference will not reverse in the foreseeable future.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tax effects of income tax losses available for carry-forward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as an asset when it is probable that future taxable profits will be available against which these losses can be </w:t>
      </w:r>
      <w:proofErr w:type="spellStart"/>
      <w:r w:rsidRPr="00835F56">
        <w:rPr>
          <w:rFonts w:ascii="Times" w:eastAsia="Times New Roman" w:hAnsi="Times" w:cs="Times"/>
          <w:color w:val="152949"/>
          <w:sz w:val="23"/>
          <w:szCs w:val="23"/>
        </w:rPr>
        <w:t>utilised</w:t>
      </w:r>
      <w:proofErr w:type="spellEnd"/>
      <w:r w:rsidRPr="00835F56">
        <w:rPr>
          <w:rFonts w:ascii="Times" w:eastAsia="Times New Roman" w:hAnsi="Times" w:cs="Times"/>
          <w:color w:val="152949"/>
          <w:sz w:val="23"/>
          <w:szCs w:val="23"/>
        </w:rPr>
        <w: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lastRenderedPageBreak/>
        <w:t xml:space="preserve">Deferred tax related to the fair value </w:t>
      </w:r>
      <w:proofErr w:type="spellStart"/>
      <w:r w:rsidRPr="00835F56">
        <w:rPr>
          <w:rFonts w:ascii="Times" w:eastAsia="Times New Roman" w:hAnsi="Times" w:cs="Times"/>
          <w:color w:val="152949"/>
          <w:sz w:val="23"/>
          <w:szCs w:val="23"/>
        </w:rPr>
        <w:t>remeasurement</w:t>
      </w:r>
      <w:proofErr w:type="spellEnd"/>
      <w:r w:rsidRPr="00835F56">
        <w:rPr>
          <w:rFonts w:ascii="Times" w:eastAsia="Times New Roman" w:hAnsi="Times" w:cs="Times"/>
          <w:color w:val="152949"/>
          <w:sz w:val="23"/>
          <w:szCs w:val="23"/>
        </w:rPr>
        <w:t xml:space="preserve"> of Available for Sale investments and cash flow hedges, which are charged or credited directly to equity, is also credited or charged directly to equity and is subsequently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when the deferred gain or loss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Shareholders’</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equity</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Share capital</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Shares are classified as equity when there is no contractual obligation to transfer cash or other financial assets.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Share issue costs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Incremental costs directly attributable to the issue of new shares or options are shown in equity as a deduction, net of tax, from the proceeds.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Dividends on ordinary shares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Dividends on ordinary shares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equity in the period that the obligation for payment has been established, being in the period in which they are approved by the shareholders.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Revenue</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recognition</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Revenue comprises the fair value of the consideration received or receivable for the sale of goods and services in the ordinary course of the Group’s activities. Revenue is shown net of value-added tax, returns, rebates and discounts and after eliminating sales within the Group.</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Group </w:t>
      </w:r>
      <w:proofErr w:type="spellStart"/>
      <w:r w:rsidRPr="00835F56">
        <w:rPr>
          <w:rFonts w:ascii="Times" w:eastAsia="Times New Roman" w:hAnsi="Times" w:cs="Times"/>
          <w:color w:val="152949"/>
          <w:sz w:val="23"/>
          <w:szCs w:val="23"/>
        </w:rPr>
        <w:t>recognises</w:t>
      </w:r>
      <w:proofErr w:type="spellEnd"/>
      <w:r w:rsidRPr="00835F56">
        <w:rPr>
          <w:rFonts w:ascii="Times" w:eastAsia="Times New Roman" w:hAnsi="Times" w:cs="Times"/>
          <w:color w:val="152949"/>
          <w:sz w:val="23"/>
          <w:szCs w:val="23"/>
        </w:rPr>
        <w:t xml:space="preserve"> revenue when the amount of revenue can be reliably measured, it is probable that future economic benefits will flow to the entity and when specific criteria have been met for each of the Group’s activities as described below. The amount of revenue is not considered to be reliably measurable until all contingencies relating to the sale have been resolved. The Group bases its estimates on historical results, taking into consideration the type of customer, the type of transaction and the specifics of each arrangement.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Interest income and expense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lastRenderedPageBreak/>
        <w:t xml:space="preserve">Interest income and interest expense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for all interest bearing financial instruments, including those classified as Held for Trading or designated at Fair Value through Profit or Loss.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For all interest bearing financial instruments, interest income or interest expense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using the effective interest rate, which is the rate that exactly discounts estimated future cash payments or receipts through the expected life of the financial instrument or a shorter period, where appropriate, to the net carrying amount of the financial asset or financial liability (on an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basis). The calculation includes all contractual terms of the financial instrument (for example, prepayment options) but not future credit losses. The calculation includes all fees and points paid or received between parties to the contract that are an integral part of the effective interest rate, transaction costs and all other premiums or discounts.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Once a financial asset or a group of similar financial assets is impaired, interest income is subsequently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using the rate of interest used to discount the future cash flows for the purpose of measuring the impairment loss. Any increase in estimated future cash flows of financial assets reclassified to Loans and Receivables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on 1 July 2008 will result in a prospective adjustment to the effective interest rates.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Fee and commission income and expense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Fees and commissions are generally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on an accrual basis when the service has been provided. Loan commitment fees for loans that are likely to be drawn down are deferred (together with related direct costs) and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as an adjustment to the effective interest rate on the loan.</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Loan syndication fees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as revenue when the syndication has been completed and the Group has retained no part of the loan package for itself or has retained a part at the same effective interest rate as the other participants. Commissions and fees arising from negotiating, or participating in the negotiation of, a transaction for a third party - such as the arrangement of the acquisition of shares or other securities or the purchase or sale of businesses -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on completion of the underlying transaction. Portfolio and other management advisory and service fees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based on the applicable service contracts, usually on a time-proportionate basis.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Asset management fees related to investment funds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pro rata over the period in which the service is provided. The same principle is applied for wealth management, financial planning and custody services that are continuously provided over an extended period of time.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Performance linked fees or fee components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when the performance criteria are fulfilled.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lastRenderedPageBreak/>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Dividend income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Dividends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when the entity’s right to receive payment is established.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Net trading income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Net trading income comprises all gains and losses not presented under Gains less losses from financial assets from changes in the fair value of financial assets and financial liabilities measured at Fair Value through Profit or Loss and Held for Trading as well as </w:t>
      </w:r>
      <w:proofErr w:type="spellStart"/>
      <w:r w:rsidRPr="00835F56">
        <w:rPr>
          <w:rFonts w:ascii="Times" w:eastAsia="Times New Roman" w:hAnsi="Times" w:cs="Times"/>
          <w:color w:val="152949"/>
          <w:sz w:val="23"/>
          <w:szCs w:val="23"/>
        </w:rPr>
        <w:t>realised</w:t>
      </w:r>
      <w:proofErr w:type="spellEnd"/>
      <w:r w:rsidRPr="00835F56">
        <w:rPr>
          <w:rFonts w:ascii="Times" w:eastAsia="Times New Roman" w:hAnsi="Times" w:cs="Times"/>
          <w:color w:val="152949"/>
          <w:sz w:val="23"/>
          <w:szCs w:val="23"/>
        </w:rPr>
        <w:t xml:space="preserve"> gains and losses of financial assets and financial liabilities measured at </w:t>
      </w:r>
      <w:proofErr w:type="spellStart"/>
      <w:r w:rsidRPr="00835F56">
        <w:rPr>
          <w:rFonts w:ascii="Times" w:eastAsia="Times New Roman" w:hAnsi="Times" w:cs="Times"/>
          <w:color w:val="152949"/>
          <w:sz w:val="23"/>
          <w:szCs w:val="23"/>
        </w:rPr>
        <w:t>Amortised</w:t>
      </w:r>
      <w:proofErr w:type="spellEnd"/>
      <w:r w:rsidRPr="00835F56">
        <w:rPr>
          <w:rFonts w:ascii="Times" w:eastAsia="Times New Roman" w:hAnsi="Times" w:cs="Times"/>
          <w:color w:val="152949"/>
          <w:sz w:val="23"/>
          <w:szCs w:val="23"/>
        </w:rPr>
        <w:t xml:space="preserve"> Cost, Available for Sale, Held for Trading and designated as at Fair Value through Profit or Loss (including foreign exchange gains and losses).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Gains less losses from financial assets</w:t>
      </w:r>
    </w:p>
    <w:p w:rsidR="00835F56" w:rsidRPr="00835F56" w:rsidRDefault="00835F56" w:rsidP="00835F56">
      <w:pPr>
        <w:spacing w:after="0" w:line="324" w:lineRule="atLeast"/>
        <w:rPr>
          <w:rFonts w:ascii="Times" w:eastAsia="Times New Roman" w:hAnsi="Times" w:cs="Times"/>
          <w:color w:val="152949"/>
          <w:sz w:val="23"/>
          <w:szCs w:val="23"/>
        </w:rPr>
      </w:pPr>
      <w:proofErr w:type="spellStart"/>
      <w:r w:rsidRPr="00835F56">
        <w:rPr>
          <w:rFonts w:ascii="Times" w:eastAsia="Times New Roman" w:hAnsi="Times" w:cs="Times"/>
          <w:color w:val="152949"/>
          <w:sz w:val="23"/>
          <w:szCs w:val="23"/>
        </w:rPr>
        <w:t>Realised</w:t>
      </w:r>
      <w:proofErr w:type="spellEnd"/>
      <w:r w:rsidRPr="00835F56">
        <w:rPr>
          <w:rFonts w:ascii="Times" w:eastAsia="Times New Roman" w:hAnsi="Times" w:cs="Times"/>
          <w:color w:val="152949"/>
          <w:sz w:val="23"/>
          <w:szCs w:val="23"/>
        </w:rPr>
        <w:t xml:space="preserve"> gains or losses from Debt investments and Equity investments at Available for Sale previously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equity, and gains or losses from associates and equity investments at Fair Value through Profit or Loss and impairment losses on equity investments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Income Statement as Gains less losses from financial assets.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07" w:lineRule="atLeast"/>
        <w:rPr>
          <w:rFonts w:ascii="Trebuchet MS" w:eastAsia="Times New Roman" w:hAnsi="Trebuchet MS" w:cs="Times New Roman"/>
          <w:b/>
          <w:bCs/>
          <w:color w:val="152949"/>
          <w:spacing w:val="5"/>
          <w:sz w:val="29"/>
          <w:szCs w:val="29"/>
        </w:rPr>
      </w:pPr>
      <w:r w:rsidRPr="00835F56">
        <w:rPr>
          <w:rFonts w:ascii="Trebuchet MS" w:eastAsia="Times New Roman" w:hAnsi="Trebuchet MS" w:cs="Times New Roman"/>
          <w:b/>
          <w:bCs/>
          <w:color w:val="152949"/>
          <w:spacing w:val="5"/>
          <w:sz w:val="29"/>
          <w:szCs w:val="29"/>
        </w:rPr>
        <w:t>Other operating income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revenue diminished by cost of sales from consolidated non-financial companies is presented under </w:t>
      </w:r>
      <w:proofErr w:type="gramStart"/>
      <w:r w:rsidRPr="00835F56">
        <w:rPr>
          <w:rFonts w:ascii="Times" w:eastAsia="Times New Roman" w:hAnsi="Times" w:cs="Times"/>
          <w:color w:val="152949"/>
          <w:sz w:val="23"/>
          <w:szCs w:val="23"/>
        </w:rPr>
        <w:t>Other</w:t>
      </w:r>
      <w:proofErr w:type="gramEnd"/>
      <w:r w:rsidRPr="00835F56">
        <w:rPr>
          <w:rFonts w:ascii="Times" w:eastAsia="Times New Roman" w:hAnsi="Times" w:cs="Times"/>
          <w:color w:val="152949"/>
          <w:sz w:val="23"/>
          <w:szCs w:val="23"/>
        </w:rPr>
        <w:t xml:space="preserve"> operating income.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275" w:lineRule="atLeast"/>
        <w:rPr>
          <w:rFonts w:ascii="Trebuchet MS" w:eastAsia="Times New Roman" w:hAnsi="Trebuchet MS" w:cs="Times New Roman"/>
          <w:color w:val="48A4D4"/>
          <w:spacing w:val="5"/>
          <w:sz w:val="26"/>
          <w:szCs w:val="26"/>
        </w:rPr>
      </w:pPr>
      <w:r w:rsidRPr="00835F56">
        <w:rPr>
          <w:rFonts w:ascii="Trebuchet MS" w:eastAsia="Times New Roman" w:hAnsi="Trebuchet MS" w:cs="Times New Roman"/>
          <w:color w:val="48A4D4"/>
          <w:spacing w:val="5"/>
          <w:sz w:val="26"/>
          <w:szCs w:val="26"/>
        </w:rPr>
        <w:t>Sales of goods by consolidated non-financial companies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Group manufactures and sells products to clients. Sales of goods are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when a Group entity has delivered products to the client, the client has full discretion over the channel and price to sell the products, and there is no unfulfilled obligation that could affect the client’s acceptance of the products. Delivery does not occur until the products have been shipped to the specified location, the risks of obsolescence and loss have been transferred to the client, and either the client has accepted the products in accordance with the sales contract, the acceptance provisions have lapsed, or the Group has objective evidence that all criteria for acceptance have been satisfied.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Products are often sold with volume discounts and customers have a right to return faulty products. Sales are recorded based on the price specified in the sales contracts, net of estimated volume discounts and returns at the time of sale. Accumulated experience is used to estimate and provide for </w:t>
      </w:r>
      <w:r w:rsidRPr="00835F56">
        <w:rPr>
          <w:rFonts w:ascii="Times" w:eastAsia="Times New Roman" w:hAnsi="Times" w:cs="Times"/>
          <w:color w:val="152949"/>
          <w:sz w:val="23"/>
          <w:szCs w:val="23"/>
        </w:rPr>
        <w:lastRenderedPageBreak/>
        <w:t>the discounts and returns. Volume discounts are assessed based on anticipated annual sales. No element of financing is deemed present as the sales are made with a credit term of 90 days, which is consistent with the market practice.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275" w:lineRule="atLeast"/>
        <w:rPr>
          <w:rFonts w:ascii="Trebuchet MS" w:eastAsia="Times New Roman" w:hAnsi="Trebuchet MS" w:cs="Times New Roman"/>
          <w:color w:val="48A4D4"/>
          <w:spacing w:val="5"/>
          <w:sz w:val="26"/>
          <w:szCs w:val="26"/>
        </w:rPr>
      </w:pPr>
      <w:r w:rsidRPr="00835F56">
        <w:rPr>
          <w:rFonts w:ascii="Trebuchet MS" w:eastAsia="Times New Roman" w:hAnsi="Trebuchet MS" w:cs="Times New Roman"/>
          <w:color w:val="48A4D4"/>
          <w:spacing w:val="5"/>
          <w:sz w:val="26"/>
          <w:szCs w:val="26"/>
        </w:rPr>
        <w:t>Sales of services by consolidated non-financial companies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The Group sells water and pile services and transportation services. These services are provided on a time and materials basis or as fixed-price contracts, with contract terms generally ranging from less than one year to two years.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Revenue from time and material contracts, typically from delivering water and pile services, is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using the percentage of completion method. Revenue is generally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at the contractual rates. For time contracts, the stage of completion is measured on the basis of </w:t>
      </w:r>
      <w:proofErr w:type="spellStart"/>
      <w:r w:rsidRPr="00835F56">
        <w:rPr>
          <w:rFonts w:ascii="Times" w:eastAsia="Times New Roman" w:hAnsi="Times" w:cs="Times"/>
          <w:color w:val="152949"/>
          <w:sz w:val="23"/>
          <w:szCs w:val="23"/>
        </w:rPr>
        <w:t>labour</w:t>
      </w:r>
      <w:proofErr w:type="spellEnd"/>
      <w:r w:rsidRPr="00835F56">
        <w:rPr>
          <w:rFonts w:ascii="Times" w:eastAsia="Times New Roman" w:hAnsi="Times" w:cs="Times"/>
          <w:color w:val="152949"/>
          <w:sz w:val="23"/>
          <w:szCs w:val="23"/>
        </w:rPr>
        <w:t xml:space="preserve"> hours delivered as a percentage of total hours to be delivered. For material contracts, the stage of completion is measured on the basis of direct expenses incurred as a percentage of the total expenses to be incurred.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Revenue from fixed-price contracts for delivering water and pile services is also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under the percentage-of-completion method. Revenue is generally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based on the services performed to date as a percentage of the total services to be performed.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Revenue from fixed-price contracts for delivering transportation services is generally </w:t>
      </w:r>
      <w:proofErr w:type="spellStart"/>
      <w:r w:rsidRPr="00835F56">
        <w:rPr>
          <w:rFonts w:ascii="Times" w:eastAsia="Times New Roman" w:hAnsi="Times" w:cs="Times"/>
          <w:color w:val="152949"/>
          <w:sz w:val="23"/>
          <w:szCs w:val="23"/>
        </w:rPr>
        <w:t>recognised</w:t>
      </w:r>
      <w:proofErr w:type="spellEnd"/>
      <w:r w:rsidRPr="00835F56">
        <w:rPr>
          <w:rFonts w:ascii="Times" w:eastAsia="Times New Roman" w:hAnsi="Times" w:cs="Times"/>
          <w:color w:val="152949"/>
          <w:sz w:val="23"/>
          <w:szCs w:val="23"/>
        </w:rPr>
        <w:t xml:space="preserve"> in the period the services are provided, using a straight-line basis over the term of the contract.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If circumstances arise that may change the original estimates of revenues, costs or extent of progress toward completion, estimates are revised. These revisions may result in increases or decreases in estimated revenues or costs and are reflected in income in the period in which the circumstances that give rise to the revision become known by management.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Discontinued</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operations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A discontinued operation is a component of an entity that either has been disposed of, or that is classified as held for sale, and a) represents a separate major line of business or geographical area of operations; b) is part of a single co-</w:t>
      </w:r>
      <w:proofErr w:type="spellStart"/>
      <w:r w:rsidRPr="00835F56">
        <w:rPr>
          <w:rFonts w:ascii="Times" w:eastAsia="Times New Roman" w:hAnsi="Times" w:cs="Times"/>
          <w:color w:val="152949"/>
          <w:sz w:val="23"/>
          <w:szCs w:val="23"/>
        </w:rPr>
        <w:t>ordinated</w:t>
      </w:r>
      <w:proofErr w:type="spellEnd"/>
      <w:r w:rsidRPr="00835F56">
        <w:rPr>
          <w:rFonts w:ascii="Times" w:eastAsia="Times New Roman" w:hAnsi="Times" w:cs="Times"/>
          <w:color w:val="152949"/>
          <w:sz w:val="23"/>
          <w:szCs w:val="23"/>
        </w:rPr>
        <w:t xml:space="preserve"> plan to dispose of a separate major line of business or geographical area of operations; or c) is a subsidiary acquired exclusively with a view to resale.</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When an operation is classified as a discontinued operation, the comparative Income Statement and Consolidated Cash Flow Statement are represented as if the operation had been discontinued from the start of the comparative period.</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lastRenderedPageBreak/>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Consolidated</w:t>
      </w:r>
      <w:r w:rsidRPr="00835F56">
        <w:rPr>
          <w:rFonts w:ascii="Trebuchet MS" w:eastAsia="Times New Roman" w:hAnsi="Trebuchet MS" w:cs="Times New Roman"/>
          <w:color w:val="022749"/>
          <w:sz w:val="36"/>
        </w:rPr>
        <w:t> </w:t>
      </w:r>
      <w:r w:rsidRPr="00835F56">
        <w:rPr>
          <w:rFonts w:ascii="Trebuchet MS" w:eastAsia="Times New Roman" w:hAnsi="Trebuchet MS" w:cs="Times New Roman"/>
          <w:color w:val="48A4D4"/>
          <w:sz w:val="36"/>
        </w:rPr>
        <w:t>Cash Flow Statement</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xml:space="preserve">The Consolidated Cash Flow Statement, based on the indirect method of calculation, gives details of the source of cash and cash equivalents that became available during the year and the application of these cash and cash equivalents over the course of the year. The cash flows are </w:t>
      </w:r>
      <w:proofErr w:type="spellStart"/>
      <w:r w:rsidRPr="00835F56">
        <w:rPr>
          <w:rFonts w:ascii="Times" w:eastAsia="Times New Roman" w:hAnsi="Times" w:cs="Times"/>
          <w:color w:val="152949"/>
          <w:sz w:val="23"/>
          <w:szCs w:val="23"/>
        </w:rPr>
        <w:t>analysed</w:t>
      </w:r>
      <w:proofErr w:type="spellEnd"/>
      <w:r w:rsidRPr="00835F56">
        <w:rPr>
          <w:rFonts w:ascii="Times" w:eastAsia="Times New Roman" w:hAnsi="Times" w:cs="Times"/>
          <w:color w:val="152949"/>
          <w:sz w:val="23"/>
          <w:szCs w:val="23"/>
        </w:rPr>
        <w:t xml:space="preserve"> into cash flows from operations, including banking activities, investment activities and financing activities. Movements in Loans and Receivables and inter-bank deposits are included in the cash flow from operating activities. Investment activities are comprised of acquisitions, sales and redemptions in respect of financial investments, as well as investments in and sales of subsidiaries and associates, property, plant and equipment. The issuing of shares and the borrowing and repayment of long-term funds are treated as financing activities. Movements due to currency translation differences as well as the effects of the consolidation of acquisitions, where of material significance, are eliminated from the cash flow figures.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421" w:lineRule="atLeast"/>
        <w:rPr>
          <w:rFonts w:ascii="Trebuchet MS" w:eastAsia="Times New Roman" w:hAnsi="Trebuchet MS" w:cs="Times New Roman"/>
          <w:color w:val="022749"/>
          <w:sz w:val="36"/>
          <w:szCs w:val="36"/>
        </w:rPr>
      </w:pPr>
      <w:r w:rsidRPr="00835F56">
        <w:rPr>
          <w:rFonts w:ascii="Trebuchet MS" w:eastAsia="Times New Roman" w:hAnsi="Trebuchet MS" w:cs="Times New Roman"/>
          <w:color w:val="022749"/>
          <w:sz w:val="36"/>
          <w:szCs w:val="36"/>
        </w:rPr>
        <w:t>Fiduciary</w:t>
      </w:r>
      <w:r w:rsidRPr="00835F56">
        <w:rPr>
          <w:rFonts w:ascii="Trebuchet MS" w:eastAsia="Times New Roman" w:hAnsi="Trebuchet MS" w:cs="Times New Roman"/>
          <w:color w:val="48A4D4"/>
          <w:sz w:val="36"/>
        </w:rPr>
        <w:t> activities</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 </w:t>
      </w:r>
    </w:p>
    <w:p w:rsidR="00835F56" w:rsidRPr="00835F56" w:rsidRDefault="00835F56" w:rsidP="00835F56">
      <w:pPr>
        <w:spacing w:after="0" w:line="324" w:lineRule="atLeast"/>
        <w:rPr>
          <w:rFonts w:ascii="Times" w:eastAsia="Times New Roman" w:hAnsi="Times" w:cs="Times"/>
          <w:color w:val="152949"/>
          <w:sz w:val="23"/>
          <w:szCs w:val="23"/>
        </w:rPr>
      </w:pPr>
      <w:r w:rsidRPr="00835F56">
        <w:rPr>
          <w:rFonts w:ascii="Times" w:eastAsia="Times New Roman" w:hAnsi="Times" w:cs="Times"/>
          <w:color w:val="152949"/>
          <w:sz w:val="23"/>
          <w:szCs w:val="23"/>
        </w:rPr>
        <w:t>NIBC acts as trustee and in other fiduciary capacities that result in the holding or placing of assets on behalf of individuals, trusts, retirement benefit plans and other institutions. These assets and income arising thereon are excluded from these Financial Statements, as they are not assets of the Group.</w:t>
      </w:r>
    </w:p>
    <w:p w:rsidR="000176C4" w:rsidRPr="000176C4" w:rsidRDefault="000176C4" w:rsidP="000176C4">
      <w:pPr>
        <w:spacing w:after="0" w:line="728" w:lineRule="atLeast"/>
        <w:rPr>
          <w:rFonts w:ascii="Trebuchet MS" w:eastAsia="Times New Roman" w:hAnsi="Trebuchet MS" w:cs="Times New Roman"/>
          <w:color w:val="022749"/>
          <w:sz w:val="57"/>
          <w:szCs w:val="57"/>
        </w:rPr>
      </w:pPr>
      <w:r w:rsidRPr="000176C4">
        <w:rPr>
          <w:rFonts w:ascii="Trebuchet MS" w:eastAsia="Times New Roman" w:hAnsi="Trebuchet MS" w:cs="Times New Roman"/>
          <w:color w:val="022749"/>
          <w:sz w:val="57"/>
          <w:szCs w:val="57"/>
        </w:rPr>
        <w:t>Critical Accounting</w:t>
      </w:r>
      <w:r w:rsidRPr="000176C4">
        <w:rPr>
          <w:rFonts w:ascii="Trebuchet MS" w:eastAsia="Times New Roman" w:hAnsi="Trebuchet MS" w:cs="Times New Roman"/>
          <w:color w:val="022749"/>
          <w:sz w:val="57"/>
        </w:rPr>
        <w:t> </w:t>
      </w:r>
      <w:r w:rsidRPr="000176C4">
        <w:rPr>
          <w:rFonts w:ascii="Trebuchet MS" w:eastAsia="Times New Roman" w:hAnsi="Trebuchet MS" w:cs="Times New Roman"/>
          <w:color w:val="48A4D4"/>
          <w:sz w:val="57"/>
        </w:rPr>
        <w:t xml:space="preserve">Estimates and </w:t>
      </w:r>
      <w:proofErr w:type="spellStart"/>
      <w:r w:rsidRPr="000176C4">
        <w:rPr>
          <w:rFonts w:ascii="Trebuchet MS" w:eastAsia="Times New Roman" w:hAnsi="Trebuchet MS" w:cs="Times New Roman"/>
          <w:color w:val="48A4D4"/>
          <w:sz w:val="57"/>
        </w:rPr>
        <w:t>Judgements</w:t>
      </w:r>
      <w:proofErr w:type="spellEnd"/>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NIBC makes estimates and assumptions that affect the reported amounts of assets and liabilities. Estimates and </w:t>
      </w:r>
      <w:proofErr w:type="spellStart"/>
      <w:r w:rsidRPr="000176C4">
        <w:rPr>
          <w:rFonts w:ascii="Times" w:eastAsia="Times New Roman" w:hAnsi="Times" w:cs="Times"/>
          <w:color w:val="152949"/>
          <w:sz w:val="23"/>
          <w:szCs w:val="23"/>
        </w:rPr>
        <w:t>judgements</w:t>
      </w:r>
      <w:proofErr w:type="spellEnd"/>
      <w:r w:rsidRPr="000176C4">
        <w:rPr>
          <w:rFonts w:ascii="Times" w:eastAsia="Times New Roman" w:hAnsi="Times" w:cs="Times"/>
          <w:color w:val="152949"/>
          <w:sz w:val="23"/>
          <w:szCs w:val="23"/>
        </w:rPr>
        <w:t xml:space="preserve"> are continually evaluated and are based on historical experience and other factors, including expectations of future events that are believed to be reasonable under the circumstances.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proofErr w:type="spellStart"/>
      <w:r w:rsidRPr="000176C4">
        <w:rPr>
          <w:rFonts w:ascii="Times" w:eastAsia="Times New Roman" w:hAnsi="Times" w:cs="Times"/>
          <w:color w:val="152949"/>
          <w:sz w:val="23"/>
          <w:szCs w:val="23"/>
        </w:rPr>
        <w:t>Judgements</w:t>
      </w:r>
      <w:proofErr w:type="spellEnd"/>
      <w:r w:rsidRPr="000176C4">
        <w:rPr>
          <w:rFonts w:ascii="Times" w:eastAsia="Times New Roman" w:hAnsi="Times" w:cs="Times"/>
          <w:color w:val="152949"/>
          <w:sz w:val="23"/>
          <w:szCs w:val="23"/>
        </w:rPr>
        <w:t xml:space="preserve"> and estimates are principally made in the following areas:</w:t>
      </w:r>
    </w:p>
    <w:p w:rsidR="000176C4" w:rsidRPr="000176C4" w:rsidRDefault="000176C4" w:rsidP="000176C4">
      <w:pPr>
        <w:numPr>
          <w:ilvl w:val="0"/>
          <w:numId w:val="20"/>
        </w:numPr>
        <w:spacing w:after="0" w:line="324" w:lineRule="atLeast"/>
        <w:ind w:left="32"/>
        <w:rPr>
          <w:rFonts w:ascii="Times" w:eastAsia="Times New Roman" w:hAnsi="Times" w:cs="Times"/>
          <w:color w:val="152949"/>
          <w:sz w:val="23"/>
          <w:szCs w:val="23"/>
        </w:rPr>
      </w:pPr>
      <w:r w:rsidRPr="000176C4">
        <w:rPr>
          <w:rFonts w:ascii="Times" w:eastAsia="Times New Roman" w:hAnsi="Times" w:cs="Times"/>
          <w:color w:val="152949"/>
          <w:sz w:val="23"/>
          <w:szCs w:val="23"/>
        </w:rPr>
        <w:t>Estimated impairment of goodwill arising on consolidated non-financial companies;</w:t>
      </w:r>
    </w:p>
    <w:p w:rsidR="000176C4" w:rsidRPr="000176C4" w:rsidRDefault="000176C4" w:rsidP="000176C4">
      <w:pPr>
        <w:numPr>
          <w:ilvl w:val="0"/>
          <w:numId w:val="20"/>
        </w:numPr>
        <w:spacing w:after="0" w:line="324" w:lineRule="atLeast"/>
        <w:ind w:left="32"/>
        <w:rPr>
          <w:rFonts w:ascii="Times" w:eastAsia="Times New Roman" w:hAnsi="Times" w:cs="Times"/>
          <w:color w:val="152949"/>
          <w:sz w:val="23"/>
          <w:szCs w:val="23"/>
        </w:rPr>
      </w:pPr>
      <w:r w:rsidRPr="000176C4">
        <w:rPr>
          <w:rFonts w:ascii="Times" w:eastAsia="Times New Roman" w:hAnsi="Times" w:cs="Times"/>
          <w:color w:val="152949"/>
          <w:sz w:val="23"/>
          <w:szCs w:val="23"/>
        </w:rPr>
        <w:t>Fair value of certain financial instruments;</w:t>
      </w:r>
    </w:p>
    <w:p w:rsidR="000176C4" w:rsidRPr="000176C4" w:rsidRDefault="000176C4" w:rsidP="000176C4">
      <w:pPr>
        <w:numPr>
          <w:ilvl w:val="0"/>
          <w:numId w:val="20"/>
        </w:numPr>
        <w:spacing w:after="0" w:line="324" w:lineRule="atLeast"/>
        <w:ind w:left="32"/>
        <w:rPr>
          <w:rFonts w:ascii="Times" w:eastAsia="Times New Roman" w:hAnsi="Times" w:cs="Times"/>
          <w:color w:val="152949"/>
          <w:sz w:val="23"/>
          <w:szCs w:val="23"/>
        </w:rPr>
      </w:pPr>
      <w:r w:rsidRPr="000176C4">
        <w:rPr>
          <w:rFonts w:ascii="Times" w:eastAsia="Times New Roman" w:hAnsi="Times" w:cs="Times"/>
          <w:color w:val="152949"/>
          <w:sz w:val="23"/>
          <w:szCs w:val="23"/>
        </w:rPr>
        <w:t>Impact of reclassified financial assets;</w:t>
      </w:r>
    </w:p>
    <w:p w:rsidR="000176C4" w:rsidRPr="000176C4" w:rsidRDefault="000176C4" w:rsidP="000176C4">
      <w:pPr>
        <w:numPr>
          <w:ilvl w:val="0"/>
          <w:numId w:val="20"/>
        </w:numPr>
        <w:spacing w:after="0" w:line="324" w:lineRule="atLeast"/>
        <w:ind w:left="32"/>
        <w:rPr>
          <w:rFonts w:ascii="Times" w:eastAsia="Times New Roman" w:hAnsi="Times" w:cs="Times"/>
          <w:color w:val="152949"/>
          <w:sz w:val="23"/>
          <w:szCs w:val="23"/>
        </w:rPr>
      </w:pPr>
      <w:r w:rsidRPr="000176C4">
        <w:rPr>
          <w:rFonts w:ascii="Times" w:eastAsia="Times New Roman" w:hAnsi="Times" w:cs="Times"/>
          <w:color w:val="152949"/>
          <w:sz w:val="23"/>
          <w:szCs w:val="23"/>
        </w:rPr>
        <w:t>Impairment of corporate loans;</w:t>
      </w:r>
    </w:p>
    <w:p w:rsidR="000176C4" w:rsidRPr="000176C4" w:rsidRDefault="000176C4" w:rsidP="000176C4">
      <w:pPr>
        <w:numPr>
          <w:ilvl w:val="0"/>
          <w:numId w:val="20"/>
        </w:numPr>
        <w:spacing w:after="0" w:line="324" w:lineRule="atLeast"/>
        <w:ind w:left="32"/>
        <w:rPr>
          <w:rFonts w:ascii="Times" w:eastAsia="Times New Roman" w:hAnsi="Times" w:cs="Times"/>
          <w:color w:val="152949"/>
          <w:sz w:val="23"/>
          <w:szCs w:val="23"/>
        </w:rPr>
      </w:pPr>
      <w:r w:rsidRPr="000176C4">
        <w:rPr>
          <w:rFonts w:ascii="Times" w:eastAsia="Times New Roman" w:hAnsi="Times" w:cs="Times"/>
          <w:color w:val="152949"/>
          <w:sz w:val="23"/>
          <w:szCs w:val="23"/>
        </w:rPr>
        <w:t>Impairment of equity investments classified as Available for Sale;</w:t>
      </w:r>
    </w:p>
    <w:p w:rsidR="000176C4" w:rsidRPr="000176C4" w:rsidRDefault="000176C4" w:rsidP="000176C4">
      <w:pPr>
        <w:numPr>
          <w:ilvl w:val="0"/>
          <w:numId w:val="20"/>
        </w:numPr>
        <w:spacing w:after="0" w:line="324" w:lineRule="atLeast"/>
        <w:ind w:left="32"/>
        <w:rPr>
          <w:rFonts w:ascii="Times" w:eastAsia="Times New Roman" w:hAnsi="Times" w:cs="Times"/>
          <w:color w:val="152949"/>
          <w:sz w:val="23"/>
          <w:szCs w:val="23"/>
        </w:rPr>
      </w:pPr>
      <w:proofErr w:type="spellStart"/>
      <w:r w:rsidRPr="000176C4">
        <w:rPr>
          <w:rFonts w:ascii="Times" w:eastAsia="Times New Roman" w:hAnsi="Times" w:cs="Times"/>
          <w:color w:val="152949"/>
          <w:sz w:val="23"/>
          <w:szCs w:val="23"/>
        </w:rPr>
        <w:t>Securitisations</w:t>
      </w:r>
      <w:proofErr w:type="spellEnd"/>
      <w:r w:rsidRPr="000176C4">
        <w:rPr>
          <w:rFonts w:ascii="Times" w:eastAsia="Times New Roman" w:hAnsi="Times" w:cs="Times"/>
          <w:color w:val="152949"/>
          <w:sz w:val="23"/>
          <w:szCs w:val="23"/>
        </w:rPr>
        <w:t xml:space="preserve"> and special purpose entities;</w:t>
      </w:r>
    </w:p>
    <w:p w:rsidR="000176C4" w:rsidRPr="000176C4" w:rsidRDefault="000176C4" w:rsidP="000176C4">
      <w:pPr>
        <w:numPr>
          <w:ilvl w:val="0"/>
          <w:numId w:val="20"/>
        </w:numPr>
        <w:spacing w:after="0" w:line="324" w:lineRule="atLeast"/>
        <w:ind w:left="32"/>
        <w:rPr>
          <w:rFonts w:ascii="Times" w:eastAsia="Times New Roman" w:hAnsi="Times" w:cs="Times"/>
          <w:color w:val="152949"/>
          <w:sz w:val="23"/>
          <w:szCs w:val="23"/>
        </w:rPr>
      </w:pPr>
      <w:r w:rsidRPr="000176C4">
        <w:rPr>
          <w:rFonts w:ascii="Times" w:eastAsia="Times New Roman" w:hAnsi="Times" w:cs="Times"/>
          <w:color w:val="152949"/>
          <w:sz w:val="23"/>
          <w:szCs w:val="23"/>
        </w:rPr>
        <w:lastRenderedPageBreak/>
        <w:t>Pension benefits; and</w:t>
      </w:r>
    </w:p>
    <w:p w:rsidR="000176C4" w:rsidRPr="000176C4" w:rsidRDefault="000176C4" w:rsidP="000176C4">
      <w:pPr>
        <w:numPr>
          <w:ilvl w:val="0"/>
          <w:numId w:val="20"/>
        </w:numPr>
        <w:spacing w:after="0" w:line="324" w:lineRule="atLeast"/>
        <w:ind w:left="32"/>
        <w:rPr>
          <w:rFonts w:ascii="Times" w:eastAsia="Times New Roman" w:hAnsi="Times" w:cs="Times"/>
          <w:color w:val="152949"/>
          <w:sz w:val="23"/>
          <w:szCs w:val="23"/>
        </w:rPr>
      </w:pPr>
      <w:r w:rsidRPr="000176C4">
        <w:rPr>
          <w:rFonts w:ascii="Times" w:eastAsia="Times New Roman" w:hAnsi="Times" w:cs="Times"/>
          <w:color w:val="152949"/>
          <w:sz w:val="23"/>
          <w:szCs w:val="23"/>
        </w:rPr>
        <w:t>Income taxes.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421" w:lineRule="atLeast"/>
        <w:rPr>
          <w:rFonts w:ascii="Trebuchet MS" w:eastAsia="Times New Roman" w:hAnsi="Trebuchet MS" w:cs="Times New Roman"/>
          <w:color w:val="022749"/>
          <w:sz w:val="36"/>
          <w:szCs w:val="36"/>
        </w:rPr>
      </w:pPr>
      <w:r w:rsidRPr="000176C4">
        <w:rPr>
          <w:rFonts w:ascii="Trebuchet MS" w:eastAsia="Times New Roman" w:hAnsi="Trebuchet MS" w:cs="Times New Roman"/>
          <w:color w:val="022749"/>
          <w:sz w:val="36"/>
          <w:szCs w:val="36"/>
        </w:rPr>
        <w:t>Estimated impairment of goodwill arising on</w:t>
      </w:r>
      <w:r w:rsidRPr="000176C4">
        <w:rPr>
          <w:rFonts w:ascii="Trebuchet MS" w:eastAsia="Times New Roman" w:hAnsi="Trebuchet MS" w:cs="Times New Roman"/>
          <w:color w:val="022749"/>
          <w:sz w:val="36"/>
        </w:rPr>
        <w:t> </w:t>
      </w:r>
      <w:r w:rsidRPr="000176C4">
        <w:rPr>
          <w:rFonts w:ascii="Trebuchet MS" w:eastAsia="Times New Roman" w:hAnsi="Trebuchet MS" w:cs="Times New Roman"/>
          <w:color w:val="48A4D4"/>
          <w:sz w:val="36"/>
        </w:rPr>
        <w:t>consolidated non-financial companies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The Group tests annually whether its goodwill is impaired in accordance with its accounting policy.</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The recoverable amount of a group of</w:t>
      </w:r>
      <w:r w:rsidRPr="000176C4">
        <w:rPr>
          <w:rFonts w:ascii="Times" w:eastAsia="Times New Roman" w:hAnsi="Times" w:cs="Times"/>
          <w:color w:val="152949"/>
          <w:sz w:val="23"/>
        </w:rPr>
        <w:t> </w:t>
      </w:r>
      <w:r w:rsidRPr="000176C4">
        <w:rPr>
          <w:rFonts w:ascii="Times" w:eastAsia="Times New Roman" w:hAnsi="Times" w:cs="Times"/>
          <w:i/>
          <w:iCs/>
          <w:color w:val="152949"/>
          <w:sz w:val="23"/>
        </w:rPr>
        <w:t>cash generating units</w:t>
      </w:r>
      <w:r w:rsidRPr="000176C4">
        <w:rPr>
          <w:rFonts w:ascii="Times" w:eastAsia="Times New Roman" w:hAnsi="Times" w:cs="Times"/>
          <w:color w:val="152949"/>
          <w:sz w:val="23"/>
        </w:rPr>
        <w:t> </w:t>
      </w:r>
      <w:r w:rsidRPr="000176C4">
        <w:rPr>
          <w:rFonts w:ascii="Times" w:eastAsia="Times New Roman" w:hAnsi="Times" w:cs="Times"/>
          <w:color w:val="152949"/>
          <w:sz w:val="23"/>
          <w:szCs w:val="23"/>
        </w:rPr>
        <w:t>(</w:t>
      </w:r>
      <w:r w:rsidRPr="000176C4">
        <w:rPr>
          <w:rFonts w:ascii="Times" w:eastAsia="Times New Roman" w:hAnsi="Times" w:cs="Times"/>
          <w:b/>
          <w:bCs/>
          <w:color w:val="152949"/>
          <w:sz w:val="23"/>
        </w:rPr>
        <w:t>CGUs</w:t>
      </w:r>
      <w:r w:rsidRPr="000176C4">
        <w:rPr>
          <w:rFonts w:ascii="Times" w:eastAsia="Times New Roman" w:hAnsi="Times" w:cs="Times"/>
          <w:color w:val="152949"/>
          <w:sz w:val="23"/>
          <w:szCs w:val="23"/>
        </w:rPr>
        <w:t>) related to consolidated non-financial companies is determined based on value-in-use calculations. These calculations use pre-tax cash flow projections based on financial budgets approved by the Managing Boards of the acquirer companies covering a ten year period (2009-2018). Cash flows beyond the ten year period are extrapolated using an estimated perpetual growth rate.</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The key assumptions used in the value-in-use calculations for 2008 are as follows:</w:t>
      </w:r>
    </w:p>
    <w:p w:rsidR="000176C4" w:rsidRPr="000176C4" w:rsidRDefault="000176C4" w:rsidP="000176C4">
      <w:pPr>
        <w:numPr>
          <w:ilvl w:val="0"/>
          <w:numId w:val="21"/>
        </w:numPr>
        <w:spacing w:after="0" w:line="324" w:lineRule="atLeast"/>
        <w:ind w:left="32"/>
        <w:rPr>
          <w:rFonts w:ascii="Times" w:eastAsia="Times New Roman" w:hAnsi="Times" w:cs="Times"/>
          <w:color w:val="152949"/>
          <w:sz w:val="23"/>
          <w:szCs w:val="23"/>
        </w:rPr>
      </w:pPr>
      <w:r w:rsidRPr="000176C4">
        <w:rPr>
          <w:rFonts w:ascii="Times" w:eastAsia="Times New Roman" w:hAnsi="Times" w:cs="Times"/>
          <w:color w:val="152949"/>
          <w:sz w:val="23"/>
          <w:szCs w:val="23"/>
        </w:rPr>
        <w:t>Perpetual growth rate    2.0%-2.5%</w:t>
      </w:r>
    </w:p>
    <w:p w:rsidR="000176C4" w:rsidRPr="000176C4" w:rsidRDefault="000176C4" w:rsidP="000176C4">
      <w:pPr>
        <w:numPr>
          <w:ilvl w:val="0"/>
          <w:numId w:val="21"/>
        </w:numPr>
        <w:spacing w:after="0" w:line="324" w:lineRule="atLeast"/>
        <w:ind w:left="32"/>
        <w:rPr>
          <w:rFonts w:ascii="Times" w:eastAsia="Times New Roman" w:hAnsi="Times" w:cs="Times"/>
          <w:color w:val="152949"/>
          <w:sz w:val="23"/>
          <w:szCs w:val="23"/>
        </w:rPr>
      </w:pPr>
      <w:r w:rsidRPr="000176C4">
        <w:rPr>
          <w:rFonts w:ascii="Times" w:eastAsia="Times New Roman" w:hAnsi="Times" w:cs="Times"/>
          <w:color w:val="152949"/>
          <w:sz w:val="23"/>
          <w:szCs w:val="23"/>
        </w:rPr>
        <w:t>Pre-tax discount rate    11.7%-12.7%</w:t>
      </w:r>
    </w:p>
    <w:p w:rsidR="000176C4" w:rsidRPr="000176C4" w:rsidRDefault="000176C4" w:rsidP="000176C4">
      <w:pPr>
        <w:numPr>
          <w:ilvl w:val="0"/>
          <w:numId w:val="21"/>
        </w:numPr>
        <w:spacing w:after="0" w:line="324" w:lineRule="atLeast"/>
        <w:ind w:left="32"/>
        <w:rPr>
          <w:rFonts w:ascii="Times" w:eastAsia="Times New Roman" w:hAnsi="Times" w:cs="Times"/>
          <w:color w:val="152949"/>
          <w:sz w:val="23"/>
          <w:szCs w:val="23"/>
        </w:rPr>
      </w:pPr>
      <w:r w:rsidRPr="000176C4">
        <w:rPr>
          <w:rFonts w:ascii="Times" w:eastAsia="Times New Roman" w:hAnsi="Times" w:cs="Times"/>
          <w:color w:val="152949"/>
          <w:sz w:val="23"/>
          <w:szCs w:val="23"/>
        </w:rPr>
        <w:t>Tax rate    25.5%-28.95%</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Management determined budgeted results based upon past performance and its expectations of market developments. The discount rate (weighted average cost of capital) used is pre-tax and reflects specific risks relating to the operations of the group of CGUs.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The Group has not </w:t>
      </w:r>
      <w:proofErr w:type="spellStart"/>
      <w:r w:rsidRPr="000176C4">
        <w:rPr>
          <w:rFonts w:ascii="Times" w:eastAsia="Times New Roman" w:hAnsi="Times" w:cs="Times"/>
          <w:color w:val="152949"/>
          <w:sz w:val="23"/>
          <w:szCs w:val="23"/>
        </w:rPr>
        <w:t>recognised</w:t>
      </w:r>
      <w:proofErr w:type="spellEnd"/>
      <w:r w:rsidRPr="000176C4">
        <w:rPr>
          <w:rFonts w:ascii="Times" w:eastAsia="Times New Roman" w:hAnsi="Times" w:cs="Times"/>
          <w:color w:val="152949"/>
          <w:sz w:val="23"/>
          <w:szCs w:val="23"/>
        </w:rPr>
        <w:t xml:space="preserve"> a goodwill impairment charge for the consolidated non-financial companies.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The rate used to discount the future cash flows of the group of CGUs can have a significant effect on the group of CGUs valuation. The discount rate calculated depends on inputs reflecting a number of financial and economic variables including the risk-free interest rate and a premium to reflect the inherent risk of the business being evaluated.</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These variables are established on the basis of management </w:t>
      </w:r>
      <w:proofErr w:type="spellStart"/>
      <w:r w:rsidRPr="000176C4">
        <w:rPr>
          <w:rFonts w:ascii="Times" w:eastAsia="Times New Roman" w:hAnsi="Times" w:cs="Times"/>
          <w:color w:val="152949"/>
          <w:sz w:val="23"/>
          <w:szCs w:val="23"/>
        </w:rPr>
        <w:t>judgement</w:t>
      </w:r>
      <w:proofErr w:type="spellEnd"/>
      <w:r w:rsidRPr="000176C4">
        <w:rPr>
          <w:rFonts w:ascii="Times" w:eastAsia="Times New Roman" w:hAnsi="Times" w:cs="Times"/>
          <w:color w:val="152949"/>
          <w:sz w:val="23"/>
          <w:szCs w:val="23"/>
        </w:rPr>
        <w:t>.</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If the estimated pre-tax discount rate applied to the discounted cash flow for the group of CGUs had been 1% higher than management estimates (12.7%-13.7% instead of 11.7%-12.7%) the Group would also not have </w:t>
      </w:r>
      <w:proofErr w:type="spellStart"/>
      <w:r w:rsidRPr="000176C4">
        <w:rPr>
          <w:rFonts w:ascii="Times" w:eastAsia="Times New Roman" w:hAnsi="Times" w:cs="Times"/>
          <w:color w:val="152949"/>
          <w:sz w:val="23"/>
          <w:szCs w:val="23"/>
        </w:rPr>
        <w:t>recognised</w:t>
      </w:r>
      <w:proofErr w:type="spellEnd"/>
      <w:r w:rsidRPr="000176C4">
        <w:rPr>
          <w:rFonts w:ascii="Times" w:eastAsia="Times New Roman" w:hAnsi="Times" w:cs="Times"/>
          <w:color w:val="152949"/>
          <w:sz w:val="23"/>
          <w:szCs w:val="23"/>
        </w:rPr>
        <w:t xml:space="preserve"> a goodwill impairment charge.</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Management </w:t>
      </w:r>
      <w:proofErr w:type="spellStart"/>
      <w:r w:rsidRPr="000176C4">
        <w:rPr>
          <w:rFonts w:ascii="Times" w:eastAsia="Times New Roman" w:hAnsi="Times" w:cs="Times"/>
          <w:color w:val="152949"/>
          <w:sz w:val="23"/>
          <w:szCs w:val="23"/>
        </w:rPr>
        <w:t>judgement</w:t>
      </w:r>
      <w:proofErr w:type="spellEnd"/>
      <w:r w:rsidRPr="000176C4">
        <w:rPr>
          <w:rFonts w:ascii="Times" w:eastAsia="Times New Roman" w:hAnsi="Times" w:cs="Times"/>
          <w:color w:val="152949"/>
          <w:sz w:val="23"/>
          <w:szCs w:val="23"/>
        </w:rPr>
        <w:t xml:space="preserve"> is also required in estimating the future cash flows of the group of CGUs. These values are sensitive to the cash flows projected for the periods for which detailed forecasts are </w:t>
      </w:r>
      <w:r w:rsidRPr="000176C4">
        <w:rPr>
          <w:rFonts w:ascii="Times" w:eastAsia="Times New Roman" w:hAnsi="Times" w:cs="Times"/>
          <w:color w:val="152949"/>
          <w:sz w:val="23"/>
          <w:szCs w:val="23"/>
        </w:rPr>
        <w:lastRenderedPageBreak/>
        <w:t>available, and to assumptions regarding the long-term pattern of sustainable cash flows thereafter. While the acceptable range within which underlying assumptions can be applied is governed by the requirement to compare resulting forecasts with actual performance and verifiable economic data in future years, the cash flow forecasts necessarily and appropriately reflect management’s view of future business prospects.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When this exercise demonstrates that the expected cash flows of a group of CGUs have declined and/or that its discount rate has increased, the effect is to reduce the estimated recoverable amount. If this results in an estimated recoverable amount that is lower than the carrying value of the group of CGUs, a charge for impairment of goodwill will be recorded, thereby reducing by a corresponding amount NIBC’s profit for the year.</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If the budgeted profit before tax of the group of CGUs used in the value-in-use calculation had been 5% lower than management’s estimates at 31 December 2008, the Group would also not have </w:t>
      </w:r>
      <w:proofErr w:type="spellStart"/>
      <w:r w:rsidRPr="000176C4">
        <w:rPr>
          <w:rFonts w:ascii="Times" w:eastAsia="Times New Roman" w:hAnsi="Times" w:cs="Times"/>
          <w:color w:val="152949"/>
          <w:sz w:val="23"/>
          <w:szCs w:val="23"/>
        </w:rPr>
        <w:t>recognised</w:t>
      </w:r>
      <w:proofErr w:type="spellEnd"/>
      <w:r w:rsidRPr="000176C4">
        <w:rPr>
          <w:rFonts w:ascii="Times" w:eastAsia="Times New Roman" w:hAnsi="Times" w:cs="Times"/>
          <w:color w:val="152949"/>
          <w:sz w:val="23"/>
          <w:szCs w:val="23"/>
        </w:rPr>
        <w:t xml:space="preserve"> a goodwill impairment charge in respect of its controlled non-financial companies.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421" w:lineRule="atLeast"/>
        <w:rPr>
          <w:rFonts w:ascii="Trebuchet MS" w:eastAsia="Times New Roman" w:hAnsi="Trebuchet MS" w:cs="Times New Roman"/>
          <w:color w:val="022749"/>
          <w:sz w:val="36"/>
          <w:szCs w:val="36"/>
        </w:rPr>
      </w:pPr>
      <w:r w:rsidRPr="000176C4">
        <w:rPr>
          <w:rFonts w:ascii="Trebuchet MS" w:eastAsia="Times New Roman" w:hAnsi="Trebuchet MS" w:cs="Times New Roman"/>
          <w:color w:val="022749"/>
          <w:sz w:val="36"/>
          <w:szCs w:val="36"/>
        </w:rPr>
        <w:t>Fair value of</w:t>
      </w:r>
      <w:r w:rsidRPr="000176C4">
        <w:rPr>
          <w:rFonts w:ascii="Trebuchet MS" w:eastAsia="Times New Roman" w:hAnsi="Trebuchet MS" w:cs="Times New Roman"/>
          <w:color w:val="022749"/>
          <w:sz w:val="36"/>
        </w:rPr>
        <w:t> </w:t>
      </w:r>
      <w:r w:rsidRPr="000176C4">
        <w:rPr>
          <w:rFonts w:ascii="Trebuchet MS" w:eastAsia="Times New Roman" w:hAnsi="Trebuchet MS" w:cs="Times New Roman"/>
          <w:color w:val="48A4D4"/>
          <w:sz w:val="36"/>
        </w:rPr>
        <w:t>certain financial instruments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48A4D4"/>
          <w:sz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The fair value of a financial instrument is the amount at which the instrument could be exchanged or settled between knowledgeable willing parties in an arm’s length transaction. NIBC determines fair value either by reference to a quoted price in an active market for a given financial instrument or, when a quoted price in an active market is not available, by using a valuation technique.</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If NIBC determines fair value using valuation techniques (for example, in the case of mortgage loans, corporate loans and certain debt investments), the valuation is determined by discounting to present value the cash flows (after expected pre-payments) that it expects to receive from holding the instrument. These discounted cash flow models require management to estimate a number of parameters, including interest rate yield curves, credit spreads, liquidity risk premiums, equity and commodity prices, option volatilities and currency rates. Some parameters are either directly observable or are implied from instrument prices in the market place. In light of the dramatic widening in credit spreads, valuations have become particularly sensitive to this parameter. </w:t>
      </w:r>
      <w:proofErr w:type="gramStart"/>
      <w:r w:rsidRPr="000176C4">
        <w:rPr>
          <w:rFonts w:ascii="Times" w:eastAsia="Times New Roman" w:hAnsi="Times" w:cs="Times"/>
          <w:color w:val="152949"/>
          <w:sz w:val="23"/>
          <w:szCs w:val="23"/>
        </w:rPr>
        <w:t>Due to the absence of liquidity in a number of financial instruments, directly observable data on credit spreads is sparse.</w:t>
      </w:r>
      <w:proofErr w:type="gramEnd"/>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The calculation of fair value for any financial instrument may also require adjustment of the quoted price or the value generated by the valuation technique to reflect the cost of credit risk and liquidity risk (where not embedded in underlying models or prices used) or to reflect hedging costs not </w:t>
      </w:r>
      <w:r w:rsidRPr="000176C4">
        <w:rPr>
          <w:rFonts w:ascii="Times" w:eastAsia="Times New Roman" w:hAnsi="Times" w:cs="Times"/>
          <w:color w:val="152949"/>
          <w:sz w:val="23"/>
          <w:szCs w:val="23"/>
        </w:rPr>
        <w:lastRenderedPageBreak/>
        <w:t>captured in the valuation model (to the extent that they would be taken into account by market participants in determining a price).</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The process of determining fair value for illiquid instruments using valuation techniques requires estimation of the expected maturity of an instrument (and therefore the expected cash flows), certain pricing parameters, or other assumptions or model characteristics. Although NIBC calibrates its valuation techniques against industry standards and observable transaction prices (to the extent that this is possible in current market conditions), the calculation of fair value is an inherently subjective process, particularly when data on observable transactions is sparse.</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In 2008, market conditions were </w:t>
      </w:r>
      <w:proofErr w:type="spellStart"/>
      <w:r w:rsidRPr="000176C4">
        <w:rPr>
          <w:rFonts w:ascii="Times" w:eastAsia="Times New Roman" w:hAnsi="Times" w:cs="Times"/>
          <w:color w:val="152949"/>
          <w:sz w:val="23"/>
          <w:szCs w:val="23"/>
        </w:rPr>
        <w:t>characterised</w:t>
      </w:r>
      <w:proofErr w:type="spellEnd"/>
      <w:r w:rsidRPr="000176C4">
        <w:rPr>
          <w:rFonts w:ascii="Times" w:eastAsia="Times New Roman" w:hAnsi="Times" w:cs="Times"/>
          <w:color w:val="152949"/>
          <w:sz w:val="23"/>
          <w:szCs w:val="23"/>
        </w:rPr>
        <w:t xml:space="preserve"> by the near absence of liquidity in credit markets and a significant widening of credit spreads. In these market conditions, the estimation of the fair value of NIBC’s residential mortgage loans, corporate loans, its own liabilities designated at Fair Value through Profit or Loss and the financial assets reclassified out of Held for Trading and Available for Sale categories is highly </w:t>
      </w:r>
      <w:proofErr w:type="spellStart"/>
      <w:r w:rsidRPr="000176C4">
        <w:rPr>
          <w:rFonts w:ascii="Times" w:eastAsia="Times New Roman" w:hAnsi="Times" w:cs="Times"/>
          <w:color w:val="152949"/>
          <w:sz w:val="23"/>
          <w:szCs w:val="23"/>
        </w:rPr>
        <w:t>judgemental</w:t>
      </w:r>
      <w:proofErr w:type="spellEnd"/>
      <w:r w:rsidRPr="000176C4">
        <w:rPr>
          <w:rFonts w:ascii="Times" w:eastAsia="Times New Roman" w:hAnsi="Times" w:cs="Times"/>
          <w:color w:val="152949"/>
          <w:sz w:val="23"/>
          <w:szCs w:val="23"/>
        </w:rPr>
        <w:t xml:space="preserve"> and necessarily subjective, given the absence of market transactions and other observable market data. Consequently, the ranges within which NIBC has estimated the fair value of these portfolios have widened significantly.</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Gains (or losses) are </w:t>
      </w:r>
      <w:proofErr w:type="spellStart"/>
      <w:r w:rsidRPr="000176C4">
        <w:rPr>
          <w:rFonts w:ascii="Times" w:eastAsia="Times New Roman" w:hAnsi="Times" w:cs="Times"/>
          <w:color w:val="152949"/>
          <w:sz w:val="23"/>
          <w:szCs w:val="23"/>
        </w:rPr>
        <w:t>recognised</w:t>
      </w:r>
      <w:proofErr w:type="spellEnd"/>
      <w:r w:rsidRPr="000176C4">
        <w:rPr>
          <w:rFonts w:ascii="Times" w:eastAsia="Times New Roman" w:hAnsi="Times" w:cs="Times"/>
          <w:color w:val="152949"/>
          <w:sz w:val="23"/>
          <w:szCs w:val="23"/>
        </w:rPr>
        <w:t xml:space="preserve"> upon initial recognition only when such profits (or losses) can be measured by reference to observable current market transactions or valuation techniques based on observable market inputs.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07" w:lineRule="atLeast"/>
        <w:rPr>
          <w:rFonts w:ascii="Trebuchet MS" w:eastAsia="Times New Roman" w:hAnsi="Trebuchet MS" w:cs="Times New Roman"/>
          <w:b/>
          <w:bCs/>
          <w:color w:val="152949"/>
          <w:spacing w:val="5"/>
          <w:sz w:val="29"/>
          <w:szCs w:val="29"/>
        </w:rPr>
      </w:pPr>
      <w:r w:rsidRPr="000176C4">
        <w:rPr>
          <w:rFonts w:ascii="Trebuchet MS" w:eastAsia="Times New Roman" w:hAnsi="Trebuchet MS" w:cs="Times New Roman"/>
          <w:b/>
          <w:bCs/>
          <w:color w:val="152949"/>
          <w:spacing w:val="5"/>
          <w:sz w:val="29"/>
          <w:szCs w:val="29"/>
        </w:rPr>
        <w:t>EU structured credits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NIBC considers the European</w:t>
      </w:r>
      <w:r w:rsidRPr="000176C4">
        <w:rPr>
          <w:rFonts w:ascii="Times" w:eastAsia="Times New Roman" w:hAnsi="Times" w:cs="Times"/>
          <w:color w:val="152949"/>
          <w:sz w:val="23"/>
        </w:rPr>
        <w:t> </w:t>
      </w:r>
      <w:r w:rsidRPr="000176C4">
        <w:rPr>
          <w:rFonts w:ascii="Times" w:eastAsia="Times New Roman" w:hAnsi="Times" w:cs="Times"/>
          <w:i/>
          <w:iCs/>
          <w:color w:val="152949"/>
          <w:sz w:val="23"/>
        </w:rPr>
        <w:t>asset backed securities</w:t>
      </w:r>
      <w:r w:rsidRPr="000176C4">
        <w:rPr>
          <w:rFonts w:ascii="Times" w:eastAsia="Times New Roman" w:hAnsi="Times" w:cs="Times"/>
          <w:color w:val="152949"/>
          <w:sz w:val="23"/>
        </w:rPr>
        <w:t> </w:t>
      </w:r>
      <w:r w:rsidRPr="000176C4">
        <w:rPr>
          <w:rFonts w:ascii="Times" w:eastAsia="Times New Roman" w:hAnsi="Times" w:cs="Times"/>
          <w:color w:val="152949"/>
          <w:sz w:val="23"/>
          <w:szCs w:val="23"/>
        </w:rPr>
        <w:t>(</w:t>
      </w:r>
      <w:r w:rsidRPr="000176C4">
        <w:rPr>
          <w:rFonts w:ascii="Times" w:eastAsia="Times New Roman" w:hAnsi="Times" w:cs="Times"/>
          <w:b/>
          <w:bCs/>
          <w:color w:val="152949"/>
          <w:sz w:val="23"/>
        </w:rPr>
        <w:t>ABS</w:t>
      </w:r>
      <w:r w:rsidRPr="000176C4">
        <w:rPr>
          <w:rFonts w:ascii="Times" w:eastAsia="Times New Roman" w:hAnsi="Times" w:cs="Times"/>
          <w:color w:val="152949"/>
          <w:sz w:val="23"/>
          <w:szCs w:val="23"/>
        </w:rPr>
        <w:t xml:space="preserve">) market to be inactive during 2008. Effective 1 July 2008, Debt investments amounting to EUR 838 million were reclassified from financial assets at Fair Value through Profit or Loss (trading) and Available for Sale to Loans and Receivables at </w:t>
      </w:r>
      <w:proofErr w:type="spellStart"/>
      <w:r w:rsidRPr="000176C4">
        <w:rPr>
          <w:rFonts w:ascii="Times" w:eastAsia="Times New Roman" w:hAnsi="Times" w:cs="Times"/>
          <w:color w:val="152949"/>
          <w:sz w:val="23"/>
          <w:szCs w:val="23"/>
        </w:rPr>
        <w:t>Amortised</w:t>
      </w:r>
      <w:proofErr w:type="spellEnd"/>
      <w:r w:rsidRPr="000176C4">
        <w:rPr>
          <w:rFonts w:ascii="Times" w:eastAsia="Times New Roman" w:hAnsi="Times" w:cs="Times"/>
          <w:color w:val="152949"/>
          <w:sz w:val="23"/>
          <w:szCs w:val="23"/>
        </w:rPr>
        <w:t xml:space="preserve"> Cost. Consequently, the fair value at 30 June 2008 of those debt investments has been used as the </w:t>
      </w:r>
      <w:proofErr w:type="spellStart"/>
      <w:r w:rsidRPr="000176C4">
        <w:rPr>
          <w:rFonts w:ascii="Times" w:eastAsia="Times New Roman" w:hAnsi="Times" w:cs="Times"/>
          <w:color w:val="152949"/>
          <w:sz w:val="23"/>
          <w:szCs w:val="23"/>
        </w:rPr>
        <w:t>amortised</w:t>
      </w:r>
      <w:proofErr w:type="spellEnd"/>
      <w:r w:rsidRPr="000176C4">
        <w:rPr>
          <w:rFonts w:ascii="Times" w:eastAsia="Times New Roman" w:hAnsi="Times" w:cs="Times"/>
          <w:color w:val="152949"/>
          <w:sz w:val="23"/>
          <w:szCs w:val="23"/>
        </w:rPr>
        <w:t xml:space="preserve"> cost of the reclassified debt investments.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For the determination of fair value at 30 June 2008, NIBC incorporated, where available, market observable prices and rates derived from market verifiable data. Where such factors are not market observable, changes in assumptions could affect the reported fair value of financial instruments. NIBC has determined fair value in a consistent manner over time, ensuring comparability and continuity of valuations, but estimating fair value in an inactive market inherently involves a significant degree of </w:t>
      </w:r>
      <w:proofErr w:type="spellStart"/>
      <w:r w:rsidRPr="000176C4">
        <w:rPr>
          <w:rFonts w:ascii="Times" w:eastAsia="Times New Roman" w:hAnsi="Times" w:cs="Times"/>
          <w:color w:val="152949"/>
          <w:sz w:val="23"/>
          <w:szCs w:val="23"/>
        </w:rPr>
        <w:t>judgement</w:t>
      </w:r>
      <w:proofErr w:type="spellEnd"/>
      <w:r w:rsidRPr="000176C4">
        <w:rPr>
          <w:rFonts w:ascii="Times" w:eastAsia="Times New Roman" w:hAnsi="Times" w:cs="Times"/>
          <w:color w:val="152949"/>
          <w:sz w:val="23"/>
          <w:szCs w:val="23"/>
        </w:rPr>
        <w:t xml:space="preserve">. Valuation adjustments are also made to reflect such elements as deteriorating creditworthiness and liquidity. Although a significant degree of </w:t>
      </w:r>
      <w:proofErr w:type="spellStart"/>
      <w:r w:rsidRPr="000176C4">
        <w:rPr>
          <w:rFonts w:ascii="Times" w:eastAsia="Times New Roman" w:hAnsi="Times" w:cs="Times"/>
          <w:color w:val="152949"/>
          <w:sz w:val="23"/>
          <w:szCs w:val="23"/>
        </w:rPr>
        <w:t>judgement</w:t>
      </w:r>
      <w:proofErr w:type="spellEnd"/>
      <w:r w:rsidRPr="000176C4">
        <w:rPr>
          <w:rFonts w:ascii="Times" w:eastAsia="Times New Roman" w:hAnsi="Times" w:cs="Times"/>
          <w:color w:val="152949"/>
          <w:sz w:val="23"/>
          <w:szCs w:val="23"/>
        </w:rPr>
        <w:t xml:space="preserve"> is, in some cases, required in establishing fair values, management believes that the fair values recorded in the Balance Sheet and the changes in fair values recorded in the Income Statement reflect the underlying </w:t>
      </w:r>
      <w:r w:rsidRPr="000176C4">
        <w:rPr>
          <w:rFonts w:ascii="Times" w:eastAsia="Times New Roman" w:hAnsi="Times" w:cs="Times"/>
          <w:color w:val="152949"/>
          <w:sz w:val="23"/>
          <w:szCs w:val="23"/>
        </w:rPr>
        <w:lastRenderedPageBreak/>
        <w:t>economics, based on NIBC’s established fair value and model governance policies and the related controls and procedural safeguards.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At 31 December 2008, the fair value of the portfolio EU structured </w:t>
      </w:r>
      <w:proofErr w:type="gramStart"/>
      <w:r w:rsidRPr="000176C4">
        <w:rPr>
          <w:rFonts w:ascii="Times" w:eastAsia="Times New Roman" w:hAnsi="Times" w:cs="Times"/>
          <w:color w:val="152949"/>
          <w:sz w:val="23"/>
          <w:szCs w:val="23"/>
        </w:rPr>
        <w:t>credits that was</w:t>
      </w:r>
      <w:proofErr w:type="gramEnd"/>
      <w:r w:rsidRPr="000176C4">
        <w:rPr>
          <w:rFonts w:ascii="Times" w:eastAsia="Times New Roman" w:hAnsi="Times" w:cs="Times"/>
          <w:color w:val="152949"/>
          <w:sz w:val="23"/>
          <w:szCs w:val="23"/>
        </w:rPr>
        <w:t xml:space="preserve"> not reclassified amounts to EUR 98 million.</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The valuation of EU structured credits as at 30 June 2008 and 31 December 2008 is sensitive to a range of factors, in particular, to market observable broker quotes. A 100 basis point change in the weighted average quoted price applied in the 31 December 2008 and 30 June 2008 valuation of Debt investments Held for Trading would have an impact on fair value of EUR 1.5 million and EUR 9 million, respectively.</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07" w:lineRule="atLeast"/>
        <w:rPr>
          <w:rFonts w:ascii="Trebuchet MS" w:eastAsia="Times New Roman" w:hAnsi="Trebuchet MS" w:cs="Times New Roman"/>
          <w:b/>
          <w:bCs/>
          <w:color w:val="152949"/>
          <w:spacing w:val="5"/>
          <w:sz w:val="29"/>
          <w:szCs w:val="29"/>
        </w:rPr>
      </w:pPr>
      <w:r w:rsidRPr="000176C4">
        <w:rPr>
          <w:rFonts w:ascii="Trebuchet MS" w:eastAsia="Times New Roman" w:hAnsi="Trebuchet MS" w:cs="Times New Roman"/>
          <w:b/>
          <w:bCs/>
          <w:color w:val="152949"/>
          <w:spacing w:val="5"/>
          <w:sz w:val="29"/>
          <w:szCs w:val="29"/>
        </w:rPr>
        <w:t>Credit default swaps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NIBC has </w:t>
      </w:r>
      <w:proofErr w:type="spellStart"/>
      <w:r w:rsidRPr="000176C4">
        <w:rPr>
          <w:rFonts w:ascii="Times" w:eastAsia="Times New Roman" w:hAnsi="Times" w:cs="Times"/>
          <w:color w:val="152949"/>
          <w:sz w:val="23"/>
          <w:szCs w:val="23"/>
        </w:rPr>
        <w:t>analysed</w:t>
      </w:r>
      <w:proofErr w:type="spellEnd"/>
      <w:r w:rsidRPr="000176C4">
        <w:rPr>
          <w:rFonts w:ascii="Times" w:eastAsia="Times New Roman" w:hAnsi="Times" w:cs="Times"/>
          <w:color w:val="152949"/>
          <w:sz w:val="23"/>
          <w:szCs w:val="23"/>
        </w:rPr>
        <w:t xml:space="preserve"> the structured</w:t>
      </w:r>
      <w:r w:rsidRPr="000176C4">
        <w:rPr>
          <w:rFonts w:ascii="Times" w:eastAsia="Times New Roman" w:hAnsi="Times" w:cs="Times"/>
          <w:color w:val="152949"/>
          <w:sz w:val="23"/>
        </w:rPr>
        <w:t> </w:t>
      </w:r>
      <w:r w:rsidRPr="000176C4">
        <w:rPr>
          <w:rFonts w:ascii="Times" w:eastAsia="Times New Roman" w:hAnsi="Times" w:cs="Times"/>
          <w:i/>
          <w:iCs/>
          <w:color w:val="152949"/>
          <w:sz w:val="23"/>
        </w:rPr>
        <w:t>Credit default swaps </w:t>
      </w:r>
      <w:r w:rsidRPr="000176C4">
        <w:rPr>
          <w:rFonts w:ascii="Times" w:eastAsia="Times New Roman" w:hAnsi="Times" w:cs="Times"/>
          <w:color w:val="152949"/>
          <w:sz w:val="23"/>
          <w:szCs w:val="23"/>
        </w:rPr>
        <w:t>(</w:t>
      </w:r>
      <w:r w:rsidRPr="000176C4">
        <w:rPr>
          <w:rFonts w:ascii="Times" w:eastAsia="Times New Roman" w:hAnsi="Times" w:cs="Times"/>
          <w:b/>
          <w:bCs/>
          <w:color w:val="152949"/>
          <w:sz w:val="23"/>
        </w:rPr>
        <w:t>CDS</w:t>
      </w:r>
      <w:r w:rsidRPr="000176C4">
        <w:rPr>
          <w:rFonts w:ascii="Times" w:eastAsia="Times New Roman" w:hAnsi="Times" w:cs="Times"/>
          <w:color w:val="152949"/>
          <w:sz w:val="23"/>
          <w:szCs w:val="23"/>
        </w:rPr>
        <w:t>) market and considered it to be inactive during 2008. At 31 December 2008, the fair value of this portfolio was EUR 2 million Derivative financial assets Held for Trading and EUR 12 million Derivative financial liabilities Held for Trading.</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For the valuation as of 31 December 2008, NIBC incorporated, where available, market observable credit spreads linked to the underlying instruments derived from multiple broker quotes. Where such factors are not market observable, changes in assumptions could affect the reported fair value of financial instruments. NIBC has determined fair value in a consistent manner over time, ensuring comparability and continuity of valuations, but estimating fair value in an inactive market inherently involves a significant degree of </w:t>
      </w:r>
      <w:proofErr w:type="spellStart"/>
      <w:r w:rsidRPr="000176C4">
        <w:rPr>
          <w:rFonts w:ascii="Times" w:eastAsia="Times New Roman" w:hAnsi="Times" w:cs="Times"/>
          <w:color w:val="152949"/>
          <w:sz w:val="23"/>
          <w:szCs w:val="23"/>
        </w:rPr>
        <w:t>judgement</w:t>
      </w:r>
      <w:proofErr w:type="spellEnd"/>
      <w:r w:rsidRPr="000176C4">
        <w:rPr>
          <w:rFonts w:ascii="Times" w:eastAsia="Times New Roman" w:hAnsi="Times" w:cs="Times"/>
          <w:color w:val="152949"/>
          <w:sz w:val="23"/>
          <w:szCs w:val="23"/>
        </w:rPr>
        <w:t>. Valuation adjustments are also made to reflect such elements as deteriorating creditworthiness and liquidity. The valuation of the structured credit CDS portfolio as at 31 December 2008 is sensitive to a range of factors, in particular, market observable credit spreads. A 100 basis point change in the weighted average credit spread used to determine the fair value of this portfolio at 31 December 2008 would have led to an increase or decrease of the fair value of the derivatives Held for Trading by EUR 0.5 million.</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NIBC considers the single name and index CDS markets to be active during 2008.</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07" w:lineRule="atLeast"/>
        <w:rPr>
          <w:rFonts w:ascii="Trebuchet MS" w:eastAsia="Times New Roman" w:hAnsi="Trebuchet MS" w:cs="Times New Roman"/>
          <w:b/>
          <w:bCs/>
          <w:color w:val="152949"/>
          <w:spacing w:val="5"/>
          <w:sz w:val="29"/>
          <w:szCs w:val="29"/>
        </w:rPr>
      </w:pPr>
      <w:r w:rsidRPr="000176C4">
        <w:rPr>
          <w:rFonts w:ascii="Trebuchet MS" w:eastAsia="Times New Roman" w:hAnsi="Trebuchet MS" w:cs="Times New Roman"/>
          <w:b/>
          <w:bCs/>
          <w:color w:val="152949"/>
          <w:spacing w:val="5"/>
          <w:sz w:val="29"/>
          <w:szCs w:val="29"/>
        </w:rPr>
        <w:t>Structured investments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The structured investment portfolio consists of three types of investments described as follows:</w:t>
      </w:r>
    </w:p>
    <w:p w:rsidR="000176C4" w:rsidRPr="000176C4" w:rsidRDefault="000176C4" w:rsidP="000176C4">
      <w:pPr>
        <w:numPr>
          <w:ilvl w:val="0"/>
          <w:numId w:val="22"/>
        </w:numPr>
        <w:spacing w:after="0" w:line="324" w:lineRule="atLeast"/>
        <w:ind w:left="32"/>
        <w:rPr>
          <w:rFonts w:ascii="Times" w:eastAsia="Times New Roman" w:hAnsi="Times" w:cs="Times"/>
          <w:color w:val="152949"/>
          <w:sz w:val="23"/>
          <w:szCs w:val="23"/>
        </w:rPr>
      </w:pPr>
      <w:r w:rsidRPr="000176C4">
        <w:rPr>
          <w:rFonts w:ascii="Times" w:eastAsia="Times New Roman" w:hAnsi="Times" w:cs="Times"/>
          <w:color w:val="152949"/>
          <w:sz w:val="23"/>
          <w:szCs w:val="23"/>
        </w:rPr>
        <w:t>Investments in tax efficient funds;</w:t>
      </w:r>
    </w:p>
    <w:p w:rsidR="000176C4" w:rsidRPr="000176C4" w:rsidRDefault="000176C4" w:rsidP="000176C4">
      <w:pPr>
        <w:numPr>
          <w:ilvl w:val="0"/>
          <w:numId w:val="22"/>
        </w:numPr>
        <w:spacing w:after="0" w:line="324" w:lineRule="atLeast"/>
        <w:ind w:left="32"/>
        <w:rPr>
          <w:rFonts w:ascii="Times" w:eastAsia="Times New Roman" w:hAnsi="Times" w:cs="Times"/>
          <w:color w:val="152949"/>
          <w:sz w:val="23"/>
          <w:szCs w:val="23"/>
        </w:rPr>
      </w:pPr>
      <w:r w:rsidRPr="000176C4">
        <w:rPr>
          <w:rFonts w:ascii="Times" w:eastAsia="Times New Roman" w:hAnsi="Times" w:cs="Times"/>
          <w:color w:val="152949"/>
          <w:sz w:val="23"/>
          <w:szCs w:val="23"/>
        </w:rPr>
        <w:t>Investments in credit fixed income funds; and</w:t>
      </w:r>
    </w:p>
    <w:p w:rsidR="000176C4" w:rsidRPr="000176C4" w:rsidRDefault="000176C4" w:rsidP="000176C4">
      <w:pPr>
        <w:numPr>
          <w:ilvl w:val="0"/>
          <w:numId w:val="22"/>
        </w:numPr>
        <w:spacing w:after="0" w:line="324" w:lineRule="atLeast"/>
        <w:ind w:left="32"/>
        <w:rPr>
          <w:rFonts w:ascii="Times" w:eastAsia="Times New Roman" w:hAnsi="Times" w:cs="Times"/>
          <w:color w:val="152949"/>
          <w:sz w:val="23"/>
          <w:szCs w:val="23"/>
        </w:rPr>
      </w:pPr>
      <w:r w:rsidRPr="000176C4">
        <w:rPr>
          <w:rFonts w:ascii="Times" w:eastAsia="Times New Roman" w:hAnsi="Times" w:cs="Times"/>
          <w:color w:val="152949"/>
          <w:sz w:val="23"/>
          <w:szCs w:val="23"/>
        </w:rPr>
        <w:t>Investments in tax efficient investment vehicles.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lastRenderedPageBreak/>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The fund investments are priced on observed transaction values for structures that are set up for third parties. The positions in credit fixed income funds are priced using the valuation statements of the administrators. These valuations form the basis at arms’ length market transactions in these funds and therefore, serve as a reliable basis for valuation. The fair values of the investments in the tax efficient vehicles (bonds issued by financials) are determined using market observable credit spreads based on quotes provided by market participants.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NIBC considers the market for structured investments to be active, during 2008.</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07" w:lineRule="atLeast"/>
        <w:rPr>
          <w:rFonts w:ascii="Trebuchet MS" w:eastAsia="Times New Roman" w:hAnsi="Trebuchet MS" w:cs="Times New Roman"/>
          <w:b/>
          <w:bCs/>
          <w:color w:val="152949"/>
          <w:spacing w:val="5"/>
          <w:sz w:val="29"/>
          <w:szCs w:val="29"/>
        </w:rPr>
      </w:pPr>
      <w:r w:rsidRPr="000176C4">
        <w:rPr>
          <w:rFonts w:ascii="Trebuchet MS" w:eastAsia="Times New Roman" w:hAnsi="Trebuchet MS" w:cs="Times New Roman"/>
          <w:b/>
          <w:bCs/>
          <w:color w:val="152949"/>
          <w:spacing w:val="5"/>
          <w:sz w:val="29"/>
          <w:szCs w:val="29"/>
        </w:rPr>
        <w:t>Own liabilities designated at Fair Value through Profit or Loss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At 31 December 2008, the fair value of these liabilities was estimated to be EUR 3,745 million (2007: EUR 4,864 million). This portfolio was designated at Fair Value through Profit or Loss and is reported on the face of the Balance Sheet under the following headings:</w:t>
      </w:r>
    </w:p>
    <w:p w:rsidR="000176C4" w:rsidRPr="000176C4" w:rsidRDefault="000176C4" w:rsidP="000176C4">
      <w:pPr>
        <w:numPr>
          <w:ilvl w:val="0"/>
          <w:numId w:val="23"/>
        </w:numPr>
        <w:spacing w:after="0" w:line="324" w:lineRule="atLeast"/>
        <w:ind w:left="32"/>
        <w:rPr>
          <w:rFonts w:ascii="Times" w:eastAsia="Times New Roman" w:hAnsi="Times" w:cs="Times"/>
          <w:color w:val="152949"/>
          <w:sz w:val="23"/>
          <w:szCs w:val="23"/>
        </w:rPr>
      </w:pPr>
      <w:r w:rsidRPr="000176C4">
        <w:rPr>
          <w:rFonts w:ascii="Times" w:eastAsia="Times New Roman" w:hAnsi="Times" w:cs="Times"/>
          <w:color w:val="152949"/>
          <w:sz w:val="23"/>
          <w:szCs w:val="23"/>
        </w:rPr>
        <w:t>Financial liabilities at Fair Value through Profit or Loss Own debt securities in issue;</w:t>
      </w:r>
    </w:p>
    <w:p w:rsidR="000176C4" w:rsidRPr="000176C4" w:rsidRDefault="000176C4" w:rsidP="000176C4">
      <w:pPr>
        <w:numPr>
          <w:ilvl w:val="0"/>
          <w:numId w:val="23"/>
        </w:numPr>
        <w:spacing w:after="0" w:line="324" w:lineRule="atLeast"/>
        <w:ind w:left="32"/>
        <w:rPr>
          <w:rFonts w:ascii="Times" w:eastAsia="Times New Roman" w:hAnsi="Times" w:cs="Times"/>
          <w:color w:val="152949"/>
          <w:sz w:val="23"/>
          <w:szCs w:val="23"/>
        </w:rPr>
      </w:pPr>
      <w:r w:rsidRPr="000176C4">
        <w:rPr>
          <w:rFonts w:ascii="Times" w:eastAsia="Times New Roman" w:hAnsi="Times" w:cs="Times"/>
          <w:color w:val="152949"/>
          <w:sz w:val="23"/>
          <w:szCs w:val="23"/>
        </w:rPr>
        <w:t>Financial liabilities at Fair Value through Profit or Loss Debt securities in issue structured; and</w:t>
      </w:r>
    </w:p>
    <w:p w:rsidR="000176C4" w:rsidRPr="000176C4" w:rsidRDefault="000176C4" w:rsidP="000176C4">
      <w:pPr>
        <w:numPr>
          <w:ilvl w:val="0"/>
          <w:numId w:val="23"/>
        </w:numPr>
        <w:spacing w:after="0" w:line="324" w:lineRule="atLeast"/>
        <w:ind w:left="32"/>
        <w:rPr>
          <w:rFonts w:ascii="Times" w:eastAsia="Times New Roman" w:hAnsi="Times" w:cs="Times"/>
          <w:color w:val="152949"/>
          <w:sz w:val="23"/>
          <w:szCs w:val="23"/>
        </w:rPr>
      </w:pPr>
      <w:r w:rsidRPr="000176C4">
        <w:rPr>
          <w:rFonts w:ascii="Times" w:eastAsia="Times New Roman" w:hAnsi="Times" w:cs="Times"/>
          <w:color w:val="152949"/>
          <w:sz w:val="23"/>
          <w:szCs w:val="23"/>
        </w:rPr>
        <w:t>Financial liabilities at Fair Value through Profit or Loss Subordinated liabilities.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NIBC considers the market for these liabilities inactive during 2008. Debt securities in issue structured consist of notes issued with embedded derivatives that are tailored to specific investors’ needs. The return on these notes is dependent upon the level of certain underlying equity, interest rate, currency, credit, commodity or inflation-linked indices. The embedded derivative within each note issued is fully hedged on a back-to-back basis, such that effectively synthetic floating rate funding is created. Because of this economic hedge, the Income Statement is not sensitive to fluctuations in the price of these indices.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In the case of Debt securities in issue structured and Subordinated liabilities, the fair value of the notes issued and the back-to-back hedging swaps is determined using a valuation model developed by a third party employing Monte Carlo simulation, lattice valuations or closed formulas, depending on the type of embedded derivative.</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For each class of own financial liabilities at Fair Value through Profit or Loss, the expected cash flows are discounted to present value using interbank zero-coupon rates. The resulting fair value is adjusted for movements in the credit spread applicable to NIBC issued funding.</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The credit spread used to revalue these liabilities was based on the observable spread (including guarantee fee) on NIBC’s issue of EUR 1.4 billion of three year funding notes issued in December 2008. This funding was guaranteed by the Dutch State under the Credit Guarantee Scheme. Whilst </w:t>
      </w:r>
      <w:proofErr w:type="spellStart"/>
      <w:r w:rsidRPr="000176C4">
        <w:rPr>
          <w:rFonts w:ascii="Times" w:eastAsia="Times New Roman" w:hAnsi="Times" w:cs="Times"/>
          <w:color w:val="152949"/>
          <w:sz w:val="23"/>
          <w:szCs w:val="23"/>
        </w:rPr>
        <w:lastRenderedPageBreak/>
        <w:t>recognising</w:t>
      </w:r>
      <w:proofErr w:type="spellEnd"/>
      <w:r w:rsidRPr="000176C4">
        <w:rPr>
          <w:rFonts w:ascii="Times" w:eastAsia="Times New Roman" w:hAnsi="Times" w:cs="Times"/>
          <w:color w:val="152949"/>
          <w:sz w:val="23"/>
          <w:szCs w:val="23"/>
        </w:rPr>
        <w:t xml:space="preserve"> that NIBC’s obligations under this funding transaction are guaranteed by the Dutch State, NIBC believes that it provides the most appropriate spread for revaluation purposes because the spread is based on a directly observable transaction and because other data on applicable credit spreads (e.g. CDS rates and funding transactions by other comparable institutions) is sparse and its application to NIBC’s funding </w:t>
      </w:r>
      <w:proofErr w:type="spellStart"/>
      <w:r w:rsidRPr="000176C4">
        <w:rPr>
          <w:rFonts w:ascii="Times" w:eastAsia="Times New Roman" w:hAnsi="Times" w:cs="Times"/>
          <w:color w:val="152949"/>
          <w:sz w:val="23"/>
          <w:szCs w:val="23"/>
        </w:rPr>
        <w:t>programmes</w:t>
      </w:r>
      <w:proofErr w:type="spellEnd"/>
      <w:r w:rsidRPr="000176C4">
        <w:rPr>
          <w:rFonts w:ascii="Times" w:eastAsia="Times New Roman" w:hAnsi="Times" w:cs="Times"/>
          <w:color w:val="152949"/>
          <w:sz w:val="23"/>
          <w:szCs w:val="23"/>
        </w:rPr>
        <w:t xml:space="preserve"> is highly subjective.</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The observable Dutch State guaranteed funding credit spread includes a guarantee fee paid to the Dutch State that is based on NIBC’s credit rating as below A-. The guarantee fee is based on an average of market observed credit spreads for debt issuances of similar rated banks calculated by the Dutch State. In addition, NIBC paid a liquidity premium to the lenders, which is included in the credit spread applied for 31 December 2008 valuation of the liabilities designated at Fair Value through Profit or Loss. Bearing in mind the market inactivity, both for cash and synthetic NIBC funding and protection, other market indicators such as </w:t>
      </w:r>
      <w:proofErr w:type="spellStart"/>
      <w:r w:rsidRPr="000176C4">
        <w:rPr>
          <w:rFonts w:ascii="Times" w:eastAsia="Times New Roman" w:hAnsi="Times" w:cs="Times"/>
          <w:color w:val="152949"/>
          <w:sz w:val="23"/>
          <w:szCs w:val="23"/>
        </w:rPr>
        <w:t>Itraxx</w:t>
      </w:r>
      <w:proofErr w:type="spellEnd"/>
      <w:r w:rsidRPr="000176C4">
        <w:rPr>
          <w:rFonts w:ascii="Times" w:eastAsia="Times New Roman" w:hAnsi="Times" w:cs="Times"/>
          <w:color w:val="152949"/>
          <w:sz w:val="23"/>
          <w:szCs w:val="23"/>
        </w:rPr>
        <w:t xml:space="preserve"> indices and credit curve developments, support the reasonableness of the range in which the applied credit spread falls.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The valuation of all the above classes of own liabilities designated at Fair Value through Profit or Loss is sensitive to the estimated credit spread used to discount future expected cash flows. A 10 basis point change in the weighted average credit spread used to discount future expected cash flows would increase or decrease the fair value of these own liabilities by EUR 15 million (2007: EUR 19 million).</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07" w:lineRule="atLeast"/>
        <w:rPr>
          <w:rFonts w:ascii="Trebuchet MS" w:eastAsia="Times New Roman" w:hAnsi="Trebuchet MS" w:cs="Times New Roman"/>
          <w:b/>
          <w:bCs/>
          <w:color w:val="152949"/>
          <w:spacing w:val="5"/>
          <w:sz w:val="29"/>
          <w:szCs w:val="29"/>
        </w:rPr>
      </w:pPr>
      <w:r w:rsidRPr="000176C4">
        <w:rPr>
          <w:rFonts w:ascii="Trebuchet MS" w:eastAsia="Times New Roman" w:hAnsi="Trebuchet MS" w:cs="Times New Roman"/>
          <w:b/>
          <w:bCs/>
          <w:color w:val="152949"/>
          <w:spacing w:val="5"/>
          <w:sz w:val="29"/>
          <w:szCs w:val="29"/>
        </w:rPr>
        <w:t>Residential mortgages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NIBC determines the fair value of residential mortgages (both those it holds in its own warehouse and those it has </w:t>
      </w:r>
      <w:proofErr w:type="spellStart"/>
      <w:r w:rsidRPr="000176C4">
        <w:rPr>
          <w:rFonts w:ascii="Times" w:eastAsia="Times New Roman" w:hAnsi="Times" w:cs="Times"/>
          <w:color w:val="152949"/>
          <w:sz w:val="23"/>
          <w:szCs w:val="23"/>
        </w:rPr>
        <w:t>securitised</w:t>
      </w:r>
      <w:proofErr w:type="spellEnd"/>
      <w:r w:rsidRPr="000176C4">
        <w:rPr>
          <w:rFonts w:ascii="Times" w:eastAsia="Times New Roman" w:hAnsi="Times" w:cs="Times"/>
          <w:color w:val="152949"/>
          <w:sz w:val="23"/>
          <w:szCs w:val="23"/>
        </w:rPr>
        <w:t xml:space="preserve">) by using a valuation model developed by NIBC. NIBC considers the market for these assets to be inactive during 2008. To calculate the fair value, NIBC discounts expected cash flows (after expected prepayments) to present value using </w:t>
      </w:r>
      <w:proofErr w:type="spellStart"/>
      <w:r w:rsidRPr="000176C4">
        <w:rPr>
          <w:rFonts w:ascii="Times" w:eastAsia="Times New Roman" w:hAnsi="Times" w:cs="Times"/>
          <w:color w:val="152949"/>
          <w:sz w:val="23"/>
          <w:szCs w:val="23"/>
        </w:rPr>
        <w:t>inter bank</w:t>
      </w:r>
      <w:proofErr w:type="spellEnd"/>
      <w:r w:rsidRPr="000176C4">
        <w:rPr>
          <w:rFonts w:ascii="Times" w:eastAsia="Times New Roman" w:hAnsi="Times" w:cs="Times"/>
          <w:color w:val="152949"/>
          <w:sz w:val="23"/>
          <w:szCs w:val="23"/>
        </w:rPr>
        <w:t xml:space="preserve"> zero-coupon rates, adjusted for a spread that principally takes into account the credit spread risk of the mortgages and uncertainty relating to prepayment estimates. In the absence of observable primary RMBS transactions in combination with the declining relevance of RMBS indices, NIBC has used observed offered mortgage rates as an additional benchmark to determine this spread.</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On the basis of the available data on RMBS spreads and offered mortgage rates, NIBC concluded that in 2008 the use of offered mortgage rates provides the best estimate of the spread that would be inherent in a hypothetical transaction at the balance sheet date motivated by normal business considerations. The underlying assumption underpinning the valuations is that professional market parties interested in building exposures in the residential mortgage market would be indifferent between originating the loans themselves </w:t>
      </w:r>
      <w:proofErr w:type="gramStart"/>
      <w:r w:rsidRPr="000176C4">
        <w:rPr>
          <w:rFonts w:ascii="Times" w:eastAsia="Times New Roman" w:hAnsi="Times" w:cs="Times"/>
          <w:color w:val="152949"/>
          <w:sz w:val="23"/>
          <w:szCs w:val="23"/>
        </w:rPr>
        <w:t>or</w:t>
      </w:r>
      <w:proofErr w:type="gramEnd"/>
      <w:r w:rsidRPr="000176C4">
        <w:rPr>
          <w:rFonts w:ascii="Times" w:eastAsia="Times New Roman" w:hAnsi="Times" w:cs="Times"/>
          <w:color w:val="152949"/>
          <w:sz w:val="23"/>
          <w:szCs w:val="23"/>
        </w:rPr>
        <w:t xml:space="preserve"> acquiring existing portfolios.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lastRenderedPageBreak/>
        <w:t>The offered mortgage rate is determined by collecting mortgage rates from other professional lenders sorted by product, loan to value class and the fixed rate period. The discount spread is derived by comparing the offered mortgage rate to the market interest rates taking into account the upfront mortgage offering costs embedded in the offered mortgage rate.</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Prices for mortgage loans in the form of offered mortgage rates and the estimated prepayment rate are the most significant and subjective parameters used in the valuation of the residential mortgages as of 31 December 2008. The determination of the applicable offered mortgage rates and prepayment rates requires NIBC to make subjective </w:t>
      </w:r>
      <w:proofErr w:type="spellStart"/>
      <w:r w:rsidRPr="000176C4">
        <w:rPr>
          <w:rFonts w:ascii="Times" w:eastAsia="Times New Roman" w:hAnsi="Times" w:cs="Times"/>
          <w:color w:val="152949"/>
          <w:sz w:val="23"/>
          <w:szCs w:val="23"/>
        </w:rPr>
        <w:t>judgements</w:t>
      </w:r>
      <w:proofErr w:type="spellEnd"/>
      <w:r w:rsidRPr="000176C4">
        <w:rPr>
          <w:rFonts w:ascii="Times" w:eastAsia="Times New Roman" w:hAnsi="Times" w:cs="Times"/>
          <w:color w:val="152949"/>
          <w:sz w:val="23"/>
          <w:szCs w:val="23"/>
        </w:rPr>
        <w:t>. A one basis point shift in either direction of the discount spread across the mortgage portfolio would have had either a positive or a negative impact as of 31 December 2008 of approximately EUR 3.6 million (2007: EUR 3.5 million) on the fair value of the mortgages. A 1% point shift in the assumption NIBC makes about expected prepayments would have had an impact as of 31 December 2008 of approximately EUR 1.5 million (2007: EUR 11.2 million) on the fair value of the mortgages.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07" w:lineRule="atLeast"/>
        <w:rPr>
          <w:rFonts w:ascii="Trebuchet MS" w:eastAsia="Times New Roman" w:hAnsi="Trebuchet MS" w:cs="Times New Roman"/>
          <w:b/>
          <w:bCs/>
          <w:color w:val="152949"/>
          <w:spacing w:val="5"/>
          <w:sz w:val="29"/>
          <w:szCs w:val="29"/>
        </w:rPr>
      </w:pPr>
      <w:r w:rsidRPr="000176C4">
        <w:rPr>
          <w:rFonts w:ascii="Trebuchet MS" w:eastAsia="Times New Roman" w:hAnsi="Trebuchet MS" w:cs="Times New Roman"/>
          <w:b/>
          <w:bCs/>
          <w:color w:val="152949"/>
          <w:spacing w:val="5"/>
          <w:sz w:val="29"/>
          <w:szCs w:val="29"/>
        </w:rPr>
        <w:t>Loans</w:t>
      </w:r>
    </w:p>
    <w:p w:rsidR="000176C4" w:rsidRPr="000176C4" w:rsidRDefault="000176C4" w:rsidP="000176C4">
      <w:pPr>
        <w:spacing w:after="0" w:line="307" w:lineRule="atLeast"/>
        <w:rPr>
          <w:rFonts w:ascii="Trebuchet MS" w:eastAsia="Times New Roman" w:hAnsi="Trebuchet MS" w:cs="Times New Roman"/>
          <w:b/>
          <w:bCs/>
          <w:color w:val="152949"/>
          <w:spacing w:val="5"/>
          <w:sz w:val="29"/>
          <w:szCs w:val="29"/>
        </w:rPr>
      </w:pPr>
      <w:r w:rsidRPr="000176C4">
        <w:rPr>
          <w:rFonts w:ascii="Trebuchet MS" w:eastAsia="Times New Roman" w:hAnsi="Trebuchet MS" w:cs="Times New Roman"/>
          <w:b/>
          <w:bCs/>
          <w:color w:val="152949"/>
          <w:spacing w:val="5"/>
          <w:sz w:val="29"/>
          <w:szCs w:val="29"/>
        </w:rPr>
        <w:t> </w:t>
      </w:r>
    </w:p>
    <w:p w:rsidR="000176C4" w:rsidRPr="000176C4" w:rsidRDefault="000176C4" w:rsidP="000176C4">
      <w:pPr>
        <w:spacing w:after="0" w:line="275" w:lineRule="atLeast"/>
        <w:rPr>
          <w:rFonts w:ascii="Trebuchet MS" w:eastAsia="Times New Roman" w:hAnsi="Trebuchet MS" w:cs="Times New Roman"/>
          <w:color w:val="48A4D4"/>
          <w:spacing w:val="5"/>
          <w:sz w:val="26"/>
          <w:szCs w:val="26"/>
        </w:rPr>
      </w:pPr>
      <w:r w:rsidRPr="000176C4">
        <w:rPr>
          <w:rFonts w:ascii="Trebuchet MS" w:eastAsia="Times New Roman" w:hAnsi="Trebuchet MS" w:cs="Times New Roman"/>
          <w:color w:val="48A4D4"/>
          <w:spacing w:val="5"/>
          <w:sz w:val="26"/>
          <w:szCs w:val="26"/>
        </w:rPr>
        <w:t>Loans at Fair Value through Profit or Loss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Loans designated at Fair Value through Profit or Loss consists of assets that are traded in the secondary loan market or active syndications market. In an active market environment, these assets are mark-to-market by applying market bid quotes observed on the secondary market. The quotes received from other banks or brokers and applied in the mark-to-market process are calibrated to actual trades executed and settled to the extent possible.</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During 2008, the secondary loan market was confronted with exceptionally low volumes and on the syndication market only a few deals could be used as pricing references for the Loans designated at Fair Value through Profit or Loss as at 31 December 2008. In certain instances, additional pricing reference points have been obtained by collecting spreads using primary transactions that are comparable with the loans in the Fair Value through Profit or Loss category.</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A one basis point shift in the applicable credit spread in either direction would have an impact of EUR 0.45 million on the fair value of the Loans designated at Fair Value through Profit or Loss as at 31 December 2008.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275" w:lineRule="atLeast"/>
        <w:rPr>
          <w:rFonts w:ascii="Trebuchet MS" w:eastAsia="Times New Roman" w:hAnsi="Trebuchet MS" w:cs="Times New Roman"/>
          <w:color w:val="48A4D4"/>
          <w:spacing w:val="5"/>
          <w:sz w:val="26"/>
          <w:szCs w:val="26"/>
        </w:rPr>
      </w:pPr>
      <w:r w:rsidRPr="000176C4">
        <w:rPr>
          <w:rFonts w:ascii="Trebuchet MS" w:eastAsia="Times New Roman" w:hAnsi="Trebuchet MS" w:cs="Times New Roman"/>
          <w:color w:val="48A4D4"/>
          <w:spacing w:val="5"/>
          <w:sz w:val="26"/>
          <w:szCs w:val="26"/>
        </w:rPr>
        <w:t>Loans designated as Available for Sale</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NIBC applied an internal valuation model for determining the fair value of the loans designated as Available for Sale. The reason for applying a valuation model is that there is no active market for these assets. As at 1 July 2008, all Loans in the amount of EUR 4,285 million designated as Available for Sale were reclassified to Loans and Receivables at </w:t>
      </w:r>
      <w:proofErr w:type="spellStart"/>
      <w:r w:rsidRPr="000176C4">
        <w:rPr>
          <w:rFonts w:ascii="Times" w:eastAsia="Times New Roman" w:hAnsi="Times" w:cs="Times"/>
          <w:color w:val="152949"/>
          <w:sz w:val="23"/>
          <w:szCs w:val="23"/>
        </w:rPr>
        <w:t>Amortised</w:t>
      </w:r>
      <w:proofErr w:type="spellEnd"/>
      <w:r w:rsidRPr="000176C4">
        <w:rPr>
          <w:rFonts w:ascii="Times" w:eastAsia="Times New Roman" w:hAnsi="Times" w:cs="Times"/>
          <w:color w:val="152949"/>
          <w:sz w:val="23"/>
          <w:szCs w:val="23"/>
        </w:rPr>
        <w:t xml:space="preserve"> Cost. Consequently, </w:t>
      </w:r>
      <w:r w:rsidRPr="000176C4">
        <w:rPr>
          <w:rFonts w:ascii="Times" w:eastAsia="Times New Roman" w:hAnsi="Times" w:cs="Times"/>
          <w:color w:val="152949"/>
          <w:sz w:val="23"/>
          <w:szCs w:val="23"/>
        </w:rPr>
        <w:lastRenderedPageBreak/>
        <w:t xml:space="preserve">the fair value as at 30 June 2008 of the Loans designated as Available for Sale has been used as the </w:t>
      </w:r>
      <w:proofErr w:type="spellStart"/>
      <w:r w:rsidRPr="000176C4">
        <w:rPr>
          <w:rFonts w:ascii="Times" w:eastAsia="Times New Roman" w:hAnsi="Times" w:cs="Times"/>
          <w:color w:val="152949"/>
          <w:sz w:val="23"/>
          <w:szCs w:val="23"/>
        </w:rPr>
        <w:t>amortised</w:t>
      </w:r>
      <w:proofErr w:type="spellEnd"/>
      <w:r w:rsidRPr="000176C4">
        <w:rPr>
          <w:rFonts w:ascii="Times" w:eastAsia="Times New Roman" w:hAnsi="Times" w:cs="Times"/>
          <w:color w:val="152949"/>
          <w:sz w:val="23"/>
          <w:szCs w:val="23"/>
        </w:rPr>
        <w:t xml:space="preserve"> cost of the reclassified loans.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The model used to determine the fair value as at 30 June 2008 assumed that the book is </w:t>
      </w:r>
      <w:proofErr w:type="spellStart"/>
      <w:r w:rsidRPr="000176C4">
        <w:rPr>
          <w:rFonts w:ascii="Times" w:eastAsia="Times New Roman" w:hAnsi="Times" w:cs="Times"/>
          <w:color w:val="152949"/>
          <w:sz w:val="23"/>
          <w:szCs w:val="23"/>
        </w:rPr>
        <w:t>securitised</w:t>
      </w:r>
      <w:proofErr w:type="spellEnd"/>
      <w:r w:rsidRPr="000176C4">
        <w:rPr>
          <w:rFonts w:ascii="Times" w:eastAsia="Times New Roman" w:hAnsi="Times" w:cs="Times"/>
          <w:color w:val="152949"/>
          <w:sz w:val="23"/>
          <w:szCs w:val="23"/>
        </w:rPr>
        <w:t>. The most significant valuation parameters are yield curves by currency and the credit discount spread. An average life of the loan book of four years is assumed, consistent with NIBC’s historical experience. The valuation is particularly sensitive to the credit spread assumptions. This spread reflects two important inputs. The first is</w:t>
      </w:r>
      <w:r w:rsidRPr="000176C4">
        <w:rPr>
          <w:rFonts w:ascii="Times" w:eastAsia="Times New Roman" w:hAnsi="Times" w:cs="Times"/>
          <w:color w:val="152949"/>
          <w:sz w:val="23"/>
        </w:rPr>
        <w:t> </w:t>
      </w:r>
      <w:proofErr w:type="spellStart"/>
      <w:r w:rsidRPr="000176C4">
        <w:rPr>
          <w:rFonts w:ascii="Times" w:eastAsia="Times New Roman" w:hAnsi="Times" w:cs="Times"/>
          <w:i/>
          <w:iCs/>
          <w:color w:val="152949"/>
          <w:sz w:val="23"/>
        </w:rPr>
        <w:t>Collateralised</w:t>
      </w:r>
      <w:proofErr w:type="spellEnd"/>
      <w:r w:rsidRPr="000176C4">
        <w:rPr>
          <w:rFonts w:ascii="Times" w:eastAsia="Times New Roman" w:hAnsi="Times" w:cs="Times"/>
          <w:i/>
          <w:iCs/>
          <w:color w:val="152949"/>
          <w:sz w:val="23"/>
        </w:rPr>
        <w:t xml:space="preserve"> Loan Obligation</w:t>
      </w:r>
      <w:r w:rsidRPr="000176C4">
        <w:rPr>
          <w:rFonts w:ascii="Times" w:eastAsia="Times New Roman" w:hAnsi="Times" w:cs="Times"/>
          <w:color w:val="152949"/>
          <w:sz w:val="23"/>
        </w:rPr>
        <w:t> </w:t>
      </w:r>
      <w:r w:rsidRPr="000176C4">
        <w:rPr>
          <w:rFonts w:ascii="Times" w:eastAsia="Times New Roman" w:hAnsi="Times" w:cs="Times"/>
          <w:color w:val="152949"/>
          <w:sz w:val="23"/>
          <w:szCs w:val="23"/>
        </w:rPr>
        <w:t>(</w:t>
      </w:r>
      <w:r w:rsidRPr="000176C4">
        <w:rPr>
          <w:rFonts w:ascii="Times" w:eastAsia="Times New Roman" w:hAnsi="Times" w:cs="Times"/>
          <w:b/>
          <w:bCs/>
          <w:color w:val="152949"/>
          <w:sz w:val="23"/>
        </w:rPr>
        <w:t>CLO</w:t>
      </w:r>
      <w:r w:rsidRPr="000176C4">
        <w:rPr>
          <w:rFonts w:ascii="Times" w:eastAsia="Times New Roman" w:hAnsi="Times" w:cs="Times"/>
          <w:color w:val="152949"/>
          <w:sz w:val="23"/>
          <w:szCs w:val="23"/>
        </w:rPr>
        <w:t>) and</w:t>
      </w:r>
      <w:r w:rsidRPr="000176C4">
        <w:rPr>
          <w:rFonts w:ascii="Times" w:eastAsia="Times New Roman" w:hAnsi="Times" w:cs="Times"/>
          <w:color w:val="152949"/>
          <w:sz w:val="23"/>
        </w:rPr>
        <w:t> </w:t>
      </w:r>
      <w:r w:rsidRPr="000176C4">
        <w:rPr>
          <w:rFonts w:ascii="Times" w:eastAsia="Times New Roman" w:hAnsi="Times" w:cs="Times"/>
          <w:i/>
          <w:iCs/>
          <w:color w:val="152949"/>
          <w:sz w:val="23"/>
        </w:rPr>
        <w:t>Commercial Mortgage Backed Securities </w:t>
      </w:r>
      <w:r w:rsidRPr="000176C4">
        <w:rPr>
          <w:rFonts w:ascii="Times" w:eastAsia="Times New Roman" w:hAnsi="Times" w:cs="Times"/>
          <w:color w:val="152949"/>
          <w:sz w:val="23"/>
          <w:szCs w:val="23"/>
        </w:rPr>
        <w:t>(</w:t>
      </w:r>
      <w:r w:rsidRPr="000176C4">
        <w:rPr>
          <w:rFonts w:ascii="Times" w:eastAsia="Times New Roman" w:hAnsi="Times" w:cs="Times"/>
          <w:b/>
          <w:bCs/>
          <w:color w:val="152949"/>
          <w:sz w:val="23"/>
        </w:rPr>
        <w:t>CMBS</w:t>
      </w:r>
      <w:r w:rsidRPr="000176C4">
        <w:rPr>
          <w:rFonts w:ascii="Times" w:eastAsia="Times New Roman" w:hAnsi="Times" w:cs="Times"/>
          <w:color w:val="152949"/>
          <w:sz w:val="23"/>
          <w:szCs w:val="23"/>
        </w:rPr>
        <w:t xml:space="preserve">) spreads, both derived from independent brokers. The CLO and CMBS markets were both </w:t>
      </w:r>
      <w:proofErr w:type="spellStart"/>
      <w:r w:rsidRPr="000176C4">
        <w:rPr>
          <w:rFonts w:ascii="Times" w:eastAsia="Times New Roman" w:hAnsi="Times" w:cs="Times"/>
          <w:color w:val="152949"/>
          <w:sz w:val="23"/>
          <w:szCs w:val="23"/>
        </w:rPr>
        <w:t>characterised</w:t>
      </w:r>
      <w:proofErr w:type="spellEnd"/>
      <w:r w:rsidRPr="000176C4">
        <w:rPr>
          <w:rFonts w:ascii="Times" w:eastAsia="Times New Roman" w:hAnsi="Times" w:cs="Times"/>
          <w:color w:val="152949"/>
          <w:sz w:val="23"/>
          <w:szCs w:val="23"/>
        </w:rPr>
        <w:t xml:space="preserve"> by the near absence of primary issuances. Consequently, in the absence of observable primary transactions, the credit spread used for valuation purposes as at 30 June 2008 was derived largely from spreads quoted by independent banks.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The second input is the model used to tranche the portfolio. NIBC applies the Fitch Vector model (version 3.01), including the probabilities of default provided by Fitch.</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A one basis point shift in the applicable credit spread as at 30 June 2008 in either direction would have an impact of EUR 1 million (2007: EUR 1 million) on the fair value of these loans.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07" w:lineRule="atLeast"/>
        <w:rPr>
          <w:rFonts w:ascii="Trebuchet MS" w:eastAsia="Times New Roman" w:hAnsi="Trebuchet MS" w:cs="Times New Roman"/>
          <w:b/>
          <w:bCs/>
          <w:color w:val="152949"/>
          <w:spacing w:val="5"/>
          <w:sz w:val="29"/>
          <w:szCs w:val="29"/>
        </w:rPr>
      </w:pPr>
      <w:r w:rsidRPr="000176C4">
        <w:rPr>
          <w:rFonts w:ascii="Trebuchet MS" w:eastAsia="Times New Roman" w:hAnsi="Trebuchet MS" w:cs="Times New Roman"/>
          <w:b/>
          <w:bCs/>
          <w:color w:val="152949"/>
          <w:spacing w:val="5"/>
          <w:sz w:val="29"/>
          <w:szCs w:val="29"/>
        </w:rPr>
        <w:t xml:space="preserve">Fair value of financial assets venture capital </w:t>
      </w:r>
      <w:proofErr w:type="spellStart"/>
      <w:r w:rsidRPr="000176C4">
        <w:rPr>
          <w:rFonts w:ascii="Trebuchet MS" w:eastAsia="Times New Roman" w:hAnsi="Trebuchet MS" w:cs="Times New Roman"/>
          <w:b/>
          <w:bCs/>
          <w:color w:val="152949"/>
          <w:spacing w:val="5"/>
          <w:sz w:val="29"/>
          <w:szCs w:val="29"/>
        </w:rPr>
        <w:t>organisation</w:t>
      </w:r>
      <w:proofErr w:type="spellEnd"/>
      <w:r w:rsidRPr="000176C4">
        <w:rPr>
          <w:rFonts w:ascii="Trebuchet MS" w:eastAsia="Times New Roman" w:hAnsi="Trebuchet MS" w:cs="Times New Roman"/>
          <w:b/>
          <w:bCs/>
          <w:color w:val="152949"/>
          <w:spacing w:val="5"/>
          <w:sz w:val="29"/>
          <w:szCs w:val="29"/>
        </w:rPr>
        <w:t xml:space="preserve"> within operating segment Merchant Banking</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The Group estimates the fair value of its venture capital assets using valuation models, and it applies the valuation principles set forth by the International Private Equity and Venture Capital Valuation Guidelines to the extent these are consistent with IAS 39.</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At 31 December 2008, the fair value of this portfolio was estimated to be EUR 296 million. This portfolio is reported on the face of the Balance Sheet under financial assets at Fair Value through Profit or Loss on the line item Investments in associates (EUR 188 million) and under financial assets at Available for Sale in the line item Equity investments (EUR 108 million).</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The fair value of equity investments is established by applying </w:t>
      </w:r>
      <w:proofErr w:type="spellStart"/>
      <w:r w:rsidRPr="000176C4">
        <w:rPr>
          <w:rFonts w:ascii="Times" w:eastAsia="Times New Roman" w:hAnsi="Times" w:cs="Times"/>
          <w:color w:val="152949"/>
          <w:sz w:val="23"/>
          <w:szCs w:val="23"/>
        </w:rPr>
        <w:t>capitalisation</w:t>
      </w:r>
      <w:proofErr w:type="spellEnd"/>
      <w:r w:rsidRPr="000176C4">
        <w:rPr>
          <w:rFonts w:ascii="Times" w:eastAsia="Times New Roman" w:hAnsi="Times" w:cs="Times"/>
          <w:color w:val="152949"/>
          <w:sz w:val="23"/>
          <w:szCs w:val="23"/>
        </w:rPr>
        <w:t xml:space="preserve"> multiples to maintainable earnings. Maintainable earnings are estimated based on the last twelve months’ EBITDA, adjusted for one-off gains and losses. </w:t>
      </w:r>
      <w:proofErr w:type="spellStart"/>
      <w:proofErr w:type="gramStart"/>
      <w:r w:rsidRPr="000176C4">
        <w:rPr>
          <w:rFonts w:ascii="Times" w:eastAsia="Times New Roman" w:hAnsi="Times" w:cs="Times"/>
          <w:color w:val="152949"/>
          <w:sz w:val="23"/>
          <w:szCs w:val="23"/>
        </w:rPr>
        <w:t>Capitalisation</w:t>
      </w:r>
      <w:proofErr w:type="spellEnd"/>
      <w:r w:rsidRPr="000176C4">
        <w:rPr>
          <w:rFonts w:ascii="Times" w:eastAsia="Times New Roman" w:hAnsi="Times" w:cs="Times"/>
          <w:color w:val="152949"/>
          <w:sz w:val="23"/>
          <w:szCs w:val="23"/>
        </w:rPr>
        <w:t xml:space="preserve"> multiples are derived from the enterprise value and the </w:t>
      </w:r>
      <w:proofErr w:type="spellStart"/>
      <w:r w:rsidRPr="000176C4">
        <w:rPr>
          <w:rFonts w:ascii="Times" w:eastAsia="Times New Roman" w:hAnsi="Times" w:cs="Times"/>
          <w:color w:val="152949"/>
          <w:sz w:val="23"/>
          <w:szCs w:val="23"/>
        </w:rPr>
        <w:t>normalised</w:t>
      </w:r>
      <w:proofErr w:type="spellEnd"/>
      <w:r w:rsidRPr="000176C4">
        <w:rPr>
          <w:rFonts w:ascii="Times" w:eastAsia="Times New Roman" w:hAnsi="Times" w:cs="Times"/>
          <w:color w:val="152949"/>
          <w:sz w:val="23"/>
          <w:szCs w:val="23"/>
        </w:rPr>
        <w:t xml:space="preserve"> trailing last twelve months EBITDA at the time of the acquisition.</w:t>
      </w:r>
      <w:proofErr w:type="gramEnd"/>
      <w:r w:rsidRPr="000176C4">
        <w:rPr>
          <w:rFonts w:ascii="Times" w:eastAsia="Times New Roman" w:hAnsi="Times" w:cs="Times"/>
          <w:color w:val="152949"/>
          <w:sz w:val="23"/>
          <w:szCs w:val="23"/>
        </w:rPr>
        <w:t xml:space="preserve"> At each balance sheet date, the </w:t>
      </w:r>
      <w:proofErr w:type="spellStart"/>
      <w:r w:rsidRPr="000176C4">
        <w:rPr>
          <w:rFonts w:ascii="Times" w:eastAsia="Times New Roman" w:hAnsi="Times" w:cs="Times"/>
          <w:color w:val="152949"/>
          <w:sz w:val="23"/>
          <w:szCs w:val="23"/>
        </w:rPr>
        <w:t>capitalisation</w:t>
      </w:r>
      <w:proofErr w:type="spellEnd"/>
      <w:r w:rsidRPr="000176C4">
        <w:rPr>
          <w:rFonts w:ascii="Times" w:eastAsia="Times New Roman" w:hAnsi="Times" w:cs="Times"/>
          <w:color w:val="152949"/>
          <w:sz w:val="23"/>
          <w:szCs w:val="23"/>
        </w:rPr>
        <w:t xml:space="preserve"> multiple of each equity investment is compared against those derived from the market </w:t>
      </w:r>
      <w:proofErr w:type="spellStart"/>
      <w:r w:rsidRPr="000176C4">
        <w:rPr>
          <w:rFonts w:ascii="Times" w:eastAsia="Times New Roman" w:hAnsi="Times" w:cs="Times"/>
          <w:color w:val="152949"/>
          <w:sz w:val="23"/>
          <w:szCs w:val="23"/>
        </w:rPr>
        <w:t>capitalisation</w:t>
      </w:r>
      <w:proofErr w:type="spellEnd"/>
      <w:r w:rsidRPr="000176C4">
        <w:rPr>
          <w:rFonts w:ascii="Times" w:eastAsia="Times New Roman" w:hAnsi="Times" w:cs="Times"/>
          <w:color w:val="152949"/>
          <w:sz w:val="23"/>
          <w:szCs w:val="23"/>
        </w:rPr>
        <w:t xml:space="preserve"> and publicly available earnings information of traded peers, where these can be identified. Peer </w:t>
      </w:r>
      <w:proofErr w:type="spellStart"/>
      <w:r w:rsidRPr="000176C4">
        <w:rPr>
          <w:rFonts w:ascii="Times" w:eastAsia="Times New Roman" w:hAnsi="Times" w:cs="Times"/>
          <w:color w:val="152949"/>
          <w:sz w:val="23"/>
          <w:szCs w:val="23"/>
        </w:rPr>
        <w:t>capitalisation</w:t>
      </w:r>
      <w:proofErr w:type="spellEnd"/>
      <w:r w:rsidRPr="000176C4">
        <w:rPr>
          <w:rFonts w:ascii="Times" w:eastAsia="Times New Roman" w:hAnsi="Times" w:cs="Times"/>
          <w:color w:val="152949"/>
          <w:sz w:val="23"/>
          <w:szCs w:val="23"/>
        </w:rPr>
        <w:t xml:space="preserve"> multiples are </w:t>
      </w:r>
      <w:proofErr w:type="spellStart"/>
      <w:r w:rsidRPr="000176C4">
        <w:rPr>
          <w:rFonts w:ascii="Times" w:eastAsia="Times New Roman" w:hAnsi="Times" w:cs="Times"/>
          <w:color w:val="152949"/>
          <w:sz w:val="23"/>
          <w:szCs w:val="23"/>
        </w:rPr>
        <w:lastRenderedPageBreak/>
        <w:t>normalised</w:t>
      </w:r>
      <w:proofErr w:type="spellEnd"/>
      <w:r w:rsidRPr="000176C4">
        <w:rPr>
          <w:rFonts w:ascii="Times" w:eastAsia="Times New Roman" w:hAnsi="Times" w:cs="Times"/>
          <w:color w:val="152949"/>
          <w:sz w:val="23"/>
          <w:szCs w:val="23"/>
        </w:rPr>
        <w:t xml:space="preserve"> for factors such as, amongst others, differences in regional and economic environment, time lags in earnings information, liquidity and one-off gains and losses.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The resulting enterprise value is adjusted for net debt, minority interests and management incentive plans to arrive at the fair value of the equity.</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The determination of the fair value of unlisted financial assets in this manner is necessarily a subjective process. For the Equity investments as at 31 December 2008, a 10% increase in the </w:t>
      </w:r>
      <w:proofErr w:type="spellStart"/>
      <w:r w:rsidRPr="000176C4">
        <w:rPr>
          <w:rFonts w:ascii="Times" w:eastAsia="Times New Roman" w:hAnsi="Times" w:cs="Times"/>
          <w:color w:val="152949"/>
          <w:sz w:val="23"/>
          <w:szCs w:val="23"/>
        </w:rPr>
        <w:t>capitalisation</w:t>
      </w:r>
      <w:proofErr w:type="spellEnd"/>
      <w:r w:rsidRPr="000176C4">
        <w:rPr>
          <w:rFonts w:ascii="Times" w:eastAsia="Times New Roman" w:hAnsi="Times" w:cs="Times"/>
          <w:color w:val="152949"/>
          <w:sz w:val="23"/>
          <w:szCs w:val="23"/>
        </w:rPr>
        <w:t xml:space="preserve"> multiples that the Group uses would have produced an increase in the fair value of the Equity investments of approximately EUR 32.8 million. A 10% decrease in </w:t>
      </w:r>
      <w:proofErr w:type="spellStart"/>
      <w:r w:rsidRPr="000176C4">
        <w:rPr>
          <w:rFonts w:ascii="Times" w:eastAsia="Times New Roman" w:hAnsi="Times" w:cs="Times"/>
          <w:color w:val="152949"/>
          <w:sz w:val="23"/>
          <w:szCs w:val="23"/>
        </w:rPr>
        <w:t>capitalisation</w:t>
      </w:r>
      <w:proofErr w:type="spellEnd"/>
      <w:r w:rsidRPr="000176C4">
        <w:rPr>
          <w:rFonts w:ascii="Times" w:eastAsia="Times New Roman" w:hAnsi="Times" w:cs="Times"/>
          <w:color w:val="152949"/>
          <w:sz w:val="23"/>
          <w:szCs w:val="23"/>
        </w:rPr>
        <w:t xml:space="preserve"> multiples would have produced a decrease in the fair value of the Equity investments of approximately EUR 31.9 million.</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421" w:lineRule="atLeast"/>
        <w:rPr>
          <w:rFonts w:ascii="Trebuchet MS" w:eastAsia="Times New Roman" w:hAnsi="Trebuchet MS" w:cs="Times New Roman"/>
          <w:color w:val="022749"/>
          <w:sz w:val="36"/>
          <w:szCs w:val="36"/>
        </w:rPr>
      </w:pPr>
      <w:r w:rsidRPr="000176C4">
        <w:rPr>
          <w:rFonts w:ascii="Trebuchet MS" w:eastAsia="Times New Roman" w:hAnsi="Trebuchet MS" w:cs="Times New Roman"/>
          <w:color w:val="022749"/>
          <w:sz w:val="36"/>
          <w:szCs w:val="36"/>
        </w:rPr>
        <w:t>Impact of</w:t>
      </w:r>
      <w:r w:rsidRPr="000176C4">
        <w:rPr>
          <w:rFonts w:ascii="Trebuchet MS" w:eastAsia="Times New Roman" w:hAnsi="Trebuchet MS" w:cs="Times New Roman"/>
          <w:color w:val="022749"/>
          <w:sz w:val="36"/>
        </w:rPr>
        <w:t> </w:t>
      </w:r>
      <w:r w:rsidRPr="000176C4">
        <w:rPr>
          <w:rFonts w:ascii="Trebuchet MS" w:eastAsia="Times New Roman" w:hAnsi="Trebuchet MS" w:cs="Times New Roman"/>
          <w:color w:val="48A4D4"/>
          <w:sz w:val="36"/>
        </w:rPr>
        <w:t>reclassified financial assets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NIBC has chosen to reclassify as of 1 July 2008 certain financial assets that are no longer held for the purpose of selling in the near term as permitted by the October 2008 amendment to </w:t>
      </w:r>
      <w:proofErr w:type="spellStart"/>
      <w:r w:rsidRPr="000176C4">
        <w:rPr>
          <w:rFonts w:ascii="Times" w:eastAsia="Times New Roman" w:hAnsi="Times" w:cs="Times"/>
          <w:color w:val="152949"/>
          <w:sz w:val="23"/>
          <w:szCs w:val="23"/>
        </w:rPr>
        <w:t>lAS</w:t>
      </w:r>
      <w:proofErr w:type="spellEnd"/>
      <w:r w:rsidRPr="000176C4">
        <w:rPr>
          <w:rFonts w:ascii="Times" w:eastAsia="Times New Roman" w:hAnsi="Times" w:cs="Times"/>
          <w:color w:val="152949"/>
          <w:sz w:val="23"/>
          <w:szCs w:val="23"/>
        </w:rPr>
        <w:t xml:space="preserve"> 39 and IFRS 7. In NIBC’s </w:t>
      </w:r>
      <w:proofErr w:type="spellStart"/>
      <w:r w:rsidRPr="000176C4">
        <w:rPr>
          <w:rFonts w:ascii="Times" w:eastAsia="Times New Roman" w:hAnsi="Times" w:cs="Times"/>
          <w:color w:val="152949"/>
          <w:sz w:val="23"/>
          <w:szCs w:val="23"/>
        </w:rPr>
        <w:t>judgement</w:t>
      </w:r>
      <w:proofErr w:type="spellEnd"/>
      <w:r w:rsidRPr="000176C4">
        <w:rPr>
          <w:rFonts w:ascii="Times" w:eastAsia="Times New Roman" w:hAnsi="Times" w:cs="Times"/>
          <w:color w:val="152949"/>
          <w:sz w:val="23"/>
          <w:szCs w:val="23"/>
        </w:rPr>
        <w:t xml:space="preserve">, the deterioration in the world’s financial markets is an example of a rare circumstance. Had NIBC determined that the market conditions during the third quarter of 2008 did not represent a rare circumstance or that NIBC did not have the intention and ability to hold the financial assets for the foreseeable future or until maturity and had NIBC therefore not reclassified the financial assets, a post-tax net loss of EUR 117 million would have been </w:t>
      </w:r>
      <w:proofErr w:type="spellStart"/>
      <w:r w:rsidRPr="000176C4">
        <w:rPr>
          <w:rFonts w:ascii="Times" w:eastAsia="Times New Roman" w:hAnsi="Times" w:cs="Times"/>
          <w:color w:val="152949"/>
          <w:sz w:val="23"/>
          <w:szCs w:val="23"/>
        </w:rPr>
        <w:t>recognised</w:t>
      </w:r>
      <w:proofErr w:type="spellEnd"/>
      <w:r w:rsidRPr="000176C4">
        <w:rPr>
          <w:rFonts w:ascii="Times" w:eastAsia="Times New Roman" w:hAnsi="Times" w:cs="Times"/>
          <w:color w:val="152949"/>
          <w:sz w:val="23"/>
          <w:szCs w:val="23"/>
        </w:rPr>
        <w:t xml:space="preserve"> in profit or loss and a post-tax net loss of EUR 220 million would have been </w:t>
      </w:r>
      <w:proofErr w:type="spellStart"/>
      <w:r w:rsidRPr="000176C4">
        <w:rPr>
          <w:rFonts w:ascii="Times" w:eastAsia="Times New Roman" w:hAnsi="Times" w:cs="Times"/>
          <w:color w:val="152949"/>
          <w:sz w:val="23"/>
          <w:szCs w:val="23"/>
        </w:rPr>
        <w:t>recognised</w:t>
      </w:r>
      <w:proofErr w:type="spellEnd"/>
      <w:r w:rsidRPr="000176C4">
        <w:rPr>
          <w:rFonts w:ascii="Times" w:eastAsia="Times New Roman" w:hAnsi="Times" w:cs="Times"/>
          <w:color w:val="152949"/>
          <w:sz w:val="23"/>
          <w:szCs w:val="23"/>
        </w:rPr>
        <w:t xml:space="preserve"> in the revaluation reserve in equity due to incremental fair value losses.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421" w:lineRule="atLeast"/>
        <w:rPr>
          <w:rFonts w:ascii="Trebuchet MS" w:eastAsia="Times New Roman" w:hAnsi="Trebuchet MS" w:cs="Times New Roman"/>
          <w:color w:val="022749"/>
          <w:sz w:val="36"/>
          <w:szCs w:val="36"/>
        </w:rPr>
      </w:pPr>
      <w:r w:rsidRPr="000176C4">
        <w:rPr>
          <w:rFonts w:ascii="Trebuchet MS" w:eastAsia="Times New Roman" w:hAnsi="Trebuchet MS" w:cs="Times New Roman"/>
          <w:color w:val="022749"/>
          <w:sz w:val="36"/>
          <w:szCs w:val="36"/>
        </w:rPr>
        <w:t>Impairment of</w:t>
      </w:r>
      <w:r w:rsidRPr="000176C4">
        <w:rPr>
          <w:rFonts w:ascii="Trebuchet MS" w:eastAsia="Times New Roman" w:hAnsi="Trebuchet MS" w:cs="Times New Roman"/>
          <w:color w:val="022749"/>
          <w:sz w:val="36"/>
        </w:rPr>
        <w:t> </w:t>
      </w:r>
      <w:r w:rsidRPr="000176C4">
        <w:rPr>
          <w:rFonts w:ascii="Trebuchet MS" w:eastAsia="Times New Roman" w:hAnsi="Trebuchet MS" w:cs="Times New Roman"/>
          <w:color w:val="48A4D4"/>
          <w:sz w:val="36"/>
        </w:rPr>
        <w:t>corporate loans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NIBC assesses whether there is an indication of impairment of corporate loans classified as </w:t>
      </w:r>
      <w:proofErr w:type="gramStart"/>
      <w:r w:rsidRPr="000176C4">
        <w:rPr>
          <w:rFonts w:ascii="Times" w:eastAsia="Times New Roman" w:hAnsi="Times" w:cs="Times"/>
          <w:color w:val="152949"/>
          <w:sz w:val="23"/>
          <w:szCs w:val="23"/>
        </w:rPr>
        <w:t>Available</w:t>
      </w:r>
      <w:proofErr w:type="gramEnd"/>
      <w:r w:rsidRPr="000176C4">
        <w:rPr>
          <w:rFonts w:ascii="Times" w:eastAsia="Times New Roman" w:hAnsi="Times" w:cs="Times"/>
          <w:color w:val="152949"/>
          <w:sz w:val="23"/>
          <w:szCs w:val="23"/>
        </w:rPr>
        <w:t xml:space="preserve"> for Sale assets or as Loans and Receivables at </w:t>
      </w:r>
      <w:proofErr w:type="spellStart"/>
      <w:r w:rsidRPr="000176C4">
        <w:rPr>
          <w:rFonts w:ascii="Times" w:eastAsia="Times New Roman" w:hAnsi="Times" w:cs="Times"/>
          <w:color w:val="152949"/>
          <w:sz w:val="23"/>
          <w:szCs w:val="23"/>
        </w:rPr>
        <w:t>Amortised</w:t>
      </w:r>
      <w:proofErr w:type="spellEnd"/>
      <w:r w:rsidRPr="000176C4">
        <w:rPr>
          <w:rFonts w:ascii="Times" w:eastAsia="Times New Roman" w:hAnsi="Times" w:cs="Times"/>
          <w:color w:val="152949"/>
          <w:sz w:val="23"/>
          <w:szCs w:val="23"/>
        </w:rPr>
        <w:t xml:space="preserve"> Cost on an individual basis and at least quarterly. NIBC considers a range of factors that have a bearing on the expected future cash flows that it expects to receive from the loan, including the business prospects of the borrower and its industry sector, the </w:t>
      </w:r>
      <w:proofErr w:type="spellStart"/>
      <w:r w:rsidRPr="000176C4">
        <w:rPr>
          <w:rFonts w:ascii="Times" w:eastAsia="Times New Roman" w:hAnsi="Times" w:cs="Times"/>
          <w:color w:val="152949"/>
          <w:sz w:val="23"/>
          <w:szCs w:val="23"/>
        </w:rPr>
        <w:t>realisable</w:t>
      </w:r>
      <w:proofErr w:type="spellEnd"/>
      <w:r w:rsidRPr="000176C4">
        <w:rPr>
          <w:rFonts w:ascii="Times" w:eastAsia="Times New Roman" w:hAnsi="Times" w:cs="Times"/>
          <w:color w:val="152949"/>
          <w:sz w:val="23"/>
          <w:szCs w:val="23"/>
        </w:rPr>
        <w:t xml:space="preserve"> value of collateral held, the level of subordination relative to other lenders and creditors, and the likely cost and likely duration of any recovery process. Subjective </w:t>
      </w:r>
      <w:proofErr w:type="spellStart"/>
      <w:r w:rsidRPr="000176C4">
        <w:rPr>
          <w:rFonts w:ascii="Times" w:eastAsia="Times New Roman" w:hAnsi="Times" w:cs="Times"/>
          <w:color w:val="152949"/>
          <w:sz w:val="23"/>
          <w:szCs w:val="23"/>
        </w:rPr>
        <w:t>judgements</w:t>
      </w:r>
      <w:proofErr w:type="spellEnd"/>
      <w:r w:rsidRPr="000176C4">
        <w:rPr>
          <w:rFonts w:ascii="Times" w:eastAsia="Times New Roman" w:hAnsi="Times" w:cs="Times"/>
          <w:color w:val="152949"/>
          <w:sz w:val="23"/>
          <w:szCs w:val="23"/>
        </w:rPr>
        <w:t xml:space="preserve"> are made in the process including, among others, the determination of expected future cash flows and their timing, the market value of collateral, and market discount rates. Furthermore, NIBC’s </w:t>
      </w:r>
      <w:proofErr w:type="spellStart"/>
      <w:r w:rsidRPr="000176C4">
        <w:rPr>
          <w:rFonts w:ascii="Times" w:eastAsia="Times New Roman" w:hAnsi="Times" w:cs="Times"/>
          <w:color w:val="152949"/>
          <w:sz w:val="23"/>
          <w:szCs w:val="23"/>
        </w:rPr>
        <w:t>judgements</w:t>
      </w:r>
      <w:proofErr w:type="spellEnd"/>
      <w:r w:rsidRPr="000176C4">
        <w:rPr>
          <w:rFonts w:ascii="Times" w:eastAsia="Times New Roman" w:hAnsi="Times" w:cs="Times"/>
          <w:color w:val="152949"/>
          <w:sz w:val="23"/>
          <w:szCs w:val="23"/>
        </w:rPr>
        <w:t xml:space="preserve"> change with time as new information becomes available, or as recovery strategies evolve, resulting in frequent revisions to individual impairments, on a case-by-case basis. </w:t>
      </w:r>
      <w:r w:rsidRPr="000176C4">
        <w:rPr>
          <w:rFonts w:ascii="Times" w:eastAsia="Times New Roman" w:hAnsi="Times" w:cs="Times"/>
          <w:color w:val="152949"/>
          <w:sz w:val="23"/>
          <w:szCs w:val="23"/>
        </w:rPr>
        <w:lastRenderedPageBreak/>
        <w:t>NIBC regularly reviews the methodology and assumptions used for estimating both the amount and timing of future cash flows, to reduce any differences between loss estimates and actual loss experience.</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If, as at 31 December 2008, for each of the impaired corporate loans, the net present value of the estimated cash flows had been 5% lower than estimated, NIBC would have </w:t>
      </w:r>
      <w:proofErr w:type="spellStart"/>
      <w:r w:rsidRPr="000176C4">
        <w:rPr>
          <w:rFonts w:ascii="Times" w:eastAsia="Times New Roman" w:hAnsi="Times" w:cs="Times"/>
          <w:color w:val="152949"/>
          <w:sz w:val="23"/>
          <w:szCs w:val="23"/>
        </w:rPr>
        <w:t>recognised</w:t>
      </w:r>
      <w:proofErr w:type="spellEnd"/>
      <w:r w:rsidRPr="000176C4">
        <w:rPr>
          <w:rFonts w:ascii="Times" w:eastAsia="Times New Roman" w:hAnsi="Times" w:cs="Times"/>
          <w:color w:val="152949"/>
          <w:sz w:val="23"/>
          <w:szCs w:val="23"/>
        </w:rPr>
        <w:t xml:space="preserve"> an additional impairment loss of EUR 6.5 million (2007: EUR 6.8 million). If, as at 31 December 2008, for each of NIBC’s impaired corporate loans, the net present value of the estimated cash flows had been 5% higher than estimated, the impairment loss would have been reduced by EUR 6.5 million (2007: EUR 6.8 million).</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421" w:lineRule="atLeast"/>
        <w:rPr>
          <w:rFonts w:ascii="Trebuchet MS" w:eastAsia="Times New Roman" w:hAnsi="Trebuchet MS" w:cs="Times New Roman"/>
          <w:color w:val="022749"/>
          <w:sz w:val="36"/>
          <w:szCs w:val="36"/>
        </w:rPr>
      </w:pPr>
      <w:r w:rsidRPr="000176C4">
        <w:rPr>
          <w:rFonts w:ascii="Trebuchet MS" w:eastAsia="Times New Roman" w:hAnsi="Trebuchet MS" w:cs="Times New Roman"/>
          <w:color w:val="022749"/>
          <w:sz w:val="36"/>
          <w:szCs w:val="36"/>
        </w:rPr>
        <w:t>Impairment of Equity investments classified</w:t>
      </w:r>
      <w:r w:rsidRPr="000176C4">
        <w:rPr>
          <w:rFonts w:ascii="Trebuchet MS" w:eastAsia="Times New Roman" w:hAnsi="Trebuchet MS" w:cs="Times New Roman"/>
          <w:color w:val="022749"/>
          <w:sz w:val="36"/>
        </w:rPr>
        <w:t> </w:t>
      </w:r>
      <w:r w:rsidRPr="000176C4">
        <w:rPr>
          <w:rFonts w:ascii="Trebuchet MS" w:eastAsia="Times New Roman" w:hAnsi="Trebuchet MS" w:cs="Times New Roman"/>
          <w:color w:val="48A4D4"/>
          <w:sz w:val="36"/>
        </w:rPr>
        <w:t>as Available for Sale</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NIBC determines an impairment loss on the Available for Sale Equity investments held in the investment portfolio of the venture capital </w:t>
      </w:r>
      <w:proofErr w:type="spellStart"/>
      <w:r w:rsidRPr="000176C4">
        <w:rPr>
          <w:rFonts w:ascii="Times" w:eastAsia="Times New Roman" w:hAnsi="Times" w:cs="Times"/>
          <w:color w:val="152949"/>
          <w:sz w:val="23"/>
          <w:szCs w:val="23"/>
        </w:rPr>
        <w:t>organisation</w:t>
      </w:r>
      <w:proofErr w:type="spellEnd"/>
      <w:r w:rsidRPr="000176C4">
        <w:rPr>
          <w:rFonts w:ascii="Times" w:eastAsia="Times New Roman" w:hAnsi="Times" w:cs="Times"/>
          <w:color w:val="152949"/>
          <w:sz w:val="23"/>
          <w:szCs w:val="23"/>
        </w:rPr>
        <w:t xml:space="preserve"> within the operating segment Merchant Banking when there has been a significant or prolonged decline in the fair value below its original cost (including previous impairment losses). NIBC exercises </w:t>
      </w:r>
      <w:proofErr w:type="spellStart"/>
      <w:r w:rsidRPr="000176C4">
        <w:rPr>
          <w:rFonts w:ascii="Times" w:eastAsia="Times New Roman" w:hAnsi="Times" w:cs="Times"/>
          <w:color w:val="152949"/>
          <w:sz w:val="23"/>
          <w:szCs w:val="23"/>
        </w:rPr>
        <w:t>judgement</w:t>
      </w:r>
      <w:proofErr w:type="spellEnd"/>
      <w:r w:rsidRPr="000176C4">
        <w:rPr>
          <w:rFonts w:ascii="Times" w:eastAsia="Times New Roman" w:hAnsi="Times" w:cs="Times"/>
          <w:color w:val="152949"/>
          <w:sz w:val="23"/>
          <w:szCs w:val="23"/>
        </w:rPr>
        <w:t xml:space="preserve"> in determining what is ‘significant’ or ‘prolonged’ by evaluating, among other factors, whether the decline is outside the normal range of volatility in the asset’s price. In addition, impairment may be appropriate when there is evidence of deterioration in the financial health of the company whose securities NIBC holds, a decline in industry or sector performance, </w:t>
      </w:r>
      <w:proofErr w:type="gramStart"/>
      <w:r w:rsidRPr="000176C4">
        <w:rPr>
          <w:rFonts w:ascii="Times" w:eastAsia="Times New Roman" w:hAnsi="Times" w:cs="Times"/>
          <w:color w:val="152949"/>
          <w:sz w:val="23"/>
          <w:szCs w:val="23"/>
        </w:rPr>
        <w:t>adverse</w:t>
      </w:r>
      <w:proofErr w:type="gramEnd"/>
      <w:r w:rsidRPr="000176C4">
        <w:rPr>
          <w:rFonts w:ascii="Times" w:eastAsia="Times New Roman" w:hAnsi="Times" w:cs="Times"/>
          <w:color w:val="152949"/>
          <w:sz w:val="23"/>
          <w:szCs w:val="23"/>
        </w:rPr>
        <w:t xml:space="preserve"> changes in technology or problems with operational or financing cash flows.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The level of the impairment loss that NIBC </w:t>
      </w:r>
      <w:proofErr w:type="spellStart"/>
      <w:r w:rsidRPr="000176C4">
        <w:rPr>
          <w:rFonts w:ascii="Times" w:eastAsia="Times New Roman" w:hAnsi="Times" w:cs="Times"/>
          <w:color w:val="152949"/>
          <w:sz w:val="23"/>
          <w:szCs w:val="23"/>
        </w:rPr>
        <w:t>recognises</w:t>
      </w:r>
      <w:proofErr w:type="spellEnd"/>
      <w:r w:rsidRPr="000176C4">
        <w:rPr>
          <w:rFonts w:ascii="Times" w:eastAsia="Times New Roman" w:hAnsi="Times" w:cs="Times"/>
          <w:color w:val="152949"/>
          <w:sz w:val="23"/>
          <w:szCs w:val="23"/>
        </w:rPr>
        <w:t xml:space="preserve"> in the Consolidated Income Statement is the cumulative loss that had been </w:t>
      </w:r>
      <w:proofErr w:type="spellStart"/>
      <w:r w:rsidRPr="000176C4">
        <w:rPr>
          <w:rFonts w:ascii="Times" w:eastAsia="Times New Roman" w:hAnsi="Times" w:cs="Times"/>
          <w:color w:val="152949"/>
          <w:sz w:val="23"/>
          <w:szCs w:val="23"/>
        </w:rPr>
        <w:t>recognised</w:t>
      </w:r>
      <w:proofErr w:type="spellEnd"/>
      <w:r w:rsidRPr="000176C4">
        <w:rPr>
          <w:rFonts w:ascii="Times" w:eastAsia="Times New Roman" w:hAnsi="Times" w:cs="Times"/>
          <w:color w:val="152949"/>
          <w:sz w:val="23"/>
          <w:szCs w:val="23"/>
        </w:rPr>
        <w:t xml:space="preserve"> directly in equity. If NIBC had deemed ‘significant’ or ‘prolonged’ all of the declines in fair value of Equity investments below cost, the effect would have been EUR 2.2 million (2007: EUR 0.8 million) reduction in the Profit before tax from continuing operations (Gains less losses from financial assets) in 2008.</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421" w:lineRule="atLeast"/>
        <w:rPr>
          <w:rFonts w:ascii="Trebuchet MS" w:eastAsia="Times New Roman" w:hAnsi="Trebuchet MS" w:cs="Times New Roman"/>
          <w:color w:val="022749"/>
          <w:sz w:val="36"/>
          <w:szCs w:val="36"/>
        </w:rPr>
      </w:pPr>
      <w:proofErr w:type="spellStart"/>
      <w:r w:rsidRPr="000176C4">
        <w:rPr>
          <w:rFonts w:ascii="Trebuchet MS" w:eastAsia="Times New Roman" w:hAnsi="Trebuchet MS" w:cs="Times New Roman"/>
          <w:color w:val="022749"/>
          <w:sz w:val="36"/>
          <w:szCs w:val="36"/>
        </w:rPr>
        <w:t>Securitisations</w:t>
      </w:r>
      <w:proofErr w:type="spellEnd"/>
      <w:r w:rsidRPr="000176C4">
        <w:rPr>
          <w:rFonts w:ascii="Trebuchet MS" w:eastAsia="Times New Roman" w:hAnsi="Trebuchet MS" w:cs="Times New Roman"/>
          <w:color w:val="022749"/>
          <w:sz w:val="36"/>
          <w:szCs w:val="36"/>
        </w:rPr>
        <w:t xml:space="preserve"> and</w:t>
      </w:r>
      <w:r w:rsidRPr="000176C4">
        <w:rPr>
          <w:rFonts w:ascii="Trebuchet MS" w:eastAsia="Times New Roman" w:hAnsi="Trebuchet MS" w:cs="Times New Roman"/>
          <w:color w:val="022749"/>
          <w:sz w:val="36"/>
        </w:rPr>
        <w:t> </w:t>
      </w:r>
      <w:r w:rsidRPr="000176C4">
        <w:rPr>
          <w:rFonts w:ascii="Trebuchet MS" w:eastAsia="Times New Roman" w:hAnsi="Trebuchet MS" w:cs="Times New Roman"/>
          <w:color w:val="48A4D4"/>
          <w:sz w:val="36"/>
        </w:rPr>
        <w:t>special purpose entities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NIBC sponsors the formation of</w:t>
      </w:r>
      <w:r w:rsidRPr="000176C4">
        <w:rPr>
          <w:rFonts w:ascii="Times" w:eastAsia="Times New Roman" w:hAnsi="Times" w:cs="Times"/>
          <w:color w:val="152949"/>
          <w:sz w:val="23"/>
        </w:rPr>
        <w:t> </w:t>
      </w:r>
      <w:r w:rsidRPr="000176C4">
        <w:rPr>
          <w:rFonts w:ascii="Times" w:eastAsia="Times New Roman" w:hAnsi="Times" w:cs="Times"/>
          <w:i/>
          <w:iCs/>
          <w:color w:val="152949"/>
          <w:sz w:val="23"/>
        </w:rPr>
        <w:t>Special Purpose Entities</w:t>
      </w:r>
      <w:r w:rsidRPr="000176C4">
        <w:rPr>
          <w:rFonts w:ascii="Times" w:eastAsia="Times New Roman" w:hAnsi="Times" w:cs="Times"/>
          <w:color w:val="152949"/>
          <w:sz w:val="23"/>
        </w:rPr>
        <w:t> </w:t>
      </w:r>
      <w:r w:rsidRPr="000176C4">
        <w:rPr>
          <w:rFonts w:ascii="Times" w:eastAsia="Times New Roman" w:hAnsi="Times" w:cs="Times"/>
          <w:color w:val="152949"/>
          <w:sz w:val="23"/>
          <w:szCs w:val="23"/>
        </w:rPr>
        <w:t>(</w:t>
      </w:r>
      <w:r w:rsidRPr="000176C4">
        <w:rPr>
          <w:rFonts w:ascii="Times" w:eastAsia="Times New Roman" w:hAnsi="Times" w:cs="Times"/>
          <w:b/>
          <w:bCs/>
          <w:color w:val="152949"/>
          <w:sz w:val="23"/>
        </w:rPr>
        <w:t>SPEs</w:t>
      </w:r>
      <w:r w:rsidRPr="000176C4">
        <w:rPr>
          <w:rFonts w:ascii="Times" w:eastAsia="Times New Roman" w:hAnsi="Times" w:cs="Times"/>
          <w:color w:val="152949"/>
          <w:sz w:val="23"/>
          <w:szCs w:val="23"/>
        </w:rPr>
        <w:t xml:space="preserve">) primarily for the purpose of allowing clients to hold investments in separate legal entities, to allow clients to invest jointly in alternative assets, for asset </w:t>
      </w:r>
      <w:proofErr w:type="spellStart"/>
      <w:r w:rsidRPr="000176C4">
        <w:rPr>
          <w:rFonts w:ascii="Times" w:eastAsia="Times New Roman" w:hAnsi="Times" w:cs="Times"/>
          <w:color w:val="152949"/>
          <w:sz w:val="23"/>
          <w:szCs w:val="23"/>
        </w:rPr>
        <w:t>securitisation</w:t>
      </w:r>
      <w:proofErr w:type="spellEnd"/>
      <w:r w:rsidRPr="000176C4">
        <w:rPr>
          <w:rFonts w:ascii="Times" w:eastAsia="Times New Roman" w:hAnsi="Times" w:cs="Times"/>
          <w:color w:val="152949"/>
          <w:sz w:val="23"/>
          <w:szCs w:val="23"/>
        </w:rPr>
        <w:t xml:space="preserve"> transactions, and for buying or selling credit protection. NIBC does not consolidate SPEs that it does not control.</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lastRenderedPageBreak/>
        <w:t xml:space="preserve">The determination of whether NIBC exercises control over an SPE requires NIBC to make </w:t>
      </w:r>
      <w:proofErr w:type="spellStart"/>
      <w:r w:rsidRPr="000176C4">
        <w:rPr>
          <w:rFonts w:ascii="Times" w:eastAsia="Times New Roman" w:hAnsi="Times" w:cs="Times"/>
          <w:color w:val="152949"/>
          <w:sz w:val="23"/>
          <w:szCs w:val="23"/>
        </w:rPr>
        <w:t>judgements</w:t>
      </w:r>
      <w:proofErr w:type="spellEnd"/>
      <w:r w:rsidRPr="000176C4">
        <w:rPr>
          <w:rFonts w:ascii="Times" w:eastAsia="Times New Roman" w:hAnsi="Times" w:cs="Times"/>
          <w:color w:val="152949"/>
          <w:sz w:val="23"/>
          <w:szCs w:val="23"/>
        </w:rPr>
        <w:t xml:space="preserve"> about its exposure to the risks and rewards derived from the SPE as well as its ability to make operational decisions for the SPE in question. In many instances, elements are present that considered in isolation indicate control or lack of control over an SPE, but when considered together make it difficult to reach a clear conclusion. In such cases, the SPE is consolidated.</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When assessing whether NIBC has to consolidate an SPE, it evaluates a range of factors, including whether:</w:t>
      </w:r>
    </w:p>
    <w:p w:rsidR="000176C4" w:rsidRPr="000176C4" w:rsidRDefault="000176C4" w:rsidP="000176C4">
      <w:pPr>
        <w:numPr>
          <w:ilvl w:val="0"/>
          <w:numId w:val="24"/>
        </w:numPr>
        <w:spacing w:after="0" w:line="324" w:lineRule="atLeast"/>
        <w:ind w:left="32"/>
        <w:rPr>
          <w:rFonts w:ascii="Times" w:eastAsia="Times New Roman" w:hAnsi="Times" w:cs="Times"/>
          <w:color w:val="152949"/>
          <w:sz w:val="23"/>
          <w:szCs w:val="23"/>
        </w:rPr>
      </w:pPr>
      <w:r w:rsidRPr="000176C4">
        <w:rPr>
          <w:rFonts w:ascii="Times" w:eastAsia="Times New Roman" w:hAnsi="Times" w:cs="Times"/>
          <w:color w:val="152949"/>
          <w:sz w:val="23"/>
          <w:szCs w:val="23"/>
        </w:rPr>
        <w:t>It will obtain the majority of the benefits of the activities of an SPE;</w:t>
      </w:r>
    </w:p>
    <w:p w:rsidR="000176C4" w:rsidRPr="000176C4" w:rsidRDefault="000176C4" w:rsidP="000176C4">
      <w:pPr>
        <w:numPr>
          <w:ilvl w:val="0"/>
          <w:numId w:val="24"/>
        </w:numPr>
        <w:spacing w:after="0" w:line="324" w:lineRule="atLeast"/>
        <w:ind w:left="32"/>
        <w:rPr>
          <w:rFonts w:ascii="Times" w:eastAsia="Times New Roman" w:hAnsi="Times" w:cs="Times"/>
          <w:color w:val="152949"/>
          <w:sz w:val="23"/>
          <w:szCs w:val="23"/>
        </w:rPr>
      </w:pPr>
      <w:r w:rsidRPr="000176C4">
        <w:rPr>
          <w:rFonts w:ascii="Times" w:eastAsia="Times New Roman" w:hAnsi="Times" w:cs="Times"/>
          <w:color w:val="152949"/>
          <w:sz w:val="23"/>
          <w:szCs w:val="23"/>
        </w:rPr>
        <w:t>It retains the majority of the residual ownership risks related to the assets in order to obtain the benefits from its activities;</w:t>
      </w:r>
    </w:p>
    <w:p w:rsidR="000176C4" w:rsidRPr="000176C4" w:rsidRDefault="000176C4" w:rsidP="000176C4">
      <w:pPr>
        <w:numPr>
          <w:ilvl w:val="0"/>
          <w:numId w:val="24"/>
        </w:numPr>
        <w:spacing w:after="0" w:line="324" w:lineRule="atLeast"/>
        <w:ind w:left="32"/>
        <w:rPr>
          <w:rFonts w:ascii="Times" w:eastAsia="Times New Roman" w:hAnsi="Times" w:cs="Times"/>
          <w:color w:val="152949"/>
          <w:sz w:val="23"/>
          <w:szCs w:val="23"/>
        </w:rPr>
      </w:pPr>
      <w:r w:rsidRPr="000176C4">
        <w:rPr>
          <w:rFonts w:ascii="Times" w:eastAsia="Times New Roman" w:hAnsi="Times" w:cs="Times"/>
          <w:color w:val="152949"/>
          <w:sz w:val="23"/>
          <w:szCs w:val="23"/>
        </w:rPr>
        <w:t>It has decision-making powers to obtain the majority of the benefits; and</w:t>
      </w:r>
    </w:p>
    <w:p w:rsidR="000176C4" w:rsidRPr="000176C4" w:rsidRDefault="000176C4" w:rsidP="000176C4">
      <w:pPr>
        <w:numPr>
          <w:ilvl w:val="0"/>
          <w:numId w:val="24"/>
        </w:numPr>
        <w:spacing w:after="0" w:line="324" w:lineRule="atLeast"/>
        <w:ind w:left="32"/>
        <w:rPr>
          <w:rFonts w:ascii="Times" w:eastAsia="Times New Roman" w:hAnsi="Times" w:cs="Times"/>
          <w:color w:val="152949"/>
          <w:sz w:val="23"/>
          <w:szCs w:val="23"/>
        </w:rPr>
      </w:pPr>
      <w:r w:rsidRPr="000176C4">
        <w:rPr>
          <w:rFonts w:ascii="Times" w:eastAsia="Times New Roman" w:hAnsi="Times" w:cs="Times"/>
          <w:color w:val="152949"/>
          <w:sz w:val="23"/>
          <w:szCs w:val="23"/>
        </w:rPr>
        <w:t>The activities of the SPE are being conducted on NIBC’s behalf according to NIBC’s specific business needs so that it obtains the benefits from the SPEs operations. Such an evaluation is necessarily subjective.</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Were the Group not to consolidate the assets, liabilities and the results of these consolidated SPEs, the net effect on the Balance Sheet would be a decrease in net assets of EUR 6.0 billion (2007: EUR 7.3 billion) and the net effect on the Income Statement in both 2008 and 2007 would be insignificant.</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07" w:lineRule="atLeast"/>
        <w:rPr>
          <w:rFonts w:ascii="Trebuchet MS" w:eastAsia="Times New Roman" w:hAnsi="Trebuchet MS" w:cs="Times New Roman"/>
          <w:b/>
          <w:bCs/>
          <w:color w:val="152949"/>
          <w:spacing w:val="5"/>
          <w:sz w:val="29"/>
          <w:szCs w:val="29"/>
        </w:rPr>
      </w:pPr>
      <w:r w:rsidRPr="000176C4">
        <w:rPr>
          <w:rFonts w:ascii="Trebuchet MS" w:eastAsia="Times New Roman" w:hAnsi="Trebuchet MS" w:cs="Times New Roman"/>
          <w:b/>
          <w:bCs/>
          <w:color w:val="152949"/>
          <w:spacing w:val="5"/>
          <w:sz w:val="29"/>
          <w:szCs w:val="29"/>
        </w:rPr>
        <w:t>De-recognition of assets and recognition of continuous involvement</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NIBC executed transactions under their CMBS </w:t>
      </w:r>
      <w:proofErr w:type="spellStart"/>
      <w:r w:rsidRPr="000176C4">
        <w:rPr>
          <w:rFonts w:ascii="Times" w:eastAsia="Times New Roman" w:hAnsi="Times" w:cs="Times"/>
          <w:color w:val="152949"/>
          <w:sz w:val="23"/>
          <w:szCs w:val="23"/>
        </w:rPr>
        <w:t>programme</w:t>
      </w:r>
      <w:proofErr w:type="spellEnd"/>
      <w:r w:rsidRPr="000176C4">
        <w:rPr>
          <w:rFonts w:ascii="Times" w:eastAsia="Times New Roman" w:hAnsi="Times" w:cs="Times"/>
          <w:color w:val="152949"/>
          <w:sz w:val="23"/>
          <w:szCs w:val="23"/>
        </w:rPr>
        <w:t xml:space="preserve">. The purpose of this </w:t>
      </w:r>
      <w:proofErr w:type="spellStart"/>
      <w:r w:rsidRPr="000176C4">
        <w:rPr>
          <w:rFonts w:ascii="Times" w:eastAsia="Times New Roman" w:hAnsi="Times" w:cs="Times"/>
          <w:color w:val="152949"/>
          <w:sz w:val="23"/>
          <w:szCs w:val="23"/>
        </w:rPr>
        <w:t>programme</w:t>
      </w:r>
      <w:proofErr w:type="spellEnd"/>
      <w:r w:rsidRPr="000176C4">
        <w:rPr>
          <w:rFonts w:ascii="Times" w:eastAsia="Times New Roman" w:hAnsi="Times" w:cs="Times"/>
          <w:color w:val="152949"/>
          <w:sz w:val="23"/>
          <w:szCs w:val="23"/>
        </w:rPr>
        <w:t xml:space="preserve"> is to offer NIBC real estate clients access to the capital markets. NIBC established SPEs for the commercial backed securities </w:t>
      </w:r>
      <w:proofErr w:type="spellStart"/>
      <w:r w:rsidRPr="000176C4">
        <w:rPr>
          <w:rFonts w:ascii="Times" w:eastAsia="Times New Roman" w:hAnsi="Times" w:cs="Times"/>
          <w:color w:val="152949"/>
          <w:sz w:val="23"/>
          <w:szCs w:val="23"/>
        </w:rPr>
        <w:t>programme</w:t>
      </w:r>
      <w:proofErr w:type="spellEnd"/>
      <w:r w:rsidRPr="000176C4">
        <w:rPr>
          <w:rFonts w:ascii="Times" w:eastAsia="Times New Roman" w:hAnsi="Times" w:cs="Times"/>
          <w:color w:val="152949"/>
          <w:sz w:val="23"/>
          <w:szCs w:val="23"/>
        </w:rPr>
        <w:t xml:space="preserve">. All loans transferred to the SPEs are </w:t>
      </w:r>
      <w:proofErr w:type="spellStart"/>
      <w:r w:rsidRPr="000176C4">
        <w:rPr>
          <w:rFonts w:ascii="Times" w:eastAsia="Times New Roman" w:hAnsi="Times" w:cs="Times"/>
          <w:color w:val="152949"/>
          <w:sz w:val="23"/>
          <w:szCs w:val="23"/>
        </w:rPr>
        <w:t>collateralised</w:t>
      </w:r>
      <w:proofErr w:type="spellEnd"/>
      <w:r w:rsidRPr="000176C4">
        <w:rPr>
          <w:rFonts w:ascii="Times" w:eastAsia="Times New Roman" w:hAnsi="Times" w:cs="Times"/>
          <w:color w:val="152949"/>
          <w:sz w:val="23"/>
          <w:szCs w:val="23"/>
        </w:rPr>
        <w:t xml:space="preserve"> by commercial real estate properties. The SPEs obtain funding from the capital markets by issuing CMBS notes. The commercial real estate loans, included in the commercial mortgage backed securities </w:t>
      </w:r>
      <w:proofErr w:type="spellStart"/>
      <w:r w:rsidRPr="000176C4">
        <w:rPr>
          <w:rFonts w:ascii="Times" w:eastAsia="Times New Roman" w:hAnsi="Times" w:cs="Times"/>
          <w:color w:val="152949"/>
          <w:sz w:val="23"/>
          <w:szCs w:val="23"/>
        </w:rPr>
        <w:t>programme</w:t>
      </w:r>
      <w:proofErr w:type="spellEnd"/>
      <w:r w:rsidRPr="000176C4">
        <w:rPr>
          <w:rFonts w:ascii="Times" w:eastAsia="Times New Roman" w:hAnsi="Times" w:cs="Times"/>
          <w:color w:val="152949"/>
          <w:sz w:val="23"/>
          <w:szCs w:val="23"/>
        </w:rPr>
        <w:t xml:space="preserve">, were originated by NIBC or by other banks prior to the </w:t>
      </w:r>
      <w:proofErr w:type="spellStart"/>
      <w:r w:rsidRPr="000176C4">
        <w:rPr>
          <w:rFonts w:ascii="Times" w:eastAsia="Times New Roman" w:hAnsi="Times" w:cs="Times"/>
          <w:color w:val="152949"/>
          <w:sz w:val="23"/>
          <w:szCs w:val="23"/>
        </w:rPr>
        <w:t>securitisation</w:t>
      </w:r>
      <w:proofErr w:type="spellEnd"/>
      <w:r w:rsidRPr="000176C4">
        <w:rPr>
          <w:rFonts w:ascii="Times" w:eastAsia="Times New Roman" w:hAnsi="Times" w:cs="Times"/>
          <w:color w:val="152949"/>
          <w:sz w:val="23"/>
          <w:szCs w:val="23"/>
        </w:rPr>
        <w:t>. The total amount of commercial loans originated by NIBC prior to the </w:t>
      </w:r>
      <w:proofErr w:type="spellStart"/>
      <w:r w:rsidRPr="000176C4">
        <w:rPr>
          <w:rFonts w:ascii="Times" w:eastAsia="Times New Roman" w:hAnsi="Times" w:cs="Times"/>
          <w:color w:val="152949"/>
          <w:sz w:val="23"/>
          <w:szCs w:val="23"/>
        </w:rPr>
        <w:t>securitisation</w:t>
      </w:r>
      <w:proofErr w:type="spellEnd"/>
      <w:r w:rsidRPr="000176C4">
        <w:rPr>
          <w:rFonts w:ascii="Times" w:eastAsia="Times New Roman" w:hAnsi="Times" w:cs="Times"/>
          <w:color w:val="152949"/>
          <w:sz w:val="23"/>
          <w:szCs w:val="23"/>
        </w:rPr>
        <w:t xml:space="preserve"> and that was subsequently transferred to these SPEs amounts to EUR 1,288 million. The notional amount at 31 December 2008 was EUR 1,233 million (2007: EUR 1,243 million). The loans that continued to be </w:t>
      </w:r>
      <w:proofErr w:type="spellStart"/>
      <w:r w:rsidRPr="000176C4">
        <w:rPr>
          <w:rFonts w:ascii="Times" w:eastAsia="Times New Roman" w:hAnsi="Times" w:cs="Times"/>
          <w:color w:val="152949"/>
          <w:sz w:val="23"/>
          <w:szCs w:val="23"/>
        </w:rPr>
        <w:t>recognised</w:t>
      </w:r>
      <w:proofErr w:type="spellEnd"/>
      <w:r w:rsidRPr="000176C4">
        <w:rPr>
          <w:rFonts w:ascii="Times" w:eastAsia="Times New Roman" w:hAnsi="Times" w:cs="Times"/>
          <w:color w:val="152949"/>
          <w:sz w:val="23"/>
          <w:szCs w:val="23"/>
        </w:rPr>
        <w:t xml:space="preserve"> to the extent of NIBC’s continuing involvement amounted to EUR 701 million at 31 December 2008 (2007: EUR 710 million). The reason for </w:t>
      </w:r>
      <w:proofErr w:type="spellStart"/>
      <w:r w:rsidRPr="000176C4">
        <w:rPr>
          <w:rFonts w:ascii="Times" w:eastAsia="Times New Roman" w:hAnsi="Times" w:cs="Times"/>
          <w:color w:val="152949"/>
          <w:sz w:val="23"/>
          <w:szCs w:val="23"/>
        </w:rPr>
        <w:t>recognising</w:t>
      </w:r>
      <w:proofErr w:type="spellEnd"/>
      <w:r w:rsidRPr="000176C4">
        <w:rPr>
          <w:rFonts w:ascii="Times" w:eastAsia="Times New Roman" w:hAnsi="Times" w:cs="Times"/>
          <w:color w:val="152949"/>
          <w:sz w:val="23"/>
          <w:szCs w:val="23"/>
        </w:rPr>
        <w:t xml:space="preserve"> this continuing involvement is that based on a risks and rewards analysis, NIBC did not transfer substantially all risks and rewards associated with the </w:t>
      </w:r>
      <w:proofErr w:type="spellStart"/>
      <w:r w:rsidRPr="000176C4">
        <w:rPr>
          <w:rFonts w:ascii="Times" w:eastAsia="Times New Roman" w:hAnsi="Times" w:cs="Times"/>
          <w:color w:val="152949"/>
          <w:sz w:val="23"/>
          <w:szCs w:val="23"/>
        </w:rPr>
        <w:t>securitised</w:t>
      </w:r>
      <w:proofErr w:type="spellEnd"/>
      <w:r w:rsidRPr="000176C4">
        <w:rPr>
          <w:rFonts w:ascii="Times" w:eastAsia="Times New Roman" w:hAnsi="Times" w:cs="Times"/>
          <w:color w:val="152949"/>
          <w:sz w:val="23"/>
          <w:szCs w:val="23"/>
        </w:rPr>
        <w:t xml:space="preserve"> assets. The continuing involvement is reflected in the Balance Sheet as EUR 630 million (2007: EUR 638 million) in </w:t>
      </w:r>
      <w:proofErr w:type="spellStart"/>
      <w:r w:rsidRPr="000176C4">
        <w:rPr>
          <w:rFonts w:ascii="Times" w:eastAsia="Times New Roman" w:hAnsi="Times" w:cs="Times"/>
          <w:color w:val="152949"/>
          <w:sz w:val="23"/>
          <w:szCs w:val="23"/>
        </w:rPr>
        <w:t>Securitised</w:t>
      </w:r>
      <w:proofErr w:type="spellEnd"/>
      <w:r w:rsidRPr="000176C4">
        <w:rPr>
          <w:rFonts w:ascii="Times" w:eastAsia="Times New Roman" w:hAnsi="Times" w:cs="Times"/>
          <w:color w:val="152949"/>
          <w:sz w:val="23"/>
          <w:szCs w:val="23"/>
        </w:rPr>
        <w:t xml:space="preserve"> loans valued at </w:t>
      </w:r>
      <w:proofErr w:type="spellStart"/>
      <w:r w:rsidRPr="000176C4">
        <w:rPr>
          <w:rFonts w:ascii="Times" w:eastAsia="Times New Roman" w:hAnsi="Times" w:cs="Times"/>
          <w:color w:val="152949"/>
          <w:sz w:val="23"/>
          <w:szCs w:val="23"/>
        </w:rPr>
        <w:t>Amortised</w:t>
      </w:r>
      <w:proofErr w:type="spellEnd"/>
      <w:r w:rsidRPr="000176C4">
        <w:rPr>
          <w:rFonts w:ascii="Times" w:eastAsia="Times New Roman" w:hAnsi="Times" w:cs="Times"/>
          <w:color w:val="152949"/>
          <w:sz w:val="23"/>
          <w:szCs w:val="23"/>
        </w:rPr>
        <w:t xml:space="preserve"> Cost and with a corresponding amount in Debt securities in issue related to </w:t>
      </w:r>
      <w:proofErr w:type="spellStart"/>
      <w:r w:rsidRPr="000176C4">
        <w:rPr>
          <w:rFonts w:ascii="Times" w:eastAsia="Times New Roman" w:hAnsi="Times" w:cs="Times"/>
          <w:color w:val="152949"/>
          <w:sz w:val="23"/>
          <w:szCs w:val="23"/>
        </w:rPr>
        <w:t>Securitised</w:t>
      </w:r>
      <w:proofErr w:type="spellEnd"/>
      <w:r w:rsidRPr="000176C4">
        <w:rPr>
          <w:rFonts w:ascii="Times" w:eastAsia="Times New Roman" w:hAnsi="Times" w:cs="Times"/>
          <w:color w:val="152949"/>
          <w:sz w:val="23"/>
          <w:szCs w:val="23"/>
        </w:rPr>
        <w:t xml:space="preserve"> mortgages and Loans, EUR 64 million (2007: EUR 64 million) in Loans at Fair Value through Profit or Loss and with a </w:t>
      </w:r>
      <w:r w:rsidRPr="000176C4">
        <w:rPr>
          <w:rFonts w:ascii="Times" w:eastAsia="Times New Roman" w:hAnsi="Times" w:cs="Times"/>
          <w:color w:val="152949"/>
          <w:sz w:val="23"/>
          <w:szCs w:val="23"/>
        </w:rPr>
        <w:lastRenderedPageBreak/>
        <w:t xml:space="preserve">corresponding amount in Debt securities in issue related to </w:t>
      </w:r>
      <w:proofErr w:type="spellStart"/>
      <w:r w:rsidRPr="000176C4">
        <w:rPr>
          <w:rFonts w:ascii="Times" w:eastAsia="Times New Roman" w:hAnsi="Times" w:cs="Times"/>
          <w:color w:val="152949"/>
          <w:sz w:val="23"/>
          <w:szCs w:val="23"/>
        </w:rPr>
        <w:t>securitised</w:t>
      </w:r>
      <w:proofErr w:type="spellEnd"/>
      <w:r w:rsidRPr="000176C4">
        <w:rPr>
          <w:rFonts w:ascii="Times" w:eastAsia="Times New Roman" w:hAnsi="Times" w:cs="Times"/>
          <w:color w:val="152949"/>
          <w:sz w:val="23"/>
          <w:szCs w:val="23"/>
        </w:rPr>
        <w:t xml:space="preserve"> mortgages and Loans and EUR 7 million (2007: EUR 8 million) in Debt investments at Fair Value through Profit or Loss which concerns the fair value of NIBC’s investment in certain CMBS notes.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421" w:lineRule="atLeast"/>
        <w:rPr>
          <w:rFonts w:ascii="Trebuchet MS" w:eastAsia="Times New Roman" w:hAnsi="Trebuchet MS" w:cs="Times New Roman"/>
          <w:color w:val="022749"/>
          <w:sz w:val="36"/>
          <w:szCs w:val="36"/>
        </w:rPr>
      </w:pPr>
      <w:r w:rsidRPr="000176C4">
        <w:rPr>
          <w:rFonts w:ascii="Trebuchet MS" w:eastAsia="Times New Roman" w:hAnsi="Trebuchet MS" w:cs="Times New Roman"/>
          <w:color w:val="022749"/>
          <w:sz w:val="36"/>
          <w:szCs w:val="36"/>
        </w:rPr>
        <w:t>Pension</w:t>
      </w:r>
      <w:r w:rsidRPr="000176C4">
        <w:rPr>
          <w:rFonts w:ascii="Trebuchet MS" w:eastAsia="Times New Roman" w:hAnsi="Trebuchet MS" w:cs="Times New Roman"/>
          <w:color w:val="022749"/>
          <w:sz w:val="36"/>
        </w:rPr>
        <w:t> </w:t>
      </w:r>
      <w:r w:rsidRPr="000176C4">
        <w:rPr>
          <w:rFonts w:ascii="Trebuchet MS" w:eastAsia="Times New Roman" w:hAnsi="Trebuchet MS" w:cs="Times New Roman"/>
          <w:color w:val="48A4D4"/>
          <w:sz w:val="36"/>
        </w:rPr>
        <w:t>benefits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The present value of pension obligations depends on a number of factors that are determined on an actuarial basis using a number of assumptions. The assumptions used in determining the net cost (income) of pensions include the discount rate, the expected return on plan assets, future salary increases, future inflation and future pension increases. Any changes in these assumptions will impact the carrying amount of pension obligations.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The Group determines the appropriate discount rate at the end of each year. This is the interest rate that should be used to determine the present value of estimated future cash outflows expected to be required to settle pension obligations. In determining the appropriate discount rate, the Group considers the interest rates of high-quality corporate bonds that are denominated in the currency in which the benefits will be paid, and that have terms to maturity approximating the terms of the related pension liability.</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Other key assumptions for pension obligations are based in part on current market conditions. Additional information is disclosed in note 43.</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Were the discount rate used to differ by 10% from management’s estimates, the carrying amount of pension obligations would be an estimated EUR 12.9 million (2007: EUR 14 million) lower or EUR 14.2 million (2007: EUR 16 million) higher. The service cost would be EUR 0.4 million (2007: EUR 0.7 million) lower or EUR 0.4 million (2007: EUR 0.8 million) higher.</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421" w:lineRule="atLeast"/>
        <w:rPr>
          <w:rFonts w:ascii="Trebuchet MS" w:eastAsia="Times New Roman" w:hAnsi="Trebuchet MS" w:cs="Times New Roman"/>
          <w:color w:val="022749"/>
          <w:sz w:val="36"/>
          <w:szCs w:val="36"/>
        </w:rPr>
      </w:pPr>
      <w:r w:rsidRPr="000176C4">
        <w:rPr>
          <w:rFonts w:ascii="Trebuchet MS" w:eastAsia="Times New Roman" w:hAnsi="Trebuchet MS" w:cs="Times New Roman"/>
          <w:color w:val="022749"/>
          <w:sz w:val="36"/>
          <w:szCs w:val="36"/>
        </w:rPr>
        <w:t>Income</w:t>
      </w:r>
      <w:r w:rsidRPr="000176C4">
        <w:rPr>
          <w:rFonts w:ascii="Trebuchet MS" w:eastAsia="Times New Roman" w:hAnsi="Trebuchet MS" w:cs="Times New Roman"/>
          <w:color w:val="022749"/>
          <w:sz w:val="36"/>
        </w:rPr>
        <w:t> </w:t>
      </w:r>
      <w:r w:rsidRPr="000176C4">
        <w:rPr>
          <w:rFonts w:ascii="Trebuchet MS" w:eastAsia="Times New Roman" w:hAnsi="Trebuchet MS" w:cs="Times New Roman"/>
          <w:color w:val="48A4D4"/>
          <w:sz w:val="36"/>
        </w:rPr>
        <w:t>taxes</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w:t>
      </w:r>
    </w:p>
    <w:p w:rsidR="000176C4" w:rsidRPr="000176C4" w:rsidRDefault="000176C4" w:rsidP="000176C4">
      <w:pPr>
        <w:spacing w:after="0" w:line="324" w:lineRule="atLeast"/>
        <w:rPr>
          <w:rFonts w:ascii="Times" w:eastAsia="Times New Roman" w:hAnsi="Times" w:cs="Times"/>
          <w:color w:val="152949"/>
          <w:sz w:val="23"/>
          <w:szCs w:val="23"/>
        </w:rPr>
      </w:pPr>
      <w:r w:rsidRPr="000176C4">
        <w:rPr>
          <w:rFonts w:ascii="Times" w:eastAsia="Times New Roman" w:hAnsi="Times" w:cs="Times"/>
          <w:color w:val="152949"/>
          <w:sz w:val="23"/>
          <w:szCs w:val="23"/>
        </w:rPr>
        <w:t xml:space="preserve">NIBC is subject to income taxes in a number of tax jurisdictions. NIBC makes estimates in determining its worldwide provision for income taxes, and files its tax returns after the </w:t>
      </w:r>
      <w:proofErr w:type="spellStart"/>
      <w:r w:rsidRPr="000176C4">
        <w:rPr>
          <w:rFonts w:ascii="Times" w:eastAsia="Times New Roman" w:hAnsi="Times" w:cs="Times"/>
          <w:color w:val="152949"/>
          <w:sz w:val="23"/>
          <w:szCs w:val="23"/>
        </w:rPr>
        <w:t>finalisation</w:t>
      </w:r>
      <w:proofErr w:type="spellEnd"/>
      <w:r w:rsidRPr="000176C4">
        <w:rPr>
          <w:rFonts w:ascii="Times" w:eastAsia="Times New Roman" w:hAnsi="Times" w:cs="Times"/>
          <w:color w:val="152949"/>
          <w:sz w:val="23"/>
          <w:szCs w:val="23"/>
        </w:rPr>
        <w:t xml:space="preserve"> of its Financial Statements. The ultimate tax determination by tax authorities for certain transactions arising in the ordinary course of business may remain uncertain for several years after their occurrence. NIBC </w:t>
      </w:r>
      <w:proofErr w:type="spellStart"/>
      <w:r w:rsidRPr="000176C4">
        <w:rPr>
          <w:rFonts w:ascii="Times" w:eastAsia="Times New Roman" w:hAnsi="Times" w:cs="Times"/>
          <w:color w:val="152949"/>
          <w:sz w:val="23"/>
          <w:szCs w:val="23"/>
        </w:rPr>
        <w:t>recognises</w:t>
      </w:r>
      <w:proofErr w:type="spellEnd"/>
      <w:r w:rsidRPr="000176C4">
        <w:rPr>
          <w:rFonts w:ascii="Times" w:eastAsia="Times New Roman" w:hAnsi="Times" w:cs="Times"/>
          <w:color w:val="152949"/>
          <w:sz w:val="23"/>
          <w:szCs w:val="23"/>
        </w:rPr>
        <w:t xml:space="preserve"> assets and or liabilities for taxation when it is probable that the relevant taxation authority will require NIBC to receive and or pay taxation. Where the final outcome of such determination is different from the amounts that were initially estimated and recorded, these </w:t>
      </w:r>
      <w:r w:rsidRPr="000176C4">
        <w:rPr>
          <w:rFonts w:ascii="Times" w:eastAsia="Times New Roman" w:hAnsi="Times" w:cs="Times"/>
          <w:color w:val="152949"/>
          <w:sz w:val="23"/>
          <w:szCs w:val="23"/>
        </w:rPr>
        <w:lastRenderedPageBreak/>
        <w:t>differences will impact the income tax expenses or deferred tax position in the period in which the determination is made.</w:t>
      </w:r>
    </w:p>
    <w:p w:rsidR="00E92FD7" w:rsidRDefault="00E92FD7"/>
    <w:sectPr w:rsidR="00E92FD7" w:rsidSect="0007269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47D01"/>
    <w:multiLevelType w:val="multilevel"/>
    <w:tmpl w:val="DAE0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D55F2C"/>
    <w:multiLevelType w:val="multilevel"/>
    <w:tmpl w:val="D4BA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EB41A2"/>
    <w:multiLevelType w:val="multilevel"/>
    <w:tmpl w:val="60341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4251CE"/>
    <w:multiLevelType w:val="multilevel"/>
    <w:tmpl w:val="0472E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271DDA"/>
    <w:multiLevelType w:val="multilevel"/>
    <w:tmpl w:val="2092D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644385"/>
    <w:multiLevelType w:val="multilevel"/>
    <w:tmpl w:val="EFC63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BA454B"/>
    <w:multiLevelType w:val="multilevel"/>
    <w:tmpl w:val="2AEE4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875D2A"/>
    <w:multiLevelType w:val="multilevel"/>
    <w:tmpl w:val="AC747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E67681B"/>
    <w:multiLevelType w:val="multilevel"/>
    <w:tmpl w:val="2D86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8953C9"/>
    <w:multiLevelType w:val="multilevel"/>
    <w:tmpl w:val="1540B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B334AD"/>
    <w:multiLevelType w:val="multilevel"/>
    <w:tmpl w:val="100E3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7C66888"/>
    <w:multiLevelType w:val="multilevel"/>
    <w:tmpl w:val="0B16C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3E0769"/>
    <w:multiLevelType w:val="multilevel"/>
    <w:tmpl w:val="FFBEE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F42CE1"/>
    <w:multiLevelType w:val="multilevel"/>
    <w:tmpl w:val="E2881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71B09AA"/>
    <w:multiLevelType w:val="multilevel"/>
    <w:tmpl w:val="CF5EE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9A2EB2"/>
    <w:multiLevelType w:val="multilevel"/>
    <w:tmpl w:val="536E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AA6D4D"/>
    <w:multiLevelType w:val="multilevel"/>
    <w:tmpl w:val="C6900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AB7D04"/>
    <w:multiLevelType w:val="multilevel"/>
    <w:tmpl w:val="8FFC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3E17C7B"/>
    <w:multiLevelType w:val="multilevel"/>
    <w:tmpl w:val="7C48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144648"/>
    <w:multiLevelType w:val="multilevel"/>
    <w:tmpl w:val="D55E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28449D"/>
    <w:multiLevelType w:val="multilevel"/>
    <w:tmpl w:val="0FBC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7929A9"/>
    <w:multiLevelType w:val="multilevel"/>
    <w:tmpl w:val="080E5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A9C7FE1"/>
    <w:multiLevelType w:val="multilevel"/>
    <w:tmpl w:val="43BE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F77561C"/>
    <w:multiLevelType w:val="multilevel"/>
    <w:tmpl w:val="77DA8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6"/>
  </w:num>
  <w:num w:numId="4">
    <w:abstractNumId w:val="0"/>
  </w:num>
  <w:num w:numId="5">
    <w:abstractNumId w:val="15"/>
  </w:num>
  <w:num w:numId="6">
    <w:abstractNumId w:val="20"/>
  </w:num>
  <w:num w:numId="7">
    <w:abstractNumId w:val="16"/>
  </w:num>
  <w:num w:numId="8">
    <w:abstractNumId w:val="21"/>
  </w:num>
  <w:num w:numId="9">
    <w:abstractNumId w:val="18"/>
  </w:num>
  <w:num w:numId="10">
    <w:abstractNumId w:val="13"/>
  </w:num>
  <w:num w:numId="11">
    <w:abstractNumId w:val="5"/>
  </w:num>
  <w:num w:numId="12">
    <w:abstractNumId w:val="11"/>
  </w:num>
  <w:num w:numId="13">
    <w:abstractNumId w:val="8"/>
  </w:num>
  <w:num w:numId="14">
    <w:abstractNumId w:val="2"/>
  </w:num>
  <w:num w:numId="15">
    <w:abstractNumId w:val="7"/>
    <w:lvlOverride w:ilvl="0">
      <w:lvl w:ilvl="0">
        <w:numFmt w:val="lowerLetter"/>
        <w:lvlText w:val="%1."/>
        <w:lvlJc w:val="left"/>
      </w:lvl>
    </w:lvlOverride>
  </w:num>
  <w:num w:numId="16">
    <w:abstractNumId w:val="22"/>
  </w:num>
  <w:num w:numId="17">
    <w:abstractNumId w:val="19"/>
  </w:num>
  <w:num w:numId="18">
    <w:abstractNumId w:val="1"/>
  </w:num>
  <w:num w:numId="19">
    <w:abstractNumId w:val="14"/>
  </w:num>
  <w:num w:numId="20">
    <w:abstractNumId w:val="17"/>
  </w:num>
  <w:num w:numId="21">
    <w:abstractNumId w:val="3"/>
  </w:num>
  <w:num w:numId="22">
    <w:abstractNumId w:val="23"/>
  </w:num>
  <w:num w:numId="23">
    <w:abstractNumId w:val="12"/>
  </w:num>
  <w:num w:numId="2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96475F"/>
    <w:rsid w:val="000176C4"/>
    <w:rsid w:val="0007269A"/>
    <w:rsid w:val="005001B3"/>
    <w:rsid w:val="00830699"/>
    <w:rsid w:val="00835F56"/>
    <w:rsid w:val="0096475F"/>
    <w:rsid w:val="009B4535"/>
    <w:rsid w:val="00B26755"/>
    <w:rsid w:val="00BA36C7"/>
    <w:rsid w:val="00C07F3E"/>
    <w:rsid w:val="00C33B0D"/>
    <w:rsid w:val="00DD0B42"/>
    <w:rsid w:val="00E92FD7"/>
    <w:rsid w:val="00EA27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1B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47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6475F"/>
  </w:style>
  <w:style w:type="character" w:styleId="Hyperlink">
    <w:name w:val="Hyperlink"/>
    <w:basedOn w:val="DefaultParagraphFont"/>
    <w:uiPriority w:val="99"/>
    <w:semiHidden/>
    <w:unhideWhenUsed/>
    <w:rsid w:val="0096475F"/>
    <w:rPr>
      <w:color w:val="0000FF"/>
      <w:u w:val="single"/>
    </w:rPr>
  </w:style>
  <w:style w:type="paragraph" w:customStyle="1" w:styleId="tekst-01-heading-02">
    <w:name w:val="tekst-01-heading-02"/>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2925-l-blauw">
    <w:name w:val="color-2925-l-blauw"/>
    <w:basedOn w:val="DefaultParagraphFont"/>
    <w:rsid w:val="00E92FD7"/>
  </w:style>
  <w:style w:type="paragraph" w:customStyle="1" w:styleId="tekst-03-body-01">
    <w:name w:val="tekst-03-body-01"/>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kst-01-heading-03">
    <w:name w:val="tekst-01-heading-03"/>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italic">
    <w:name w:val="body-italic"/>
    <w:basedOn w:val="DefaultParagraphFont"/>
    <w:rsid w:val="00E92FD7"/>
  </w:style>
  <w:style w:type="character" w:customStyle="1" w:styleId="body-bold">
    <w:name w:val="body-bold"/>
    <w:basedOn w:val="DefaultParagraphFont"/>
    <w:rsid w:val="00E92FD7"/>
  </w:style>
  <w:style w:type="paragraph" w:customStyle="1" w:styleId="a-table-a-top-title">
    <w:name w:val="a-table-a-top-title"/>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able-a-top-value">
    <w:name w:val="a-table-a-top-value"/>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able-a-top-cy">
    <w:name w:val="a-table-a-top-cy"/>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able-a-top-py">
    <w:name w:val="a-table-a-top-py"/>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able-a-top-lined-cy-right">
    <w:name w:val="a-table-a-top-lined-cy-right"/>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able-b-body">
    <w:name w:val="b-table-b-body"/>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currentyear-table-c-cy-body1">
    <w:name w:val="c-currentyear-table-c-cy-body1"/>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previousyear-table-c-py-body1">
    <w:name w:val="c-previousyear-table-c-py-body1"/>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currentyear-table-c-cy-body1-neg">
    <w:name w:val="c-currentyear-table-c-cy-body1-neg"/>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able-b-subtotal">
    <w:name w:val="b-table-b-subtotal"/>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currentyear-table-c-cy-subtotal">
    <w:name w:val="c-currentyear-table-c-cy-subtotal"/>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previousyear-table-c-py-subtotal">
    <w:name w:val="c-previousyear-table-c-py-subtotal"/>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previousyear-table-c-py-body1-neg">
    <w:name w:val="c-previousyear-table-c-py-body1-neg"/>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able-b-total">
    <w:name w:val="b-table-b-total"/>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currentyear-table-c-cy-total">
    <w:name w:val="c-currentyear-table-c-cy-total"/>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previousyear-table-c-py-total">
    <w:name w:val="c-previousyear-table-c-py-total"/>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currentyear-table-c-cy-total-neg">
    <w:name w:val="c-currentyear-table-c-cy-total-neg"/>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able-a-top-lined-py-right">
    <w:name w:val="a-table-a-top-lined-py-right"/>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able-b-kop2">
    <w:name w:val="b-table-b-kop2"/>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kst-01-heading-special">
    <w:name w:val="tekst-01-heading-special"/>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kst-01-subheading">
    <w:name w:val="tekst-01-subheading"/>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able-a-top-note">
    <w:name w:val="a-table-a-top-note"/>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previousyear-table-c-py-subtotal-neg">
    <w:name w:val="c-previousyear-table-c-py-subtotal-neg"/>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able-b-kop1">
    <w:name w:val="b-table-b-kop1"/>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able-b-body-indent">
    <w:name w:val="b-table-b-body-indent"/>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DefaultParagraphFont"/>
    <w:rsid w:val="00E92FD7"/>
  </w:style>
  <w:style w:type="paragraph" w:customStyle="1" w:styleId="c-previousyear-table-c-py-body2-neg">
    <w:name w:val="c-previousyear-table-c-py-body2-neg"/>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currentyear-table-c-cy-subtotal-neg">
    <w:name w:val="c-currentyear-table-c-cy-subtotal-neg"/>
    <w:basedOn w:val="Normal"/>
    <w:rsid w:val="00E92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kst-01-heading-01-in-frontendtoc">
    <w:name w:val="tekst-01-heading-01-in-frontendtoc"/>
    <w:basedOn w:val="Normal"/>
    <w:rsid w:val="00835F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kst-01-heading-04">
    <w:name w:val="tekst-01-heading-04"/>
    <w:basedOn w:val="Normal"/>
    <w:rsid w:val="00835F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able-b-kop3">
    <w:name w:val="b-table-b-kop3"/>
    <w:basedOn w:val="Normal"/>
    <w:rsid w:val="00835F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able-b-note-zonder-cijfers">
    <w:name w:val="b-table-b-note-zonder-cijfers"/>
    <w:basedOn w:val="Normal"/>
    <w:rsid w:val="00835F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regular">
    <w:name w:val="heading-regular"/>
    <w:basedOn w:val="DefaultParagraphFont"/>
    <w:rsid w:val="00835F56"/>
  </w:style>
  <w:style w:type="paragraph" w:customStyle="1" w:styleId="tekst-03-body-bullet-01-without-bullet">
    <w:name w:val="tekst-03-body-bullet-01-without-bullet"/>
    <w:basedOn w:val="Normal"/>
    <w:rsid w:val="00835F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9588348">
      <w:bodyDiv w:val="1"/>
      <w:marLeft w:val="0"/>
      <w:marRight w:val="0"/>
      <w:marTop w:val="0"/>
      <w:marBottom w:val="0"/>
      <w:divBdr>
        <w:top w:val="none" w:sz="0" w:space="0" w:color="auto"/>
        <w:left w:val="none" w:sz="0" w:space="0" w:color="auto"/>
        <w:bottom w:val="none" w:sz="0" w:space="0" w:color="auto"/>
        <w:right w:val="none" w:sz="0" w:space="0" w:color="auto"/>
      </w:divBdr>
    </w:div>
    <w:div w:id="168184339">
      <w:bodyDiv w:val="1"/>
      <w:marLeft w:val="0"/>
      <w:marRight w:val="0"/>
      <w:marTop w:val="0"/>
      <w:marBottom w:val="0"/>
      <w:divBdr>
        <w:top w:val="none" w:sz="0" w:space="0" w:color="auto"/>
        <w:left w:val="none" w:sz="0" w:space="0" w:color="auto"/>
        <w:bottom w:val="none" w:sz="0" w:space="0" w:color="auto"/>
        <w:right w:val="none" w:sz="0" w:space="0" w:color="auto"/>
      </w:divBdr>
    </w:div>
    <w:div w:id="336074901">
      <w:bodyDiv w:val="1"/>
      <w:marLeft w:val="0"/>
      <w:marRight w:val="0"/>
      <w:marTop w:val="0"/>
      <w:marBottom w:val="0"/>
      <w:divBdr>
        <w:top w:val="none" w:sz="0" w:space="0" w:color="auto"/>
        <w:left w:val="none" w:sz="0" w:space="0" w:color="auto"/>
        <w:bottom w:val="none" w:sz="0" w:space="0" w:color="auto"/>
        <w:right w:val="none" w:sz="0" w:space="0" w:color="auto"/>
      </w:divBdr>
    </w:div>
    <w:div w:id="549416390">
      <w:bodyDiv w:val="1"/>
      <w:marLeft w:val="0"/>
      <w:marRight w:val="0"/>
      <w:marTop w:val="0"/>
      <w:marBottom w:val="0"/>
      <w:divBdr>
        <w:top w:val="none" w:sz="0" w:space="0" w:color="auto"/>
        <w:left w:val="none" w:sz="0" w:space="0" w:color="auto"/>
        <w:bottom w:val="none" w:sz="0" w:space="0" w:color="auto"/>
        <w:right w:val="none" w:sz="0" w:space="0" w:color="auto"/>
      </w:divBdr>
    </w:div>
    <w:div w:id="1012299868">
      <w:bodyDiv w:val="1"/>
      <w:marLeft w:val="0"/>
      <w:marRight w:val="0"/>
      <w:marTop w:val="0"/>
      <w:marBottom w:val="0"/>
      <w:divBdr>
        <w:top w:val="none" w:sz="0" w:space="0" w:color="auto"/>
        <w:left w:val="none" w:sz="0" w:space="0" w:color="auto"/>
        <w:bottom w:val="none" w:sz="0" w:space="0" w:color="auto"/>
        <w:right w:val="none" w:sz="0" w:space="0" w:color="auto"/>
      </w:divBdr>
    </w:div>
    <w:div w:id="1338996609">
      <w:bodyDiv w:val="1"/>
      <w:marLeft w:val="0"/>
      <w:marRight w:val="0"/>
      <w:marTop w:val="0"/>
      <w:marBottom w:val="0"/>
      <w:divBdr>
        <w:top w:val="none" w:sz="0" w:space="0" w:color="auto"/>
        <w:left w:val="none" w:sz="0" w:space="0" w:color="auto"/>
        <w:bottom w:val="none" w:sz="0" w:space="0" w:color="auto"/>
        <w:right w:val="none" w:sz="0" w:space="0" w:color="auto"/>
      </w:divBdr>
      <w:divsChild>
        <w:div w:id="1051686571">
          <w:marLeft w:val="0"/>
          <w:marRight w:val="0"/>
          <w:marTop w:val="0"/>
          <w:marBottom w:val="0"/>
          <w:divBdr>
            <w:top w:val="none" w:sz="0" w:space="0" w:color="auto"/>
            <w:left w:val="none" w:sz="0" w:space="0" w:color="auto"/>
            <w:bottom w:val="none" w:sz="0" w:space="0" w:color="auto"/>
            <w:right w:val="none" w:sz="0" w:space="0" w:color="auto"/>
          </w:divBdr>
        </w:div>
        <w:div w:id="991907230">
          <w:marLeft w:val="0"/>
          <w:marRight w:val="0"/>
          <w:marTop w:val="0"/>
          <w:marBottom w:val="0"/>
          <w:divBdr>
            <w:top w:val="none" w:sz="0" w:space="0" w:color="auto"/>
            <w:left w:val="none" w:sz="0" w:space="0" w:color="auto"/>
            <w:bottom w:val="none" w:sz="0" w:space="0" w:color="auto"/>
            <w:right w:val="none" w:sz="0" w:space="0" w:color="auto"/>
          </w:divBdr>
        </w:div>
      </w:divsChild>
    </w:div>
    <w:div w:id="1429621948">
      <w:bodyDiv w:val="1"/>
      <w:marLeft w:val="0"/>
      <w:marRight w:val="0"/>
      <w:marTop w:val="0"/>
      <w:marBottom w:val="0"/>
      <w:divBdr>
        <w:top w:val="none" w:sz="0" w:space="0" w:color="auto"/>
        <w:left w:val="none" w:sz="0" w:space="0" w:color="auto"/>
        <w:bottom w:val="none" w:sz="0" w:space="0" w:color="auto"/>
        <w:right w:val="none" w:sz="0" w:space="0" w:color="auto"/>
      </w:divBdr>
    </w:div>
    <w:div w:id="1593201396">
      <w:bodyDiv w:val="1"/>
      <w:marLeft w:val="0"/>
      <w:marRight w:val="0"/>
      <w:marTop w:val="0"/>
      <w:marBottom w:val="0"/>
      <w:divBdr>
        <w:top w:val="none" w:sz="0" w:space="0" w:color="auto"/>
        <w:left w:val="none" w:sz="0" w:space="0" w:color="auto"/>
        <w:bottom w:val="none" w:sz="0" w:space="0" w:color="auto"/>
        <w:right w:val="none" w:sz="0" w:space="0" w:color="auto"/>
      </w:divBdr>
      <w:divsChild>
        <w:div w:id="1772167841">
          <w:marLeft w:val="0"/>
          <w:marRight w:val="0"/>
          <w:marTop w:val="0"/>
          <w:marBottom w:val="0"/>
          <w:divBdr>
            <w:top w:val="none" w:sz="0" w:space="0" w:color="auto"/>
            <w:left w:val="none" w:sz="0" w:space="0" w:color="auto"/>
            <w:bottom w:val="none" w:sz="0" w:space="0" w:color="auto"/>
            <w:right w:val="none" w:sz="0" w:space="0" w:color="auto"/>
          </w:divBdr>
        </w:div>
        <w:div w:id="1920098233">
          <w:marLeft w:val="0"/>
          <w:marRight w:val="0"/>
          <w:marTop w:val="0"/>
          <w:marBottom w:val="0"/>
          <w:divBdr>
            <w:top w:val="none" w:sz="0" w:space="0" w:color="auto"/>
            <w:left w:val="none" w:sz="0" w:space="0" w:color="auto"/>
            <w:bottom w:val="none" w:sz="0" w:space="0" w:color="auto"/>
            <w:right w:val="none" w:sz="0" w:space="0" w:color="auto"/>
          </w:divBdr>
        </w:div>
      </w:divsChild>
    </w:div>
    <w:div w:id="1832792816">
      <w:bodyDiv w:val="1"/>
      <w:marLeft w:val="0"/>
      <w:marRight w:val="0"/>
      <w:marTop w:val="0"/>
      <w:marBottom w:val="0"/>
      <w:divBdr>
        <w:top w:val="none" w:sz="0" w:space="0" w:color="auto"/>
        <w:left w:val="none" w:sz="0" w:space="0" w:color="auto"/>
        <w:bottom w:val="none" w:sz="0" w:space="0" w:color="auto"/>
        <w:right w:val="none" w:sz="0" w:space="0" w:color="auto"/>
      </w:divBdr>
    </w:div>
    <w:div w:id="2045056416">
      <w:bodyDiv w:val="1"/>
      <w:marLeft w:val="0"/>
      <w:marRight w:val="0"/>
      <w:marTop w:val="0"/>
      <w:marBottom w:val="0"/>
      <w:divBdr>
        <w:top w:val="none" w:sz="0" w:space="0" w:color="auto"/>
        <w:left w:val="none" w:sz="0" w:space="0" w:color="auto"/>
        <w:bottom w:val="none" w:sz="0" w:space="0" w:color="auto"/>
        <w:right w:val="none" w:sz="0" w:space="0" w:color="auto"/>
      </w:divBdr>
      <w:divsChild>
        <w:div w:id="1346130472">
          <w:marLeft w:val="0"/>
          <w:marRight w:val="0"/>
          <w:marTop w:val="0"/>
          <w:marBottom w:val="0"/>
          <w:divBdr>
            <w:top w:val="none" w:sz="0" w:space="0" w:color="auto"/>
            <w:left w:val="none" w:sz="0" w:space="0" w:color="auto"/>
            <w:bottom w:val="none" w:sz="0" w:space="0" w:color="auto"/>
            <w:right w:val="none" w:sz="0" w:space="0" w:color="auto"/>
          </w:divBdr>
        </w:div>
        <w:div w:id="1330215944">
          <w:marLeft w:val="0"/>
          <w:marRight w:val="0"/>
          <w:marTop w:val="0"/>
          <w:marBottom w:val="0"/>
          <w:divBdr>
            <w:top w:val="none" w:sz="0" w:space="0" w:color="auto"/>
            <w:left w:val="none" w:sz="0" w:space="0" w:color="auto"/>
            <w:bottom w:val="none" w:sz="0" w:space="0" w:color="auto"/>
            <w:right w:val="none" w:sz="0" w:space="0" w:color="auto"/>
          </w:divBdr>
        </w:div>
      </w:divsChild>
    </w:div>
    <w:div w:id="214076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nnualreport2008.nibc.com/annualreport/consolidated-financial-statements/notes/notes-to-the-consolidated-income-statement" TargetMode="External"/><Relationship Id="rId18" Type="http://schemas.openxmlformats.org/officeDocument/2006/relationships/hyperlink" Target="http://annualreport2008.nibc.com/annualreport/consolidated-financial-statements/notes/notes-to-the-consolidated-income-statement" TargetMode="External"/><Relationship Id="rId26" Type="http://schemas.openxmlformats.org/officeDocument/2006/relationships/hyperlink" Target="http://annualreport2008.nibc.com/annualreport/consolidated-financial-statements/notes/notes-to-the-consolidated-balance-sheet-assets" TargetMode="External"/><Relationship Id="rId39" Type="http://schemas.openxmlformats.org/officeDocument/2006/relationships/hyperlink" Target="http://annualreport2008.nibc.com/annualreport/consolidated-financial-statements/notes/notes-to-the-consolidated-balance-sheet-assets" TargetMode="External"/><Relationship Id="rId21" Type="http://schemas.openxmlformats.org/officeDocument/2006/relationships/hyperlink" Target="http://annualreport2008.nibc.com/annualreport/consolidated-financial-statements/notes/notes-to-the-consolidated-income-statement" TargetMode="External"/><Relationship Id="rId34" Type="http://schemas.openxmlformats.org/officeDocument/2006/relationships/hyperlink" Target="http://annualreport2008.nibc.com/annualreport/consolidated-financial-statements/notes/notes-to-the-consolidated-balance-sheet-assets" TargetMode="External"/><Relationship Id="rId42" Type="http://schemas.openxmlformats.org/officeDocument/2006/relationships/hyperlink" Target="http://annualreport2008.nibc.com/annualreport/consolidated-financial-statements/notes/notes-to-the-consolidated-balance-sheet-assets" TargetMode="External"/><Relationship Id="rId47" Type="http://schemas.openxmlformats.org/officeDocument/2006/relationships/hyperlink" Target="http://annualreport2008.nibc.com/annualreport/consolidated-financial-statements/notes/notes-to-the-consolidated-balance-sheet-liabilities" TargetMode="External"/><Relationship Id="rId50" Type="http://schemas.openxmlformats.org/officeDocument/2006/relationships/hyperlink" Target="http://annualreport2008.nibc.com/annualreport/consolidated-financial-statements/notes/notes-to-the-consolidated-balance-sheet-assets" TargetMode="External"/><Relationship Id="rId55" Type="http://schemas.openxmlformats.org/officeDocument/2006/relationships/hyperlink" Target="http://annualreport2008.nibc.com/annualreport/consolidated-financial-statements/notes/notes-to-the-consolidated-balance-sheet-liabilities" TargetMode="External"/><Relationship Id="rId7" Type="http://schemas.openxmlformats.org/officeDocument/2006/relationships/hyperlink" Target="http://annualreport2008.nibc.com/annualreport/consolidated-financial-statements/notes/notes-to-the-consolidated-income-statement" TargetMode="External"/><Relationship Id="rId12" Type="http://schemas.openxmlformats.org/officeDocument/2006/relationships/hyperlink" Target="http://annualreport2008.nibc.com/annualreport/consolidated-financial-statements/notes/notes-to-the-consolidated-balance-sheet-assets" TargetMode="External"/><Relationship Id="rId17" Type="http://schemas.openxmlformats.org/officeDocument/2006/relationships/hyperlink" Target="http://annualreport2008.nibc.com/annualreport/consolidated-financial-statements/notes/notes-to-the-consolidated-income-statement" TargetMode="External"/><Relationship Id="rId25" Type="http://schemas.openxmlformats.org/officeDocument/2006/relationships/hyperlink" Target="http://annualreport2008.nibc.com/annualreport/consolidated-financial-statements/notes/notes-to-the-consolidated-balance-sheet-assets" TargetMode="External"/><Relationship Id="rId33" Type="http://schemas.openxmlformats.org/officeDocument/2006/relationships/hyperlink" Target="http://annualreport2008.nibc.com/annualreport/consolidated-financial-statements/notes/notes-to-the-consolidated-balance-sheet-assets" TargetMode="External"/><Relationship Id="rId38" Type="http://schemas.openxmlformats.org/officeDocument/2006/relationships/hyperlink" Target="http://annualreport2008.nibc.com/annualreport/consolidated-financial-statements/notes/notes-to-the-consolidated-balance-sheet-assets" TargetMode="External"/><Relationship Id="rId46" Type="http://schemas.openxmlformats.org/officeDocument/2006/relationships/hyperlink" Target="http://annualreport2008.nibc.com/annualreport/consolidated-financial-statements/notes/notes-to-the-consolidated-balance-sheet-liabilities"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nnualreport2008.nibc.com/annualreport/consolidated-financial-statements/notes/notes-to-the-consolidated-income-statement" TargetMode="External"/><Relationship Id="rId20" Type="http://schemas.openxmlformats.org/officeDocument/2006/relationships/hyperlink" Target="http://annualreport2008.nibc.com/annualreport/consolidated-financial-statements/notes/notes-to-the-consolidated-balance-sheet-other" TargetMode="External"/><Relationship Id="rId29" Type="http://schemas.openxmlformats.org/officeDocument/2006/relationships/hyperlink" Target="http://annualreport2008.nibc.com/annualreport/consolidated-financial-statements/notes/notes-to-the-consolidated-balance-sheet-assets" TargetMode="External"/><Relationship Id="rId41" Type="http://schemas.openxmlformats.org/officeDocument/2006/relationships/hyperlink" Target="http://annualreport2008.nibc.com/annualreport/consolidated-financial-statements/notes/notes-to-the-consolidated-balance-sheet-assets" TargetMode="External"/><Relationship Id="rId54" Type="http://schemas.openxmlformats.org/officeDocument/2006/relationships/hyperlink" Target="http://annualreport2008.nibc.com/annualreport/consolidated-financial-statements/notes/notes-to-the-consolidated-balance-sheet-liabilities" TargetMode="External"/><Relationship Id="rId1" Type="http://schemas.openxmlformats.org/officeDocument/2006/relationships/numbering" Target="numbering.xml"/><Relationship Id="rId6" Type="http://schemas.openxmlformats.org/officeDocument/2006/relationships/hyperlink" Target="http://annualreport2008.nibc.com/annualreport/consolidated-financial-statements/notes/notes-to-the-consolidated-income-statement" TargetMode="External"/><Relationship Id="rId11" Type="http://schemas.openxmlformats.org/officeDocument/2006/relationships/hyperlink" Target="http://annualreport2008.nibc.com/annualreport/consolidated-financial-statements/notes/notes-to-the-consolidated-income-statement" TargetMode="External"/><Relationship Id="rId24" Type="http://schemas.openxmlformats.org/officeDocument/2006/relationships/hyperlink" Target="http://annualreport2008.nibc.com/annualreport/consolidated-financial-statements/notes/notes-to-the-consolidated-balance-sheet-assets" TargetMode="External"/><Relationship Id="rId32" Type="http://schemas.openxmlformats.org/officeDocument/2006/relationships/hyperlink" Target="http://annualreport2008.nibc.com/annualreport/consolidated-financial-statements/notes/notes-to-the-consolidated-balance-sheet-assets" TargetMode="External"/><Relationship Id="rId37" Type="http://schemas.openxmlformats.org/officeDocument/2006/relationships/hyperlink" Target="http://annualreport2008.nibc.com/annualreport/consolidated-financial-statements/notes/notes-to-the-consolidated-balance-sheet-assets" TargetMode="External"/><Relationship Id="rId40" Type="http://schemas.openxmlformats.org/officeDocument/2006/relationships/hyperlink" Target="http://annualreport2008.nibc.com/annualreport/consolidated-financial-statements/notes/notes-to-the-consolidated-balance-sheet-assets" TargetMode="External"/><Relationship Id="rId45" Type="http://schemas.openxmlformats.org/officeDocument/2006/relationships/hyperlink" Target="http://annualreport2008.nibc.com/annualreport/consolidated-financial-statements/notes/notes-to-the-consolidated-balance-sheet-liabilities" TargetMode="External"/><Relationship Id="rId53" Type="http://schemas.openxmlformats.org/officeDocument/2006/relationships/hyperlink" Target="http://annualreport2008.nibc.com/annualreport/consolidated-financial-statements/notes/notes-to-the-consolidated-balance-sheet-assets" TargetMode="External"/><Relationship Id="rId58" Type="http://schemas.openxmlformats.org/officeDocument/2006/relationships/hyperlink" Target="http://annualreport2008.nibc.com/annualreport/consolidated-financial-statements/notes/notes-to-the-consolidated-balance-sheet-liabilities" TargetMode="External"/><Relationship Id="rId5" Type="http://schemas.openxmlformats.org/officeDocument/2006/relationships/hyperlink" Target="http://annualreport2008.nibc.com/annualreport/consolidated-financial-statements/notes/notes-to-the-consolidated-income-statement" TargetMode="External"/><Relationship Id="rId15" Type="http://schemas.openxmlformats.org/officeDocument/2006/relationships/hyperlink" Target="http://annualreport2008.nibc.com/annualreport/consolidated-financial-statements/notes/notes-to-the-consolidated-income-statement" TargetMode="External"/><Relationship Id="rId23" Type="http://schemas.openxmlformats.org/officeDocument/2006/relationships/hyperlink" Target="http://annualreport2008.nibc.com/annualreport/consolidated-financial-statements/notes/notes-to-the-consolidated-balance-sheet-assets" TargetMode="External"/><Relationship Id="rId28" Type="http://schemas.openxmlformats.org/officeDocument/2006/relationships/hyperlink" Target="http://annualreport2008.nibc.com/annualreport/consolidated-financial-statements/notes/notes-to-the-consolidated-balance-sheet-assets" TargetMode="External"/><Relationship Id="rId36" Type="http://schemas.openxmlformats.org/officeDocument/2006/relationships/hyperlink" Target="http://annualreport2008.nibc.com/annualreport/consolidated-financial-statements/notes/notes-to-the-consolidated-balance-sheet-assets" TargetMode="External"/><Relationship Id="rId49" Type="http://schemas.openxmlformats.org/officeDocument/2006/relationships/hyperlink" Target="http://annualreport2008.nibc.com/annualreport/consolidated-financial-statements/notes/notes-to-the-consolidated-balance-sheet-liabilities" TargetMode="External"/><Relationship Id="rId57" Type="http://schemas.openxmlformats.org/officeDocument/2006/relationships/hyperlink" Target="http://annualreport2008.nibc.com/annualreport/consolidated-financial-statements/notes/notes-to-the-consolidated-balance-sheet-liabilities" TargetMode="External"/><Relationship Id="rId10" Type="http://schemas.openxmlformats.org/officeDocument/2006/relationships/hyperlink" Target="http://annualreport2008.nibc.com/annualreport/consolidated-financial-statements/notes/notes-to-the-consolidated-income-statement" TargetMode="External"/><Relationship Id="rId19" Type="http://schemas.openxmlformats.org/officeDocument/2006/relationships/hyperlink" Target="http://annualreport2008.nibc.com/annualreport/consolidated-financial-statements/notes/notes-to-the-consolidated-income-statement" TargetMode="External"/><Relationship Id="rId31" Type="http://schemas.openxmlformats.org/officeDocument/2006/relationships/hyperlink" Target="http://annualreport2008.nibc.com/annualreport/consolidated-financial-statements/notes/notes-to-the-consolidated-balance-sheet-assets" TargetMode="External"/><Relationship Id="rId44" Type="http://schemas.openxmlformats.org/officeDocument/2006/relationships/hyperlink" Target="http://annualreport2008.nibc.com/annualreport/consolidated-financial-statements/notes/notes-to-the-consolidated-balance-sheet-liabilities" TargetMode="External"/><Relationship Id="rId52" Type="http://schemas.openxmlformats.org/officeDocument/2006/relationships/hyperlink" Target="http://annualreport2008.nibc.com/annualreport/consolidated-financial-statements/notes/notes-to-the-consolidated-balance-sheet-liabilities"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nnualreport2008.nibc.com/annualreport/consolidated-financial-statements/notes/notes-to-the-consolidated-income-statement" TargetMode="External"/><Relationship Id="rId14" Type="http://schemas.openxmlformats.org/officeDocument/2006/relationships/hyperlink" Target="http://annualreport2008.nibc.com/annualreport/consolidated-financial-statements/notes/notes-to-the-consolidated-income-statement" TargetMode="External"/><Relationship Id="rId22" Type="http://schemas.openxmlformats.org/officeDocument/2006/relationships/hyperlink" Target="http://annualreport2008.nibc.com/annualreport/consolidated-financial-statements/notes/notes-to-the-consolidated-balance-sheet-assets" TargetMode="External"/><Relationship Id="rId27" Type="http://schemas.openxmlformats.org/officeDocument/2006/relationships/hyperlink" Target="http://annualreport2008.nibc.com/annualreport/consolidated-financial-statements/notes/notes-to-the-consolidated-balance-sheet-assets" TargetMode="External"/><Relationship Id="rId30" Type="http://schemas.openxmlformats.org/officeDocument/2006/relationships/hyperlink" Target="http://annualreport2008.nibc.com/annualreport/consolidated-financial-statements/notes/notes-to-the-consolidated-balance-sheet-assets" TargetMode="External"/><Relationship Id="rId35" Type="http://schemas.openxmlformats.org/officeDocument/2006/relationships/hyperlink" Target="http://annualreport2008.nibc.com/annualreport/consolidated-financial-statements/notes/notes-to-the-consolidated-balance-sheet-assets" TargetMode="External"/><Relationship Id="rId43" Type="http://schemas.openxmlformats.org/officeDocument/2006/relationships/hyperlink" Target="http://annualreport2008.nibc.com/annualreport/consolidated-financial-statements/notes/notes-to-the-consolidated-balance-sheet-assets" TargetMode="External"/><Relationship Id="rId48" Type="http://schemas.openxmlformats.org/officeDocument/2006/relationships/hyperlink" Target="http://annualreport2008.nibc.com/annualreport/consolidated-financial-statements/notes/notes-to-the-consolidated-balance-sheet-liabilities" TargetMode="External"/><Relationship Id="rId56" Type="http://schemas.openxmlformats.org/officeDocument/2006/relationships/hyperlink" Target="http://annualreport2008.nibc.com/annualreport/consolidated-financial-statements/notes/notes-to-the-consolidated-balance-sheet-liabilities" TargetMode="External"/><Relationship Id="rId8" Type="http://schemas.openxmlformats.org/officeDocument/2006/relationships/hyperlink" Target="http://annualreport2008.nibc.com/annualreport/consolidated-financial-statements/notes/notes-to-the-consolidated-income-statement" TargetMode="External"/><Relationship Id="rId51" Type="http://schemas.openxmlformats.org/officeDocument/2006/relationships/hyperlink" Target="http://annualreport2008.nibc.com/annualreport/consolidated-financial-statements/notes/notes-to-the-consolidated-balance-sheet-assets"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64</Pages>
  <Words>24801</Words>
  <Characters>141371</Characters>
  <Application>Microsoft Office Word</Application>
  <DocSecurity>0</DocSecurity>
  <Lines>1178</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Navneet</dc:creator>
  <cp:lastModifiedBy>Navneet</cp:lastModifiedBy>
  <cp:revision>3</cp:revision>
  <dcterms:created xsi:type="dcterms:W3CDTF">2012-04-10T13:56:00Z</dcterms:created>
  <dcterms:modified xsi:type="dcterms:W3CDTF">2012-04-14T19:46:00Z</dcterms:modified>
</cp:coreProperties>
</file>