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556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>
        <w:rPr>
          <w:rFonts w:ascii="Comic Sans MS" w:hAnsi="Comic Sans MS" w:cs="Tahoma"/>
          <w:color w:val="263746"/>
          <w:sz w:val="32"/>
          <w:szCs w:val="32"/>
        </w:rPr>
        <w:t xml:space="preserve"> </w:t>
      </w:r>
      <w:r w:rsidR="003C4556" w:rsidRPr="00C10919">
        <w:rPr>
          <w:rFonts w:ascii="Comic Sans MS" w:hAnsi="Comic Sans MS" w:cs="Tahoma"/>
          <w:color w:val="263746"/>
          <w:sz w:val="32"/>
          <w:szCs w:val="32"/>
        </w:rPr>
        <w:t xml:space="preserve">• IFRS 1 First time Adoption of International Financial </w:t>
      </w:r>
      <w:r>
        <w:rPr>
          <w:rFonts w:ascii="Comic Sans MS" w:hAnsi="Comic Sans MS" w:cs="Tahoma"/>
          <w:color w:val="263746"/>
          <w:sz w:val="32"/>
          <w:szCs w:val="32"/>
        </w:rPr>
        <w:t xml:space="preserve">        </w:t>
      </w:r>
      <w:r w:rsidR="003C4556" w:rsidRPr="00C10919">
        <w:rPr>
          <w:rFonts w:ascii="Comic Sans MS" w:hAnsi="Comic Sans MS" w:cs="Tahoma"/>
          <w:color w:val="263746"/>
          <w:sz w:val="32"/>
          <w:szCs w:val="32"/>
        </w:rPr>
        <w:t>Reporting Standards</w:t>
      </w:r>
    </w:p>
    <w:p w:rsidR="00C10919" w:rsidRP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2 Share-based Payment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3 Business Combinations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4 Insurance Contracts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5 Non-current Assets Held for Sale and Discontinued Operations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6 Explorations for and Evaluation of Mineral Resources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7 Financial Instruments: Disclosures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8 Operating Segments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1: Presentation of Financial Statements.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2: Inventories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7: Cash Flow Statements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8: Accounting Policies, Changes in Accounting Estimates and Errors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10: Events After the Balance Sheet Date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lastRenderedPageBreak/>
        <w:t>• IAS 11: Construction Contracts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12: Income Taxes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14: Segment Reporting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16: Property, Plant and Equipment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17: Leases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18: Revenue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19: Employee Benefits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20: Accounting for Government Grants and Disclosure of Government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21: The Effects of Changes in Foreign Exchange Rates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23: Borrowing Costs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24: Related Party Disclosures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26: Accounting and Reporting by Retirement Benefit Plans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27: Consolidated Financial Statements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28: Investments in Associates</w:t>
      </w: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lastRenderedPageBreak/>
        <w:t>• IAS 29: Financial Reporting in Hyperinflationary Economies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31: Interests in Joint Ventures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32: Financial Instruments: Presentation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IFRS 7 Financial Instruments: Disclosures,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33: Earnings per Share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34: Interim Financial Reporting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36: Impairment of Assets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37: Provisions, Contingent Liabilities and Contingent Assets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38: Intangible Assets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39: Financial Instruments: Recognition and Measurement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40: Investment Property</w:t>
      </w:r>
    </w:p>
    <w:p w:rsidR="00C10919" w:rsidRDefault="00C10919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</w:p>
    <w:p w:rsidR="003C4556" w:rsidRPr="00C10919" w:rsidRDefault="003C4556" w:rsidP="003C4556">
      <w:pPr>
        <w:pStyle w:val="NormalWeb"/>
        <w:spacing w:before="0" w:beforeAutospacing="0" w:after="0" w:afterAutospacing="0" w:line="301" w:lineRule="atLeast"/>
        <w:jc w:val="both"/>
        <w:rPr>
          <w:rFonts w:ascii="Comic Sans MS" w:hAnsi="Comic Sans MS" w:cs="Tahoma"/>
          <w:color w:val="263746"/>
          <w:sz w:val="32"/>
          <w:szCs w:val="32"/>
        </w:rPr>
      </w:pPr>
      <w:r w:rsidRPr="00C10919">
        <w:rPr>
          <w:rFonts w:ascii="Comic Sans MS" w:hAnsi="Comic Sans MS" w:cs="Tahoma"/>
          <w:color w:val="263746"/>
          <w:sz w:val="32"/>
          <w:szCs w:val="32"/>
        </w:rPr>
        <w:t>• IAS 41: Agriculture</w:t>
      </w:r>
    </w:p>
    <w:p w:rsidR="009D1FB9" w:rsidRPr="00C10919" w:rsidRDefault="00C1091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9D1FB9" w:rsidRPr="00C10919" w:rsidSect="00715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3C4556"/>
    <w:rsid w:val="003C4556"/>
    <w:rsid w:val="0071525A"/>
    <w:rsid w:val="009D1FB9"/>
    <w:rsid w:val="00C1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Hiten</dc:creator>
  <cp:keywords/>
  <dc:description/>
  <cp:lastModifiedBy>Hiten</cp:lastModifiedBy>
  <cp:revision>4</cp:revision>
  <dcterms:created xsi:type="dcterms:W3CDTF">2012-09-21T10:28:00Z</dcterms:created>
  <dcterms:modified xsi:type="dcterms:W3CDTF">2012-09-21T10:41:00Z</dcterms:modified>
</cp:coreProperties>
</file>