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FCB" w:rsidRPr="002F7FCB" w:rsidRDefault="001A1788" w:rsidP="001A1788">
      <w:pPr>
        <w:pBdr>
          <w:top w:val="single" w:sz="6" w:space="0" w:color="E9E9E9"/>
          <w:left w:val="single" w:sz="6" w:space="0" w:color="E9E9E9"/>
          <w:bottom w:val="single" w:sz="6" w:space="0" w:color="E9E9E9"/>
          <w:right w:val="single" w:sz="6" w:space="0" w:color="E9E9E9"/>
        </w:pBdr>
        <w:shd w:val="clear" w:color="auto" w:fill="FFFFFF"/>
        <w:spacing w:before="100" w:beforeAutospacing="1" w:after="100" w:afterAutospacing="1" w:line="240" w:lineRule="auto"/>
        <w:ind w:left="525"/>
        <w:outlineLvl w:val="1"/>
        <w:rPr>
          <w:rFonts w:ascii="Times New Roman" w:eastAsia="Times New Roman" w:hAnsi="Times New Roman" w:cs="Times New Roman"/>
          <w:color w:val="3E3E3E"/>
          <w:sz w:val="28"/>
          <w:szCs w:val="28"/>
          <w:lang/>
        </w:rPr>
      </w:pPr>
      <w:r>
        <w:rPr>
          <w:rFonts w:ascii="Times New Roman" w:eastAsia="Times New Roman" w:hAnsi="Times New Roman" w:cs="Times New Roman"/>
          <w:color w:val="3E3E3E"/>
          <w:sz w:val="28"/>
          <w:szCs w:val="28"/>
          <w:lang/>
        </w:rPr>
        <w:t xml:space="preserve">WHO   IS   A     </w:t>
      </w:r>
      <w:r w:rsidR="002F7FCB" w:rsidRPr="002F7FCB">
        <w:rPr>
          <w:rFonts w:ascii="Times New Roman" w:eastAsia="Times New Roman" w:hAnsi="Times New Roman" w:cs="Times New Roman"/>
          <w:color w:val="3E3E3E"/>
          <w:sz w:val="28"/>
          <w:szCs w:val="28"/>
          <w:lang/>
        </w:rPr>
        <w:t xml:space="preserve">Authorised Dealer </w:t>
      </w:r>
      <w:r>
        <w:rPr>
          <w:rFonts w:ascii="Times New Roman" w:eastAsia="Times New Roman" w:hAnsi="Times New Roman" w:cs="Times New Roman"/>
          <w:color w:val="3E3E3E"/>
          <w:sz w:val="28"/>
          <w:szCs w:val="28"/>
          <w:lang/>
        </w:rPr>
        <w:t xml:space="preserve">  IN   FOREIGN   EXCHANGE </w:t>
      </w:r>
    </w:p>
    <w:p w:rsidR="002F7FCB" w:rsidRDefault="002F7FCB" w:rsidP="002F7FCB">
      <w:pPr>
        <w:pBdr>
          <w:top w:val="single" w:sz="6" w:space="0" w:color="E9E9E9"/>
          <w:left w:val="single" w:sz="6" w:space="0" w:color="E9E9E9"/>
          <w:bottom w:val="single" w:sz="6" w:space="0" w:color="E9E9E9"/>
          <w:right w:val="single" w:sz="6" w:space="0" w:color="E9E9E9"/>
        </w:pBdr>
        <w:shd w:val="clear" w:color="auto" w:fill="FFFFFF"/>
        <w:spacing w:beforeAutospacing="1" w:after="150" w:line="240" w:lineRule="auto"/>
        <w:rPr>
          <w:rFonts w:ascii="Times New Roman" w:eastAsia="Times New Roman" w:hAnsi="Times New Roman" w:cs="Times New Roman"/>
          <w:color w:val="3E3E3E"/>
          <w:sz w:val="28"/>
          <w:szCs w:val="28"/>
          <w:lang/>
        </w:rPr>
      </w:pPr>
      <w:r w:rsidRPr="002F7FCB">
        <w:rPr>
          <w:rFonts w:ascii="Times New Roman" w:eastAsia="Times New Roman" w:hAnsi="Times New Roman" w:cs="Times New Roman"/>
          <w:color w:val="3E3E3E"/>
          <w:sz w:val="28"/>
          <w:szCs w:val="28"/>
          <w:lang/>
        </w:rPr>
        <w:t>authorised person means an authorised dealer, money changer, offshore banking unit</w:t>
      </w:r>
      <w:r w:rsidRPr="002F7FCB">
        <w:rPr>
          <w:rFonts w:ascii="Times New Roman" w:eastAsia="Times New Roman" w:hAnsi="Times New Roman" w:cs="Times New Roman"/>
          <w:b/>
          <w:bCs/>
          <w:color w:val="3E3E3E"/>
          <w:sz w:val="28"/>
          <w:szCs w:val="28"/>
          <w:u w:val="single"/>
          <w:lang/>
        </w:rPr>
        <w:t xml:space="preserve"> or any other person for the time being authorised under sub-section (1) of section 10</w:t>
      </w:r>
      <w:r w:rsidRPr="002F7FCB">
        <w:rPr>
          <w:rFonts w:ascii="Times New Roman" w:eastAsia="Times New Roman" w:hAnsi="Times New Roman" w:cs="Times New Roman"/>
          <w:color w:val="3E3E3E"/>
          <w:sz w:val="28"/>
          <w:szCs w:val="28"/>
          <w:lang/>
        </w:rPr>
        <w:t xml:space="preserve"> </w:t>
      </w:r>
      <w:r w:rsidR="001A1788">
        <w:rPr>
          <w:rFonts w:ascii="Times New Roman" w:eastAsia="Times New Roman" w:hAnsi="Times New Roman" w:cs="Times New Roman"/>
          <w:color w:val="3E3E3E"/>
          <w:sz w:val="28"/>
          <w:szCs w:val="28"/>
          <w:lang/>
        </w:rPr>
        <w:t xml:space="preserve">OF  FOREIGN  EXCHANGE   MANAGEMENT  ACT 1999 , </w:t>
      </w:r>
      <w:r w:rsidRPr="002F7FCB">
        <w:rPr>
          <w:rFonts w:ascii="Times New Roman" w:eastAsia="Times New Roman" w:hAnsi="Times New Roman" w:cs="Times New Roman"/>
          <w:color w:val="3E3E3E"/>
          <w:sz w:val="28"/>
          <w:szCs w:val="28"/>
          <w:lang/>
        </w:rPr>
        <w:t>to deal in foreign exchange or foreign securities.</w:t>
      </w:r>
      <w:r w:rsidRPr="002F7FCB">
        <w:rPr>
          <w:rFonts w:ascii="Times New Roman" w:eastAsia="Times New Roman" w:hAnsi="Times New Roman" w:cs="Times New Roman"/>
          <w:color w:val="3E3E3E"/>
          <w:sz w:val="28"/>
          <w:szCs w:val="28"/>
          <w:lang/>
        </w:rPr>
        <w:br/>
      </w:r>
      <w:r w:rsidRPr="002F7FCB">
        <w:rPr>
          <w:rFonts w:ascii="Times New Roman" w:eastAsia="Times New Roman" w:hAnsi="Times New Roman" w:cs="Times New Roman"/>
          <w:color w:val="3E3E3E"/>
          <w:sz w:val="28"/>
          <w:szCs w:val="28"/>
          <w:lang/>
        </w:rPr>
        <w:br/>
        <w:t xml:space="preserve">As per section 10(1) </w:t>
      </w:r>
      <w:r>
        <w:rPr>
          <w:rFonts w:ascii="Times New Roman" w:eastAsia="Times New Roman" w:hAnsi="Times New Roman" w:cs="Times New Roman"/>
          <w:color w:val="3E3E3E"/>
          <w:sz w:val="28"/>
          <w:szCs w:val="28"/>
          <w:lang/>
        </w:rPr>
        <w:t xml:space="preserve">  :   </w:t>
      </w:r>
      <w:r w:rsidRPr="002F7FCB">
        <w:rPr>
          <w:rFonts w:ascii="Times New Roman" w:eastAsia="Times New Roman" w:hAnsi="Times New Roman" w:cs="Times New Roman"/>
          <w:color w:val="3E3E3E"/>
          <w:sz w:val="28"/>
          <w:szCs w:val="28"/>
          <w:lang/>
        </w:rPr>
        <w:t>The Reserve Bank may, on an application made to it in this behalf, authorise any person to be known as authorised person to deal in foreign exchange or in foreign securities, as an authorised dealer, money changer or off-shore banking unit or in any other manner as it deems fit.</w:t>
      </w:r>
    </w:p>
    <w:p w:rsidR="002F7FCB" w:rsidRDefault="002F7FCB" w:rsidP="002F7FCB">
      <w:pPr>
        <w:pBdr>
          <w:top w:val="single" w:sz="6" w:space="0" w:color="E9E9E9"/>
          <w:left w:val="single" w:sz="6" w:space="0" w:color="E9E9E9"/>
          <w:bottom w:val="single" w:sz="6" w:space="0" w:color="E9E9E9"/>
          <w:right w:val="single" w:sz="6" w:space="0" w:color="E9E9E9"/>
        </w:pBdr>
        <w:shd w:val="clear" w:color="auto" w:fill="FFFFFF"/>
        <w:spacing w:beforeAutospacing="1" w:after="150" w:line="240" w:lineRule="auto"/>
        <w:rPr>
          <w:rFonts w:ascii="Times New Roman" w:eastAsia="Times New Roman" w:hAnsi="Times New Roman" w:cs="Times New Roman"/>
          <w:color w:val="3E3E3E"/>
          <w:sz w:val="28"/>
          <w:szCs w:val="28"/>
          <w:lang/>
        </w:rPr>
      </w:pPr>
      <w:r w:rsidRPr="002F7FCB">
        <w:rPr>
          <w:rFonts w:ascii="Times New Roman" w:eastAsia="Times New Roman" w:hAnsi="Times New Roman" w:cs="Times New Roman"/>
          <w:color w:val="3E3E3E"/>
          <w:sz w:val="28"/>
          <w:szCs w:val="28"/>
          <w:lang/>
        </w:rPr>
        <w:t>(2) An authorisation under this section shall be in writing and shall be subject to the conditions laid down therein.</w:t>
      </w:r>
    </w:p>
    <w:p w:rsidR="002F7FCB" w:rsidRDefault="002F7FCB" w:rsidP="002F7FCB">
      <w:pPr>
        <w:pBdr>
          <w:top w:val="single" w:sz="6" w:space="0" w:color="E9E9E9"/>
          <w:left w:val="single" w:sz="6" w:space="0" w:color="E9E9E9"/>
          <w:bottom w:val="single" w:sz="6" w:space="0" w:color="E9E9E9"/>
          <w:right w:val="single" w:sz="6" w:space="0" w:color="E9E9E9"/>
        </w:pBdr>
        <w:shd w:val="clear" w:color="auto" w:fill="FFFFFF"/>
        <w:spacing w:beforeAutospacing="1" w:after="150" w:line="240" w:lineRule="auto"/>
        <w:rPr>
          <w:rFonts w:ascii="Times New Roman" w:eastAsia="Times New Roman" w:hAnsi="Times New Roman" w:cs="Times New Roman"/>
          <w:color w:val="3E3E3E"/>
          <w:sz w:val="28"/>
          <w:szCs w:val="28"/>
          <w:lang/>
        </w:rPr>
      </w:pPr>
      <w:r w:rsidRPr="002F7FCB">
        <w:rPr>
          <w:rFonts w:ascii="Times New Roman" w:eastAsia="Times New Roman" w:hAnsi="Times New Roman" w:cs="Times New Roman"/>
          <w:color w:val="3E3E3E"/>
          <w:sz w:val="28"/>
          <w:szCs w:val="28"/>
          <w:lang/>
        </w:rPr>
        <w:t>(3) An authorisation granted under sub-section (1) may be revoked by the Reserve Bank at any time if the Reserve Bank is satisfied that—</w:t>
      </w:r>
      <w:r w:rsidRPr="002F7FCB">
        <w:rPr>
          <w:rFonts w:ascii="Times New Roman" w:eastAsia="Times New Roman" w:hAnsi="Times New Roman" w:cs="Times New Roman"/>
          <w:color w:val="3E3E3E"/>
          <w:sz w:val="28"/>
          <w:szCs w:val="28"/>
          <w:lang/>
        </w:rPr>
        <w:br/>
        <w:t>(</w:t>
      </w:r>
      <w:r w:rsidRPr="002F7FCB">
        <w:rPr>
          <w:rFonts w:ascii="Times New Roman" w:eastAsia="Times New Roman" w:hAnsi="Times New Roman" w:cs="Times New Roman"/>
          <w:i/>
          <w:iCs/>
          <w:color w:val="3E3E3E"/>
          <w:sz w:val="28"/>
          <w:szCs w:val="28"/>
          <w:lang/>
        </w:rPr>
        <w:t>a</w:t>
      </w:r>
      <w:r w:rsidRPr="002F7FCB">
        <w:rPr>
          <w:rFonts w:ascii="Times New Roman" w:eastAsia="Times New Roman" w:hAnsi="Times New Roman" w:cs="Times New Roman"/>
          <w:color w:val="3E3E3E"/>
          <w:sz w:val="28"/>
          <w:szCs w:val="28"/>
          <w:lang/>
        </w:rPr>
        <w:t>) it is in public interest so to do; or</w:t>
      </w:r>
      <w:r w:rsidRPr="002F7FCB">
        <w:rPr>
          <w:rFonts w:ascii="Times New Roman" w:eastAsia="Times New Roman" w:hAnsi="Times New Roman" w:cs="Times New Roman"/>
          <w:color w:val="3E3E3E"/>
          <w:sz w:val="28"/>
          <w:szCs w:val="28"/>
          <w:lang/>
        </w:rPr>
        <w:br/>
        <w:t>(</w:t>
      </w:r>
      <w:r w:rsidRPr="002F7FCB">
        <w:rPr>
          <w:rFonts w:ascii="Times New Roman" w:eastAsia="Times New Roman" w:hAnsi="Times New Roman" w:cs="Times New Roman"/>
          <w:i/>
          <w:iCs/>
          <w:color w:val="3E3E3E"/>
          <w:sz w:val="28"/>
          <w:szCs w:val="28"/>
          <w:lang/>
        </w:rPr>
        <w:t>b</w:t>
      </w:r>
      <w:r w:rsidRPr="002F7FCB">
        <w:rPr>
          <w:rFonts w:ascii="Times New Roman" w:eastAsia="Times New Roman" w:hAnsi="Times New Roman" w:cs="Times New Roman"/>
          <w:color w:val="3E3E3E"/>
          <w:sz w:val="28"/>
          <w:szCs w:val="28"/>
          <w:lang/>
        </w:rPr>
        <w:t>) the authorised person has failed to comply with the condition subject to which the authorisation was granted or has contravened any of the provisions of the Act or any rule, regulation, notification, direction or order made thereunder:</w:t>
      </w:r>
      <w:r w:rsidRPr="002F7FCB">
        <w:rPr>
          <w:rFonts w:ascii="Times New Roman" w:eastAsia="Times New Roman" w:hAnsi="Times New Roman" w:cs="Times New Roman"/>
          <w:color w:val="3E3E3E"/>
          <w:sz w:val="28"/>
          <w:szCs w:val="28"/>
          <w:lang/>
        </w:rPr>
        <w:br/>
      </w:r>
      <w:r w:rsidRPr="002F7FCB">
        <w:rPr>
          <w:rFonts w:ascii="Times New Roman" w:eastAsia="Times New Roman" w:hAnsi="Times New Roman" w:cs="Times New Roman"/>
          <w:b/>
          <w:bCs/>
          <w:color w:val="3E3E3E"/>
          <w:sz w:val="28"/>
          <w:szCs w:val="28"/>
          <w:lang/>
        </w:rPr>
        <w:t>Provided</w:t>
      </w:r>
      <w:r w:rsidRPr="002F7FCB">
        <w:rPr>
          <w:rFonts w:ascii="Times New Roman" w:eastAsia="Times New Roman" w:hAnsi="Times New Roman" w:cs="Times New Roman"/>
          <w:color w:val="3E3E3E"/>
          <w:sz w:val="28"/>
          <w:szCs w:val="28"/>
          <w:lang/>
        </w:rPr>
        <w:t xml:space="preserve"> that no such authorisation shall be revoked on any ground referred to in clause (</w:t>
      </w:r>
      <w:r w:rsidRPr="002F7FCB">
        <w:rPr>
          <w:rFonts w:ascii="Times New Roman" w:eastAsia="Times New Roman" w:hAnsi="Times New Roman" w:cs="Times New Roman"/>
          <w:i/>
          <w:iCs/>
          <w:color w:val="3E3E3E"/>
          <w:sz w:val="28"/>
          <w:szCs w:val="28"/>
          <w:lang/>
        </w:rPr>
        <w:t>b</w:t>
      </w:r>
      <w:r w:rsidRPr="002F7FCB">
        <w:rPr>
          <w:rFonts w:ascii="Times New Roman" w:eastAsia="Times New Roman" w:hAnsi="Times New Roman" w:cs="Times New Roman"/>
          <w:color w:val="3E3E3E"/>
          <w:sz w:val="28"/>
          <w:szCs w:val="28"/>
          <w:lang/>
        </w:rPr>
        <w:t>) unless the authorised person has been given a reasonable opportunity of making a representation in the matter.</w:t>
      </w:r>
    </w:p>
    <w:p w:rsidR="002F7FCB" w:rsidRDefault="002F7FCB" w:rsidP="002F7FCB">
      <w:pPr>
        <w:pBdr>
          <w:top w:val="single" w:sz="6" w:space="0" w:color="E9E9E9"/>
          <w:left w:val="single" w:sz="6" w:space="0" w:color="E9E9E9"/>
          <w:bottom w:val="single" w:sz="6" w:space="0" w:color="E9E9E9"/>
          <w:right w:val="single" w:sz="6" w:space="0" w:color="E9E9E9"/>
        </w:pBdr>
        <w:shd w:val="clear" w:color="auto" w:fill="FFFFFF"/>
        <w:spacing w:beforeAutospacing="1" w:after="150" w:line="240" w:lineRule="auto"/>
        <w:rPr>
          <w:rFonts w:ascii="Times New Roman" w:eastAsia="Times New Roman" w:hAnsi="Times New Roman" w:cs="Times New Roman"/>
          <w:color w:val="3E3E3E"/>
          <w:sz w:val="28"/>
          <w:szCs w:val="28"/>
          <w:lang/>
        </w:rPr>
      </w:pPr>
      <w:r w:rsidRPr="002F7FCB">
        <w:rPr>
          <w:rFonts w:ascii="Times New Roman" w:eastAsia="Times New Roman" w:hAnsi="Times New Roman" w:cs="Times New Roman"/>
          <w:color w:val="3E3E3E"/>
          <w:sz w:val="28"/>
          <w:szCs w:val="28"/>
          <w:lang/>
        </w:rPr>
        <w:t>(4) An authorised person shall, in all his dealings in foreign exchange or foreign security, comply with such general or special directions or orders as the Reserve Bank may, from time to time, think fit to give, and, except with the previous permission of the Reserve Bank, an authorised person shall not engage in any transaction involving any foreign exchange or foreign security which is not in conformity with the terms of his authorisation under this section.</w:t>
      </w:r>
    </w:p>
    <w:p w:rsidR="002F7FCB" w:rsidRDefault="002F7FCB" w:rsidP="002F7FCB">
      <w:pPr>
        <w:pBdr>
          <w:top w:val="single" w:sz="6" w:space="0" w:color="E9E9E9"/>
          <w:left w:val="single" w:sz="6" w:space="0" w:color="E9E9E9"/>
          <w:bottom w:val="single" w:sz="6" w:space="0" w:color="E9E9E9"/>
          <w:right w:val="single" w:sz="6" w:space="0" w:color="E9E9E9"/>
        </w:pBdr>
        <w:shd w:val="clear" w:color="auto" w:fill="FFFFFF"/>
        <w:spacing w:beforeAutospacing="1" w:after="150" w:line="240" w:lineRule="auto"/>
        <w:rPr>
          <w:rFonts w:ascii="Times New Roman" w:eastAsia="Times New Roman" w:hAnsi="Times New Roman" w:cs="Times New Roman"/>
          <w:color w:val="3E3E3E"/>
          <w:sz w:val="28"/>
          <w:szCs w:val="28"/>
          <w:lang/>
        </w:rPr>
      </w:pPr>
      <w:r w:rsidRPr="002F7FCB">
        <w:rPr>
          <w:rFonts w:ascii="Times New Roman" w:eastAsia="Times New Roman" w:hAnsi="Times New Roman" w:cs="Times New Roman"/>
          <w:color w:val="3E3E3E"/>
          <w:sz w:val="28"/>
          <w:szCs w:val="28"/>
          <w:lang/>
        </w:rPr>
        <w:t xml:space="preserve">(5) An authorised person shall, before undertaking any transaction in foreign exchange on behalf of any person, require that person to make such declaration and to give such information as will reasonably satisfy him that the transaction will not involve, and is not designed for the purpose of any contravention or evasion of the provisions of this Act or of any rule, regulation, notification, direction or order made thereunder, and where the said person refuses to comply with any such requirement or makes only unsatisfactory compliance therewith, the authorised person shall refuse in writing to undertake the transaction and shall, if he has </w:t>
      </w:r>
      <w:r w:rsidRPr="002F7FCB">
        <w:rPr>
          <w:rFonts w:ascii="Times New Roman" w:eastAsia="Times New Roman" w:hAnsi="Times New Roman" w:cs="Times New Roman"/>
          <w:color w:val="3E3E3E"/>
          <w:sz w:val="28"/>
          <w:szCs w:val="28"/>
          <w:lang/>
        </w:rPr>
        <w:lastRenderedPageBreak/>
        <w:t>reason to believe that any such contravention or evasion as aforesaid is contemplated by the person, report the matter to the Reserve Bank.</w:t>
      </w:r>
    </w:p>
    <w:p w:rsidR="002F7FCB" w:rsidRPr="002F7FCB" w:rsidRDefault="001A1788" w:rsidP="001A1788">
      <w:pPr>
        <w:pBdr>
          <w:top w:val="single" w:sz="6" w:space="0" w:color="E9E9E9"/>
          <w:left w:val="single" w:sz="6" w:space="0" w:color="E9E9E9"/>
          <w:bottom w:val="single" w:sz="6" w:space="0" w:color="E9E9E9"/>
          <w:right w:val="single" w:sz="6" w:space="0" w:color="E9E9E9"/>
        </w:pBdr>
        <w:shd w:val="clear" w:color="auto" w:fill="FFFFFF"/>
        <w:spacing w:before="100" w:beforeAutospacing="1" w:after="150" w:line="240" w:lineRule="auto"/>
        <w:rPr>
          <w:rFonts w:ascii="Times New Roman" w:eastAsia="Times New Roman" w:hAnsi="Times New Roman" w:cs="Times New Roman"/>
          <w:color w:val="3E3E3E"/>
          <w:sz w:val="28"/>
          <w:szCs w:val="28"/>
          <w:lang/>
        </w:rPr>
      </w:pPr>
      <w:r w:rsidRPr="002F7FCB">
        <w:rPr>
          <w:rFonts w:ascii="Times New Roman" w:eastAsia="Times New Roman" w:hAnsi="Times New Roman" w:cs="Times New Roman"/>
          <w:color w:val="3E3E3E"/>
          <w:sz w:val="28"/>
          <w:szCs w:val="28"/>
          <w:lang/>
        </w:rPr>
        <w:t xml:space="preserve"> </w:t>
      </w:r>
      <w:r w:rsidR="002F7FCB" w:rsidRPr="002F7FCB">
        <w:rPr>
          <w:rFonts w:ascii="Times New Roman" w:eastAsia="Times New Roman" w:hAnsi="Times New Roman" w:cs="Times New Roman"/>
          <w:color w:val="3E3E3E"/>
          <w:sz w:val="28"/>
          <w:szCs w:val="28"/>
          <w:lang/>
        </w:rPr>
        <w:t xml:space="preserve">(6) Any person, other than an authorised person, who has acquired or purchased foreign exchange for any purpose mentioned in the declaration made by him to authorised person under sub-section (5) does not use it for such purpose or does not surrender it to authorised person within the specified period or uses the foreign exchange so acquired or purchased for any other purpose for which purchase or acquisition of foreign exchange is not permissible under the provisions of the Act or the rules or regulations or direction or order made thereunder shall be deemed to have committed contravention of the provisions of the Act for the purpose of this section. </w:t>
      </w:r>
    </w:p>
    <w:p w:rsidR="002F7FCB" w:rsidRPr="002F7FCB" w:rsidRDefault="002F7FCB" w:rsidP="002F7FCB">
      <w:pPr>
        <w:spacing w:after="0" w:line="240" w:lineRule="auto"/>
        <w:jc w:val="both"/>
        <w:rPr>
          <w:rFonts w:ascii="Times New Roman" w:eastAsia="Times New Roman" w:hAnsi="Times New Roman" w:cs="Times New Roman"/>
          <w:sz w:val="24"/>
          <w:szCs w:val="24"/>
        </w:rPr>
      </w:pPr>
      <w:r w:rsidRPr="002F7FCB">
        <w:rPr>
          <w:rFonts w:ascii="Times New Roman" w:eastAsia="Times New Roman" w:hAnsi="Times New Roman" w:cs="Times New Roman"/>
          <w:color w:val="222222"/>
          <w:sz w:val="28"/>
          <w:szCs w:val="28"/>
          <w:lang w:eastAsia="en-IN"/>
        </w:rPr>
        <w:t xml:space="preserve">As per Chapter 2 of Circular 1 of 2010 of Consolidated FDI Policy effictive from April 1, 2010 issued by Department of Industrial Policy and Promotion, </w:t>
      </w:r>
      <w:r w:rsidRPr="002F7FCB">
        <w:rPr>
          <w:rFonts w:ascii="Times New Roman" w:eastAsia="Times New Roman" w:hAnsi="Times New Roman" w:cs="Times New Roman"/>
          <w:b/>
          <w:bCs/>
          <w:color w:val="222222"/>
          <w:sz w:val="28"/>
          <w:szCs w:val="28"/>
          <w:lang w:eastAsia="en-IN"/>
        </w:rPr>
        <w:t xml:space="preserve">Authorized Dealer </w:t>
      </w:r>
      <w:r w:rsidRPr="002F7FCB">
        <w:rPr>
          <w:rFonts w:ascii="Times New Roman" w:eastAsia="Times New Roman" w:hAnsi="Times New Roman" w:cs="Times New Roman"/>
          <w:b/>
          <w:bCs/>
          <w:vanish/>
          <w:color w:val="222222"/>
          <w:sz w:val="28"/>
          <w:szCs w:val="28"/>
          <w:lang w:eastAsia="en-IN"/>
        </w:rPr>
        <w:t> </w:t>
      </w:r>
      <w:r w:rsidRPr="002F7FCB">
        <w:rPr>
          <w:rFonts w:ascii="Times New Roman" w:eastAsia="Times New Roman" w:hAnsi="Times New Roman" w:cs="Times New Roman"/>
          <w:color w:val="222222"/>
          <w:sz w:val="28"/>
          <w:szCs w:val="28"/>
          <w:lang w:eastAsia="en-IN"/>
        </w:rPr>
        <w:t>means a person authorized as an authorized dealer under subsection (1) of section 10 of FEMA.</w:t>
      </w:r>
      <w:r w:rsidRPr="002F7FCB">
        <w:rPr>
          <w:rFonts w:ascii="Times New Roman" w:eastAsia="Times New Roman" w:hAnsi="Times New Roman" w:cs="Times New Roman"/>
          <w:vanish/>
          <w:color w:val="222222"/>
          <w:sz w:val="28"/>
          <w:szCs w:val="28"/>
          <w:lang w:eastAsia="en-IN"/>
        </w:rPr>
        <w:t> </w:t>
      </w:r>
      <w:r w:rsidRPr="002F7FCB">
        <w:rPr>
          <w:rFonts w:ascii="Times New Roman" w:eastAsia="Times New Roman" w:hAnsi="Times New Roman" w:cs="Times New Roman"/>
          <w:color w:val="222222"/>
          <w:sz w:val="28"/>
          <w:szCs w:val="28"/>
          <w:lang w:eastAsia="en-IN"/>
        </w:rPr>
        <w:t xml:space="preserve"> </w:t>
      </w:r>
    </w:p>
    <w:p w:rsidR="002F7FCB" w:rsidRDefault="002F7FCB" w:rsidP="002F7FCB">
      <w:pPr>
        <w:spacing w:after="0" w:line="240" w:lineRule="auto"/>
        <w:jc w:val="both"/>
        <w:rPr>
          <w:rFonts w:ascii="Times New Roman" w:eastAsia="Times New Roman" w:hAnsi="Times New Roman" w:cs="Times New Roman"/>
          <w:color w:val="222222"/>
          <w:sz w:val="28"/>
          <w:szCs w:val="28"/>
          <w:lang w:eastAsia="en-IN"/>
        </w:rPr>
      </w:pPr>
      <w:r w:rsidRPr="002F7FCB">
        <w:rPr>
          <w:rFonts w:ascii="Times New Roman" w:eastAsia="Times New Roman" w:hAnsi="Times New Roman" w:cs="Times New Roman"/>
          <w:i/>
          <w:color w:val="222222"/>
          <w:sz w:val="28"/>
          <w:szCs w:val="28"/>
          <w:lang w:eastAsia="en-IN"/>
        </w:rPr>
        <w:t> </w:t>
      </w:r>
    </w:p>
    <w:p w:rsidR="001A1788" w:rsidRPr="002F7FCB" w:rsidRDefault="001A1788" w:rsidP="002F7FCB">
      <w:pPr>
        <w:spacing w:after="0" w:line="240" w:lineRule="auto"/>
        <w:jc w:val="both"/>
        <w:rPr>
          <w:rFonts w:ascii="Times New Roman" w:eastAsia="Times New Roman" w:hAnsi="Times New Roman" w:cs="Times New Roman"/>
          <w:b/>
          <w:sz w:val="24"/>
          <w:szCs w:val="24"/>
          <w:u w:val="single"/>
        </w:rPr>
      </w:pPr>
      <w:r w:rsidRPr="001A1788">
        <w:rPr>
          <w:rFonts w:ascii="Times New Roman" w:eastAsia="Times New Roman" w:hAnsi="Times New Roman" w:cs="Times New Roman"/>
          <w:b/>
          <w:color w:val="222222"/>
          <w:sz w:val="28"/>
          <w:szCs w:val="28"/>
          <w:u w:val="single"/>
          <w:lang w:eastAsia="en-IN"/>
        </w:rPr>
        <w:t xml:space="preserve">LIST   OF  AUTHORISED   DEALERS :  </w:t>
      </w:r>
    </w:p>
    <w:tbl>
      <w:tblPr>
        <w:tblW w:w="9750" w:type="dxa"/>
        <w:tblCellSpacing w:w="0" w:type="dxa"/>
        <w:tblCellMar>
          <w:top w:w="15" w:type="dxa"/>
          <w:left w:w="15" w:type="dxa"/>
          <w:bottom w:w="15" w:type="dxa"/>
          <w:right w:w="15" w:type="dxa"/>
        </w:tblCellMar>
        <w:tblLook w:val="04A0"/>
      </w:tblPr>
      <w:tblGrid>
        <w:gridCol w:w="9750"/>
      </w:tblGrid>
      <w:tr w:rsidR="001A1788" w:rsidRPr="001A1788">
        <w:trPr>
          <w:tblCellSpacing w:w="0" w:type="dxa"/>
        </w:trPr>
        <w:tc>
          <w:tcPr>
            <w:tcW w:w="0" w:type="auto"/>
            <w:vAlign w:val="center"/>
            <w:hideMark/>
          </w:tcPr>
          <w:p w:rsidR="001A1788" w:rsidRPr="001A1788" w:rsidRDefault="001A1788" w:rsidP="001A1788">
            <w:pPr>
              <w:spacing w:before="100" w:beforeAutospacing="1" w:after="100" w:afterAutospacing="1" w:line="240" w:lineRule="auto"/>
              <w:jc w:val="center"/>
              <w:rPr>
                <w:rFonts w:ascii="Times New Roman" w:eastAsia="Times New Roman" w:hAnsi="Times New Roman" w:cs="Times New Roman"/>
                <w:b/>
                <w:bCs/>
                <w:sz w:val="24"/>
                <w:szCs w:val="24"/>
              </w:rPr>
            </w:pPr>
          </w:p>
        </w:tc>
      </w:tr>
    </w:tbl>
    <w:p w:rsidR="001A1788" w:rsidRPr="001A1788" w:rsidRDefault="001A1788" w:rsidP="001A1788">
      <w:pPr>
        <w:spacing w:after="0" w:line="240" w:lineRule="auto"/>
        <w:rPr>
          <w:rFonts w:ascii="Times New Roman" w:eastAsia="Times New Roman" w:hAnsi="Times New Roman" w:cs="Times New Roman"/>
          <w:vanish/>
          <w:sz w:val="24"/>
          <w:szCs w:val="24"/>
        </w:rPr>
      </w:pPr>
    </w:p>
    <w:tbl>
      <w:tblPr>
        <w:tblW w:w="9360" w:type="dxa"/>
        <w:tblCellSpacing w:w="0" w:type="dxa"/>
        <w:tblCellMar>
          <w:top w:w="15" w:type="dxa"/>
          <w:left w:w="15" w:type="dxa"/>
          <w:bottom w:w="15" w:type="dxa"/>
          <w:right w:w="15" w:type="dxa"/>
        </w:tblCellMar>
        <w:tblLook w:val="04A0"/>
      </w:tblPr>
      <w:tblGrid>
        <w:gridCol w:w="749"/>
        <w:gridCol w:w="8611"/>
      </w:tblGrid>
      <w:tr w:rsidR="001A1788" w:rsidRPr="001A1788">
        <w:trPr>
          <w:tblCellSpacing w:w="0" w:type="dxa"/>
        </w:trPr>
        <w:tc>
          <w:tcPr>
            <w:tcW w:w="400" w:type="pct"/>
            <w:hideMark/>
          </w:tcPr>
          <w:p w:rsidR="001A1788" w:rsidRDefault="001A1788" w:rsidP="001A1788">
            <w:pPr>
              <w:spacing w:before="100" w:beforeAutospacing="1" w:after="100" w:afterAutospacing="1" w:line="240" w:lineRule="auto"/>
              <w:rPr>
                <w:rFonts w:ascii="Times New Roman" w:eastAsia="Times New Roman" w:hAnsi="Times New Roman" w:cs="Times New Roman"/>
                <w:b/>
                <w:bCs/>
                <w:sz w:val="24"/>
                <w:szCs w:val="24"/>
              </w:rPr>
            </w:pPr>
          </w:p>
          <w:p w:rsidR="001A1788" w:rsidRDefault="001A1788" w:rsidP="001A1788">
            <w:pPr>
              <w:spacing w:before="100" w:beforeAutospacing="1" w:after="100" w:afterAutospacing="1" w:line="240" w:lineRule="auto"/>
              <w:rPr>
                <w:rFonts w:ascii="Times New Roman" w:eastAsia="Times New Roman" w:hAnsi="Times New Roman" w:cs="Times New Roman"/>
                <w:b/>
                <w:bCs/>
                <w:sz w:val="24"/>
                <w:szCs w:val="24"/>
              </w:rPr>
            </w:pPr>
          </w:p>
          <w:p w:rsidR="001A1788" w:rsidRPr="001A1788" w:rsidRDefault="001A1788" w:rsidP="001A1788">
            <w:pPr>
              <w:spacing w:before="100" w:beforeAutospacing="1" w:after="100" w:afterAutospacing="1" w:line="240" w:lineRule="auto"/>
              <w:rPr>
                <w:rFonts w:ascii="Times New Roman" w:eastAsia="Times New Roman" w:hAnsi="Times New Roman" w:cs="Times New Roman"/>
                <w:b/>
                <w:bCs/>
                <w:sz w:val="24"/>
                <w:szCs w:val="24"/>
              </w:rPr>
            </w:pPr>
            <w:r w:rsidRPr="001A1788">
              <w:rPr>
                <w:rFonts w:ascii="Times New Roman" w:eastAsia="Times New Roman" w:hAnsi="Times New Roman" w:cs="Times New Roman"/>
                <w:b/>
                <w:bCs/>
                <w:sz w:val="24"/>
                <w:szCs w:val="24"/>
              </w:rPr>
              <w:t>A.</w:t>
            </w:r>
          </w:p>
        </w:tc>
        <w:tc>
          <w:tcPr>
            <w:tcW w:w="4600" w:type="pct"/>
            <w:hideMark/>
          </w:tcPr>
          <w:p w:rsidR="001A1788" w:rsidRDefault="001A1788" w:rsidP="001A1788">
            <w:pPr>
              <w:spacing w:before="100" w:beforeAutospacing="1" w:after="100" w:afterAutospacing="1" w:line="240" w:lineRule="auto"/>
              <w:rPr>
                <w:rFonts w:ascii="Times New Roman" w:eastAsia="Times New Roman" w:hAnsi="Times New Roman" w:cs="Times New Roman"/>
                <w:b/>
                <w:bCs/>
                <w:sz w:val="24"/>
                <w:szCs w:val="24"/>
              </w:rPr>
            </w:pPr>
            <w:r w:rsidRPr="001A1788">
              <w:rPr>
                <w:rFonts w:ascii="Times New Roman" w:eastAsia="Times New Roman" w:hAnsi="Times New Roman" w:cs="Times New Roman"/>
                <w:b/>
                <w:bCs/>
                <w:sz w:val="24"/>
                <w:szCs w:val="24"/>
              </w:rPr>
              <w:t>Banks and others holding full-fledged licences</w:t>
            </w:r>
            <w:r>
              <w:rPr>
                <w:rFonts w:ascii="Times New Roman" w:eastAsia="Times New Roman" w:hAnsi="Times New Roman" w:cs="Times New Roman"/>
                <w:b/>
                <w:bCs/>
                <w:sz w:val="24"/>
                <w:szCs w:val="24"/>
              </w:rPr>
              <w:t xml:space="preserve">   of  controlling  foreign  exchanges </w:t>
            </w:r>
          </w:p>
          <w:p w:rsidR="00000000" w:rsidRPr="001A1788" w:rsidRDefault="0015359A" w:rsidP="001A1788">
            <w:pPr>
              <w:rPr>
                <w:rFonts w:ascii="Times New Roman" w:eastAsia="Times New Roman" w:hAnsi="Times New Roman" w:cs="Times New Roman"/>
                <w:sz w:val="24"/>
                <w:szCs w:val="24"/>
              </w:rPr>
            </w:pPr>
          </w:p>
        </w:tc>
      </w:tr>
      <w:tr w:rsidR="001A1788" w:rsidRPr="001A1788">
        <w:trPr>
          <w:tblCellSpacing w:w="0" w:type="dxa"/>
        </w:trPr>
        <w:tc>
          <w:tcPr>
            <w:tcW w:w="400" w:type="pct"/>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top w:val="single" w:sz="4" w:space="0" w:color="auto"/>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top w:val="single" w:sz="4" w:space="0" w:color="auto"/>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ABN AMRO Bank N.V.</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Abu Dhabi Commercial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Allahabad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American Express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Andhra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ANZ Grindlays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Arab Bangladesh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Bank Internasional Indonesia</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Bank of America National Trust and Savings Association</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Bank of Bahrain and Kuwait B.S.C.</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Bank of Baroda</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Bank of Ceylon</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Bank of India</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Bank of Madura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Bank of Maharashtra</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Bank Muscat International S.A.O.G.</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Bank of Nova Scotia</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Bank of Punjab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Bank of Rajasthan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Bank of Tokyo-Mitsubishi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Banque Nationale De Paris</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Barclays Bank p.l.c.</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Benares State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Bharat Overseas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Bombay Mercantile Co-operative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The British Bank of the Middle East</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Canara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Catholic Syrian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Central Bank of India</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Centurion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The Chase Manhattan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Chinatrust Commercial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Cho Hung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Citibank N.A.</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City Union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Commerzbank A.G.</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Corporation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Credit Agricole Indosuez</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Credit Lyonnais</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Dena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Deutsche Bank Aktiengesellschaft</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The Development Bank of Singapore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Development Credit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Dhanalakshmi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Dresdner Bank A.G.</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Federal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The Fuji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Global Trust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HDFC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The Hongkong and Shanghai Banking Corporation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ICICI Banking Corporation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IDBI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Indian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Indian Overseas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IndusInd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Internationale Nederlanden Bank (ING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Jammu and Kashmir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KBC Bank N.V.</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Karnataka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Karur Vysya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Krung Thai Bank Public Company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Lakshmi Vilas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Maharashtra State Co-operative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Mashreq Bank p.s.c.</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Morgan Guaranty Trust Co. of New York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Nedungadi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Oman International Bank S.A.O.G.</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Oriental Bank of Commerce</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Oversea-Chinese Banking Corporation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Punjab National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Punjab and Sind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The Sakura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Sangli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Sanwa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Saraswat Co-operative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SBI Commercial and International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The Siam Commercial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Societe Generale</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Sonali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South Indian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Standard Chartered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State Bank of Bikaner and Jaipur</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State Bank of Hyderabad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State Bank of India</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State Bank of Indore</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State Bank of Mauritius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State Bank of Mysore</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State Bank of Patiala</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State Bank of Saurashtra</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State Bank of Travancore</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The Sumitomo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Syndicate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Tamilnad Mercantile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Thomas Cook (India)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The Toronto Dominion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UCO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Union Bank of India</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United Bank of India</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United Western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UTI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Vijaya Bank</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Vysya Bank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gridSpan w:val="2"/>
            <w:tcBorders>
              <w:left w:val="single" w:sz="4" w:space="0" w:color="auto"/>
              <w:right w:val="single" w:sz="4" w:space="0" w:color="auto"/>
            </w:tcBorders>
            <w:hideMark/>
          </w:tcPr>
          <w:p w:rsidR="001A1788" w:rsidRPr="001A1788" w:rsidRDefault="001A1788" w:rsidP="001A1788">
            <w:pPr>
              <w:spacing w:before="100" w:beforeAutospacing="1" w:after="100" w:afterAutospacing="1" w:line="240" w:lineRule="auto"/>
              <w:jc w:val="right"/>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b/>
                <w:bCs/>
                <w:sz w:val="24"/>
                <w:szCs w:val="24"/>
              </w:rPr>
            </w:pPr>
            <w:r w:rsidRPr="001A1788">
              <w:rPr>
                <w:rFonts w:ascii="Times New Roman" w:eastAsia="Times New Roman" w:hAnsi="Times New Roman" w:cs="Times New Roman"/>
                <w:b/>
                <w:bCs/>
                <w:sz w:val="24"/>
                <w:szCs w:val="24"/>
              </w:rPr>
              <w:t>B.</w:t>
            </w: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b/>
                <w:bCs/>
                <w:sz w:val="24"/>
                <w:szCs w:val="24"/>
              </w:rPr>
            </w:pPr>
            <w:r w:rsidRPr="001A1788">
              <w:rPr>
                <w:rFonts w:ascii="Times New Roman" w:eastAsia="Times New Roman" w:hAnsi="Times New Roman" w:cs="Times New Roman"/>
                <w:b/>
                <w:bCs/>
                <w:sz w:val="24"/>
                <w:szCs w:val="24"/>
              </w:rPr>
              <w:t>Institutions holding restricted authorisation to deal in foreign exchange</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Export-Import Bank of India</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Industrial Credit &amp; Investment Corporation of India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Industrial Development Bank of India</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Industrial Finance Corporation of India</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SBI Factors and Commercial Services Pvt. Ltd.</w:t>
            </w:r>
          </w:p>
        </w:tc>
      </w:tr>
      <w:tr w:rsidR="001A1788" w:rsidRPr="001A1788" w:rsidTr="001A1788">
        <w:trPr>
          <w:tblCellSpacing w:w="0" w:type="dxa"/>
        </w:trPr>
        <w:tc>
          <w:tcPr>
            <w:tcW w:w="400" w:type="pct"/>
            <w:tcBorders>
              <w:lef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right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r>
      <w:tr w:rsidR="001A1788" w:rsidRPr="001A1788" w:rsidTr="001A1788">
        <w:trPr>
          <w:tblCellSpacing w:w="0" w:type="dxa"/>
        </w:trPr>
        <w:tc>
          <w:tcPr>
            <w:tcW w:w="400" w:type="pct"/>
            <w:tcBorders>
              <w:left w:val="single" w:sz="4" w:space="0" w:color="auto"/>
              <w:bottom w:val="single" w:sz="4" w:space="0" w:color="auto"/>
            </w:tcBorders>
            <w:hideMark/>
          </w:tcPr>
          <w:p w:rsidR="001A1788" w:rsidRPr="001A1788" w:rsidRDefault="001A1788" w:rsidP="001A1788">
            <w:pPr>
              <w:spacing w:after="0" w:line="240" w:lineRule="auto"/>
              <w:rPr>
                <w:rFonts w:ascii="Times New Roman" w:eastAsia="Times New Roman" w:hAnsi="Times New Roman" w:cs="Times New Roman"/>
                <w:sz w:val="24"/>
                <w:szCs w:val="24"/>
              </w:rPr>
            </w:pPr>
          </w:p>
        </w:tc>
        <w:tc>
          <w:tcPr>
            <w:tcW w:w="4600" w:type="pct"/>
            <w:tcBorders>
              <w:bottom w:val="single" w:sz="4" w:space="0" w:color="auto"/>
              <w:right w:val="single" w:sz="4" w:space="0" w:color="auto"/>
            </w:tcBorders>
            <w:hideMark/>
          </w:tcPr>
          <w:p w:rsidR="001A1788" w:rsidRPr="001A1788" w:rsidRDefault="001A1788" w:rsidP="001A1788">
            <w:pPr>
              <w:spacing w:before="100" w:beforeAutospacing="1" w:after="100" w:afterAutospacing="1" w:line="240" w:lineRule="auto"/>
              <w:rPr>
                <w:rFonts w:ascii="Times New Roman" w:eastAsia="Times New Roman" w:hAnsi="Times New Roman" w:cs="Times New Roman"/>
                <w:sz w:val="24"/>
                <w:szCs w:val="24"/>
              </w:rPr>
            </w:pPr>
            <w:r w:rsidRPr="001A1788">
              <w:rPr>
                <w:rFonts w:ascii="Times New Roman" w:eastAsia="Times New Roman" w:hAnsi="Times New Roman" w:cs="Times New Roman"/>
                <w:sz w:val="24"/>
                <w:szCs w:val="24"/>
              </w:rPr>
              <w:t>Small Industries Development Bank of India</w:t>
            </w:r>
          </w:p>
        </w:tc>
      </w:tr>
    </w:tbl>
    <w:p w:rsidR="002F7FCB" w:rsidRPr="002F7FCB" w:rsidRDefault="002F7FCB">
      <w:pPr>
        <w:rPr>
          <w:sz w:val="28"/>
          <w:szCs w:val="28"/>
        </w:rPr>
      </w:pPr>
    </w:p>
    <w:sectPr w:rsidR="002F7FCB" w:rsidRPr="002F7FCB">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59A" w:rsidRDefault="0015359A" w:rsidP="001A1788">
      <w:pPr>
        <w:spacing w:after="0" w:line="240" w:lineRule="auto"/>
      </w:pPr>
      <w:r>
        <w:separator/>
      </w:r>
    </w:p>
  </w:endnote>
  <w:endnote w:type="continuationSeparator" w:id="1">
    <w:p w:rsidR="0015359A" w:rsidRDefault="0015359A" w:rsidP="001A17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59A" w:rsidRDefault="0015359A" w:rsidP="001A1788">
      <w:pPr>
        <w:spacing w:after="0" w:line="240" w:lineRule="auto"/>
      </w:pPr>
      <w:r>
        <w:separator/>
      </w:r>
    </w:p>
  </w:footnote>
  <w:footnote w:type="continuationSeparator" w:id="1">
    <w:p w:rsidR="0015359A" w:rsidRDefault="0015359A" w:rsidP="001A17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AC4C0D3FD4F8497E8BBAA090FE0A6469"/>
      </w:placeholder>
      <w:dataBinding w:prefixMappings="xmlns:ns0='http://schemas.openxmlformats.org/package/2006/metadata/core-properties' xmlns:ns1='http://purl.org/dc/elements/1.1/'" w:xpath="/ns0:coreProperties[1]/ns1:title[1]" w:storeItemID="{6C3C8BC8-F283-45AE-878A-BAB7291924A1}"/>
      <w:text/>
    </w:sdtPr>
    <w:sdtContent>
      <w:p w:rsidR="001A1788" w:rsidRDefault="00E1419B">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AUTHORISED  DEALER</w:t>
        </w:r>
      </w:p>
    </w:sdtContent>
  </w:sdt>
  <w:p w:rsidR="001A1788" w:rsidRDefault="001A17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3E1910"/>
    <w:multiLevelType w:val="multilevel"/>
    <w:tmpl w:val="9E967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2F7FCB"/>
    <w:rsid w:val="0015359A"/>
    <w:rsid w:val="001A1788"/>
    <w:rsid w:val="002F7FCB"/>
    <w:rsid w:val="00503C5D"/>
    <w:rsid w:val="00626A4A"/>
    <w:rsid w:val="00E141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F7FCB"/>
    <w:pPr>
      <w:spacing w:before="100" w:beforeAutospacing="1" w:after="100" w:afterAutospacing="1" w:line="240" w:lineRule="auto"/>
      <w:outlineLvl w:val="1"/>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F7FCB"/>
    <w:rPr>
      <w:rFonts w:ascii="Times New Roman" w:eastAsia="Times New Roman" w:hAnsi="Times New Roman" w:cs="Times New Roman"/>
      <w:sz w:val="24"/>
      <w:szCs w:val="24"/>
    </w:rPr>
  </w:style>
  <w:style w:type="paragraph" w:styleId="NormalWeb">
    <w:name w:val="Normal (Web)"/>
    <w:basedOn w:val="Normal"/>
    <w:uiPriority w:val="99"/>
    <w:unhideWhenUsed/>
    <w:rsid w:val="001A178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A17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788"/>
  </w:style>
  <w:style w:type="paragraph" w:styleId="Footer">
    <w:name w:val="footer"/>
    <w:basedOn w:val="Normal"/>
    <w:link w:val="FooterChar"/>
    <w:uiPriority w:val="99"/>
    <w:semiHidden/>
    <w:unhideWhenUsed/>
    <w:rsid w:val="001A178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A1788"/>
  </w:style>
  <w:style w:type="paragraph" w:styleId="BalloonText">
    <w:name w:val="Balloon Text"/>
    <w:basedOn w:val="Normal"/>
    <w:link w:val="BalloonTextChar"/>
    <w:uiPriority w:val="99"/>
    <w:semiHidden/>
    <w:unhideWhenUsed/>
    <w:rsid w:val="001A17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7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5051145">
      <w:bodyDiv w:val="1"/>
      <w:marLeft w:val="525"/>
      <w:marRight w:val="525"/>
      <w:marTop w:val="0"/>
      <w:marBottom w:val="0"/>
      <w:divBdr>
        <w:top w:val="none" w:sz="0" w:space="0" w:color="auto"/>
        <w:left w:val="none" w:sz="0" w:space="0" w:color="auto"/>
        <w:bottom w:val="none" w:sz="0" w:space="0" w:color="auto"/>
        <w:right w:val="none" w:sz="0" w:space="0" w:color="auto"/>
      </w:divBdr>
      <w:divsChild>
        <w:div w:id="897859036">
          <w:marLeft w:val="0"/>
          <w:marRight w:val="0"/>
          <w:marTop w:val="0"/>
          <w:marBottom w:val="0"/>
          <w:divBdr>
            <w:top w:val="none" w:sz="0" w:space="0" w:color="auto"/>
            <w:left w:val="none" w:sz="0" w:space="0" w:color="auto"/>
            <w:bottom w:val="none" w:sz="0" w:space="0" w:color="auto"/>
            <w:right w:val="none" w:sz="0" w:space="0" w:color="auto"/>
          </w:divBdr>
          <w:divsChild>
            <w:div w:id="602539110">
              <w:marLeft w:val="0"/>
              <w:marRight w:val="0"/>
              <w:marTop w:val="75"/>
              <w:marBottom w:val="150"/>
              <w:divBdr>
                <w:top w:val="none" w:sz="0" w:space="0" w:color="auto"/>
                <w:left w:val="none" w:sz="0" w:space="0" w:color="auto"/>
                <w:bottom w:val="none" w:sz="0" w:space="0" w:color="auto"/>
                <w:right w:val="none" w:sz="0" w:space="0" w:color="auto"/>
              </w:divBdr>
              <w:divsChild>
                <w:div w:id="1269387277">
                  <w:marLeft w:val="0"/>
                  <w:marRight w:val="0"/>
                  <w:marTop w:val="0"/>
                  <w:marBottom w:val="0"/>
                  <w:divBdr>
                    <w:top w:val="none" w:sz="0" w:space="0" w:color="auto"/>
                    <w:left w:val="none" w:sz="0" w:space="0" w:color="auto"/>
                    <w:bottom w:val="none" w:sz="0" w:space="0" w:color="auto"/>
                    <w:right w:val="none" w:sz="0" w:space="0" w:color="auto"/>
                  </w:divBdr>
                  <w:divsChild>
                    <w:div w:id="174270545">
                      <w:marLeft w:val="0"/>
                      <w:marRight w:val="0"/>
                      <w:marTop w:val="0"/>
                      <w:marBottom w:val="0"/>
                      <w:divBdr>
                        <w:top w:val="none" w:sz="0" w:space="0" w:color="auto"/>
                        <w:left w:val="none" w:sz="0" w:space="0" w:color="auto"/>
                        <w:bottom w:val="none" w:sz="0" w:space="0" w:color="auto"/>
                        <w:right w:val="none" w:sz="0" w:space="0" w:color="auto"/>
                      </w:divBdr>
                      <w:divsChild>
                        <w:div w:id="959725583">
                          <w:marLeft w:val="0"/>
                          <w:marRight w:val="0"/>
                          <w:marTop w:val="0"/>
                          <w:marBottom w:val="0"/>
                          <w:divBdr>
                            <w:top w:val="none" w:sz="0" w:space="0" w:color="auto"/>
                            <w:left w:val="none" w:sz="0" w:space="0" w:color="auto"/>
                            <w:bottom w:val="none" w:sz="0" w:space="0" w:color="auto"/>
                            <w:right w:val="none" w:sz="0" w:space="0" w:color="auto"/>
                          </w:divBdr>
                          <w:divsChild>
                            <w:div w:id="1018891320">
                              <w:marLeft w:val="0"/>
                              <w:marRight w:val="0"/>
                              <w:marTop w:val="0"/>
                              <w:marBottom w:val="0"/>
                              <w:divBdr>
                                <w:top w:val="none" w:sz="0" w:space="0" w:color="auto"/>
                                <w:left w:val="none" w:sz="0" w:space="0" w:color="auto"/>
                                <w:bottom w:val="none" w:sz="0" w:space="0" w:color="auto"/>
                                <w:right w:val="none" w:sz="0" w:space="0" w:color="auto"/>
                              </w:divBdr>
                              <w:divsChild>
                                <w:div w:id="406995294">
                                  <w:marLeft w:val="0"/>
                                  <w:marRight w:val="0"/>
                                  <w:marTop w:val="0"/>
                                  <w:marBottom w:val="0"/>
                                  <w:divBdr>
                                    <w:top w:val="none" w:sz="0" w:space="0" w:color="auto"/>
                                    <w:left w:val="none" w:sz="0" w:space="0" w:color="auto"/>
                                    <w:bottom w:val="none" w:sz="0" w:space="0" w:color="auto"/>
                                    <w:right w:val="none" w:sz="0" w:space="0" w:color="auto"/>
                                  </w:divBdr>
                                  <w:divsChild>
                                    <w:div w:id="2028603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727543">
      <w:bodyDiv w:val="1"/>
      <w:marLeft w:val="0"/>
      <w:marRight w:val="0"/>
      <w:marTop w:val="100"/>
      <w:marBottom w:val="100"/>
      <w:divBdr>
        <w:top w:val="none" w:sz="0" w:space="0" w:color="auto"/>
        <w:left w:val="none" w:sz="0" w:space="0" w:color="auto"/>
        <w:bottom w:val="none" w:sz="0" w:space="0" w:color="auto"/>
        <w:right w:val="none" w:sz="0" w:space="0" w:color="auto"/>
      </w:divBdr>
      <w:divsChild>
        <w:div w:id="81729083">
          <w:marLeft w:val="0"/>
          <w:marRight w:val="0"/>
          <w:marTop w:val="0"/>
          <w:marBottom w:val="0"/>
          <w:divBdr>
            <w:top w:val="none" w:sz="0" w:space="0" w:color="auto"/>
            <w:left w:val="none" w:sz="0" w:space="0" w:color="auto"/>
            <w:bottom w:val="none" w:sz="0" w:space="0" w:color="auto"/>
            <w:right w:val="none" w:sz="0" w:space="0" w:color="auto"/>
          </w:divBdr>
          <w:divsChild>
            <w:div w:id="1914116545">
              <w:marLeft w:val="0"/>
              <w:marRight w:val="0"/>
              <w:marTop w:val="100"/>
              <w:marBottom w:val="100"/>
              <w:divBdr>
                <w:top w:val="none" w:sz="0" w:space="0" w:color="auto"/>
                <w:left w:val="none" w:sz="0" w:space="0" w:color="auto"/>
                <w:bottom w:val="none" w:sz="0" w:space="0" w:color="auto"/>
                <w:right w:val="none" w:sz="0" w:space="0" w:color="auto"/>
              </w:divBdr>
              <w:divsChild>
                <w:div w:id="51773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C4C0D3FD4F8497E8BBAA090FE0A6469"/>
        <w:category>
          <w:name w:val="General"/>
          <w:gallery w:val="placeholder"/>
        </w:category>
        <w:types>
          <w:type w:val="bbPlcHdr"/>
        </w:types>
        <w:behaviors>
          <w:behavior w:val="content"/>
        </w:behaviors>
        <w:guid w:val="{6590186E-7DA6-4831-8A71-7F579CF85B7E}"/>
      </w:docPartPr>
      <w:docPartBody>
        <w:p w:rsidR="00000000" w:rsidRDefault="0088288A" w:rsidP="0088288A">
          <w:pPr>
            <w:pStyle w:val="AC4C0D3FD4F8497E8BBAA090FE0A646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8288A"/>
    <w:rsid w:val="002F4DBA"/>
    <w:rsid w:val="008828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4C0D3FD4F8497E8BBAA090FE0A6469">
    <w:name w:val="AC4C0D3FD4F8497E8BBAA090FE0A6469"/>
    <w:rsid w:val="0088288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0CC06-8E0B-470D-A97E-1CCBD0DAC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5959</Characters>
  <Application>Microsoft Office Word</Application>
  <DocSecurity>0</DocSecurity>
  <Lines>49</Lines>
  <Paragraphs>13</Paragraphs>
  <ScaleCrop>false</ScaleCrop>
  <Company/>
  <LinksUpToDate>false</LinksUpToDate>
  <CharactersWithSpaces>6991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AUTHORISED  DEALER</dc:title>
  <dc:creator>STUDENT</dc:creator>
  <cp:lastModifiedBy>STUDENT</cp:lastModifiedBy>
  <cp:revision>4</cp:revision>
  <dcterms:created xsi:type="dcterms:W3CDTF">2012-08-28T13:49:00Z</dcterms:created>
  <dcterms:modified xsi:type="dcterms:W3CDTF">2012-08-28T13:49:00Z</dcterms:modified>
</cp:coreProperties>
</file>