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A2" w:rsidRPr="00ED22A2" w:rsidRDefault="00ED22A2" w:rsidP="00ED22A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IN"/>
        </w:rPr>
      </w:pPr>
      <w:r w:rsidRPr="00CA6DB4">
        <w:rPr>
          <w:rFonts w:eastAsia="Times New Roman" w:cstheme="minorHAnsi"/>
          <w:b/>
          <w:bCs/>
          <w:sz w:val="36"/>
          <w:szCs w:val="36"/>
          <w:lang w:eastAsia="en-IN"/>
        </w:rPr>
        <w:t>Difference between government's and activists' drafts</w:t>
      </w:r>
    </w:p>
    <w:tbl>
      <w:tblPr>
        <w:tblStyle w:val="LightShading-Accent5"/>
        <w:tblW w:w="0" w:type="auto"/>
        <w:tblLook w:val="04A0"/>
      </w:tblPr>
      <w:tblGrid>
        <w:gridCol w:w="3595"/>
        <w:gridCol w:w="5647"/>
      </w:tblGrid>
      <w:tr w:rsidR="00ED22A2" w:rsidRPr="00ED22A2" w:rsidTr="00CA6DB4">
        <w:trPr>
          <w:cnfStyle w:val="100000000000"/>
        </w:trPr>
        <w:tc>
          <w:tcPr>
            <w:cnfStyle w:val="001000000000"/>
            <w:tcW w:w="0" w:type="auto"/>
            <w:gridSpan w:val="2"/>
            <w:hideMark/>
          </w:tcPr>
          <w:p w:rsidR="00ED22A2" w:rsidRPr="00ED22A2" w:rsidRDefault="00ED22A2" w:rsidP="00CA6DB4">
            <w:pPr>
              <w:jc w:val="center"/>
              <w:rPr>
                <w:rFonts w:eastAsia="Times New Roman" w:cstheme="minorHAnsi"/>
                <w:b w:val="0"/>
                <w:i/>
                <w:sz w:val="24"/>
                <w:szCs w:val="24"/>
                <w:lang w:eastAsia="en-IN"/>
              </w:rPr>
            </w:pPr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Jan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Bill (Citizen's Ombudsman Bill)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jc w:val="center"/>
              <w:cnfStyle w:val="000000100000"/>
              <w:rPr>
                <w:rFonts w:eastAsia="Times New Roman" w:cstheme="minorHAnsi"/>
                <w:b/>
                <w:bCs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b/>
                <w:bCs/>
                <w:sz w:val="24"/>
                <w:szCs w:val="24"/>
                <w:lang w:eastAsia="en-IN"/>
              </w:rPr>
              <w:t xml:space="preserve">Draft </w:t>
            </w:r>
            <w:proofErr w:type="spellStart"/>
            <w:r w:rsidRPr="00ED22A2">
              <w:rPr>
                <w:rFonts w:eastAsia="Times New Roman" w:cstheme="minorHAnsi"/>
                <w:b/>
                <w:b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b/>
                <w:bCs/>
                <w:sz w:val="24"/>
                <w:szCs w:val="24"/>
                <w:lang w:eastAsia="en-IN"/>
              </w:rPr>
              <w:t xml:space="preserve"> Bill (2010)</w:t>
            </w:r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have powers to initiate </w:t>
            </w:r>
            <w:hyperlink r:id="rId5" w:tooltip="Suo motu" w:history="1">
              <w:proofErr w:type="spellStart"/>
              <w:r w:rsidRPr="00CA6DB4">
                <w:rPr>
                  <w:rFonts w:eastAsia="Times New Roman" w:cstheme="minorHAnsi"/>
                  <w:i/>
                  <w:iCs/>
                  <w:color w:val="0000FF"/>
                  <w:sz w:val="24"/>
                  <w:szCs w:val="24"/>
                  <w:u w:val="single"/>
                  <w:lang w:eastAsia="en-IN"/>
                </w:rPr>
                <w:t>suo</w:t>
              </w:r>
              <w:proofErr w:type="spellEnd"/>
              <w:r w:rsidRPr="00CA6DB4">
                <w:rPr>
                  <w:rFonts w:eastAsia="Times New Roman" w:cstheme="minorHAnsi"/>
                  <w:i/>
                  <w:iCs/>
                  <w:color w:val="0000FF"/>
                  <w:sz w:val="24"/>
                  <w:szCs w:val="24"/>
                  <w:u w:val="single"/>
                  <w:lang w:eastAsia="en-IN"/>
                </w:rPr>
                <w:t xml:space="preserve"> </w:t>
              </w:r>
              <w:proofErr w:type="spellStart"/>
              <w:r w:rsidRPr="00CA6DB4">
                <w:rPr>
                  <w:rFonts w:eastAsia="Times New Roman" w:cstheme="minorHAnsi"/>
                  <w:i/>
                  <w:iCs/>
                  <w:color w:val="0000FF"/>
                  <w:sz w:val="24"/>
                  <w:szCs w:val="24"/>
                  <w:u w:val="single"/>
                  <w:lang w:eastAsia="en-IN"/>
                </w:rPr>
                <w:t>motu</w:t>
              </w:r>
              <w:proofErr w:type="spellEnd"/>
            </w:hyperlink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action or receive complaints of corruption from the general public.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have no power to initiate </w:t>
            </w:r>
            <w:hyperlink r:id="rId6" w:tooltip="Suo motu" w:history="1">
              <w:proofErr w:type="spellStart"/>
              <w:r w:rsidRPr="00CA6DB4">
                <w:rPr>
                  <w:rFonts w:eastAsia="Times New Roman" w:cstheme="minorHAnsi"/>
                  <w:i/>
                  <w:iCs/>
                  <w:color w:val="0000FF"/>
                  <w:sz w:val="24"/>
                  <w:szCs w:val="24"/>
                  <w:u w:val="single"/>
                  <w:lang w:eastAsia="en-IN"/>
                </w:rPr>
                <w:t>suo</w:t>
              </w:r>
              <w:proofErr w:type="spellEnd"/>
              <w:r w:rsidRPr="00CA6DB4">
                <w:rPr>
                  <w:rFonts w:eastAsia="Times New Roman" w:cstheme="minorHAnsi"/>
                  <w:i/>
                  <w:iCs/>
                  <w:color w:val="0000FF"/>
                  <w:sz w:val="24"/>
                  <w:szCs w:val="24"/>
                  <w:u w:val="single"/>
                  <w:lang w:eastAsia="en-IN"/>
                </w:rPr>
                <w:t xml:space="preserve"> </w:t>
              </w:r>
              <w:proofErr w:type="spellStart"/>
              <w:r w:rsidRPr="00CA6DB4">
                <w:rPr>
                  <w:rFonts w:eastAsia="Times New Roman" w:cstheme="minorHAnsi"/>
                  <w:i/>
                  <w:iCs/>
                  <w:color w:val="0000FF"/>
                  <w:sz w:val="24"/>
                  <w:szCs w:val="24"/>
                  <w:u w:val="single"/>
                  <w:lang w:eastAsia="en-IN"/>
                </w:rPr>
                <w:t>motu</w:t>
              </w:r>
              <w:proofErr w:type="spellEnd"/>
            </w:hyperlink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action or receive complaints of corruption from the general public. It can only probe complaints forwarded by the Speaker of the </w:t>
            </w: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</w:t>
            </w:r>
            <w:proofErr w:type="spellEnd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Sabha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or the Chairman of the </w:t>
            </w: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Rajya</w:t>
            </w:r>
            <w:proofErr w:type="spellEnd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Sabha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.</w:t>
            </w:r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have the power to initiate prosecution of anyone found guilty.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only be an Advisory Body with a role limited to forwarding reports to a "Competent Authority".</w:t>
            </w:r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have police powers as well as the ability to register FIRs.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have no police powers and no ability to register an </w:t>
            </w:r>
            <w:hyperlink r:id="rId7" w:tooltip="First Information Report" w:history="1">
              <w:r w:rsidRPr="00CA6DB4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en-IN"/>
                </w:rPr>
                <w:t>FIR</w:t>
              </w:r>
            </w:hyperlink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or proceed with criminal investigations.</w:t>
            </w:r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and the anti corruption wing of the CBI will be one independent body.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The CBI and </w:t>
            </w:r>
            <w:proofErr w:type="spellStart"/>
            <w:r w:rsidRPr="00ED22A2">
              <w:rPr>
                <w:rFonts w:eastAsia="Times New Roman" w:cstheme="minorHAnsi"/>
                <w:i/>
                <w:iCs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be unconnected.</w:t>
            </w:r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Punishments will be a minimum of 1 year and a maximum of up to life imprisonment.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Punishment for corruption will be a minimum of 6 months and a maximum of up to 7 years.</w:t>
            </w:r>
          </w:p>
        </w:tc>
      </w:tr>
    </w:tbl>
    <w:p w:rsidR="00ED22A2" w:rsidRPr="00ED22A2" w:rsidRDefault="00ED22A2" w:rsidP="00ED22A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IN"/>
        </w:rPr>
      </w:pPr>
      <w:r w:rsidRPr="00CA6DB4">
        <w:rPr>
          <w:rFonts w:eastAsia="Times New Roman" w:cstheme="minorHAnsi"/>
          <w:b/>
          <w:bCs/>
          <w:sz w:val="27"/>
          <w:szCs w:val="27"/>
          <w:lang w:eastAsia="en-IN"/>
        </w:rPr>
        <w:t>Details</w:t>
      </w:r>
    </w:p>
    <w:p w:rsidR="00ED22A2" w:rsidRPr="00ED22A2" w:rsidRDefault="00ED22A2" w:rsidP="00ED22A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ED22A2">
        <w:rPr>
          <w:rFonts w:eastAsia="Times New Roman" w:cstheme="minorHAnsi"/>
          <w:sz w:val="24"/>
          <w:szCs w:val="24"/>
          <w:lang w:eastAsia="en-IN"/>
        </w:rPr>
        <w:t>The following table details differences between the Government and activist backed versions.</w:t>
      </w:r>
      <w:r w:rsidR="00CA6DB4" w:rsidRPr="00ED22A2">
        <w:rPr>
          <w:rFonts w:eastAsia="Times New Roman" w:cstheme="minorHAnsi"/>
          <w:sz w:val="24"/>
          <w:szCs w:val="24"/>
          <w:lang w:eastAsia="en-IN"/>
        </w:rPr>
        <w:t xml:space="preserve"> </w:t>
      </w:r>
    </w:p>
    <w:p w:rsidR="00ED22A2" w:rsidRPr="00ED22A2" w:rsidRDefault="00ED22A2" w:rsidP="00ED22A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ED22A2">
        <w:rPr>
          <w:rFonts w:eastAsia="Times New Roman" w:cstheme="minorHAnsi"/>
          <w:sz w:val="24"/>
          <w:szCs w:val="24"/>
          <w:lang w:eastAsia="en-IN"/>
        </w:rPr>
        <w:t xml:space="preserve">Comparison </w:t>
      </w:r>
      <w:proofErr w:type="spellStart"/>
      <w:r w:rsidRPr="00ED22A2">
        <w:rPr>
          <w:rFonts w:eastAsia="Times New Roman" w:cstheme="minorHAnsi"/>
          <w:sz w:val="24"/>
          <w:szCs w:val="24"/>
          <w:lang w:eastAsia="en-IN"/>
        </w:rPr>
        <w:t>SlideShow</w:t>
      </w:r>
      <w:proofErr w:type="spellEnd"/>
      <w:r w:rsidRPr="00ED22A2">
        <w:rPr>
          <w:rFonts w:eastAsia="Times New Roman" w:cstheme="minorHAnsi"/>
          <w:sz w:val="24"/>
          <w:szCs w:val="24"/>
          <w:lang w:eastAsia="en-IN"/>
        </w:rPr>
        <w:t xml:space="preserve"> uploaded by India </w:t>
      </w:r>
      <w:proofErr w:type="gramStart"/>
      <w:r w:rsidRPr="00ED22A2">
        <w:rPr>
          <w:rFonts w:eastAsia="Times New Roman" w:cstheme="minorHAnsi"/>
          <w:sz w:val="24"/>
          <w:szCs w:val="24"/>
          <w:lang w:eastAsia="en-IN"/>
        </w:rPr>
        <w:t>Against</w:t>
      </w:r>
      <w:proofErr w:type="gramEnd"/>
      <w:r w:rsidRPr="00ED22A2">
        <w:rPr>
          <w:rFonts w:eastAsia="Times New Roman" w:cstheme="minorHAnsi"/>
          <w:sz w:val="24"/>
          <w:szCs w:val="24"/>
          <w:lang w:eastAsia="en-IN"/>
        </w:rPr>
        <w:t xml:space="preserve"> Corruption.</w:t>
      </w:r>
      <w:hyperlink r:id="rId8" w:anchor="cite_note-GoogleDocs-28" w:history="1">
        <w:r w:rsidRPr="00ED22A2">
          <w:rPr>
            <w:rFonts w:eastAsia="Times New Roman" w:cstheme="minorHAnsi"/>
            <w:color w:val="0000FF"/>
            <w:sz w:val="24"/>
            <w:szCs w:val="24"/>
            <w:u w:val="single"/>
            <w:vertAlign w:val="superscript"/>
            <w:lang w:eastAsia="en-IN"/>
          </w:rPr>
          <w:t>[29]</w:t>
        </w:r>
      </w:hyperlink>
    </w:p>
    <w:tbl>
      <w:tblPr>
        <w:tblStyle w:val="LightShading-Accent5"/>
        <w:tblW w:w="0" w:type="auto"/>
        <w:tblLook w:val="04A0"/>
      </w:tblPr>
      <w:tblGrid>
        <w:gridCol w:w="2209"/>
        <w:gridCol w:w="3746"/>
        <w:gridCol w:w="3287"/>
      </w:tblGrid>
      <w:tr w:rsidR="00ED22A2" w:rsidRPr="00ED22A2" w:rsidTr="00CA6DB4">
        <w:trPr>
          <w:cnfStyle w:val="100000000000"/>
        </w:trPr>
        <w:tc>
          <w:tcPr>
            <w:cnfStyle w:val="001000000000"/>
            <w:tcW w:w="2250" w:type="dxa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Issue</w:t>
            </w:r>
          </w:p>
        </w:tc>
        <w:tc>
          <w:tcPr>
            <w:tcW w:w="6000" w:type="dxa"/>
            <w:hideMark/>
          </w:tcPr>
          <w:p w:rsidR="00ED22A2" w:rsidRPr="00ED22A2" w:rsidRDefault="00ED22A2" w:rsidP="00ED22A2">
            <w:pPr>
              <w:jc w:val="center"/>
              <w:cnfStyle w:val="1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The Jan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Bill</w:t>
            </w:r>
            <w:hyperlink r:id="rId9" w:anchor="cite_note-JanLokpalPDF-9" w:history="1">
              <w:r w:rsidRPr="00ED22A2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vertAlign w:val="superscript"/>
                  <w:lang w:eastAsia="en-IN"/>
                </w:rPr>
                <w:t>[10]</w:t>
              </w:r>
            </w:hyperlink>
          </w:p>
        </w:tc>
        <w:tc>
          <w:tcPr>
            <w:tcW w:w="6000" w:type="dxa"/>
            <w:hideMark/>
          </w:tcPr>
          <w:p w:rsidR="00ED22A2" w:rsidRPr="00ED22A2" w:rsidRDefault="00ED22A2" w:rsidP="00ED22A2">
            <w:pPr>
              <w:jc w:val="center"/>
              <w:cnfStyle w:val="1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Government's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Bill</w:t>
            </w:r>
            <w:hyperlink r:id="rId10" w:anchor="cite_note-ls_passed_lkpb-1" w:history="1">
              <w:r w:rsidRPr="00ED22A2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vertAlign w:val="superscript"/>
                  <w:lang w:eastAsia="en-IN"/>
                </w:rPr>
                <w:t>[2]</w:t>
              </w:r>
            </w:hyperlink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hyperlink r:id="rId11" w:tooltip="Prime Minister of India" w:history="1">
              <w:r w:rsidRPr="00CA6DB4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en-IN"/>
                </w:rPr>
                <w:t>Prime Minister</w:t>
              </w:r>
            </w:hyperlink>
          </w:p>
        </w:tc>
        <w:tc>
          <w:tcPr>
            <w:tcW w:w="0" w:type="auto"/>
            <w:hideMark/>
          </w:tcPr>
          <w:p w:rsidR="00ED22A2" w:rsidRPr="00ED22A2" w:rsidRDefault="00ED22A2" w:rsidP="00CA6DB4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PM can be investigated with permission of seven member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bench.</w:t>
            </w:r>
            <w:r w:rsidR="00CA6DB4" w:rsidRPr="00ED22A2">
              <w:rPr>
                <w:rFonts w:eastAsia="Times New Roman" w:cstheme="minorHAnsi"/>
                <w:sz w:val="24"/>
                <w:szCs w:val="24"/>
                <w:vertAlign w:val="superscript"/>
                <w:lang w:eastAsia="en-IN"/>
              </w:rPr>
              <w:t xml:space="preserve"> </w:t>
            </w:r>
            <w:hyperlink r:id="rId12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PM can be investigated by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after she/he vacates office.</w:t>
            </w:r>
            <w:hyperlink r:id="rId13" w:anchor="cite_note-29" w:history="1">
              <w:r w:rsidRPr="00ED22A2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vertAlign w:val="superscript"/>
                  <w:lang w:eastAsia="en-IN"/>
                </w:rPr>
                <w:t>[30]</w:t>
              </w:r>
            </w:hyperlink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hyperlink r:id="rId14" w:tooltip="Judiciary of India" w:history="1">
              <w:r w:rsidRPr="00CA6DB4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en-IN"/>
                </w:rPr>
                <w:t>Judiciary</w:t>
              </w:r>
            </w:hyperlink>
          </w:p>
        </w:tc>
        <w:tc>
          <w:tcPr>
            <w:tcW w:w="0" w:type="auto"/>
            <w:hideMark/>
          </w:tcPr>
          <w:p w:rsidR="00ED22A2" w:rsidRPr="00ED22A2" w:rsidRDefault="00ED22A2" w:rsidP="00CA6DB4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Can be investigated, though high level members may be investigated only with permission of a seven member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bench.</w:t>
            </w:r>
            <w:r w:rsidR="00CA6DB4" w:rsidRPr="00ED22A2">
              <w:rPr>
                <w:rFonts w:eastAsia="Times New Roman" w:cstheme="minorHAnsi"/>
                <w:sz w:val="24"/>
                <w:szCs w:val="24"/>
                <w:vertAlign w:val="superscript"/>
                <w:lang w:eastAsia="en-IN"/>
              </w:rPr>
              <w:t xml:space="preserve"> </w:t>
            </w:r>
            <w:hyperlink r:id="rId15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Judiciary is exempt and will be covered by a separate "judicial accountability bill".</w:t>
            </w:r>
            <w:hyperlink r:id="rId16" w:anchor="cite_note-ToIDiff-26" w:history="1"/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Conduct of </w:t>
            </w:r>
            <w:hyperlink r:id="rId17" w:tooltip="Parliament of India" w:history="1">
              <w:r w:rsidRPr="00CA6DB4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en-IN"/>
                </w:rPr>
                <w:t>MPs</w:t>
              </w:r>
            </w:hyperlink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Can be investigated with permission of seven member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bench.</w:t>
            </w:r>
            <w:r w:rsidRPr="00ED22A2">
              <w:rPr>
                <w:rFonts w:eastAsia="Times New Roman" w:cstheme="minorHAnsi"/>
                <w:sz w:val="24"/>
                <w:szCs w:val="24"/>
                <w:vertAlign w:val="superscript"/>
                <w:lang w:eastAsia="en-IN"/>
              </w:rPr>
              <w:t>[</w:t>
            </w:r>
            <w:hyperlink r:id="rId18" w:tooltip="Wikipedia:Please clarify" w:history="1">
              <w:r w:rsidRPr="00CA6DB4">
                <w:rPr>
                  <w:rFonts w:eastAsia="Times New Roman" w:cstheme="minorHAnsi"/>
                  <w:i/>
                  <w:iCs/>
                  <w:color w:val="0000FF"/>
                  <w:sz w:val="24"/>
                  <w:szCs w:val="24"/>
                  <w:u w:val="single"/>
                  <w:vertAlign w:val="superscript"/>
                  <w:lang w:eastAsia="en-IN"/>
                </w:rPr>
                <w:t>clarification needed</w:t>
              </w:r>
            </w:hyperlink>
            <w:r w:rsidRPr="00ED22A2">
              <w:rPr>
                <w:rFonts w:eastAsia="Times New Roman" w:cstheme="minorHAnsi"/>
                <w:sz w:val="24"/>
                <w:szCs w:val="24"/>
                <w:vertAlign w:val="superscript"/>
                <w:lang w:eastAsia="en-IN"/>
              </w:rPr>
              <w:t>]</w:t>
            </w:r>
            <w:hyperlink r:id="rId19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Can be investigated, but their conduct within Parliament, such as voting, cannot be investigated.</w:t>
            </w:r>
            <w:hyperlink r:id="rId20" w:anchor="cite_note-ToIDiff-26" w:history="1"/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Lower bureaucracy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All public servants would be included.</w:t>
            </w:r>
            <w:hyperlink r:id="rId21" w:anchor="cite_note-ToIDiff-26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Only senior officers (Group A) will be covered.</w:t>
            </w:r>
            <w:hyperlink r:id="rId22" w:anchor="cite_note-ToIDiff-26" w:history="1"/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Anti-Corruption wing of the </w:t>
            </w:r>
            <w:r w:rsidRPr="00CA6DB4">
              <w:rPr>
                <w:rFonts w:eastAsia="Times New Roman" w:cstheme="minorHAnsi"/>
                <w:color w:val="0000FF"/>
                <w:sz w:val="24"/>
                <w:szCs w:val="24"/>
                <w:u w:val="single"/>
                <w:lang w:eastAsia="en-IN"/>
              </w:rPr>
              <w:t>Central Bureau of Investigation (CBI)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The Anti-Corruption wing of the CBI will be merged into the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.</w:t>
            </w:r>
            <w:hyperlink r:id="rId23" w:anchor="cite_note-ToIDiff-26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The Anti-Corruption wing of the CBI cannot be merged into the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.</w:t>
            </w:r>
            <w:hyperlink r:id="rId24" w:anchor="cite_note-HinduDiff-25" w:history="1"/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lastRenderedPageBreak/>
              <w:t xml:space="preserve">Removal of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members and Chair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Any person can bring a complaint to the Supreme Court, who can then recommend removal of any member to the President.</w:t>
            </w:r>
            <w:hyperlink r:id="rId25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Any "aggrieved party" can raise a complaint to the President, who will refer the matter to the CJI.</w:t>
            </w:r>
            <w:hyperlink r:id="rId26" w:anchor="cite_note-HinduDiff-25" w:history="1"/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Removal of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staff and officers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Complaints against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staff will be handled by independent </w:t>
            </w:r>
            <w:proofErr w:type="gram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boards</w:t>
            </w:r>
            <w:proofErr w:type="gram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set-up in each state, composed of retired bureaucrats, judges, and civil society members.</w:t>
            </w:r>
            <w:hyperlink r:id="rId27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will conduct inquiries into its own behaviour.</w:t>
            </w:r>
            <w:hyperlink r:id="rId28" w:anchor="cite_note-HinduDiff-25" w:history="1"/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hyperlink r:id="rId29" w:tooltip="Lokayukta" w:history="1">
              <w:proofErr w:type="spellStart"/>
              <w:r w:rsidRPr="00CA6DB4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en-IN"/>
                </w:rPr>
                <w:t>Lokayukta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Lokayukta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and other local/state anti-corruption agency would remain in place.</w:t>
            </w:r>
            <w:hyperlink r:id="rId30" w:anchor="cite_note-ToIDiff-26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All state anti-corruption agencies would be closed and responsibilities taken over by centralised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.</w:t>
            </w:r>
            <w:hyperlink r:id="rId31" w:anchor="cite_note-ToIDiff-26" w:history="1"/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hyperlink r:id="rId32" w:tooltip="Whistleblower" w:history="1">
              <w:r w:rsidRPr="00CA6DB4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en-IN"/>
                </w:rPr>
                <w:t>Whistleblower</w:t>
              </w:r>
            </w:hyperlink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protection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Whistleblowers are protected by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.</w:t>
            </w:r>
            <w:hyperlink r:id="rId33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No protection granted to whistleblowers by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.</w:t>
            </w:r>
            <w:hyperlink r:id="rId34" w:anchor="cite_note-HinduDiff-25" w:history="1"/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Punishment for corruption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can either directly impose penalties, or refer the matter to the courts. Penalties can include removal from office, imprisonment, and recovery of assets from those who benefited from the corruption.</w:t>
            </w:r>
            <w:hyperlink r:id="rId35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can only refer matters to the courts, not take any direct punitive actions. Penalties remain equivalent to those in current laws.</w:t>
            </w:r>
            <w:hyperlink r:id="rId36" w:anchor="cite_note-HinduDiff-25" w:history="1"/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Investigatory powers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can obtain wiretaps (to make a connection to a telegraph or telephone wire in order to obtain information secretly), issue </w:t>
            </w:r>
            <w:proofErr w:type="spellStart"/>
            <w:r w:rsidRPr="00CA6DB4">
              <w:rPr>
                <w:rFonts w:eastAsia="Times New Roman" w:cstheme="minorHAnsi"/>
                <w:color w:val="0000FF"/>
                <w:sz w:val="24"/>
                <w:szCs w:val="24"/>
                <w:u w:val="single"/>
                <w:lang w:eastAsia="en-IN"/>
              </w:rPr>
              <w:t>rogatory</w:t>
            </w:r>
            <w:proofErr w:type="spellEnd"/>
            <w:r w:rsidRPr="00CA6DB4">
              <w:rPr>
                <w:rFonts w:eastAsia="Times New Roman" w:cstheme="minorHAnsi"/>
                <w:color w:val="0000FF"/>
                <w:sz w:val="24"/>
                <w:szCs w:val="24"/>
                <w:u w:val="single"/>
                <w:lang w:eastAsia="en-IN"/>
              </w:rPr>
              <w:t xml:space="preserve"> letters</w:t>
            </w: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, and recruit investigating officers. Cannot issue contempt orders.</w:t>
            </w:r>
            <w:hyperlink r:id="rId37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can issue contempt orders, and has the ability to punish those in contempt. No authority to obtain wiretaps, issue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rogatory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letters, or recruit investigating officers.</w:t>
            </w:r>
            <w:hyperlink r:id="rId38" w:anchor="cite_note-HinduDiff-25" w:history="1"/>
          </w:p>
        </w:tc>
      </w:tr>
      <w:tr w:rsidR="00ED22A2" w:rsidRPr="00ED22A2" w:rsidTr="00CA6DB4"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False, frivolous and vexatious complaints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can issue fines for frivolous complaints (including frivolous complaints against </w:t>
            </w:r>
            <w:proofErr w:type="spellStart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Lokpal</w:t>
            </w:r>
            <w:proofErr w:type="spellEnd"/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 xml:space="preserve"> itself), with a maximum penalty of Rs 100,000.</w:t>
            </w:r>
            <w:hyperlink r:id="rId39" w:anchor="cite_note-HinduDiff-25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0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Court system will handle matters of frivolous complaints. Courts can give 2–5 years imprisonment and fines of Rs 25,000 to 200,000.</w:t>
            </w:r>
          </w:p>
        </w:tc>
      </w:tr>
      <w:tr w:rsidR="00ED22A2" w:rsidRPr="00ED22A2" w:rsidTr="00CA6DB4">
        <w:trPr>
          <w:cnfStyle w:val="000000100000"/>
        </w:trPr>
        <w:tc>
          <w:tcPr>
            <w:cnfStyle w:val="001000000000"/>
            <w:tcW w:w="0" w:type="auto"/>
            <w:hideMark/>
          </w:tcPr>
          <w:p w:rsidR="00ED22A2" w:rsidRPr="00ED22A2" w:rsidRDefault="00ED22A2" w:rsidP="00ED22A2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NGOs</w:t>
            </w:r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NGOs not within the scope due to their role in exposing corruption.</w:t>
            </w:r>
            <w:hyperlink r:id="rId40" w:anchor="cite_note-TargetNGO-27" w:history="1"/>
          </w:p>
        </w:tc>
        <w:tc>
          <w:tcPr>
            <w:tcW w:w="0" w:type="auto"/>
            <w:hideMark/>
          </w:tcPr>
          <w:p w:rsidR="00ED22A2" w:rsidRPr="00ED22A2" w:rsidRDefault="00ED22A2" w:rsidP="00ED22A2">
            <w:pPr>
              <w:cnfStyle w:val="000000100000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ED22A2">
              <w:rPr>
                <w:rFonts w:eastAsia="Times New Roman" w:cstheme="minorHAnsi"/>
                <w:sz w:val="24"/>
                <w:szCs w:val="24"/>
                <w:lang w:eastAsia="en-IN"/>
              </w:rPr>
              <w:t>NGOs are within the scope and can be investigated.</w:t>
            </w:r>
            <w:hyperlink r:id="rId41" w:anchor="cite_note-TargetNGO-27" w:history="1"/>
          </w:p>
        </w:tc>
      </w:tr>
    </w:tbl>
    <w:p w:rsidR="00090E02" w:rsidRPr="00CA6DB4" w:rsidRDefault="00090E02">
      <w:pPr>
        <w:rPr>
          <w:rFonts w:cstheme="minorHAnsi"/>
        </w:rPr>
      </w:pPr>
    </w:p>
    <w:sectPr w:rsidR="00090E02" w:rsidRPr="00CA6DB4" w:rsidSect="00090E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22A2"/>
    <w:rsid w:val="00090E02"/>
    <w:rsid w:val="00CA6DB4"/>
    <w:rsid w:val="00ED2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E02"/>
  </w:style>
  <w:style w:type="paragraph" w:styleId="Heading2">
    <w:name w:val="heading 2"/>
    <w:basedOn w:val="Normal"/>
    <w:link w:val="Heading2Char"/>
    <w:uiPriority w:val="9"/>
    <w:qFormat/>
    <w:rsid w:val="00ED2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ED22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D22A2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ED22A2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ED22A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D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mw-headline">
    <w:name w:val="mw-headline"/>
    <w:basedOn w:val="DefaultParagraphFont"/>
    <w:rsid w:val="00ED22A2"/>
  </w:style>
  <w:style w:type="character" w:customStyle="1" w:styleId="editsection">
    <w:name w:val="editsection"/>
    <w:basedOn w:val="DefaultParagraphFont"/>
    <w:rsid w:val="00ED22A2"/>
  </w:style>
  <w:style w:type="table" w:styleId="LightShading-Accent5">
    <w:name w:val="Light Shading Accent 5"/>
    <w:basedOn w:val="TableNormal"/>
    <w:uiPriority w:val="60"/>
    <w:rsid w:val="00CA6DB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Jan_Lokpal_Bill" TargetMode="External"/><Relationship Id="rId13" Type="http://schemas.openxmlformats.org/officeDocument/2006/relationships/hyperlink" Target="http://en.wikipedia.org/wiki/Jan_Lokpal_Bill" TargetMode="External"/><Relationship Id="rId18" Type="http://schemas.openxmlformats.org/officeDocument/2006/relationships/hyperlink" Target="http://en.wikipedia.org/wiki/Wikipedia:Please_clarify" TargetMode="External"/><Relationship Id="rId26" Type="http://schemas.openxmlformats.org/officeDocument/2006/relationships/hyperlink" Target="http://en.wikipedia.org/wiki/Jan_Lokpal_Bill" TargetMode="External"/><Relationship Id="rId39" Type="http://schemas.openxmlformats.org/officeDocument/2006/relationships/hyperlink" Target="http://en.wikipedia.org/wiki/Jan_Lokpal_Bil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Jan_Lokpal_Bill" TargetMode="External"/><Relationship Id="rId34" Type="http://schemas.openxmlformats.org/officeDocument/2006/relationships/hyperlink" Target="http://en.wikipedia.org/wiki/Jan_Lokpal_Bill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en.wikipedia.org/wiki/First_Information_Report" TargetMode="External"/><Relationship Id="rId12" Type="http://schemas.openxmlformats.org/officeDocument/2006/relationships/hyperlink" Target="http://en.wikipedia.org/wiki/Jan_Lokpal_Bill" TargetMode="External"/><Relationship Id="rId17" Type="http://schemas.openxmlformats.org/officeDocument/2006/relationships/hyperlink" Target="http://en.wikipedia.org/wiki/Parliament_of_India" TargetMode="External"/><Relationship Id="rId25" Type="http://schemas.openxmlformats.org/officeDocument/2006/relationships/hyperlink" Target="http://en.wikipedia.org/wiki/Jan_Lokpal_Bill" TargetMode="External"/><Relationship Id="rId33" Type="http://schemas.openxmlformats.org/officeDocument/2006/relationships/hyperlink" Target="http://en.wikipedia.org/wiki/Jan_Lokpal_Bill" TargetMode="External"/><Relationship Id="rId38" Type="http://schemas.openxmlformats.org/officeDocument/2006/relationships/hyperlink" Target="http://en.wikipedia.org/wiki/Jan_Lokpal_Bill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Jan_Lokpal_Bill" TargetMode="External"/><Relationship Id="rId20" Type="http://schemas.openxmlformats.org/officeDocument/2006/relationships/hyperlink" Target="http://en.wikipedia.org/wiki/Jan_Lokpal_Bill" TargetMode="External"/><Relationship Id="rId29" Type="http://schemas.openxmlformats.org/officeDocument/2006/relationships/hyperlink" Target="http://en.wikipedia.org/wiki/Lokayukta" TargetMode="External"/><Relationship Id="rId41" Type="http://schemas.openxmlformats.org/officeDocument/2006/relationships/hyperlink" Target="http://en.wikipedia.org/wiki/Jan_Lokpal_Bil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Suo_motu" TargetMode="External"/><Relationship Id="rId11" Type="http://schemas.openxmlformats.org/officeDocument/2006/relationships/hyperlink" Target="http://en.wikipedia.org/wiki/Prime_Minister_of_India" TargetMode="External"/><Relationship Id="rId24" Type="http://schemas.openxmlformats.org/officeDocument/2006/relationships/hyperlink" Target="http://en.wikipedia.org/wiki/Jan_Lokpal_Bill" TargetMode="External"/><Relationship Id="rId32" Type="http://schemas.openxmlformats.org/officeDocument/2006/relationships/hyperlink" Target="http://en.wikipedia.org/wiki/Whistleblower" TargetMode="External"/><Relationship Id="rId37" Type="http://schemas.openxmlformats.org/officeDocument/2006/relationships/hyperlink" Target="http://en.wikipedia.org/wiki/Jan_Lokpal_Bill" TargetMode="External"/><Relationship Id="rId40" Type="http://schemas.openxmlformats.org/officeDocument/2006/relationships/hyperlink" Target="http://en.wikipedia.org/wiki/Jan_Lokpal_Bill" TargetMode="External"/><Relationship Id="rId5" Type="http://schemas.openxmlformats.org/officeDocument/2006/relationships/hyperlink" Target="http://en.wikipedia.org/wiki/Suo_motu" TargetMode="External"/><Relationship Id="rId15" Type="http://schemas.openxmlformats.org/officeDocument/2006/relationships/hyperlink" Target="http://en.wikipedia.org/wiki/Jan_Lokpal_Bill" TargetMode="External"/><Relationship Id="rId23" Type="http://schemas.openxmlformats.org/officeDocument/2006/relationships/hyperlink" Target="http://en.wikipedia.org/wiki/Jan_Lokpal_Bill" TargetMode="External"/><Relationship Id="rId28" Type="http://schemas.openxmlformats.org/officeDocument/2006/relationships/hyperlink" Target="http://en.wikipedia.org/wiki/Jan_Lokpal_Bill" TargetMode="External"/><Relationship Id="rId36" Type="http://schemas.openxmlformats.org/officeDocument/2006/relationships/hyperlink" Target="http://en.wikipedia.org/wiki/Jan_Lokpal_Bill" TargetMode="External"/><Relationship Id="rId10" Type="http://schemas.openxmlformats.org/officeDocument/2006/relationships/hyperlink" Target="http://en.wikipedia.org/wiki/Jan_Lokpal_Bill" TargetMode="External"/><Relationship Id="rId19" Type="http://schemas.openxmlformats.org/officeDocument/2006/relationships/hyperlink" Target="http://en.wikipedia.org/wiki/Jan_Lokpal_Bill" TargetMode="External"/><Relationship Id="rId31" Type="http://schemas.openxmlformats.org/officeDocument/2006/relationships/hyperlink" Target="http://en.wikipedia.org/wiki/Jan_Lokpal_Bi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Jan_Lokpal_Bill" TargetMode="External"/><Relationship Id="rId14" Type="http://schemas.openxmlformats.org/officeDocument/2006/relationships/hyperlink" Target="http://en.wikipedia.org/wiki/Judiciary_of_India" TargetMode="External"/><Relationship Id="rId22" Type="http://schemas.openxmlformats.org/officeDocument/2006/relationships/hyperlink" Target="http://en.wikipedia.org/wiki/Jan_Lokpal_Bill" TargetMode="External"/><Relationship Id="rId27" Type="http://schemas.openxmlformats.org/officeDocument/2006/relationships/hyperlink" Target="http://en.wikipedia.org/wiki/Jan_Lokpal_Bill" TargetMode="External"/><Relationship Id="rId30" Type="http://schemas.openxmlformats.org/officeDocument/2006/relationships/hyperlink" Target="http://en.wikipedia.org/wiki/Jan_Lokpal_Bill" TargetMode="External"/><Relationship Id="rId35" Type="http://schemas.openxmlformats.org/officeDocument/2006/relationships/hyperlink" Target="http://en.wikipedia.org/wiki/Jan_Lokpal_Bil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D59B3-F364-4C0A-9500-5EF12ABE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1119</Words>
  <Characters>6381</Characters>
  <Application>Microsoft Office Word</Application>
  <DocSecurity>0</DocSecurity>
  <Lines>53</Lines>
  <Paragraphs>14</Paragraphs>
  <ScaleCrop>false</ScaleCrop>
  <Company/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Anjali</dc:creator>
  <cp:lastModifiedBy>Anjali</cp:lastModifiedBy>
  <cp:revision>2</cp:revision>
  <dcterms:created xsi:type="dcterms:W3CDTF">2012-07-29T10:12:00Z</dcterms:created>
  <dcterms:modified xsi:type="dcterms:W3CDTF">2012-07-29T10:17:00Z</dcterms:modified>
</cp:coreProperties>
</file>