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E63" w:rsidRDefault="00224E63" w:rsidP="00100CA2">
      <w:pPr>
        <w:spacing w:line="240" w:lineRule="auto"/>
        <w:ind w:left="0"/>
      </w:pPr>
    </w:p>
    <w:p w:rsidR="00100CA2" w:rsidRDefault="00100CA2" w:rsidP="00100CA2">
      <w:pPr>
        <w:suppressAutoHyphens/>
        <w:spacing w:line="240" w:lineRule="auto"/>
        <w:ind w:left="0"/>
        <w:jc w:val="center"/>
        <w:rPr>
          <w:spacing w:val="-2"/>
        </w:rPr>
      </w:pPr>
      <w:r>
        <w:rPr>
          <w:b/>
          <w:bCs/>
          <w:spacing w:val="-2"/>
        </w:rPr>
        <w:t>NEGOTIATION AND INFORMATION EXCHANGE PROCEDURES</w:t>
      </w:r>
    </w:p>
    <w:p w:rsidR="00100CA2" w:rsidRDefault="00100CA2" w:rsidP="00100CA2">
      <w:pPr>
        <w:suppressAutoHyphens/>
        <w:spacing w:line="240" w:lineRule="auto"/>
        <w:ind w:left="0"/>
        <w:jc w:val="center"/>
        <w:rPr>
          <w:b/>
          <w:bCs/>
          <w:spacing w:val="-2"/>
        </w:rPr>
      </w:pPr>
      <w:r>
        <w:rPr>
          <w:b/>
          <w:bCs/>
          <w:spacing w:val="-2"/>
        </w:rPr>
        <w:t>(In the form of a Letter of Intent)</w:t>
      </w:r>
    </w:p>
    <w:p w:rsidR="00100CA2" w:rsidRDefault="00100CA2" w:rsidP="00100CA2">
      <w:pPr>
        <w:suppressAutoHyphens/>
        <w:spacing w:line="240" w:lineRule="auto"/>
        <w:ind w:left="0"/>
        <w:rPr>
          <w:spacing w:val="-2"/>
        </w:rPr>
      </w:pPr>
    </w:p>
    <w:p w:rsidR="00100CA2" w:rsidRDefault="00100CA2" w:rsidP="00100CA2">
      <w:pPr>
        <w:suppressAutoHyphens/>
        <w:spacing w:line="240" w:lineRule="auto"/>
        <w:ind w:left="0"/>
        <w:rPr>
          <w:spacing w:val="-2"/>
        </w:rPr>
      </w:pPr>
    </w:p>
    <w:p w:rsidR="00100CA2" w:rsidRDefault="00100CA2" w:rsidP="00100CA2">
      <w:pPr>
        <w:tabs>
          <w:tab w:val="right" w:pos="9360"/>
        </w:tabs>
        <w:suppressAutoHyphens/>
        <w:spacing w:line="240" w:lineRule="auto"/>
        <w:ind w:left="0"/>
        <w:rPr>
          <w:spacing w:val="-2"/>
        </w:rPr>
      </w:pPr>
      <w:r>
        <w:rPr>
          <w:spacing w:val="-2"/>
        </w:rPr>
        <w:t>[DATE]</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[COMPANY NAME]</w:t>
      </w:r>
    </w:p>
    <w:p w:rsidR="00100CA2" w:rsidRDefault="00100CA2" w:rsidP="00100CA2">
      <w:pPr>
        <w:tabs>
          <w:tab w:val="left" w:pos="-720"/>
        </w:tabs>
        <w:suppressAutoHyphens/>
        <w:spacing w:line="240" w:lineRule="auto"/>
        <w:ind w:left="0"/>
        <w:rPr>
          <w:spacing w:val="-2"/>
        </w:rPr>
      </w:pPr>
      <w:r>
        <w:rPr>
          <w:spacing w:val="-2"/>
        </w:rPr>
        <w:t>[ADDRESS]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Attention: [RECIPIENT]</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Dear [CONTACT]:</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This letter sets forth the mutual intent of [NAME OF PARTY WRITING LETTER], an entity engaged in the manufacturer of personal computers and the development of related operating system programs ("Manufacturer"), and [NAME OF OTHER PARTY], an entity engaged in the development of applications programming and related materials for use on personal computers ("Developer"), regarding a proposed agreement between Manufacturer and Developer concerning (1) the development of certain programming to perform [DESCRIPTION] functions, and related technical and user documentation, and (2) the terms of the ownership, and subsequent marketing and maintenance, of such programming and documentation.</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This letter follows a preliminary discussion between representatives of Manufacturer and Developer on [DATE], during which it was concluded that further negotiations concerning the proposed agreement would be appropriate. These negotiations are expected to entail regular and extensive written and oral communication between representatives of both parties, including the exchange of certain proprietary business and technical information. Accordingly, this letter sets forth certain subjects required to be addressed in the course of negotiations, certain procedural steps intended to facilitate the negotiations, and certain restrictions that will apply to materials exchanged as part of the negotiations.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The parties agree that, except for Paragraphs 3 through 7 hereof and this paragraph (each of which shall be legally binding and survive any discontinuance of negotiations or termination of this letter), this letter reflects only a statement of intent to conduct further negotiations and does not constitute a binding agreement in any respect. Such a binding agreement will arise only when all material terms have been set forth in a definitive written agreement, or sets of agreements, executed and delivered by [</w:t>
      </w:r>
      <w:r w:rsidRPr="00100CA2">
        <w:rPr>
          <w:caps/>
          <w:spacing w:val="-2"/>
        </w:rPr>
        <w:t>designate officers or other authorized representatives, preferably senior to Principal Contacts</w:t>
      </w:r>
      <w:r>
        <w:rPr>
          <w:spacing w:val="-2"/>
        </w:rPr>
        <w:t xml:space="preserve">] of both parties (hereinafter referred to as a "Comprehensive Agreement"). All agreement drafts, "term sheets," memoranda, and other communications respecting the proposed arrangements prepared or exchanged in the course of negotiations, even if signed by one or both Principal Contacts (as defined in Paragraph 1), shall be </w:t>
      </w:r>
      <w:r>
        <w:rPr>
          <w:spacing w:val="-2"/>
        </w:rPr>
        <w:lastRenderedPageBreak/>
        <w:t>considered only preliminary and shall have no legal effect unless subsequently incorporated into a Comprehensive Agreement. The parties covenant never to contend to the contrary.</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1. Designation of Negotiators.</w:t>
      </w:r>
      <w:r>
        <w:rPr>
          <w:spacing w:val="-2"/>
        </w:rPr>
        <w:t xml:space="preserve">  The parties agree that the following persons (hereinafter referred to as the "Principal Contacts") shall represent them in the negotiations: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ab/>
      </w:r>
      <w:r>
        <w:rPr>
          <w:spacing w:val="-2"/>
        </w:rPr>
        <w:tab/>
        <w:t>For Manufacturer:</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2160"/>
        <w:rPr>
          <w:spacing w:val="-2"/>
        </w:rPr>
      </w:pPr>
      <w:r>
        <w:rPr>
          <w:spacing w:val="-2"/>
        </w:rPr>
        <w:t>Principal Contact: [CONTACT INFO]</w:t>
      </w:r>
    </w:p>
    <w:p w:rsidR="00100CA2" w:rsidRDefault="00100CA2" w:rsidP="00100CA2">
      <w:pPr>
        <w:tabs>
          <w:tab w:val="left" w:pos="-720"/>
        </w:tabs>
        <w:suppressAutoHyphens/>
        <w:spacing w:line="240" w:lineRule="auto"/>
        <w:ind w:left="2160"/>
        <w:rPr>
          <w:spacing w:val="-2"/>
        </w:rPr>
      </w:pPr>
      <w:r>
        <w:rPr>
          <w:spacing w:val="-2"/>
        </w:rPr>
        <w:t>Business Phone: [CONTACT INFO]</w:t>
      </w:r>
    </w:p>
    <w:p w:rsidR="00100CA2" w:rsidRDefault="00100CA2" w:rsidP="00100CA2">
      <w:pPr>
        <w:tabs>
          <w:tab w:val="left" w:pos="-720"/>
        </w:tabs>
        <w:suppressAutoHyphens/>
        <w:spacing w:line="240" w:lineRule="auto"/>
        <w:ind w:left="2160"/>
        <w:rPr>
          <w:spacing w:val="-2"/>
        </w:rPr>
      </w:pPr>
      <w:r>
        <w:rPr>
          <w:spacing w:val="-2"/>
        </w:rPr>
        <w:t>Business Mailing Address: [CONTACT INFO]</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ab/>
      </w:r>
      <w:r>
        <w:rPr>
          <w:spacing w:val="-2"/>
        </w:rPr>
        <w:tab/>
        <w:t>For Developer:</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2160"/>
        <w:rPr>
          <w:spacing w:val="-2"/>
        </w:rPr>
      </w:pPr>
      <w:r>
        <w:rPr>
          <w:spacing w:val="-2"/>
        </w:rPr>
        <w:t>Principal Contact: [CONTACT INFO]</w:t>
      </w:r>
    </w:p>
    <w:p w:rsidR="00100CA2" w:rsidRDefault="00100CA2" w:rsidP="00100CA2">
      <w:pPr>
        <w:tabs>
          <w:tab w:val="left" w:pos="-720"/>
        </w:tabs>
        <w:suppressAutoHyphens/>
        <w:spacing w:line="240" w:lineRule="auto"/>
        <w:ind w:left="2160"/>
        <w:rPr>
          <w:spacing w:val="-2"/>
        </w:rPr>
      </w:pPr>
      <w:r>
        <w:rPr>
          <w:spacing w:val="-2"/>
        </w:rPr>
        <w:t>Business Phone: [CONTACT INFO]</w:t>
      </w:r>
    </w:p>
    <w:p w:rsidR="00100CA2" w:rsidRDefault="00100CA2" w:rsidP="00100CA2">
      <w:pPr>
        <w:tabs>
          <w:tab w:val="left" w:pos="-720"/>
        </w:tabs>
        <w:suppressAutoHyphens/>
        <w:spacing w:line="240" w:lineRule="auto"/>
        <w:ind w:left="2160"/>
        <w:rPr>
          <w:spacing w:val="-2"/>
        </w:rPr>
      </w:pPr>
      <w:r>
        <w:rPr>
          <w:spacing w:val="-2"/>
        </w:rPr>
        <w:t>Business Mailing Address: [CONTACT INFO]</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If either party decides at any time to replace the person serving as its Principal Contact, such party may do so by written notice to the other party. Each party will endeavor, during the term of this letter, to cause the person serving as its Principal Contact to be aware of all communications between the parties regarding the subject matter of the proposed agreement.</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2. Conduct of Negotiations.</w:t>
      </w:r>
      <w:r>
        <w:rPr>
          <w:spacing w:val="-2"/>
        </w:rPr>
        <w:t xml:space="preserve">  The target date for execution of a Comprehensive Agreement is [DATE]. The Principal Contacts will confer regularly, schedule necessary negotiation meetings, and coordinate all exchanges of proposals, drafts, and other information. The preliminary schedule of negotiations is set forth in Attachment A hereto, captioned "Timetable" [OMITTED]. Each Principal Contact may be accompanied at the negotiation meetings by a reasonable number of such other employees and by agents and advisers (e.g., attorneys, accountants, and technical consultants), as such Principal Contact shall determine to be appropriate.</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Executives of both parties will hold status meetings at least once every 30 days to review the progress of negotiations, identify major open issues, clarify positions, and identify alternatives. At the conclusion of each such meeting, the parties will decide whether to continue or terminate their negotiations.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The parties acknowledge that any Comprehensive Agreement will fully address the following issues:</w:t>
      </w:r>
    </w:p>
    <w:p w:rsidR="00100CA2" w:rsidRDefault="00100CA2" w:rsidP="00100CA2">
      <w:pPr>
        <w:tabs>
          <w:tab w:val="left" w:pos="-720"/>
        </w:tabs>
        <w:suppressAutoHyphens/>
        <w:spacing w:line="240" w:lineRule="auto"/>
        <w:ind w:left="0"/>
        <w:rPr>
          <w:spacing w:val="-2"/>
        </w:rPr>
      </w:pPr>
    </w:p>
    <w:p w:rsidR="00100CA2" w:rsidRDefault="00100CA2" w:rsidP="00100CA2">
      <w:pPr>
        <w:widowControl w:val="0"/>
        <w:numPr>
          <w:ilvl w:val="0"/>
          <w:numId w:val="1"/>
        </w:numPr>
        <w:autoSpaceDE w:val="0"/>
        <w:autoSpaceDN w:val="0"/>
        <w:adjustRightInd w:val="0"/>
        <w:spacing w:line="240" w:lineRule="auto"/>
        <w:ind w:left="1440" w:firstLine="0"/>
      </w:pPr>
      <w:r>
        <w:t>The definition of any programming and documentation to be contributed or created ("developed works"), including preparation of appropriate specifications</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lastRenderedPageBreak/>
        <w:t>The ownership and respective rights of the parties in the developed works, and the respective rights and obligations of the parties with respect to any preexisting programming or documentation to be contributed or obtained by either party</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The respective rights of the parties to use the developed works, including any rights to license or sublicense others and any rights to prepare derivative works</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Responsibilities for costs and expenses incurred in development or the performance of any other obligation or undertaking</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Payment of royalties and fees with respect to the developed works</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Responsibilities for further development relating to the developed works, including modifications and enhancements</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Further terms and conditions respecting confidentiality</w:t>
      </w:r>
    </w:p>
    <w:p w:rsidR="00100CA2" w:rsidRDefault="00100CA2" w:rsidP="00100CA2">
      <w:pPr>
        <w:spacing w:line="240" w:lineRule="auto"/>
        <w:ind w:left="1440"/>
      </w:pPr>
    </w:p>
    <w:p w:rsidR="00100CA2" w:rsidRDefault="00100CA2" w:rsidP="00100CA2">
      <w:pPr>
        <w:widowControl w:val="0"/>
        <w:numPr>
          <w:ilvl w:val="0"/>
          <w:numId w:val="1"/>
        </w:numPr>
        <w:autoSpaceDE w:val="0"/>
        <w:autoSpaceDN w:val="0"/>
        <w:adjustRightInd w:val="0"/>
        <w:spacing w:line="240" w:lineRule="auto"/>
        <w:ind w:left="1440" w:firstLine="0"/>
      </w:pPr>
      <w:r>
        <w:t>Restrictions upon competitive activities by Developer.</w:t>
      </w:r>
    </w:p>
    <w:p w:rsidR="00100CA2" w:rsidRDefault="00100CA2" w:rsidP="00100CA2">
      <w:pPr>
        <w:tabs>
          <w:tab w:val="left" w:pos="-720"/>
        </w:tabs>
        <w:suppressAutoHyphens/>
        <w:spacing w:line="240" w:lineRule="auto"/>
        <w:ind w:left="0"/>
        <w:rPr>
          <w:spacing w:val="-2"/>
        </w:rPr>
      </w:pPr>
    </w:p>
    <w:p w:rsidR="00100CA2" w:rsidRDefault="00100CA2" w:rsidP="00100CA2">
      <w:pPr>
        <w:tabs>
          <w:tab w:val="center" w:pos="4680"/>
        </w:tabs>
        <w:suppressAutoHyphens/>
        <w:spacing w:line="240" w:lineRule="auto"/>
        <w:ind w:left="0"/>
        <w:rPr>
          <w:spacing w:val="-2"/>
        </w:rPr>
      </w:pPr>
      <w:r>
        <w:rPr>
          <w:spacing w:val="-2"/>
        </w:rPr>
        <w:tab/>
        <w:t>[</w:t>
      </w:r>
      <w:r w:rsidRPr="00100CA2">
        <w:rPr>
          <w:caps/>
          <w:spacing w:val="-2"/>
        </w:rPr>
        <w:t>Include any other necessary terms</w:t>
      </w:r>
      <w:r>
        <w:rPr>
          <w:spacing w:val="-2"/>
        </w:rPr>
        <w:t>]</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3. Costs and Expenses of Negotiation.</w:t>
      </w:r>
      <w:r>
        <w:rPr>
          <w:spacing w:val="-2"/>
        </w:rPr>
        <w:t xml:space="preserve">  Except as otherwise provided in Attachment B hereto, entitled "Funded Proposal Work" [OMITTED], regarding certain costs of preparation to be incurred by Developer and reimbursed by Manufacturer, each party shall bear its own costs and expenses with regard to all negotiations and activities relating to the subject of this letter.</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If the parties agree to conduct negotiations at a secure location removed from the facilities and work sites of both parties and their agents, the cost of such facilities will be shared equally by the parties.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4. Exchange and Protection of Information.</w:t>
      </w:r>
      <w:r>
        <w:rPr>
          <w:spacing w:val="-2"/>
        </w:rPr>
        <w:t xml:space="preserve">  All materials exchanged or created in the course of negotiations (hereinafter referred to as "Proposal Materials") shall be conspicuously marked by the originating party to indicate their source and identity, and shall bear the legend "Proposal Materials" and the date of delivery to the recipient. The recipient and its affiliates, agents, and employees, may use all business and technical information disclosed thereunder, including ideas and concepts embodied therein, for any purpose, including use in the development, manufacture, marketing or maintenance of products and services, subject only to: (1) an obligation, for a period of two years from the date of receipt thereof, to refrain from revealing any properly marked Proposal Materials to anyone (other than such of the recipient's employees or agents as are engaged in the negotiations, or any reviews and evaluations related to the negotiations), by using the same care and discretion that the recipient employs to protect such of its own documents that </w:t>
      </w:r>
      <w:r>
        <w:rPr>
          <w:spacing w:val="-2"/>
        </w:rPr>
        <w:lastRenderedPageBreak/>
        <w:t>it does not wish to be published, disseminated, or disclosed, and (2) the originating party's trademark, rights, copyrights, and patent rights, if any.</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The recipient may make a reasonable number of copies of all Proposal Materials. Such copies shall be marked in the same manner as the originals.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At the termination of this letter, if no Comprehensive Agreement has been executed by the parties, each party will return or destroy all properly marked Proposal Materials, including all copies thereof, except for one copy of each such item, which may be retained if sealed in an archive file.</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During the term of this letter, the parties agree to use reasonable efforts (1) to avoid public disclosure of either the fact or the substance of their negotiations and (2) to limit all internal communications of information concerning the subject of the negotiations to those employees and agent to whom such information must be disclosed in order for the negotiations to be properly conducted. No press release or public announcement shall be made concerning these negotiations without the prior approval of both parties, except as otherwise required by law [in the opinion of counsel].</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The provisions of this Paragraph 4 constitute the sole agreement of the parties concerning the Proposal Materials and any information exchanged or disclosed in connection with the negotiations, notwithstanding any proprietary legends or restrictions contained in the Proposal Materials, or any nondisclosure notices, policy statements, or visitor entry acknowledgments.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If the negotiations result in a Comprehensive Agreement, the Comprehensive Agreement may contain further terms and conditions respecting confidentiality.</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5. No Concurrent Negotiations.</w:t>
      </w:r>
      <w:r>
        <w:rPr>
          <w:spacing w:val="-2"/>
        </w:rPr>
        <w:t xml:space="preserve">  Until the negotiations envisioned by this letter are abandoned by either party, Developer will not directly or indirectly undertake negotiations or enter into arrangements with any other entity engaged in the manufacture of personal computers with respect to the development or marketing of programming and documentation that are the same as, or functionally equivalent to, the subject to these negotiations.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t>6. Limitation of Liability.</w:t>
      </w:r>
      <w:r>
        <w:rPr>
          <w:spacing w:val="-2"/>
        </w:rPr>
        <w:t xml:space="preserve">  Neither party shall make a claim against, or be liable to, the other party or its affiliates or agents for any damages, including, without limitation, lost profits or injury to business reputation, resulting from the continuation or abandonment of negotiations and the consequences thereof. With respect to the obligations contained in Paragraphs 4 and 5 hereof, neither party shall make a claim against, or be liable to, the other party or its affiliates or agents for any special, incidental, or consequential damages, including, without limitation, lost profits, based on any breach, default, or negligence of such other party, its affiliates, or agents.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b/>
          <w:bCs/>
          <w:spacing w:val="-2"/>
        </w:rPr>
        <w:lastRenderedPageBreak/>
        <w:t>7. Term; Integration of Prior Arrangements; Amendment.</w:t>
      </w:r>
      <w:r>
        <w:rPr>
          <w:spacing w:val="-2"/>
        </w:rPr>
        <w:t xml:space="preserve">  This letter shall be effective as of the date set forth above and shall continue until either party gives written notice of its intention to abandon further negotiations, or until superseded upon full execution of a Comprehensive Agreement.</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rPr>
          <w:spacing w:val="-2"/>
        </w:rPr>
      </w:pPr>
      <w:r>
        <w:rPr>
          <w:spacing w:val="-2"/>
        </w:rPr>
        <w:t>This letter supersedes prior discussions and agreements of the parties relating to the subject matter hereof, including any prior confidentiality undertakings. The terms hereof may be amended only by a writing executed by [</w:t>
      </w:r>
      <w:r w:rsidRPr="00100CA2">
        <w:rPr>
          <w:caps/>
          <w:spacing w:val="-2"/>
        </w:rPr>
        <w:t>designate officers or other authorized representatives, preferably senior to Principal Contacts</w:t>
      </w:r>
      <w:r>
        <w:rPr>
          <w:spacing w:val="-2"/>
        </w:rPr>
        <w:t>] of both parties.</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720"/>
        </w:tabs>
        <w:suppressAutoHyphens/>
        <w:spacing w:line="240" w:lineRule="auto"/>
        <w:ind w:left="0"/>
        <w:rPr>
          <w:spacing w:val="-2"/>
        </w:rPr>
      </w:pPr>
      <w:r>
        <w:rPr>
          <w:spacing w:val="-2"/>
        </w:rPr>
        <w:t>If the above adequately sets forth our current intent respecting the scope of our negotiations, please so indicate by signing below and returning to us one signed copy of this letter.</w:t>
      </w:r>
    </w:p>
    <w:p w:rsidR="00100CA2" w:rsidRDefault="00100CA2" w:rsidP="00100CA2">
      <w:pPr>
        <w:tabs>
          <w:tab w:val="left" w:pos="-720"/>
        </w:tabs>
        <w:suppressAutoHyphens/>
        <w:spacing w:line="240" w:lineRule="auto"/>
        <w:ind w:left="0"/>
        <w:rPr>
          <w:spacing w:val="-2"/>
        </w:rPr>
      </w:pPr>
    </w:p>
    <w:p w:rsidR="00100CA2" w:rsidRDefault="00100CA2" w:rsidP="00100CA2">
      <w:pPr>
        <w:tabs>
          <w:tab w:val="left" w:pos="-1440"/>
        </w:tabs>
        <w:spacing w:line="240" w:lineRule="auto"/>
        <w:ind w:left="0"/>
        <w:rPr>
          <w:spacing w:val="-3"/>
          <w:u w:val="single"/>
        </w:rPr>
      </w:pPr>
    </w:p>
    <w:p w:rsidR="00100CA2" w:rsidRDefault="00100CA2" w:rsidP="00100CA2">
      <w:pPr>
        <w:tabs>
          <w:tab w:val="left" w:pos="-1440"/>
        </w:tabs>
        <w:spacing w:line="240" w:lineRule="auto"/>
        <w:ind w:left="0"/>
        <w:rPr>
          <w:spacing w:val="-3"/>
        </w:rPr>
      </w:pPr>
      <w:r>
        <w:rPr>
          <w:spacing w:val="-3"/>
          <w:u w:val="single"/>
        </w:rPr>
        <w:t>Agreed and Accepted:</w:t>
      </w:r>
    </w:p>
    <w:tbl>
      <w:tblPr>
        <w:tblW w:w="9828" w:type="dxa"/>
        <w:tblLayout w:type="fixed"/>
        <w:tblLook w:val="0000"/>
      </w:tblPr>
      <w:tblGrid>
        <w:gridCol w:w="4320"/>
        <w:gridCol w:w="1188"/>
        <w:gridCol w:w="4320"/>
      </w:tblGrid>
      <w:tr w:rsidR="00100CA2">
        <w:tblPrEx>
          <w:tblCellMar>
            <w:top w:w="0" w:type="dxa"/>
            <w:bottom w:w="0" w:type="dxa"/>
          </w:tblCellMar>
        </w:tblPrEx>
        <w:tc>
          <w:tcPr>
            <w:tcW w:w="4320" w:type="dxa"/>
            <w:tcBorders>
              <w:top w:val="single" w:sz="6" w:space="0" w:color="auto"/>
              <w:left w:val="single" w:sz="6" w:space="0" w:color="auto"/>
              <w:right w:val="single" w:sz="6" w:space="0" w:color="auto"/>
            </w:tcBorders>
          </w:tcPr>
          <w:p w:rsidR="00100CA2" w:rsidRPr="00100CA2" w:rsidRDefault="00100CA2" w:rsidP="00100CA2">
            <w:pPr>
              <w:tabs>
                <w:tab w:val="right" w:pos="9360"/>
              </w:tabs>
              <w:spacing w:line="240" w:lineRule="auto"/>
              <w:ind w:left="0"/>
              <w:rPr>
                <w:u w:val="single"/>
              </w:rPr>
            </w:pPr>
            <w:r w:rsidRPr="00100CA2">
              <w:rPr>
                <w:u w:val="single"/>
              </w:rPr>
              <w:t>For:</w:t>
            </w:r>
          </w:p>
        </w:tc>
        <w:tc>
          <w:tcPr>
            <w:tcW w:w="1188" w:type="dxa"/>
            <w:tcBorders>
              <w:left w:val="nil"/>
            </w:tcBorders>
          </w:tcPr>
          <w:p w:rsidR="00100CA2" w:rsidRPr="00100CA2" w:rsidRDefault="00100CA2" w:rsidP="00100CA2">
            <w:pPr>
              <w:tabs>
                <w:tab w:val="right" w:pos="9360"/>
              </w:tabs>
              <w:spacing w:line="240" w:lineRule="auto"/>
              <w:ind w:left="0"/>
              <w:rPr>
                <w:u w:val="single"/>
              </w:rPr>
            </w:pPr>
          </w:p>
        </w:tc>
        <w:tc>
          <w:tcPr>
            <w:tcW w:w="4320" w:type="dxa"/>
            <w:tcBorders>
              <w:top w:val="single" w:sz="6" w:space="0" w:color="auto"/>
              <w:left w:val="single" w:sz="6" w:space="0" w:color="auto"/>
              <w:right w:val="single" w:sz="6" w:space="0" w:color="auto"/>
            </w:tcBorders>
          </w:tcPr>
          <w:p w:rsidR="00100CA2" w:rsidRPr="00100CA2" w:rsidRDefault="00100CA2" w:rsidP="00100CA2">
            <w:pPr>
              <w:tabs>
                <w:tab w:val="right" w:pos="9360"/>
              </w:tabs>
              <w:spacing w:line="240" w:lineRule="auto"/>
              <w:ind w:left="0"/>
              <w:rPr>
                <w:u w:val="single"/>
              </w:rPr>
            </w:pPr>
            <w:r w:rsidRPr="00100CA2">
              <w:rPr>
                <w:u w:val="single"/>
              </w:rPr>
              <w:t>For:</w:t>
            </w:r>
          </w:p>
        </w:tc>
      </w:tr>
      <w:tr w:rsidR="00100CA2">
        <w:tblPrEx>
          <w:tblCellMar>
            <w:top w:w="0" w:type="dxa"/>
            <w:bottom w:w="0" w:type="dxa"/>
          </w:tblCellMar>
        </w:tblPrEx>
        <w:tc>
          <w:tcPr>
            <w:tcW w:w="4320" w:type="dxa"/>
            <w:tcBorders>
              <w:left w:val="single" w:sz="6" w:space="0" w:color="auto"/>
              <w:right w:val="single" w:sz="6" w:space="0" w:color="auto"/>
            </w:tcBorders>
          </w:tcPr>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tc>
        <w:tc>
          <w:tcPr>
            <w:tcW w:w="1188" w:type="dxa"/>
            <w:tcBorders>
              <w:left w:val="nil"/>
            </w:tcBorders>
          </w:tcPr>
          <w:p w:rsidR="00100CA2" w:rsidRPr="00100CA2" w:rsidRDefault="00100CA2" w:rsidP="00100CA2">
            <w:pPr>
              <w:tabs>
                <w:tab w:val="right" w:pos="9360"/>
              </w:tabs>
              <w:spacing w:line="240" w:lineRule="auto"/>
              <w:ind w:left="0"/>
            </w:pPr>
          </w:p>
        </w:tc>
        <w:tc>
          <w:tcPr>
            <w:tcW w:w="4320" w:type="dxa"/>
            <w:tcBorders>
              <w:left w:val="single" w:sz="6" w:space="0" w:color="auto"/>
              <w:right w:val="single" w:sz="6" w:space="0" w:color="auto"/>
            </w:tcBorders>
          </w:tcPr>
          <w:p w:rsidR="00100CA2" w:rsidRPr="00100CA2" w:rsidRDefault="00100CA2" w:rsidP="00100CA2">
            <w:pPr>
              <w:tabs>
                <w:tab w:val="right" w:pos="9360"/>
              </w:tabs>
              <w:spacing w:line="240" w:lineRule="auto"/>
              <w:ind w:left="0"/>
            </w:pPr>
          </w:p>
        </w:tc>
      </w:tr>
      <w:tr w:rsidR="00100CA2">
        <w:tblPrEx>
          <w:tblCellMar>
            <w:top w:w="0" w:type="dxa"/>
            <w:bottom w:w="0" w:type="dxa"/>
          </w:tblCellMar>
        </w:tblPrEx>
        <w:tc>
          <w:tcPr>
            <w:tcW w:w="4320" w:type="dxa"/>
            <w:tcBorders>
              <w:top w:val="single" w:sz="6" w:space="0" w:color="auto"/>
              <w:left w:val="single" w:sz="6" w:space="0" w:color="auto"/>
              <w:right w:val="single" w:sz="6" w:space="0" w:color="auto"/>
            </w:tcBorders>
          </w:tcPr>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r w:rsidRPr="00100CA2">
              <w:t>(Please sign above and print name and title here)</w:t>
            </w:r>
          </w:p>
        </w:tc>
        <w:tc>
          <w:tcPr>
            <w:tcW w:w="1188" w:type="dxa"/>
            <w:tcBorders>
              <w:left w:val="nil"/>
            </w:tcBorders>
          </w:tcPr>
          <w:p w:rsidR="00100CA2" w:rsidRPr="00100CA2" w:rsidRDefault="00100CA2" w:rsidP="00100CA2">
            <w:pPr>
              <w:tabs>
                <w:tab w:val="right" w:pos="9360"/>
              </w:tabs>
              <w:spacing w:line="240" w:lineRule="auto"/>
              <w:ind w:left="0"/>
            </w:pPr>
          </w:p>
        </w:tc>
        <w:tc>
          <w:tcPr>
            <w:tcW w:w="4320" w:type="dxa"/>
            <w:tcBorders>
              <w:top w:val="single" w:sz="6" w:space="0" w:color="auto"/>
              <w:left w:val="single" w:sz="6" w:space="0" w:color="auto"/>
              <w:right w:val="single" w:sz="6" w:space="0" w:color="auto"/>
            </w:tcBorders>
          </w:tcPr>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p>
          <w:p w:rsidR="00100CA2" w:rsidRPr="00100CA2" w:rsidRDefault="00100CA2" w:rsidP="00100CA2">
            <w:pPr>
              <w:tabs>
                <w:tab w:val="right" w:pos="9360"/>
              </w:tabs>
              <w:spacing w:line="240" w:lineRule="auto"/>
              <w:ind w:left="0"/>
            </w:pPr>
            <w:r w:rsidRPr="00100CA2">
              <w:t>(Please sign above and print name and title here)</w:t>
            </w:r>
          </w:p>
        </w:tc>
      </w:tr>
      <w:tr w:rsidR="00100CA2">
        <w:tblPrEx>
          <w:tblCellMar>
            <w:top w:w="0" w:type="dxa"/>
            <w:bottom w:w="0" w:type="dxa"/>
          </w:tblCellMar>
        </w:tblPrEx>
        <w:tc>
          <w:tcPr>
            <w:tcW w:w="4320" w:type="dxa"/>
            <w:tcBorders>
              <w:top w:val="single" w:sz="6" w:space="0" w:color="auto"/>
              <w:left w:val="single" w:sz="6" w:space="0" w:color="auto"/>
              <w:bottom w:val="single" w:sz="6" w:space="0" w:color="auto"/>
              <w:right w:val="single" w:sz="6" w:space="0" w:color="auto"/>
            </w:tcBorders>
          </w:tcPr>
          <w:p w:rsidR="00100CA2" w:rsidRPr="00100CA2" w:rsidRDefault="00100CA2" w:rsidP="00100CA2">
            <w:pPr>
              <w:tabs>
                <w:tab w:val="right" w:pos="9360"/>
              </w:tabs>
              <w:spacing w:line="240" w:lineRule="auto"/>
              <w:ind w:left="0"/>
            </w:pPr>
            <w:r w:rsidRPr="00100CA2">
              <w:t xml:space="preserve">Date: </w:t>
            </w:r>
            <w:fldSimple w:instr=" DATE \@ &quot;MMMM d, yyyy&quot; \* MERGEFORMAT ">
              <w:r w:rsidR="00FF4B42">
                <w:rPr>
                  <w:noProof/>
                </w:rPr>
                <w:t>June 9, 2012</w:t>
              </w:r>
            </w:fldSimple>
          </w:p>
        </w:tc>
        <w:tc>
          <w:tcPr>
            <w:tcW w:w="1188" w:type="dxa"/>
            <w:tcBorders>
              <w:left w:val="nil"/>
            </w:tcBorders>
          </w:tcPr>
          <w:p w:rsidR="00100CA2" w:rsidRPr="00100CA2" w:rsidRDefault="00100CA2" w:rsidP="00100CA2">
            <w:pPr>
              <w:tabs>
                <w:tab w:val="right" w:pos="9360"/>
              </w:tabs>
              <w:spacing w:line="240" w:lineRule="auto"/>
              <w:ind w:left="0"/>
            </w:pPr>
          </w:p>
        </w:tc>
        <w:tc>
          <w:tcPr>
            <w:tcW w:w="4320" w:type="dxa"/>
            <w:tcBorders>
              <w:top w:val="single" w:sz="6" w:space="0" w:color="auto"/>
              <w:left w:val="single" w:sz="6" w:space="0" w:color="auto"/>
              <w:bottom w:val="single" w:sz="6" w:space="0" w:color="auto"/>
              <w:right w:val="single" w:sz="6" w:space="0" w:color="auto"/>
            </w:tcBorders>
          </w:tcPr>
          <w:p w:rsidR="00100CA2" w:rsidRPr="00100CA2" w:rsidRDefault="00100CA2" w:rsidP="00100CA2">
            <w:pPr>
              <w:tabs>
                <w:tab w:val="right" w:pos="9360"/>
              </w:tabs>
              <w:spacing w:line="240" w:lineRule="auto"/>
              <w:ind w:left="0"/>
            </w:pPr>
            <w:r w:rsidRPr="00100CA2">
              <w:t xml:space="preserve">Date: </w:t>
            </w:r>
            <w:fldSimple w:instr=" TIME \@ &quot;MMMM d, yyyy&quot; ">
              <w:r w:rsidR="00FF4B42">
                <w:rPr>
                  <w:noProof/>
                </w:rPr>
                <w:t>June 9, 2012</w:t>
              </w:r>
            </w:fldSimple>
          </w:p>
        </w:tc>
      </w:tr>
    </w:tbl>
    <w:p w:rsidR="00100CA2" w:rsidRDefault="00100CA2" w:rsidP="00100CA2">
      <w:pPr>
        <w:tabs>
          <w:tab w:val="right" w:pos="9360"/>
        </w:tabs>
        <w:spacing w:line="240" w:lineRule="auto"/>
        <w:ind w:left="0"/>
        <w:rPr>
          <w:spacing w:val="-3"/>
        </w:rPr>
      </w:pPr>
    </w:p>
    <w:p w:rsidR="00100CA2" w:rsidRDefault="00100CA2" w:rsidP="00100CA2">
      <w:pPr>
        <w:tabs>
          <w:tab w:val="left" w:pos="-720"/>
        </w:tabs>
        <w:suppressAutoHyphens/>
        <w:spacing w:line="240" w:lineRule="auto"/>
        <w:ind w:left="0"/>
        <w:rPr>
          <w:spacing w:val="-2"/>
        </w:rPr>
      </w:pPr>
    </w:p>
    <w:p w:rsidR="00100CA2" w:rsidRDefault="00100CA2" w:rsidP="00100CA2">
      <w:pPr>
        <w:tabs>
          <w:tab w:val="center" w:pos="4680"/>
        </w:tabs>
        <w:suppressAutoHyphens/>
        <w:spacing w:line="240" w:lineRule="auto"/>
        <w:ind w:left="0"/>
        <w:rPr>
          <w:spacing w:val="-2"/>
        </w:rPr>
      </w:pPr>
      <w:r>
        <w:rPr>
          <w:spacing w:val="-2"/>
        </w:rPr>
        <w:tab/>
        <w:t>[</w:t>
      </w:r>
      <w:r>
        <w:rPr>
          <w:spacing w:val="-2"/>
          <w:u w:val="single"/>
        </w:rPr>
        <w:t>Attachment A</w:t>
      </w:r>
      <w:r>
        <w:rPr>
          <w:spacing w:val="-2"/>
        </w:rPr>
        <w:t>]</w:t>
      </w:r>
    </w:p>
    <w:p w:rsidR="00100CA2" w:rsidRDefault="00100CA2" w:rsidP="00100CA2">
      <w:pPr>
        <w:tabs>
          <w:tab w:val="left" w:pos="-720"/>
        </w:tabs>
        <w:suppressAutoHyphens/>
        <w:spacing w:line="240" w:lineRule="auto"/>
        <w:ind w:left="0"/>
        <w:rPr>
          <w:spacing w:val="-2"/>
        </w:rPr>
      </w:pPr>
    </w:p>
    <w:p w:rsidR="00100CA2" w:rsidRDefault="00100CA2" w:rsidP="00100CA2">
      <w:pPr>
        <w:tabs>
          <w:tab w:val="center" w:pos="4680"/>
        </w:tabs>
        <w:suppressAutoHyphens/>
        <w:spacing w:line="240" w:lineRule="auto"/>
        <w:ind w:left="0"/>
        <w:rPr>
          <w:spacing w:val="-2"/>
        </w:rPr>
      </w:pPr>
      <w:r>
        <w:rPr>
          <w:spacing w:val="-2"/>
        </w:rPr>
        <w:tab/>
        <w:t>[</w:t>
      </w:r>
      <w:r>
        <w:rPr>
          <w:spacing w:val="-2"/>
          <w:u w:val="single"/>
        </w:rPr>
        <w:t>Attachment B</w:t>
      </w:r>
      <w:r>
        <w:rPr>
          <w:spacing w:val="-2"/>
        </w:rPr>
        <w:t>]</w:t>
      </w:r>
    </w:p>
    <w:p w:rsidR="00100CA2" w:rsidRDefault="00100CA2" w:rsidP="00100CA2">
      <w:pPr>
        <w:spacing w:line="240" w:lineRule="auto"/>
        <w:ind w:left="0"/>
      </w:pPr>
    </w:p>
    <w:sectPr w:rsidR="00100CA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C2D73"/>
    <w:multiLevelType w:val="hybridMultilevel"/>
    <w:tmpl w:val="4F62BD5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4A3238"/>
    <w:rsid w:val="00100CA2"/>
    <w:rsid w:val="00150E66"/>
    <w:rsid w:val="001529DC"/>
    <w:rsid w:val="00224E63"/>
    <w:rsid w:val="002C04F0"/>
    <w:rsid w:val="002F172F"/>
    <w:rsid w:val="00310CBD"/>
    <w:rsid w:val="00465827"/>
    <w:rsid w:val="004A3238"/>
    <w:rsid w:val="005560BA"/>
    <w:rsid w:val="00614618"/>
    <w:rsid w:val="008369D7"/>
    <w:rsid w:val="008474EA"/>
    <w:rsid w:val="00B54131"/>
    <w:rsid w:val="00BF442D"/>
    <w:rsid w:val="00D21B6D"/>
    <w:rsid w:val="00D84827"/>
    <w:rsid w:val="00D851F6"/>
    <w:rsid w:val="00F62D02"/>
    <w:rsid w:val="00FF4B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A3238"/>
    <w:pPr>
      <w:spacing w:line="360" w:lineRule="auto"/>
      <w:ind w:left="72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4A3238"/>
    <w:rPr>
      <w:color w:val="0000FF"/>
      <w:u w:val="single"/>
    </w:rPr>
  </w:style>
  <w:style w:type="paragraph" w:styleId="BalloonText">
    <w:name w:val="Balloon Text"/>
    <w:basedOn w:val="Normal"/>
    <w:link w:val="BalloonTextChar"/>
    <w:uiPriority w:val="99"/>
    <w:semiHidden/>
    <w:unhideWhenUsed/>
    <w:rsid w:val="00FF4B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B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sample business letters and documents library</vt:lpstr>
    </vt:vector>
  </TitlesOfParts>
  <Manager>888 872 6601</Manager>
  <Company/>
  <LinksUpToDate>false</LinksUpToDate>
  <CharactersWithSpaces>11114</CharactersWithSpaces>
  <SharedDoc>false</SharedDoc>
  <HLinks>
    <vt:vector size="12" baseType="variant">
      <vt:variant>
        <vt:i4>6029420</vt:i4>
      </vt:variant>
      <vt:variant>
        <vt:i4>3</vt:i4>
      </vt:variant>
      <vt:variant>
        <vt:i4>0</vt:i4>
      </vt:variant>
      <vt:variant>
        <vt:i4>5</vt:i4>
      </vt:variant>
      <vt:variant>
        <vt:lpwstr>mailto:LegalHelp@TheSmallBusinessOwnersManual.com</vt:lpwstr>
      </vt:variant>
      <vt:variant>
        <vt:lpwstr/>
      </vt:variant>
      <vt:variant>
        <vt:i4>4718683</vt:i4>
      </vt:variant>
      <vt:variant>
        <vt:i4>0</vt:i4>
      </vt:variant>
      <vt:variant>
        <vt:i4>0</vt:i4>
      </vt:variant>
      <vt:variant>
        <vt:i4>5</vt:i4>
      </vt:variant>
      <vt:variant>
        <vt:lpwstr>http://www.thesmallbusinessownersmanual.com/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business letters and documents library</dc:title>
  <dc:creator>www.TheSmallBusinessOwnersManual.com</dc:creator>
  <cp:lastModifiedBy>Aashish</cp:lastModifiedBy>
  <cp:revision>2</cp:revision>
  <dcterms:created xsi:type="dcterms:W3CDTF">2012-06-09T15:23:00Z</dcterms:created>
  <dcterms:modified xsi:type="dcterms:W3CDTF">2012-06-09T15:23:00Z</dcterms:modified>
</cp:coreProperties>
</file>