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5F" w:rsidRPr="00AB0D21" w:rsidRDefault="00895677" w:rsidP="00895677">
      <w:pPr>
        <w:jc w:val="center"/>
        <w:rPr>
          <w:b/>
          <w:sz w:val="28"/>
          <w:szCs w:val="28"/>
          <w:u w:val="single"/>
        </w:rPr>
      </w:pPr>
      <w:r w:rsidRPr="00AB0D21">
        <w:rPr>
          <w:b/>
          <w:sz w:val="28"/>
          <w:szCs w:val="28"/>
          <w:u w:val="single"/>
        </w:rPr>
        <w:t>Highlights of union budget 2012</w:t>
      </w:r>
    </w:p>
    <w:p w:rsidR="00895677" w:rsidRPr="00B25845" w:rsidRDefault="00895677" w:rsidP="008956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5845">
        <w:rPr>
          <w:sz w:val="24"/>
          <w:szCs w:val="24"/>
        </w:rPr>
        <w:t xml:space="preserve">Slab rates for Individuals:   Income </w:t>
      </w:r>
      <w:proofErr w:type="spellStart"/>
      <w:r w:rsidRPr="00B25845">
        <w:rPr>
          <w:sz w:val="24"/>
          <w:szCs w:val="24"/>
        </w:rPr>
        <w:t>upto</w:t>
      </w:r>
      <w:proofErr w:type="spellEnd"/>
      <w:r w:rsidRPr="00B25845">
        <w:rPr>
          <w:sz w:val="24"/>
          <w:szCs w:val="24"/>
        </w:rPr>
        <w:t xml:space="preserve"> Rs </w:t>
      </w:r>
      <w:r w:rsidRPr="00B25845">
        <w:rPr>
          <w:sz w:val="24"/>
          <w:szCs w:val="24"/>
        </w:rPr>
        <w:tab/>
        <w:t xml:space="preserve">     Income tax</w:t>
      </w:r>
      <w:r w:rsidRPr="00B25845">
        <w:rPr>
          <w:sz w:val="24"/>
          <w:szCs w:val="24"/>
        </w:rPr>
        <w:tab/>
      </w:r>
    </w:p>
    <w:p w:rsidR="00895677" w:rsidRPr="00B25845" w:rsidRDefault="00895677" w:rsidP="00895677">
      <w:pPr>
        <w:pStyle w:val="ListParagraph"/>
        <w:rPr>
          <w:sz w:val="24"/>
          <w:szCs w:val="24"/>
        </w:rPr>
      </w:pPr>
    </w:p>
    <w:p w:rsidR="00895677" w:rsidRPr="00B25845" w:rsidRDefault="00895677" w:rsidP="00895677">
      <w:pPr>
        <w:pStyle w:val="ListParagraph"/>
        <w:ind w:left="2880" w:firstLine="720"/>
        <w:rPr>
          <w:sz w:val="24"/>
          <w:szCs w:val="24"/>
        </w:rPr>
      </w:pPr>
      <w:r w:rsidRPr="00B25845">
        <w:rPr>
          <w:sz w:val="24"/>
          <w:szCs w:val="24"/>
        </w:rPr>
        <w:t xml:space="preserve">2 </w:t>
      </w:r>
      <w:proofErr w:type="spellStart"/>
      <w:r w:rsidRPr="00B25845">
        <w:rPr>
          <w:sz w:val="24"/>
          <w:szCs w:val="24"/>
        </w:rPr>
        <w:t>lacs</w:t>
      </w:r>
      <w:proofErr w:type="spellEnd"/>
      <w:r w:rsidRPr="00B25845">
        <w:rPr>
          <w:sz w:val="24"/>
          <w:szCs w:val="24"/>
        </w:rPr>
        <w:t xml:space="preserve">            -        </w:t>
      </w:r>
      <w:r w:rsidR="00AB0D21" w:rsidRPr="00B25845">
        <w:rPr>
          <w:sz w:val="24"/>
          <w:szCs w:val="24"/>
        </w:rPr>
        <w:t xml:space="preserve">    </w:t>
      </w:r>
      <w:r w:rsidRPr="00B25845">
        <w:rPr>
          <w:sz w:val="24"/>
          <w:szCs w:val="24"/>
        </w:rPr>
        <w:t xml:space="preserve">   NIL</w:t>
      </w:r>
    </w:p>
    <w:p w:rsidR="00895677" w:rsidRPr="00B25845" w:rsidRDefault="00895677" w:rsidP="00895677">
      <w:pPr>
        <w:pStyle w:val="ListParagraph"/>
        <w:ind w:left="2880" w:firstLine="720"/>
        <w:rPr>
          <w:sz w:val="24"/>
          <w:szCs w:val="24"/>
        </w:rPr>
      </w:pPr>
      <w:r w:rsidRPr="00B25845">
        <w:rPr>
          <w:sz w:val="24"/>
          <w:szCs w:val="24"/>
        </w:rPr>
        <w:t>2lacs -</w:t>
      </w:r>
      <w:proofErr w:type="gramStart"/>
      <w:r w:rsidRPr="00B25845">
        <w:rPr>
          <w:sz w:val="24"/>
          <w:szCs w:val="24"/>
        </w:rPr>
        <w:t>5lacs  -</w:t>
      </w:r>
      <w:proofErr w:type="gramEnd"/>
      <w:r w:rsidRPr="00B25845">
        <w:rPr>
          <w:sz w:val="24"/>
          <w:szCs w:val="24"/>
        </w:rPr>
        <w:t xml:space="preserve">              10%</w:t>
      </w:r>
    </w:p>
    <w:p w:rsidR="00895677" w:rsidRPr="00B25845" w:rsidRDefault="00895677" w:rsidP="00895677">
      <w:pPr>
        <w:ind w:left="360"/>
        <w:rPr>
          <w:sz w:val="24"/>
          <w:szCs w:val="24"/>
        </w:rPr>
      </w:pP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  <w:t xml:space="preserve">5lacs-10 </w:t>
      </w:r>
      <w:proofErr w:type="spellStart"/>
      <w:r w:rsidRPr="00B25845">
        <w:rPr>
          <w:sz w:val="24"/>
          <w:szCs w:val="24"/>
        </w:rPr>
        <w:t>lacs</w:t>
      </w:r>
      <w:proofErr w:type="spellEnd"/>
      <w:r w:rsidRPr="00B25845">
        <w:rPr>
          <w:sz w:val="24"/>
          <w:szCs w:val="24"/>
        </w:rPr>
        <w:t xml:space="preserve"> -</w:t>
      </w:r>
      <w:r w:rsidRPr="00B25845">
        <w:rPr>
          <w:sz w:val="24"/>
          <w:szCs w:val="24"/>
        </w:rPr>
        <w:tab/>
        <w:t xml:space="preserve">    20%</w:t>
      </w:r>
      <w:r w:rsidRPr="00B25845">
        <w:rPr>
          <w:sz w:val="24"/>
          <w:szCs w:val="24"/>
        </w:rPr>
        <w:tab/>
      </w:r>
    </w:p>
    <w:p w:rsidR="00895677" w:rsidRPr="00B25845" w:rsidRDefault="00895677" w:rsidP="0089567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25845">
        <w:rPr>
          <w:sz w:val="24"/>
          <w:szCs w:val="24"/>
        </w:rPr>
        <w:t xml:space="preserve">10 </w:t>
      </w:r>
      <w:proofErr w:type="spellStart"/>
      <w:r w:rsidRPr="00B25845">
        <w:rPr>
          <w:sz w:val="24"/>
          <w:szCs w:val="24"/>
        </w:rPr>
        <w:t>lacs</w:t>
      </w:r>
      <w:proofErr w:type="spellEnd"/>
      <w:r w:rsidRPr="00B25845">
        <w:rPr>
          <w:sz w:val="24"/>
          <w:szCs w:val="24"/>
        </w:rPr>
        <w:t xml:space="preserve">   -           </w:t>
      </w:r>
      <w:r w:rsidR="00AB0D21" w:rsidRPr="00B25845">
        <w:rPr>
          <w:sz w:val="24"/>
          <w:szCs w:val="24"/>
        </w:rPr>
        <w:t xml:space="preserve">   </w:t>
      </w:r>
      <w:r w:rsidRPr="00B25845">
        <w:rPr>
          <w:sz w:val="24"/>
          <w:szCs w:val="24"/>
        </w:rPr>
        <w:t xml:space="preserve">  30%</w:t>
      </w:r>
    </w:p>
    <w:p w:rsidR="00895677" w:rsidRPr="00B25845" w:rsidRDefault="00895677" w:rsidP="00895677">
      <w:pPr>
        <w:pStyle w:val="ListParagraph"/>
        <w:ind w:left="3960"/>
        <w:rPr>
          <w:sz w:val="24"/>
          <w:szCs w:val="24"/>
        </w:rPr>
      </w:pPr>
    </w:p>
    <w:p w:rsidR="00895677" w:rsidRPr="00B25845" w:rsidRDefault="00895677" w:rsidP="008956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5845">
        <w:rPr>
          <w:sz w:val="24"/>
          <w:szCs w:val="24"/>
        </w:rPr>
        <w:t>Rate of Service tax</w:t>
      </w: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  <w:t xml:space="preserve">  </w:t>
      </w:r>
      <w:r w:rsidR="00625D22" w:rsidRPr="00B25845">
        <w:rPr>
          <w:sz w:val="24"/>
          <w:szCs w:val="24"/>
        </w:rPr>
        <w:t xml:space="preserve">  </w:t>
      </w:r>
      <w:r w:rsidRPr="00B25845">
        <w:rPr>
          <w:sz w:val="24"/>
          <w:szCs w:val="24"/>
        </w:rPr>
        <w:t xml:space="preserve">     -   </w:t>
      </w:r>
      <w:r w:rsidR="00625D22" w:rsidRPr="00B25845">
        <w:rPr>
          <w:sz w:val="24"/>
          <w:szCs w:val="24"/>
        </w:rPr>
        <w:t xml:space="preserve"> </w:t>
      </w:r>
      <w:r w:rsidRPr="00B25845">
        <w:rPr>
          <w:sz w:val="24"/>
          <w:szCs w:val="24"/>
        </w:rPr>
        <w:t xml:space="preserve">       </w:t>
      </w:r>
      <w:r w:rsidR="00625D22" w:rsidRPr="00B25845">
        <w:rPr>
          <w:sz w:val="24"/>
          <w:szCs w:val="24"/>
        </w:rPr>
        <w:t xml:space="preserve">      </w:t>
      </w:r>
      <w:r w:rsidRPr="00B25845">
        <w:rPr>
          <w:sz w:val="24"/>
          <w:szCs w:val="24"/>
        </w:rPr>
        <w:t>12%</w:t>
      </w:r>
    </w:p>
    <w:p w:rsidR="008E54F9" w:rsidRPr="00B25845" w:rsidRDefault="00895677" w:rsidP="008956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25845">
        <w:rPr>
          <w:sz w:val="24"/>
          <w:szCs w:val="24"/>
        </w:rPr>
        <w:t xml:space="preserve">Amendment to Sec.80C </w:t>
      </w:r>
      <w:r w:rsidRPr="00B25845">
        <w:rPr>
          <w:sz w:val="24"/>
          <w:szCs w:val="24"/>
        </w:rPr>
        <w:tab/>
        <w:t xml:space="preserve">: </w:t>
      </w:r>
      <w:r w:rsidR="004A2DA7">
        <w:rPr>
          <w:sz w:val="24"/>
          <w:szCs w:val="24"/>
        </w:rPr>
        <w:t xml:space="preserve"> </w:t>
      </w:r>
      <w:r w:rsidRPr="00B25845">
        <w:rPr>
          <w:sz w:val="24"/>
          <w:szCs w:val="24"/>
        </w:rPr>
        <w:t xml:space="preserve">LIC premium paid should not exceed </w:t>
      </w:r>
    </w:p>
    <w:p w:rsidR="008E54F9" w:rsidRPr="00B25845" w:rsidRDefault="008E54F9" w:rsidP="008E54F9">
      <w:pPr>
        <w:pStyle w:val="ListParagraph"/>
        <w:ind w:left="2880"/>
        <w:rPr>
          <w:sz w:val="24"/>
          <w:szCs w:val="24"/>
        </w:rPr>
      </w:pPr>
      <w:r w:rsidRPr="00B25845">
        <w:rPr>
          <w:sz w:val="24"/>
          <w:szCs w:val="24"/>
        </w:rPr>
        <w:t xml:space="preserve">                 </w:t>
      </w:r>
      <w:proofErr w:type="gramStart"/>
      <w:r w:rsidR="00895677" w:rsidRPr="00B25845">
        <w:rPr>
          <w:sz w:val="24"/>
          <w:szCs w:val="24"/>
        </w:rPr>
        <w:t>10% of Sum Assured of the policy</w:t>
      </w:r>
      <w:r w:rsidRPr="00B25845">
        <w:rPr>
          <w:sz w:val="24"/>
          <w:szCs w:val="24"/>
        </w:rPr>
        <w:t>.</w:t>
      </w:r>
      <w:proofErr w:type="gramEnd"/>
    </w:p>
    <w:p w:rsidR="008E54F9" w:rsidRPr="00B25845" w:rsidRDefault="00F3456A" w:rsidP="008E54F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25845">
        <w:rPr>
          <w:sz w:val="24"/>
          <w:szCs w:val="24"/>
        </w:rPr>
        <w:t xml:space="preserve">80CCF </w:t>
      </w: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  <w:t xml:space="preserve">: </w:t>
      </w:r>
      <w:r w:rsidR="004A2DA7">
        <w:rPr>
          <w:sz w:val="24"/>
          <w:szCs w:val="24"/>
        </w:rPr>
        <w:t xml:space="preserve"> </w:t>
      </w:r>
      <w:r w:rsidRPr="00B25845">
        <w:rPr>
          <w:sz w:val="24"/>
          <w:szCs w:val="24"/>
        </w:rPr>
        <w:t>not available for AY 2012-13</w:t>
      </w:r>
    </w:p>
    <w:p w:rsidR="00F3456A" w:rsidRPr="00B25845" w:rsidRDefault="00F3456A" w:rsidP="008E54F9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25845">
        <w:rPr>
          <w:sz w:val="24"/>
          <w:szCs w:val="24"/>
        </w:rPr>
        <w:t xml:space="preserve">Rajiv Gandhi Equity Savings </w:t>
      </w:r>
      <w:proofErr w:type="gramStart"/>
      <w:r w:rsidRPr="00B25845">
        <w:rPr>
          <w:sz w:val="24"/>
          <w:szCs w:val="24"/>
        </w:rPr>
        <w:t>Scheme :</w:t>
      </w:r>
      <w:proofErr w:type="gramEnd"/>
      <w:r w:rsidRPr="00B25845">
        <w:rPr>
          <w:sz w:val="24"/>
          <w:szCs w:val="24"/>
        </w:rPr>
        <w:t xml:space="preserve">  Deduction </w:t>
      </w:r>
      <w:proofErr w:type="spellStart"/>
      <w:r w:rsidRPr="00B25845">
        <w:rPr>
          <w:sz w:val="24"/>
          <w:szCs w:val="24"/>
        </w:rPr>
        <w:t>upto</w:t>
      </w:r>
      <w:proofErr w:type="spellEnd"/>
      <w:r w:rsidRPr="00B25845">
        <w:rPr>
          <w:sz w:val="24"/>
          <w:szCs w:val="24"/>
        </w:rPr>
        <w:t xml:space="preserve"> 50% of amount invested in the scheme. </w:t>
      </w:r>
    </w:p>
    <w:p w:rsidR="00F3456A" w:rsidRPr="00B25845" w:rsidRDefault="00F3456A" w:rsidP="00F3456A">
      <w:pPr>
        <w:ind w:left="360"/>
        <w:rPr>
          <w:sz w:val="24"/>
          <w:szCs w:val="24"/>
        </w:rPr>
      </w:pPr>
      <w:r w:rsidRPr="00B25845">
        <w:rPr>
          <w:sz w:val="24"/>
          <w:szCs w:val="24"/>
        </w:rPr>
        <w:t xml:space="preserve">                                 Lock-in period </w:t>
      </w:r>
      <w:r w:rsidRPr="00B25845">
        <w:rPr>
          <w:sz w:val="24"/>
          <w:szCs w:val="24"/>
        </w:rPr>
        <w:tab/>
        <w:t xml:space="preserve">       :   3 years</w:t>
      </w:r>
    </w:p>
    <w:p w:rsidR="00F3456A" w:rsidRPr="00B25845" w:rsidRDefault="00F3456A" w:rsidP="00F3456A">
      <w:pPr>
        <w:ind w:left="360"/>
        <w:rPr>
          <w:sz w:val="24"/>
          <w:szCs w:val="24"/>
        </w:rPr>
      </w:pP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  <w:t xml:space="preserve">          Maximum deduction   : Rs 50,000/-</w:t>
      </w:r>
    </w:p>
    <w:p w:rsidR="00F3456A" w:rsidRPr="00B25845" w:rsidRDefault="00954116" w:rsidP="00F3456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25845">
        <w:rPr>
          <w:sz w:val="24"/>
          <w:szCs w:val="24"/>
        </w:rPr>
        <w:t>80D</w:t>
      </w: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  <w:t xml:space="preserve">      :  Rs.5000/- is allowed for preventive health check-up within the overall limit allowed under the section.</w:t>
      </w:r>
    </w:p>
    <w:p w:rsidR="00954116" w:rsidRPr="00B25845" w:rsidRDefault="002C251D" w:rsidP="00F3456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25845">
        <w:rPr>
          <w:sz w:val="24"/>
          <w:szCs w:val="24"/>
        </w:rPr>
        <w:t>Donations</w:t>
      </w: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  <w:t xml:space="preserve">     :   made in cash is not allowed as deduction if it exceeds Rs. 10,000/- in cash.</w:t>
      </w:r>
    </w:p>
    <w:p w:rsidR="002C251D" w:rsidRPr="00B25845" w:rsidRDefault="00EC6F9A" w:rsidP="00F3456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25845">
        <w:rPr>
          <w:sz w:val="24"/>
          <w:szCs w:val="24"/>
        </w:rPr>
        <w:t xml:space="preserve">New Section 80TTA </w:t>
      </w: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  <w:t xml:space="preserve">    :   Interest on Savings deposit accounts in Banks / post offices is exempt </w:t>
      </w:r>
      <w:proofErr w:type="spellStart"/>
      <w:r w:rsidRPr="00B25845">
        <w:rPr>
          <w:sz w:val="24"/>
          <w:szCs w:val="24"/>
        </w:rPr>
        <w:t>upto</w:t>
      </w:r>
      <w:proofErr w:type="spellEnd"/>
      <w:r w:rsidRPr="00B25845">
        <w:rPr>
          <w:sz w:val="24"/>
          <w:szCs w:val="24"/>
        </w:rPr>
        <w:t xml:space="preserve"> Rs.10,000/-</w:t>
      </w:r>
    </w:p>
    <w:p w:rsidR="008F70B1" w:rsidRPr="00B25845" w:rsidRDefault="008F70B1" w:rsidP="00F3456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25845">
        <w:rPr>
          <w:sz w:val="24"/>
          <w:szCs w:val="24"/>
        </w:rPr>
        <w:t>Investment received by an enterprise from a Private financing source may be deemed as income.</w:t>
      </w:r>
    </w:p>
    <w:p w:rsidR="008F70B1" w:rsidRPr="00B25845" w:rsidRDefault="008F70B1" w:rsidP="00F3456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25845">
        <w:rPr>
          <w:sz w:val="24"/>
          <w:szCs w:val="24"/>
        </w:rPr>
        <w:t>Overseas transfer of assets that takes place with underlying real assets in India in exceptional cases can be reopened within a time limit of past 6 years.</w:t>
      </w:r>
    </w:p>
    <w:p w:rsidR="00B25845" w:rsidRPr="00B25845" w:rsidRDefault="00B25845" w:rsidP="00B25845">
      <w:pPr>
        <w:rPr>
          <w:sz w:val="24"/>
          <w:szCs w:val="24"/>
        </w:rPr>
      </w:pPr>
    </w:p>
    <w:p w:rsidR="00DF4197" w:rsidRPr="00B25845" w:rsidRDefault="008F70B1" w:rsidP="00DF4197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25845">
        <w:rPr>
          <w:sz w:val="24"/>
          <w:szCs w:val="24"/>
        </w:rPr>
        <w:t xml:space="preserve">Amendment to TDS provisions:  </w:t>
      </w:r>
    </w:p>
    <w:p w:rsidR="008F70B1" w:rsidRPr="00B25845" w:rsidRDefault="008F70B1" w:rsidP="00DF41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25845">
        <w:rPr>
          <w:sz w:val="24"/>
          <w:szCs w:val="24"/>
        </w:rPr>
        <w:t xml:space="preserve">Transfer of immovable property other than agricultural land is brought within the TDS ambit. Transferee of immovable property is now required to withhold tax of 1% of consideration. Such withholding is required only if consideration exceeds Rs.50 </w:t>
      </w:r>
      <w:proofErr w:type="spellStart"/>
      <w:r w:rsidRPr="00B25845">
        <w:rPr>
          <w:sz w:val="24"/>
          <w:szCs w:val="24"/>
        </w:rPr>
        <w:t>lakh</w:t>
      </w:r>
      <w:proofErr w:type="spellEnd"/>
      <w:r w:rsidRPr="00B25845">
        <w:rPr>
          <w:sz w:val="24"/>
          <w:szCs w:val="24"/>
        </w:rPr>
        <w:t xml:space="preserve"> in urban area and </w:t>
      </w:r>
      <w:r w:rsidRPr="00B25845">
        <w:rPr>
          <w:sz w:val="24"/>
          <w:szCs w:val="24"/>
        </w:rPr>
        <w:lastRenderedPageBreak/>
        <w:t xml:space="preserve">Rs.20 </w:t>
      </w:r>
      <w:proofErr w:type="spellStart"/>
      <w:r w:rsidRPr="00B25845">
        <w:rPr>
          <w:sz w:val="24"/>
          <w:szCs w:val="24"/>
        </w:rPr>
        <w:t>lakh</w:t>
      </w:r>
      <w:proofErr w:type="spellEnd"/>
      <w:r w:rsidRPr="00B25845">
        <w:rPr>
          <w:sz w:val="24"/>
          <w:szCs w:val="24"/>
        </w:rPr>
        <w:t xml:space="preserve"> in case of property located in any other area. </w:t>
      </w:r>
      <w:r w:rsidR="00DF4197" w:rsidRPr="00B25845">
        <w:rPr>
          <w:sz w:val="24"/>
          <w:szCs w:val="24"/>
        </w:rPr>
        <w:t>There is no exemption from this to individuals. The registration of the transfer is subject to submission of proof of payment of TDS. This amendment will be applicable from October 1</w:t>
      </w:r>
      <w:r w:rsidR="00DF4197" w:rsidRPr="00B25845">
        <w:rPr>
          <w:sz w:val="24"/>
          <w:szCs w:val="24"/>
          <w:vertAlign w:val="superscript"/>
        </w:rPr>
        <w:t>st</w:t>
      </w:r>
      <w:r w:rsidR="00DF4197" w:rsidRPr="00B25845">
        <w:rPr>
          <w:sz w:val="24"/>
          <w:szCs w:val="24"/>
        </w:rPr>
        <w:t xml:space="preserve"> this year.</w:t>
      </w:r>
    </w:p>
    <w:p w:rsidR="00DF4197" w:rsidRPr="00B25845" w:rsidRDefault="00DF4197" w:rsidP="00DF41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25845">
        <w:rPr>
          <w:sz w:val="24"/>
          <w:szCs w:val="24"/>
        </w:rPr>
        <w:t xml:space="preserve">Every seller of bullion and </w:t>
      </w:r>
      <w:proofErr w:type="spellStart"/>
      <w:r w:rsidRPr="00B25845">
        <w:rPr>
          <w:sz w:val="24"/>
          <w:szCs w:val="24"/>
        </w:rPr>
        <w:t>jewellery</w:t>
      </w:r>
      <w:proofErr w:type="spellEnd"/>
      <w:r w:rsidRPr="00B25845">
        <w:rPr>
          <w:sz w:val="24"/>
          <w:szCs w:val="24"/>
        </w:rPr>
        <w:t xml:space="preserve"> would have to collect tax at the rate of 1% of sale consideration from every buyer of bullion and </w:t>
      </w:r>
      <w:proofErr w:type="spellStart"/>
      <w:r w:rsidRPr="00B25845">
        <w:rPr>
          <w:sz w:val="24"/>
          <w:szCs w:val="24"/>
        </w:rPr>
        <w:t>jewellery</w:t>
      </w:r>
      <w:proofErr w:type="spellEnd"/>
      <w:r w:rsidRPr="00B25845">
        <w:rPr>
          <w:sz w:val="24"/>
          <w:szCs w:val="24"/>
        </w:rPr>
        <w:t xml:space="preserve"> if the sale consideration exceeds Rs.2lakh and the sale is done </w:t>
      </w:r>
      <w:proofErr w:type="gramStart"/>
      <w:r w:rsidRPr="00B25845">
        <w:rPr>
          <w:sz w:val="24"/>
          <w:szCs w:val="24"/>
        </w:rPr>
        <w:t>In</w:t>
      </w:r>
      <w:proofErr w:type="gramEnd"/>
      <w:r w:rsidRPr="00B25845">
        <w:rPr>
          <w:sz w:val="24"/>
          <w:szCs w:val="24"/>
        </w:rPr>
        <w:t xml:space="preserve"> cash. This would be irrespective of the fact whether the buyer is a </w:t>
      </w:r>
      <w:proofErr w:type="spellStart"/>
      <w:r w:rsidRPr="00B25845">
        <w:rPr>
          <w:sz w:val="24"/>
          <w:szCs w:val="24"/>
        </w:rPr>
        <w:t>manufacturer</w:t>
      </w:r>
      <w:proofErr w:type="gramStart"/>
      <w:r w:rsidRPr="00B25845">
        <w:rPr>
          <w:sz w:val="24"/>
          <w:szCs w:val="24"/>
        </w:rPr>
        <w:t>,trader</w:t>
      </w:r>
      <w:proofErr w:type="spellEnd"/>
      <w:proofErr w:type="gramEnd"/>
      <w:r w:rsidRPr="00B25845">
        <w:rPr>
          <w:sz w:val="24"/>
          <w:szCs w:val="24"/>
        </w:rPr>
        <w:t xml:space="preserve"> or purchase is for personal use.</w:t>
      </w:r>
    </w:p>
    <w:p w:rsidR="007A57D1" w:rsidRPr="00B25845" w:rsidRDefault="007A57D1" w:rsidP="007A57D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25845">
        <w:rPr>
          <w:sz w:val="24"/>
          <w:szCs w:val="24"/>
        </w:rPr>
        <w:t>Amendment to Transfer Pricing Regulations:    The proposed transactions which will come under the expanded tax net would be:</w:t>
      </w:r>
    </w:p>
    <w:p w:rsidR="007A57D1" w:rsidRPr="00B25845" w:rsidRDefault="007A57D1" w:rsidP="007A57D1">
      <w:pPr>
        <w:pStyle w:val="ListParagraph"/>
        <w:numPr>
          <w:ilvl w:val="5"/>
          <w:numId w:val="10"/>
        </w:numPr>
        <w:rPr>
          <w:sz w:val="24"/>
          <w:szCs w:val="24"/>
        </w:rPr>
      </w:pPr>
      <w:r w:rsidRPr="00B25845">
        <w:rPr>
          <w:sz w:val="24"/>
          <w:szCs w:val="24"/>
        </w:rPr>
        <w:t xml:space="preserve">Payment of any expenditure related to </w:t>
      </w:r>
      <w:proofErr w:type="spellStart"/>
      <w:r w:rsidRPr="00B25845">
        <w:rPr>
          <w:sz w:val="24"/>
          <w:szCs w:val="24"/>
        </w:rPr>
        <w:t>goods,services</w:t>
      </w:r>
      <w:proofErr w:type="spellEnd"/>
      <w:r w:rsidRPr="00B25845">
        <w:rPr>
          <w:sz w:val="24"/>
          <w:szCs w:val="24"/>
        </w:rPr>
        <w:t xml:space="preserve"> or facilities made to related party (as defined u/s40A(2)(b)) ;</w:t>
      </w:r>
    </w:p>
    <w:p w:rsidR="007A57D1" w:rsidRPr="00B25845" w:rsidRDefault="007A57D1" w:rsidP="007A57D1">
      <w:pPr>
        <w:pStyle w:val="ListParagraph"/>
        <w:numPr>
          <w:ilvl w:val="5"/>
          <w:numId w:val="10"/>
        </w:numPr>
        <w:rPr>
          <w:sz w:val="24"/>
          <w:szCs w:val="24"/>
        </w:rPr>
      </w:pPr>
      <w:r w:rsidRPr="00B25845">
        <w:rPr>
          <w:sz w:val="24"/>
          <w:szCs w:val="24"/>
        </w:rPr>
        <w:t>Any transfer of goods or services from eligible business to other business or vice versa(as defined u/s 80A,80-IA, chapter VI or section 10AA of subsection (8)/(10) or;</w:t>
      </w:r>
    </w:p>
    <w:p w:rsidR="007A57D1" w:rsidRPr="00B25845" w:rsidRDefault="007A57D1" w:rsidP="007A57D1">
      <w:pPr>
        <w:pStyle w:val="ListParagraph"/>
        <w:numPr>
          <w:ilvl w:val="5"/>
          <w:numId w:val="10"/>
        </w:numPr>
        <w:rPr>
          <w:sz w:val="24"/>
          <w:szCs w:val="24"/>
        </w:rPr>
      </w:pPr>
      <w:r w:rsidRPr="00B25845">
        <w:rPr>
          <w:sz w:val="24"/>
          <w:szCs w:val="24"/>
        </w:rPr>
        <w:t>Any other transaction as may be prescribed by the CBDT.</w:t>
      </w:r>
    </w:p>
    <w:p w:rsidR="00F64635" w:rsidRPr="00B25845" w:rsidRDefault="00277785" w:rsidP="00F64635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gramStart"/>
      <w:r w:rsidRPr="00B25845">
        <w:rPr>
          <w:sz w:val="24"/>
          <w:szCs w:val="24"/>
        </w:rPr>
        <w:t>Excise  Duty</w:t>
      </w:r>
      <w:proofErr w:type="gramEnd"/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</w:r>
      <w:r w:rsidRPr="00B25845">
        <w:rPr>
          <w:sz w:val="24"/>
          <w:szCs w:val="24"/>
        </w:rPr>
        <w:tab/>
        <w:t xml:space="preserve">      1% excise duty on unbranded precious metal </w:t>
      </w:r>
      <w:proofErr w:type="spellStart"/>
      <w:r w:rsidRPr="00B25845">
        <w:rPr>
          <w:sz w:val="24"/>
          <w:szCs w:val="24"/>
        </w:rPr>
        <w:t>jewellery</w:t>
      </w:r>
      <w:proofErr w:type="spellEnd"/>
      <w:r w:rsidRPr="00B25845">
        <w:rPr>
          <w:sz w:val="24"/>
          <w:szCs w:val="24"/>
        </w:rPr>
        <w:t xml:space="preserve"> is proposed .</w:t>
      </w:r>
    </w:p>
    <w:p w:rsidR="00F64635" w:rsidRPr="00AB0D21" w:rsidRDefault="00F64635" w:rsidP="00F64635">
      <w:pPr>
        <w:rPr>
          <w:sz w:val="28"/>
          <w:szCs w:val="28"/>
        </w:rPr>
      </w:pPr>
    </w:p>
    <w:p w:rsidR="005055A1" w:rsidRPr="00B25845" w:rsidRDefault="005055A1" w:rsidP="005055A1">
      <w:pPr>
        <w:pStyle w:val="ListParagraph"/>
        <w:ind w:left="4320"/>
        <w:rPr>
          <w:sz w:val="24"/>
          <w:szCs w:val="24"/>
        </w:rPr>
      </w:pPr>
    </w:p>
    <w:sectPr w:rsidR="005055A1" w:rsidRPr="00B25845" w:rsidSect="00684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B3E"/>
    <w:multiLevelType w:val="hybridMultilevel"/>
    <w:tmpl w:val="C8F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D5145"/>
    <w:multiLevelType w:val="hybridMultilevel"/>
    <w:tmpl w:val="0518C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46B51"/>
    <w:multiLevelType w:val="hybridMultilevel"/>
    <w:tmpl w:val="A6DE2C0A"/>
    <w:lvl w:ilvl="0" w:tplc="17706384">
      <w:start w:val="2"/>
      <w:numFmt w:val="bullet"/>
      <w:lvlText w:val=""/>
      <w:lvlJc w:val="left"/>
      <w:pPr>
        <w:ind w:left="39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267E6CAE"/>
    <w:multiLevelType w:val="hybridMultilevel"/>
    <w:tmpl w:val="6070FCA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26C80E84"/>
    <w:multiLevelType w:val="hybridMultilevel"/>
    <w:tmpl w:val="4F6E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5280B"/>
    <w:multiLevelType w:val="hybridMultilevel"/>
    <w:tmpl w:val="BAEA5A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559C7D61"/>
    <w:multiLevelType w:val="hybridMultilevel"/>
    <w:tmpl w:val="836A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B4C39"/>
    <w:multiLevelType w:val="hybridMultilevel"/>
    <w:tmpl w:val="EB025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D400FD"/>
    <w:multiLevelType w:val="hybridMultilevel"/>
    <w:tmpl w:val="548875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9691648"/>
    <w:multiLevelType w:val="hybridMultilevel"/>
    <w:tmpl w:val="D83E7DB6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5677"/>
    <w:rsid w:val="00277785"/>
    <w:rsid w:val="002C251D"/>
    <w:rsid w:val="004A2DA7"/>
    <w:rsid w:val="005055A1"/>
    <w:rsid w:val="00625D22"/>
    <w:rsid w:val="00684B5F"/>
    <w:rsid w:val="007A57D1"/>
    <w:rsid w:val="00895677"/>
    <w:rsid w:val="008E54F9"/>
    <w:rsid w:val="008F70B1"/>
    <w:rsid w:val="00954116"/>
    <w:rsid w:val="00AB0D21"/>
    <w:rsid w:val="00B25845"/>
    <w:rsid w:val="00DF4197"/>
    <w:rsid w:val="00EC6F9A"/>
    <w:rsid w:val="00F3456A"/>
    <w:rsid w:val="00F64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16</cp:revision>
  <dcterms:created xsi:type="dcterms:W3CDTF">2012-03-20T13:49:00Z</dcterms:created>
  <dcterms:modified xsi:type="dcterms:W3CDTF">2012-03-20T14:36:00Z</dcterms:modified>
</cp:coreProperties>
</file>