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83" w:type="pct"/>
        <w:jc w:val="center"/>
        <w:tblCellSpacing w:w="7" w:type="dxa"/>
        <w:shd w:val="clear" w:color="auto" w:fill="3E72AA"/>
        <w:tblCellMar>
          <w:top w:w="60" w:type="dxa"/>
          <w:left w:w="60" w:type="dxa"/>
          <w:bottom w:w="60" w:type="dxa"/>
          <w:right w:w="60" w:type="dxa"/>
        </w:tblCellMar>
        <w:tblLook w:val="04A0"/>
      </w:tblPr>
      <w:tblGrid>
        <w:gridCol w:w="11398"/>
      </w:tblGrid>
      <w:tr w:rsidR="001D3654" w:rsidRPr="001D3654" w:rsidTr="001D3654">
        <w:trPr>
          <w:trHeight w:val="230"/>
          <w:tblCellSpacing w:w="7" w:type="dxa"/>
          <w:jc w:val="center"/>
        </w:trPr>
        <w:tc>
          <w:tcPr>
            <w:tcW w:w="4987" w:type="pct"/>
            <w:shd w:val="clear" w:color="auto" w:fill="FFFFFF"/>
            <w:tcMar>
              <w:top w:w="35" w:type="dxa"/>
              <w:left w:w="58" w:type="dxa"/>
              <w:bottom w:w="35" w:type="dxa"/>
              <w:right w:w="58" w:type="dxa"/>
            </w:tcMar>
            <w:vAlign w:val="center"/>
            <w:hideMark/>
          </w:tcPr>
          <w:p w:rsidR="001D3654" w:rsidRPr="001D3654" w:rsidRDefault="001D3654" w:rsidP="001D3654">
            <w:pPr>
              <w:spacing w:after="0" w:line="240" w:lineRule="auto"/>
              <w:rPr>
                <w:rFonts w:ascii="Tahoma" w:eastAsia="Times New Roman" w:hAnsi="Tahoma" w:cs="Tahoma"/>
                <w:color w:val="000000"/>
                <w:sz w:val="15"/>
                <w:szCs w:val="15"/>
              </w:rPr>
            </w:pPr>
          </w:p>
        </w:tc>
      </w:tr>
      <w:tr w:rsidR="001D3654" w:rsidRPr="001D3654" w:rsidTr="001D3654">
        <w:trPr>
          <w:tblCellSpacing w:w="7" w:type="dxa"/>
          <w:jc w:val="center"/>
        </w:trPr>
        <w:tc>
          <w:tcPr>
            <w:tcW w:w="4987" w:type="pct"/>
            <w:shd w:val="clear" w:color="auto" w:fill="FFFFFF"/>
            <w:vAlign w:val="center"/>
            <w:hideMark/>
          </w:tcPr>
          <w:p w:rsidR="001D3654" w:rsidRPr="001D3654" w:rsidRDefault="001D3654" w:rsidP="001D3654">
            <w:pPr>
              <w:spacing w:after="0" w:line="240" w:lineRule="auto"/>
              <w:ind w:right="-315"/>
              <w:jc w:val="center"/>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2202180" cy="877570"/>
                  <wp:effectExtent l="19050" t="0" r="7620" b="0"/>
                  <wp:docPr id="2" name="Picture 2" descr="http://www.rbi.org.in/images/Notification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bi.org.in/images/Notification_header.jpg"/>
                          <pic:cNvPicPr>
                            <a:picLocks noChangeAspect="1" noChangeArrowheads="1"/>
                          </pic:cNvPicPr>
                        </pic:nvPicPr>
                        <pic:blipFill>
                          <a:blip r:embed="rId4"/>
                          <a:srcRect/>
                          <a:stretch>
                            <a:fillRect/>
                          </a:stretch>
                        </pic:blipFill>
                        <pic:spPr bwMode="auto">
                          <a:xfrm>
                            <a:off x="0" y="0"/>
                            <a:ext cx="2202180" cy="877570"/>
                          </a:xfrm>
                          <a:prstGeom prst="rect">
                            <a:avLst/>
                          </a:prstGeom>
                          <a:noFill/>
                          <a:ln w="9525">
                            <a:noFill/>
                            <a:miter lim="800000"/>
                            <a:headEnd/>
                            <a:tailEnd/>
                          </a:ln>
                        </pic:spPr>
                      </pic:pic>
                    </a:graphicData>
                  </a:graphic>
                </wp:inline>
              </w:drawing>
            </w:r>
          </w:p>
        </w:tc>
      </w:tr>
      <w:tr w:rsidR="001D3654" w:rsidRPr="001D3654" w:rsidTr="001D3654">
        <w:trPr>
          <w:trHeight w:val="253"/>
          <w:tblCellSpacing w:w="7" w:type="dxa"/>
          <w:jc w:val="center"/>
        </w:trPr>
        <w:tc>
          <w:tcPr>
            <w:tcW w:w="4987" w:type="pct"/>
            <w:shd w:val="clear" w:color="auto" w:fill="F2F8FD"/>
            <w:tcMar>
              <w:top w:w="35" w:type="dxa"/>
              <w:left w:w="58" w:type="dxa"/>
              <w:bottom w:w="35" w:type="dxa"/>
              <w:right w:w="58" w:type="dxa"/>
            </w:tcMar>
            <w:vAlign w:val="center"/>
            <w:hideMark/>
          </w:tcPr>
          <w:p w:rsidR="001D3654" w:rsidRPr="001D3654" w:rsidRDefault="001D3654" w:rsidP="001D3654">
            <w:pPr>
              <w:spacing w:after="0" w:line="240" w:lineRule="auto"/>
              <w:jc w:val="right"/>
              <w:rPr>
                <w:rFonts w:ascii="Tahoma" w:eastAsia="Times New Roman" w:hAnsi="Tahoma" w:cs="Tahoma"/>
                <w:color w:val="000000"/>
                <w:sz w:val="15"/>
                <w:szCs w:val="15"/>
              </w:rPr>
            </w:pPr>
            <w:r w:rsidRPr="001D3654">
              <w:rPr>
                <w:rFonts w:ascii="Tahoma" w:eastAsia="Times New Roman" w:hAnsi="Tahoma" w:cs="Tahoma"/>
                <w:b/>
                <w:bCs/>
                <w:color w:val="000000"/>
                <w:sz w:val="15"/>
                <w:szCs w:val="15"/>
              </w:rPr>
              <w:t>Date:</w:t>
            </w:r>
            <w:r w:rsidRPr="001D3654">
              <w:rPr>
                <w:rFonts w:ascii="Tahoma" w:eastAsia="Times New Roman" w:hAnsi="Tahoma" w:cs="Tahoma"/>
                <w:b/>
                <w:bCs/>
                <w:color w:val="000000"/>
                <w:sz w:val="15"/>
              </w:rPr>
              <w:t> </w:t>
            </w:r>
            <w:r w:rsidRPr="001D3654">
              <w:rPr>
                <w:rFonts w:ascii="Tahoma" w:eastAsia="Times New Roman" w:hAnsi="Tahoma" w:cs="Tahoma"/>
                <w:color w:val="000000"/>
                <w:sz w:val="15"/>
                <w:szCs w:val="15"/>
              </w:rPr>
              <w:t>Dec 02, 2011</w:t>
            </w:r>
          </w:p>
        </w:tc>
      </w:tr>
      <w:tr w:rsidR="001D3654" w:rsidRPr="001D3654" w:rsidTr="001D3654">
        <w:trPr>
          <w:trHeight w:val="230"/>
          <w:tblCellSpacing w:w="7" w:type="dxa"/>
          <w:jc w:val="center"/>
        </w:trPr>
        <w:tc>
          <w:tcPr>
            <w:tcW w:w="4987" w:type="pct"/>
            <w:shd w:val="clear" w:color="auto" w:fill="ECF4FC"/>
            <w:tcMar>
              <w:top w:w="35" w:type="dxa"/>
              <w:left w:w="58" w:type="dxa"/>
              <w:bottom w:w="35" w:type="dxa"/>
              <w:right w:w="58" w:type="dxa"/>
            </w:tcMar>
            <w:vAlign w:val="center"/>
            <w:hideMark/>
          </w:tcPr>
          <w:p w:rsidR="001D3654" w:rsidRPr="001D3654" w:rsidRDefault="001D3654" w:rsidP="001D3654">
            <w:pPr>
              <w:spacing w:after="0" w:line="240" w:lineRule="auto"/>
              <w:jc w:val="center"/>
              <w:rPr>
                <w:rFonts w:ascii="Tahoma" w:eastAsia="Times New Roman" w:hAnsi="Tahoma" w:cs="Tahoma"/>
                <w:color w:val="000000"/>
                <w:sz w:val="15"/>
                <w:szCs w:val="15"/>
              </w:rPr>
            </w:pPr>
            <w:r w:rsidRPr="001D3654">
              <w:rPr>
                <w:rFonts w:ascii="Tahoma" w:eastAsia="Times New Roman" w:hAnsi="Tahoma" w:cs="Tahoma"/>
                <w:b/>
                <w:bCs/>
                <w:color w:val="000000"/>
                <w:sz w:val="15"/>
                <w:szCs w:val="15"/>
              </w:rPr>
              <w:t xml:space="preserve">Payment of </w:t>
            </w:r>
            <w:proofErr w:type="spellStart"/>
            <w:r w:rsidRPr="001D3654">
              <w:rPr>
                <w:rFonts w:ascii="Tahoma" w:eastAsia="Times New Roman" w:hAnsi="Tahoma" w:cs="Tahoma"/>
                <w:b/>
                <w:bCs/>
                <w:color w:val="000000"/>
                <w:sz w:val="15"/>
                <w:szCs w:val="15"/>
              </w:rPr>
              <w:t>Cheques</w:t>
            </w:r>
            <w:proofErr w:type="spellEnd"/>
            <w:r w:rsidRPr="001D3654">
              <w:rPr>
                <w:rFonts w:ascii="Tahoma" w:eastAsia="Times New Roman" w:hAnsi="Tahoma" w:cs="Tahoma"/>
                <w:b/>
                <w:bCs/>
                <w:color w:val="000000"/>
                <w:sz w:val="15"/>
                <w:szCs w:val="15"/>
              </w:rPr>
              <w:t xml:space="preserve"> / Drafts / Pay Orders / Banker's </w:t>
            </w:r>
            <w:proofErr w:type="spellStart"/>
            <w:r w:rsidRPr="001D3654">
              <w:rPr>
                <w:rFonts w:ascii="Tahoma" w:eastAsia="Times New Roman" w:hAnsi="Tahoma" w:cs="Tahoma"/>
                <w:b/>
                <w:bCs/>
                <w:color w:val="000000"/>
                <w:sz w:val="15"/>
                <w:szCs w:val="15"/>
              </w:rPr>
              <w:t>Cheques</w:t>
            </w:r>
            <w:proofErr w:type="spellEnd"/>
          </w:p>
        </w:tc>
      </w:tr>
      <w:tr w:rsidR="001D3654" w:rsidRPr="001D3654" w:rsidTr="001D3654">
        <w:trPr>
          <w:tblCellSpacing w:w="7" w:type="dxa"/>
          <w:jc w:val="center"/>
        </w:trPr>
        <w:tc>
          <w:tcPr>
            <w:tcW w:w="4987" w:type="pct"/>
            <w:shd w:val="clear" w:color="auto" w:fill="FFFFFF"/>
            <w:vAlign w:val="center"/>
            <w:hideMark/>
          </w:tcPr>
          <w:tbl>
            <w:tblPr>
              <w:tblW w:w="11250" w:type="dxa"/>
              <w:jc w:val="center"/>
              <w:tblCellSpacing w:w="15" w:type="dxa"/>
              <w:tblCellMar>
                <w:top w:w="15" w:type="dxa"/>
                <w:left w:w="15" w:type="dxa"/>
                <w:bottom w:w="15" w:type="dxa"/>
                <w:right w:w="15" w:type="dxa"/>
              </w:tblCellMar>
              <w:tblLook w:val="04A0"/>
            </w:tblPr>
            <w:tblGrid>
              <w:gridCol w:w="11250"/>
            </w:tblGrid>
            <w:tr w:rsidR="001D3654" w:rsidRPr="001D3654">
              <w:trPr>
                <w:tblCellSpacing w:w="15" w:type="dxa"/>
                <w:jc w:val="center"/>
              </w:trPr>
              <w:tc>
                <w:tcPr>
                  <w:tcW w:w="0" w:type="auto"/>
                  <w:vAlign w:val="center"/>
                  <w:hideMark/>
                </w:tcPr>
                <w:p w:rsidR="001D3654" w:rsidRPr="001D3654" w:rsidRDefault="001D3654" w:rsidP="001D3654">
                  <w:pPr>
                    <w:spacing w:before="100" w:beforeAutospacing="1" w:after="100" w:afterAutospacing="1" w:line="240" w:lineRule="auto"/>
                    <w:jc w:val="both"/>
                    <w:rPr>
                      <w:rFonts w:ascii="Arial" w:eastAsia="Times New Roman" w:hAnsi="Arial" w:cs="Arial"/>
                      <w:color w:val="000000"/>
                      <w:sz w:val="15"/>
                      <w:szCs w:val="15"/>
                    </w:rPr>
                  </w:pPr>
                  <w:r w:rsidRPr="001D3654">
                    <w:rPr>
                      <w:rFonts w:ascii="Arial" w:eastAsia="Times New Roman" w:hAnsi="Arial" w:cs="Arial"/>
                      <w:b/>
                      <w:bCs/>
                      <w:color w:val="000000"/>
                      <w:sz w:val="15"/>
                    </w:rPr>
                    <w:t>RBI/ 2011-12/288</w:t>
                  </w:r>
                  <w:r w:rsidRPr="001D3654">
                    <w:rPr>
                      <w:rFonts w:ascii="Arial" w:eastAsia="Times New Roman" w:hAnsi="Arial" w:cs="Arial"/>
                      <w:b/>
                      <w:bCs/>
                      <w:color w:val="000000"/>
                      <w:sz w:val="15"/>
                      <w:szCs w:val="15"/>
                    </w:rPr>
                    <w:br/>
                  </w:r>
                  <w:r w:rsidRPr="001D3654">
                    <w:rPr>
                      <w:rFonts w:ascii="Arial" w:eastAsia="Times New Roman" w:hAnsi="Arial" w:cs="Arial"/>
                      <w:b/>
                      <w:bCs/>
                      <w:color w:val="000000"/>
                      <w:sz w:val="15"/>
                    </w:rPr>
                    <w:t>UBD. BPD. (PCB) No. 15 /12.05.001/2011-12</w:t>
                  </w:r>
                </w:p>
                <w:p w:rsidR="001D3654" w:rsidRPr="001D3654" w:rsidRDefault="001D3654" w:rsidP="001D3654">
                  <w:pPr>
                    <w:spacing w:before="100" w:beforeAutospacing="1" w:after="100" w:afterAutospacing="1" w:line="240" w:lineRule="auto"/>
                    <w:jc w:val="right"/>
                    <w:rPr>
                      <w:rFonts w:ascii="Arial" w:eastAsia="Times New Roman" w:hAnsi="Arial" w:cs="Arial"/>
                      <w:color w:val="000000"/>
                      <w:sz w:val="15"/>
                      <w:szCs w:val="15"/>
                    </w:rPr>
                  </w:pPr>
                  <w:r w:rsidRPr="001D3654">
                    <w:rPr>
                      <w:rFonts w:ascii="Arial" w:eastAsia="Times New Roman" w:hAnsi="Arial" w:cs="Arial"/>
                      <w:b/>
                      <w:bCs/>
                      <w:color w:val="000000"/>
                      <w:sz w:val="15"/>
                    </w:rPr>
                    <w:t>December 2, 2011</w:t>
                  </w:r>
                </w:p>
                <w:p w:rsidR="001D3654" w:rsidRPr="001D3654" w:rsidRDefault="001D3654" w:rsidP="001D3654">
                  <w:pPr>
                    <w:spacing w:before="100" w:beforeAutospacing="1" w:after="100" w:afterAutospacing="1" w:line="240" w:lineRule="auto"/>
                    <w:jc w:val="both"/>
                    <w:rPr>
                      <w:rFonts w:ascii="Arial" w:eastAsia="Times New Roman" w:hAnsi="Arial" w:cs="Arial"/>
                      <w:color w:val="000000"/>
                      <w:sz w:val="15"/>
                      <w:szCs w:val="15"/>
                    </w:rPr>
                  </w:pPr>
                  <w:r w:rsidRPr="001D3654">
                    <w:rPr>
                      <w:rFonts w:ascii="Arial" w:eastAsia="Times New Roman" w:hAnsi="Arial" w:cs="Arial"/>
                      <w:color w:val="000000"/>
                      <w:sz w:val="15"/>
                      <w:szCs w:val="15"/>
                    </w:rPr>
                    <w:t>The Chief Executive Officer</w:t>
                  </w:r>
                  <w:r w:rsidRPr="001D3654">
                    <w:rPr>
                      <w:rFonts w:ascii="Arial" w:eastAsia="Times New Roman" w:hAnsi="Arial" w:cs="Arial"/>
                      <w:color w:val="000000"/>
                      <w:sz w:val="15"/>
                      <w:szCs w:val="15"/>
                    </w:rPr>
                    <w:br/>
                    <w:t>All Primary (Urban) Co-operative Banks</w:t>
                  </w:r>
                </w:p>
                <w:p w:rsidR="001D3654" w:rsidRPr="001D3654" w:rsidRDefault="001D3654" w:rsidP="001D3654">
                  <w:pPr>
                    <w:spacing w:before="100" w:beforeAutospacing="1" w:after="100" w:afterAutospacing="1" w:line="240" w:lineRule="auto"/>
                    <w:jc w:val="both"/>
                    <w:rPr>
                      <w:rFonts w:ascii="Arial" w:eastAsia="Times New Roman" w:hAnsi="Arial" w:cs="Arial"/>
                      <w:color w:val="000000"/>
                      <w:sz w:val="15"/>
                      <w:szCs w:val="15"/>
                    </w:rPr>
                  </w:pPr>
                  <w:r w:rsidRPr="001D3654">
                    <w:rPr>
                      <w:rFonts w:ascii="Arial" w:eastAsia="Times New Roman" w:hAnsi="Arial" w:cs="Arial"/>
                      <w:color w:val="000000"/>
                      <w:sz w:val="15"/>
                      <w:szCs w:val="15"/>
                    </w:rPr>
                    <w:t>Dear Sir/ Madam</w:t>
                  </w:r>
                </w:p>
                <w:p w:rsidR="001D3654" w:rsidRPr="001D3654" w:rsidRDefault="001D3654" w:rsidP="001D3654">
                  <w:pPr>
                    <w:spacing w:before="100" w:beforeAutospacing="1" w:after="100" w:afterAutospacing="1" w:line="240" w:lineRule="auto"/>
                    <w:jc w:val="center"/>
                    <w:rPr>
                      <w:rFonts w:ascii="Arial" w:eastAsia="Times New Roman" w:hAnsi="Arial" w:cs="Arial"/>
                      <w:color w:val="000000"/>
                      <w:sz w:val="15"/>
                      <w:szCs w:val="15"/>
                    </w:rPr>
                  </w:pPr>
                  <w:r w:rsidRPr="001D3654">
                    <w:rPr>
                      <w:rFonts w:ascii="Arial" w:eastAsia="Times New Roman" w:hAnsi="Arial" w:cs="Arial"/>
                      <w:b/>
                      <w:bCs/>
                      <w:color w:val="000000"/>
                      <w:sz w:val="15"/>
                      <w:u w:val="single"/>
                    </w:rPr>
                    <w:t xml:space="preserve">Payment of </w:t>
                  </w:r>
                  <w:proofErr w:type="spellStart"/>
                  <w:r w:rsidRPr="001D3654">
                    <w:rPr>
                      <w:rFonts w:ascii="Arial" w:eastAsia="Times New Roman" w:hAnsi="Arial" w:cs="Arial"/>
                      <w:b/>
                      <w:bCs/>
                      <w:color w:val="000000"/>
                      <w:sz w:val="15"/>
                      <w:u w:val="single"/>
                    </w:rPr>
                    <w:t>Cheques</w:t>
                  </w:r>
                  <w:proofErr w:type="spellEnd"/>
                  <w:r w:rsidRPr="001D3654">
                    <w:rPr>
                      <w:rFonts w:ascii="Arial" w:eastAsia="Times New Roman" w:hAnsi="Arial" w:cs="Arial"/>
                      <w:b/>
                      <w:bCs/>
                      <w:color w:val="000000"/>
                      <w:sz w:val="15"/>
                      <w:u w:val="single"/>
                    </w:rPr>
                    <w:t xml:space="preserve"> / Drafts / Pay Orders / Banker's </w:t>
                  </w:r>
                  <w:proofErr w:type="spellStart"/>
                  <w:r w:rsidRPr="001D3654">
                    <w:rPr>
                      <w:rFonts w:ascii="Arial" w:eastAsia="Times New Roman" w:hAnsi="Arial" w:cs="Arial"/>
                      <w:b/>
                      <w:bCs/>
                      <w:color w:val="000000"/>
                      <w:sz w:val="15"/>
                      <w:u w:val="single"/>
                    </w:rPr>
                    <w:t>Cheques</w:t>
                  </w:r>
                  <w:proofErr w:type="spellEnd"/>
                </w:p>
                <w:p w:rsidR="001D3654" w:rsidRPr="001D3654" w:rsidRDefault="001D3654" w:rsidP="001D3654">
                  <w:pPr>
                    <w:spacing w:before="100" w:beforeAutospacing="1" w:after="100" w:afterAutospacing="1" w:line="240" w:lineRule="auto"/>
                    <w:jc w:val="both"/>
                    <w:rPr>
                      <w:rFonts w:ascii="Arial" w:eastAsia="Times New Roman" w:hAnsi="Arial" w:cs="Arial"/>
                      <w:color w:val="000000"/>
                      <w:sz w:val="15"/>
                      <w:szCs w:val="15"/>
                    </w:rPr>
                  </w:pPr>
                  <w:r w:rsidRPr="001D3654">
                    <w:rPr>
                      <w:rFonts w:ascii="Arial" w:eastAsia="Times New Roman" w:hAnsi="Arial" w:cs="Arial"/>
                      <w:color w:val="000000"/>
                      <w:sz w:val="15"/>
                      <w:szCs w:val="15"/>
                    </w:rPr>
                    <w:t xml:space="preserve">In India, it has been the usual practice among bankers to make payment of only such </w:t>
                  </w:r>
                  <w:proofErr w:type="spellStart"/>
                  <w:r w:rsidRPr="001D3654">
                    <w:rPr>
                      <w:rFonts w:ascii="Arial" w:eastAsia="Times New Roman" w:hAnsi="Arial" w:cs="Arial"/>
                      <w:color w:val="000000"/>
                      <w:sz w:val="15"/>
                      <w:szCs w:val="15"/>
                    </w:rPr>
                    <w:t>cheques</w:t>
                  </w:r>
                  <w:proofErr w:type="spellEnd"/>
                  <w:r w:rsidRPr="001D3654">
                    <w:rPr>
                      <w:rFonts w:ascii="Arial" w:eastAsia="Times New Roman" w:hAnsi="Arial" w:cs="Arial"/>
                      <w:color w:val="000000"/>
                      <w:sz w:val="15"/>
                      <w:szCs w:val="15"/>
                    </w:rPr>
                    <w:t xml:space="preserve"> and drafts as are presented for payment within a period of six months from the date of the instrument.</w:t>
                  </w:r>
                </w:p>
                <w:p w:rsidR="001D3654" w:rsidRPr="001D3654" w:rsidRDefault="001D3654" w:rsidP="001D3654">
                  <w:pPr>
                    <w:spacing w:before="100" w:beforeAutospacing="1" w:after="100" w:afterAutospacing="1" w:line="240" w:lineRule="auto"/>
                    <w:jc w:val="both"/>
                    <w:rPr>
                      <w:rFonts w:ascii="Arial" w:eastAsia="Times New Roman" w:hAnsi="Arial" w:cs="Arial"/>
                      <w:color w:val="000000"/>
                      <w:sz w:val="15"/>
                      <w:szCs w:val="15"/>
                    </w:rPr>
                  </w:pPr>
                  <w:r w:rsidRPr="001D3654">
                    <w:rPr>
                      <w:rFonts w:ascii="Arial" w:eastAsia="Times New Roman" w:hAnsi="Arial" w:cs="Arial"/>
                      <w:color w:val="000000"/>
                      <w:sz w:val="15"/>
                      <w:szCs w:val="15"/>
                    </w:rPr>
                    <w:t xml:space="preserve">2. It has been brought to the notice of Reserve Bank by Government of India that some persons are taking undue advantage of the said practice of banks of making payment of </w:t>
                  </w:r>
                  <w:proofErr w:type="spellStart"/>
                  <w:r w:rsidRPr="001D3654">
                    <w:rPr>
                      <w:rFonts w:ascii="Arial" w:eastAsia="Times New Roman" w:hAnsi="Arial" w:cs="Arial"/>
                      <w:color w:val="000000"/>
                      <w:sz w:val="15"/>
                      <w:szCs w:val="15"/>
                    </w:rPr>
                    <w:t>cheques</w:t>
                  </w:r>
                  <w:proofErr w:type="spellEnd"/>
                  <w:r w:rsidRPr="001D3654">
                    <w:rPr>
                      <w:rFonts w:ascii="Arial" w:eastAsia="Times New Roman" w:hAnsi="Arial" w:cs="Arial"/>
                      <w:color w:val="000000"/>
                      <w:sz w:val="15"/>
                      <w:szCs w:val="15"/>
                    </w:rPr>
                    <w:t xml:space="preserve"> / drafts / pay orders / banker’s </w:t>
                  </w:r>
                  <w:proofErr w:type="spellStart"/>
                  <w:r w:rsidRPr="001D3654">
                    <w:rPr>
                      <w:rFonts w:ascii="Arial" w:eastAsia="Times New Roman" w:hAnsi="Arial" w:cs="Arial"/>
                      <w:color w:val="000000"/>
                      <w:sz w:val="15"/>
                      <w:szCs w:val="15"/>
                    </w:rPr>
                    <w:t>cheques</w:t>
                  </w:r>
                  <w:proofErr w:type="spellEnd"/>
                  <w:r w:rsidRPr="001D3654">
                    <w:rPr>
                      <w:rFonts w:ascii="Arial" w:eastAsia="Times New Roman" w:hAnsi="Arial" w:cs="Arial"/>
                      <w:color w:val="000000"/>
                      <w:sz w:val="15"/>
                      <w:szCs w:val="15"/>
                    </w:rPr>
                    <w:t xml:space="preserve"> presented within a period of six months from the date of the instrument as these instruments are being circulated in the market like cash for six months. Reserve Bank is satisfied that in public interest and in the interest of banking policy it is necessary to reduce the period within which </w:t>
                  </w:r>
                  <w:proofErr w:type="spellStart"/>
                  <w:r w:rsidRPr="001D3654">
                    <w:rPr>
                      <w:rFonts w:ascii="Arial" w:eastAsia="Times New Roman" w:hAnsi="Arial" w:cs="Arial"/>
                      <w:color w:val="000000"/>
                      <w:sz w:val="15"/>
                      <w:szCs w:val="15"/>
                    </w:rPr>
                    <w:t>cheques</w:t>
                  </w:r>
                  <w:proofErr w:type="spellEnd"/>
                  <w:r w:rsidRPr="001D3654">
                    <w:rPr>
                      <w:rFonts w:ascii="Arial" w:eastAsia="Times New Roman" w:hAnsi="Arial" w:cs="Arial"/>
                      <w:color w:val="000000"/>
                      <w:sz w:val="15"/>
                      <w:szCs w:val="15"/>
                    </w:rPr>
                    <w:t xml:space="preserve"> /drafts/pay orders/banker’s </w:t>
                  </w:r>
                  <w:proofErr w:type="spellStart"/>
                  <w:r w:rsidRPr="001D3654">
                    <w:rPr>
                      <w:rFonts w:ascii="Arial" w:eastAsia="Times New Roman" w:hAnsi="Arial" w:cs="Arial"/>
                      <w:color w:val="000000"/>
                      <w:sz w:val="15"/>
                      <w:szCs w:val="15"/>
                    </w:rPr>
                    <w:t>cheques</w:t>
                  </w:r>
                  <w:proofErr w:type="spellEnd"/>
                  <w:r w:rsidRPr="001D3654">
                    <w:rPr>
                      <w:rFonts w:ascii="Arial" w:eastAsia="Times New Roman" w:hAnsi="Arial" w:cs="Arial"/>
                      <w:color w:val="000000"/>
                      <w:sz w:val="15"/>
                      <w:szCs w:val="15"/>
                    </w:rPr>
                    <w:t xml:space="preserve"> are presented for payment </w:t>
                  </w:r>
                  <w:r w:rsidRPr="001D3654">
                    <w:rPr>
                      <w:rFonts w:ascii="Arial" w:eastAsia="Times New Roman" w:hAnsi="Arial" w:cs="Arial"/>
                      <w:b/>
                      <w:color w:val="FF0000"/>
                      <w:sz w:val="16"/>
                      <w:szCs w:val="15"/>
                    </w:rPr>
                    <w:t>from six months to three months</w:t>
                  </w:r>
                  <w:r w:rsidRPr="001D3654">
                    <w:rPr>
                      <w:rFonts w:ascii="Arial" w:eastAsia="Times New Roman" w:hAnsi="Arial" w:cs="Arial"/>
                      <w:color w:val="000000"/>
                      <w:sz w:val="16"/>
                      <w:szCs w:val="15"/>
                    </w:rPr>
                    <w:t xml:space="preserve"> </w:t>
                  </w:r>
                  <w:r w:rsidRPr="001D3654">
                    <w:rPr>
                      <w:rFonts w:ascii="Arial" w:eastAsia="Times New Roman" w:hAnsi="Arial" w:cs="Arial"/>
                      <w:sz w:val="18"/>
                      <w:szCs w:val="15"/>
                    </w:rPr>
                    <w:t xml:space="preserve">from the date of such instrument. </w:t>
                  </w:r>
                  <w:r w:rsidRPr="001D3654">
                    <w:rPr>
                      <w:rFonts w:ascii="Arial" w:eastAsia="Times New Roman" w:hAnsi="Arial" w:cs="Arial"/>
                      <w:color w:val="000000"/>
                      <w:sz w:val="15"/>
                      <w:szCs w:val="15"/>
                    </w:rPr>
                    <w:t xml:space="preserve">Accordingly, in exercise of the powers conferred by Section 35A read with Section 56 of the Banking Regulation Act, 1949, </w:t>
                  </w:r>
                  <w:r w:rsidRPr="001D3654">
                    <w:rPr>
                      <w:rFonts w:ascii="Arial" w:eastAsia="Times New Roman" w:hAnsi="Arial" w:cs="Arial"/>
                      <w:b/>
                      <w:color w:val="FF0000"/>
                      <w:sz w:val="16"/>
                      <w:szCs w:val="15"/>
                    </w:rPr>
                    <w:t xml:space="preserve">Reserve Bank hereby directs that with </w:t>
                  </w:r>
                  <w:r w:rsidRPr="001D3654">
                    <w:rPr>
                      <w:rFonts w:ascii="Arial" w:eastAsia="Times New Roman" w:hAnsi="Arial" w:cs="Arial"/>
                      <w:b/>
                      <w:color w:val="FF0000"/>
                      <w:sz w:val="18"/>
                      <w:szCs w:val="15"/>
                    </w:rPr>
                    <w:t xml:space="preserve">effect </w:t>
                  </w:r>
                  <w:r w:rsidRPr="001D3654">
                    <w:rPr>
                      <w:rFonts w:ascii="Arial" w:eastAsia="Times New Roman" w:hAnsi="Arial" w:cs="Arial"/>
                      <w:b/>
                      <w:color w:val="FF0000"/>
                      <w:sz w:val="16"/>
                      <w:szCs w:val="15"/>
                    </w:rPr>
                    <w:t>from April 1, 2012,</w:t>
                  </w:r>
                  <w:r w:rsidRPr="001D3654">
                    <w:rPr>
                      <w:rFonts w:ascii="Arial" w:eastAsia="Times New Roman" w:hAnsi="Arial" w:cs="Arial"/>
                      <w:color w:val="000000"/>
                      <w:sz w:val="16"/>
                      <w:szCs w:val="15"/>
                    </w:rPr>
                    <w:t xml:space="preserve"> </w:t>
                  </w:r>
                  <w:r w:rsidRPr="001D3654">
                    <w:rPr>
                      <w:rFonts w:ascii="Arial" w:eastAsia="Times New Roman" w:hAnsi="Arial" w:cs="Arial"/>
                      <w:color w:val="000000"/>
                      <w:sz w:val="15"/>
                      <w:szCs w:val="15"/>
                    </w:rPr>
                    <w:t xml:space="preserve">banks should not make payment of </w:t>
                  </w:r>
                  <w:proofErr w:type="spellStart"/>
                  <w:r w:rsidRPr="001D3654">
                    <w:rPr>
                      <w:rFonts w:ascii="Arial" w:eastAsia="Times New Roman" w:hAnsi="Arial" w:cs="Arial"/>
                      <w:color w:val="000000"/>
                      <w:sz w:val="15"/>
                      <w:szCs w:val="15"/>
                    </w:rPr>
                    <w:t>cheques</w:t>
                  </w:r>
                  <w:proofErr w:type="spellEnd"/>
                  <w:r w:rsidRPr="001D3654">
                    <w:rPr>
                      <w:rFonts w:ascii="Arial" w:eastAsia="Times New Roman" w:hAnsi="Arial" w:cs="Arial"/>
                      <w:color w:val="000000"/>
                      <w:sz w:val="15"/>
                      <w:szCs w:val="15"/>
                    </w:rPr>
                    <w:t xml:space="preserve">/drafts/pay orders/banker’s </w:t>
                  </w:r>
                  <w:proofErr w:type="spellStart"/>
                  <w:r w:rsidRPr="001D3654">
                    <w:rPr>
                      <w:rFonts w:ascii="Arial" w:eastAsia="Times New Roman" w:hAnsi="Arial" w:cs="Arial"/>
                      <w:color w:val="000000"/>
                      <w:sz w:val="15"/>
                      <w:szCs w:val="15"/>
                    </w:rPr>
                    <w:t>cheques</w:t>
                  </w:r>
                  <w:proofErr w:type="spellEnd"/>
                  <w:r w:rsidRPr="001D3654">
                    <w:rPr>
                      <w:rFonts w:ascii="Arial" w:eastAsia="Times New Roman" w:hAnsi="Arial" w:cs="Arial"/>
                      <w:color w:val="000000"/>
                      <w:sz w:val="15"/>
                      <w:szCs w:val="15"/>
                    </w:rPr>
                    <w:t xml:space="preserve"> bearing that date or any subsequent date, if they are presented beyond the period of three months from the date of such instrument.</w:t>
                  </w:r>
                </w:p>
                <w:p w:rsidR="001D3654" w:rsidRPr="001D3654" w:rsidRDefault="001D3654" w:rsidP="001D3654">
                  <w:pPr>
                    <w:spacing w:before="100" w:beforeAutospacing="1" w:after="100" w:afterAutospacing="1" w:line="240" w:lineRule="auto"/>
                    <w:jc w:val="both"/>
                    <w:rPr>
                      <w:rFonts w:ascii="Arial" w:eastAsia="Times New Roman" w:hAnsi="Arial" w:cs="Arial"/>
                      <w:color w:val="000000"/>
                      <w:sz w:val="15"/>
                      <w:szCs w:val="15"/>
                    </w:rPr>
                  </w:pPr>
                  <w:r w:rsidRPr="001D3654">
                    <w:rPr>
                      <w:rFonts w:ascii="Arial" w:eastAsia="Times New Roman" w:hAnsi="Arial" w:cs="Arial"/>
                      <w:color w:val="000000"/>
                      <w:sz w:val="15"/>
                      <w:szCs w:val="15"/>
                    </w:rPr>
                    <w:t xml:space="preserve">3. Banks should ensure strict compliance of these directions and notify the holders of such instruments of the change in practice by printing or stamping on the </w:t>
                  </w:r>
                  <w:proofErr w:type="spellStart"/>
                  <w:r w:rsidRPr="001D3654">
                    <w:rPr>
                      <w:rFonts w:ascii="Arial" w:eastAsia="Times New Roman" w:hAnsi="Arial" w:cs="Arial"/>
                      <w:color w:val="000000"/>
                      <w:sz w:val="15"/>
                      <w:szCs w:val="15"/>
                    </w:rPr>
                    <w:t>cheque</w:t>
                  </w:r>
                  <w:proofErr w:type="spellEnd"/>
                  <w:r w:rsidRPr="001D3654">
                    <w:rPr>
                      <w:rFonts w:ascii="Arial" w:eastAsia="Times New Roman" w:hAnsi="Arial" w:cs="Arial"/>
                      <w:color w:val="000000"/>
                      <w:sz w:val="15"/>
                      <w:szCs w:val="15"/>
                    </w:rPr>
                    <w:t xml:space="preserve"> leaves, drafts, pay orders and banker’s </w:t>
                  </w:r>
                  <w:proofErr w:type="spellStart"/>
                  <w:r w:rsidRPr="001D3654">
                    <w:rPr>
                      <w:rFonts w:ascii="Arial" w:eastAsia="Times New Roman" w:hAnsi="Arial" w:cs="Arial"/>
                      <w:color w:val="000000"/>
                      <w:sz w:val="15"/>
                      <w:szCs w:val="15"/>
                    </w:rPr>
                    <w:t>cheques</w:t>
                  </w:r>
                  <w:proofErr w:type="spellEnd"/>
                  <w:r w:rsidRPr="001D3654">
                    <w:rPr>
                      <w:rFonts w:ascii="Arial" w:eastAsia="Times New Roman" w:hAnsi="Arial" w:cs="Arial"/>
                      <w:color w:val="000000"/>
                      <w:sz w:val="15"/>
                      <w:szCs w:val="15"/>
                    </w:rPr>
                    <w:t xml:space="preserve"> issued on or after April 1, 2012, by issuing suitable instruction for presentment within the period of three months from the date of the instrument.</w:t>
                  </w:r>
                </w:p>
                <w:p w:rsidR="001D3654" w:rsidRPr="001D3654" w:rsidRDefault="001D3654" w:rsidP="001D3654">
                  <w:pPr>
                    <w:spacing w:before="100" w:beforeAutospacing="1" w:after="100" w:afterAutospacing="1" w:line="240" w:lineRule="auto"/>
                    <w:jc w:val="both"/>
                    <w:rPr>
                      <w:rFonts w:ascii="Arial" w:eastAsia="Times New Roman" w:hAnsi="Arial" w:cs="Arial"/>
                      <w:color w:val="000000"/>
                      <w:sz w:val="15"/>
                      <w:szCs w:val="15"/>
                    </w:rPr>
                  </w:pPr>
                  <w:r w:rsidRPr="001D3654">
                    <w:rPr>
                      <w:rFonts w:ascii="Arial" w:eastAsia="Times New Roman" w:hAnsi="Arial" w:cs="Arial"/>
                      <w:color w:val="000000"/>
                      <w:sz w:val="15"/>
                      <w:szCs w:val="15"/>
                    </w:rPr>
                    <w:t>4. Please acknowledge receipt to the Regional Office of the Urban Banks Department concerned.</w:t>
                  </w:r>
                </w:p>
                <w:p w:rsidR="001D3654" w:rsidRPr="001D3654" w:rsidRDefault="001D3654" w:rsidP="001D3654">
                  <w:pPr>
                    <w:spacing w:before="100" w:beforeAutospacing="1" w:after="100" w:afterAutospacing="1" w:line="240" w:lineRule="auto"/>
                    <w:jc w:val="both"/>
                    <w:rPr>
                      <w:rFonts w:ascii="Arial" w:eastAsia="Times New Roman" w:hAnsi="Arial" w:cs="Arial"/>
                      <w:color w:val="000000"/>
                      <w:sz w:val="15"/>
                      <w:szCs w:val="15"/>
                    </w:rPr>
                  </w:pPr>
                  <w:r w:rsidRPr="001D3654">
                    <w:rPr>
                      <w:rFonts w:ascii="Arial" w:eastAsia="Times New Roman" w:hAnsi="Arial" w:cs="Arial"/>
                      <w:color w:val="000000"/>
                      <w:sz w:val="15"/>
                      <w:szCs w:val="15"/>
                    </w:rPr>
                    <w:t>Yours faithfully,</w:t>
                  </w:r>
                </w:p>
                <w:p w:rsidR="001D3654" w:rsidRPr="001D3654" w:rsidRDefault="001D3654" w:rsidP="001D3654">
                  <w:pPr>
                    <w:spacing w:before="100" w:beforeAutospacing="1" w:after="100" w:afterAutospacing="1" w:line="240" w:lineRule="auto"/>
                    <w:jc w:val="both"/>
                    <w:rPr>
                      <w:rFonts w:ascii="Arial" w:eastAsia="Times New Roman" w:hAnsi="Arial" w:cs="Arial"/>
                      <w:color w:val="000000"/>
                      <w:sz w:val="15"/>
                      <w:szCs w:val="15"/>
                    </w:rPr>
                  </w:pPr>
                  <w:r w:rsidRPr="001D3654">
                    <w:rPr>
                      <w:rFonts w:ascii="Arial" w:eastAsia="Times New Roman" w:hAnsi="Arial" w:cs="Arial"/>
                      <w:b/>
                      <w:bCs/>
                      <w:color w:val="000000"/>
                      <w:sz w:val="15"/>
                    </w:rPr>
                    <w:t>(</w:t>
                  </w:r>
                  <w:proofErr w:type="spellStart"/>
                  <w:r w:rsidRPr="001D3654">
                    <w:rPr>
                      <w:rFonts w:ascii="Arial" w:eastAsia="Times New Roman" w:hAnsi="Arial" w:cs="Arial"/>
                      <w:b/>
                      <w:bCs/>
                      <w:color w:val="000000"/>
                      <w:sz w:val="15"/>
                    </w:rPr>
                    <w:t>A.Udgata</w:t>
                  </w:r>
                  <w:proofErr w:type="spellEnd"/>
                  <w:r w:rsidRPr="001D3654">
                    <w:rPr>
                      <w:rFonts w:ascii="Arial" w:eastAsia="Times New Roman" w:hAnsi="Arial" w:cs="Arial"/>
                      <w:b/>
                      <w:bCs/>
                      <w:color w:val="000000"/>
                      <w:sz w:val="15"/>
                    </w:rPr>
                    <w:t>)</w:t>
                  </w:r>
                  <w:r w:rsidRPr="001D3654">
                    <w:rPr>
                      <w:rFonts w:ascii="Arial" w:eastAsia="Times New Roman" w:hAnsi="Arial" w:cs="Arial"/>
                      <w:b/>
                      <w:bCs/>
                      <w:color w:val="000000"/>
                      <w:sz w:val="15"/>
                      <w:szCs w:val="15"/>
                    </w:rPr>
                    <w:br/>
                  </w:r>
                  <w:r w:rsidRPr="001D3654">
                    <w:rPr>
                      <w:rFonts w:ascii="Arial" w:eastAsia="Times New Roman" w:hAnsi="Arial" w:cs="Arial"/>
                      <w:color w:val="000000"/>
                      <w:sz w:val="15"/>
                      <w:szCs w:val="15"/>
                    </w:rPr>
                    <w:t>Chief General Manager -in-Charge</w:t>
                  </w:r>
                </w:p>
              </w:tc>
            </w:tr>
          </w:tbl>
          <w:p w:rsidR="001D3654" w:rsidRPr="001D3654" w:rsidRDefault="001D3654" w:rsidP="001D3654">
            <w:pPr>
              <w:spacing w:after="0" w:line="240" w:lineRule="auto"/>
              <w:rPr>
                <w:rFonts w:ascii="Verdana" w:eastAsia="Times New Roman" w:hAnsi="Verdana" w:cs="Times New Roman"/>
                <w:sz w:val="24"/>
                <w:szCs w:val="24"/>
              </w:rPr>
            </w:pPr>
          </w:p>
        </w:tc>
      </w:tr>
    </w:tbl>
    <w:p w:rsidR="00183E9B" w:rsidRDefault="00183E9B"/>
    <w:sectPr w:rsidR="00183E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1D3654"/>
    <w:rsid w:val="00183E9B"/>
    <w:rsid w:val="001D3654"/>
    <w:rsid w:val="00602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D3654"/>
  </w:style>
  <w:style w:type="paragraph" w:styleId="NormalWeb">
    <w:name w:val="Normal (Web)"/>
    <w:basedOn w:val="Normal"/>
    <w:uiPriority w:val="99"/>
    <w:unhideWhenUsed/>
    <w:rsid w:val="001D36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3654"/>
    <w:rPr>
      <w:b/>
      <w:bCs/>
    </w:rPr>
  </w:style>
  <w:style w:type="paragraph" w:styleId="BalloonText">
    <w:name w:val="Balloon Text"/>
    <w:basedOn w:val="Normal"/>
    <w:link w:val="BalloonTextChar"/>
    <w:uiPriority w:val="99"/>
    <w:semiHidden/>
    <w:unhideWhenUsed/>
    <w:rsid w:val="001D3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6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cp:lastModifiedBy>
  <cp:revision>3</cp:revision>
  <dcterms:created xsi:type="dcterms:W3CDTF">2011-12-03T06:31:00Z</dcterms:created>
  <dcterms:modified xsi:type="dcterms:W3CDTF">2011-12-03T06:34:00Z</dcterms:modified>
</cp:coreProperties>
</file>