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D0A" w:rsidRPr="00744D0A" w:rsidRDefault="00744D0A" w:rsidP="00744D0A">
      <w:pPr>
        <w:pStyle w:val="IntenseQuote"/>
        <w:jc w:val="center"/>
        <w:rPr>
          <w:sz w:val="44"/>
          <w:szCs w:val="44"/>
        </w:rPr>
      </w:pPr>
      <w:r w:rsidRPr="00744D0A">
        <w:rPr>
          <w:sz w:val="44"/>
          <w:szCs w:val="44"/>
        </w:rPr>
        <w:t>Education Loans</w:t>
      </w:r>
    </w:p>
    <w:p w:rsidR="00744D0A" w:rsidRPr="00E02031" w:rsidRDefault="00744D0A" w:rsidP="00744D0A">
      <w:pPr>
        <w:ind w:firstLine="720"/>
        <w:jc w:val="both"/>
        <w:rPr>
          <w:sz w:val="20"/>
          <w:szCs w:val="20"/>
        </w:rPr>
      </w:pPr>
      <w:r w:rsidRPr="00E02031">
        <w:rPr>
          <w:sz w:val="20"/>
          <w:szCs w:val="20"/>
        </w:rPr>
        <w:t>An education loan is a form of financial support from any bank or financial institution that enable a student for taking higher education. Availability of the education loan, at the appropriate time will help millions of deserving bright young Indians to achieve their dreams come true. All graduation, post-graduation and professional courses from institutes approved by the state and central government and also from foreign universities are eligible for a loan. Several institutes/ colleges have tied up with various banks, for the benefit of prospective students. For studies in India one can get loans up to Rs.7.5 lakh and up to Rs. 15 lakh for studies abroad.</w:t>
      </w:r>
    </w:p>
    <w:p w:rsidR="00744D0A" w:rsidRDefault="00744D0A" w:rsidP="00744D0A">
      <w:pPr>
        <w:ind w:firstLine="720"/>
        <w:jc w:val="both"/>
        <w:rPr>
          <w:sz w:val="20"/>
          <w:szCs w:val="20"/>
        </w:rPr>
      </w:pPr>
      <w:r w:rsidRPr="00E02031">
        <w:rPr>
          <w:sz w:val="20"/>
          <w:szCs w:val="20"/>
        </w:rPr>
        <w:t xml:space="preserve">Before giving the loan, banks study the viability of the borrower based on personal discussions with the student, family's assets and annual income, the nature of the course and reputation of the institute. In most banks for loans up to Rs. 4 lakh no collateral or margin is required and the interest rate will not exceed the Prime Lending Rates (PLR). For loans above Rs. 4 lakh the interest rate will be PLR plus 1 percent. PLR is a term used to refer the interest rate of the bank and it may vary with each </w:t>
      </w:r>
      <w:r w:rsidR="00AA4D9F" w:rsidRPr="00E02031">
        <w:rPr>
          <w:sz w:val="20"/>
          <w:szCs w:val="20"/>
        </w:rPr>
        <w:t>bank. Some</w:t>
      </w:r>
      <w:r w:rsidRPr="00E02031">
        <w:rPr>
          <w:sz w:val="20"/>
          <w:szCs w:val="20"/>
        </w:rPr>
        <w:t xml:space="preserve"> banks offer lower rates to women students or those from specified </w:t>
      </w:r>
      <w:r w:rsidR="00071DBD" w:rsidRPr="00E02031">
        <w:rPr>
          <w:sz w:val="20"/>
          <w:szCs w:val="20"/>
        </w:rPr>
        <w:t>institutions. Security</w:t>
      </w:r>
      <w:r w:rsidRPr="00E02031">
        <w:rPr>
          <w:sz w:val="20"/>
          <w:szCs w:val="20"/>
        </w:rPr>
        <w:t xml:space="preserve"> to the loan depends on the amount. Security is some form of investment (i.e bank deposits, house property etc) that are surrendered to the bank while taking the loan. Security is not needed for loan amounts up to Rs. 4 lakhs. Instead of security, some bank may ask for a third party guarantee ( guarantor) for higher loan amounts. There is no need to repay the loan while studying. The repayment starts after you have finished the course or started working. The repayment cannot be delayed for years after the completion of course. The loans are to be repaid over a period of 5 to 7 years with provision of grace period of one year after completion of studies</w:t>
      </w:r>
    </w:p>
    <w:p w:rsidR="002D2CD2" w:rsidRPr="00E02031" w:rsidRDefault="002D2CD2" w:rsidP="00744D0A">
      <w:pPr>
        <w:ind w:firstLine="720"/>
        <w:jc w:val="both"/>
        <w:rPr>
          <w:sz w:val="20"/>
          <w:szCs w:val="20"/>
        </w:rPr>
      </w:pPr>
    </w:p>
    <w:p w:rsidR="00744D0A" w:rsidRPr="0013110F" w:rsidRDefault="00744D0A" w:rsidP="0013110F">
      <w:pPr>
        <w:pStyle w:val="Subtitle"/>
        <w:rPr>
          <w:b/>
        </w:rPr>
      </w:pPr>
      <w:r w:rsidRPr="0013110F">
        <w:rPr>
          <w:b/>
        </w:rPr>
        <w:t>Education Loan: Eligibility Criteria: Overview</w:t>
      </w:r>
    </w:p>
    <w:p w:rsidR="00744D0A" w:rsidRPr="00E02031" w:rsidRDefault="00744D0A" w:rsidP="0013110F">
      <w:pPr>
        <w:ind w:firstLine="720"/>
        <w:jc w:val="both"/>
        <w:rPr>
          <w:sz w:val="20"/>
          <w:szCs w:val="20"/>
        </w:rPr>
      </w:pPr>
      <w:r w:rsidRPr="00E02031">
        <w:rPr>
          <w:sz w:val="20"/>
          <w:szCs w:val="20"/>
        </w:rPr>
        <w:t>Banks have set eligibility criteria for education loans. Some of the important pre-requisites are mentioned in brief. A loan applicant has to be:</w:t>
      </w:r>
    </w:p>
    <w:p w:rsidR="00744D0A" w:rsidRPr="00E02031" w:rsidRDefault="00744D0A" w:rsidP="0013110F">
      <w:pPr>
        <w:pStyle w:val="ListParagraph"/>
        <w:numPr>
          <w:ilvl w:val="0"/>
          <w:numId w:val="1"/>
        </w:numPr>
        <w:jc w:val="both"/>
        <w:rPr>
          <w:sz w:val="20"/>
          <w:szCs w:val="20"/>
        </w:rPr>
      </w:pPr>
      <w:r w:rsidRPr="00E02031">
        <w:rPr>
          <w:sz w:val="20"/>
          <w:szCs w:val="20"/>
        </w:rPr>
        <w:t>An Indian national</w:t>
      </w:r>
    </w:p>
    <w:p w:rsidR="00744D0A" w:rsidRPr="00E02031" w:rsidRDefault="00744D0A" w:rsidP="0013110F">
      <w:pPr>
        <w:pStyle w:val="ListParagraph"/>
        <w:numPr>
          <w:ilvl w:val="0"/>
          <w:numId w:val="1"/>
        </w:numPr>
        <w:jc w:val="both"/>
        <w:rPr>
          <w:sz w:val="20"/>
          <w:szCs w:val="20"/>
        </w:rPr>
      </w:pPr>
      <w:r w:rsidRPr="00E02031">
        <w:rPr>
          <w:sz w:val="20"/>
          <w:szCs w:val="20"/>
        </w:rPr>
        <w:t>Aged 16-26 years of age or any other range specified by the bank.</w:t>
      </w:r>
    </w:p>
    <w:p w:rsidR="00744D0A" w:rsidRPr="00E02031" w:rsidRDefault="00744D0A" w:rsidP="0013110F">
      <w:pPr>
        <w:pStyle w:val="ListParagraph"/>
        <w:numPr>
          <w:ilvl w:val="0"/>
          <w:numId w:val="1"/>
        </w:numPr>
        <w:jc w:val="both"/>
        <w:rPr>
          <w:sz w:val="20"/>
          <w:szCs w:val="20"/>
        </w:rPr>
      </w:pPr>
      <w:r w:rsidRPr="00E02031">
        <w:rPr>
          <w:sz w:val="20"/>
          <w:szCs w:val="20"/>
        </w:rPr>
        <w:t>Have a good academic track record.</w:t>
      </w:r>
    </w:p>
    <w:p w:rsidR="00744D0A" w:rsidRPr="00E02031" w:rsidRDefault="00744D0A" w:rsidP="0013110F">
      <w:pPr>
        <w:pStyle w:val="ListParagraph"/>
        <w:numPr>
          <w:ilvl w:val="0"/>
          <w:numId w:val="1"/>
        </w:numPr>
        <w:jc w:val="both"/>
        <w:rPr>
          <w:sz w:val="20"/>
          <w:szCs w:val="20"/>
        </w:rPr>
      </w:pPr>
      <w:r w:rsidRPr="00E02031">
        <w:rPr>
          <w:sz w:val="20"/>
          <w:szCs w:val="20"/>
        </w:rPr>
        <w:t>Have parents or guardians with stable source of income.</w:t>
      </w:r>
    </w:p>
    <w:p w:rsidR="00744D0A" w:rsidRPr="00E02031" w:rsidRDefault="00744D0A" w:rsidP="0013110F">
      <w:pPr>
        <w:pStyle w:val="ListParagraph"/>
        <w:numPr>
          <w:ilvl w:val="0"/>
          <w:numId w:val="1"/>
        </w:numPr>
        <w:jc w:val="both"/>
        <w:rPr>
          <w:sz w:val="20"/>
          <w:szCs w:val="20"/>
        </w:rPr>
      </w:pPr>
      <w:r w:rsidRPr="00E02031">
        <w:rPr>
          <w:sz w:val="20"/>
          <w:szCs w:val="20"/>
        </w:rPr>
        <w:t>Should have applied to a recognized university in India or abroad.</w:t>
      </w:r>
    </w:p>
    <w:p w:rsidR="00744D0A" w:rsidRDefault="00744D0A" w:rsidP="0013110F">
      <w:pPr>
        <w:pStyle w:val="ListParagraph"/>
        <w:numPr>
          <w:ilvl w:val="0"/>
          <w:numId w:val="1"/>
        </w:numPr>
        <w:jc w:val="both"/>
        <w:rPr>
          <w:sz w:val="20"/>
          <w:szCs w:val="20"/>
        </w:rPr>
      </w:pPr>
      <w:r w:rsidRPr="00E02031">
        <w:rPr>
          <w:sz w:val="20"/>
          <w:szCs w:val="20"/>
        </w:rPr>
        <w:t>Should not be a minor.</w:t>
      </w:r>
    </w:p>
    <w:p w:rsidR="002D2CD2" w:rsidRPr="00E02031" w:rsidRDefault="002D2CD2" w:rsidP="002D2CD2">
      <w:pPr>
        <w:pStyle w:val="ListParagraph"/>
        <w:ind w:left="1440"/>
        <w:jc w:val="both"/>
        <w:rPr>
          <w:sz w:val="20"/>
          <w:szCs w:val="20"/>
        </w:rPr>
      </w:pPr>
    </w:p>
    <w:p w:rsidR="002600E6" w:rsidRPr="007D0169" w:rsidRDefault="002600E6" w:rsidP="002600E6">
      <w:pPr>
        <w:pStyle w:val="Subtitle"/>
        <w:rPr>
          <w:b/>
        </w:rPr>
      </w:pPr>
      <w:r w:rsidRPr="007D0169">
        <w:rPr>
          <w:b/>
        </w:rPr>
        <w:t>Education Loan: Process: Overview</w:t>
      </w:r>
    </w:p>
    <w:p w:rsidR="002600E6" w:rsidRPr="00E02031" w:rsidRDefault="002600E6" w:rsidP="002600E6">
      <w:pPr>
        <w:ind w:firstLine="720"/>
        <w:jc w:val="both"/>
        <w:rPr>
          <w:sz w:val="20"/>
          <w:szCs w:val="20"/>
        </w:rPr>
      </w:pPr>
      <w:r w:rsidRPr="00E02031">
        <w:rPr>
          <w:sz w:val="20"/>
          <w:szCs w:val="20"/>
        </w:rPr>
        <w:t>The education loan process is relatively simple. One can also apply for a loan online and get a loan sanctioned in principle. One can visit a bank branch for further formalities to be completed. The loan process is as follows:</w:t>
      </w:r>
    </w:p>
    <w:p w:rsidR="002600E6" w:rsidRPr="00E02031" w:rsidRDefault="002600E6" w:rsidP="002600E6">
      <w:pPr>
        <w:pStyle w:val="ListParagraph"/>
        <w:numPr>
          <w:ilvl w:val="0"/>
          <w:numId w:val="2"/>
        </w:numPr>
        <w:rPr>
          <w:sz w:val="20"/>
          <w:szCs w:val="20"/>
        </w:rPr>
      </w:pPr>
      <w:r w:rsidRPr="00E02031">
        <w:rPr>
          <w:sz w:val="20"/>
          <w:szCs w:val="20"/>
        </w:rPr>
        <w:t>Filling in the loan application form.</w:t>
      </w:r>
    </w:p>
    <w:p w:rsidR="002600E6" w:rsidRPr="00E02031" w:rsidRDefault="002600E6" w:rsidP="002600E6">
      <w:pPr>
        <w:pStyle w:val="ListParagraph"/>
        <w:numPr>
          <w:ilvl w:val="0"/>
          <w:numId w:val="2"/>
        </w:numPr>
        <w:rPr>
          <w:sz w:val="20"/>
          <w:szCs w:val="20"/>
        </w:rPr>
      </w:pPr>
      <w:r w:rsidRPr="00E02031">
        <w:rPr>
          <w:sz w:val="20"/>
          <w:szCs w:val="20"/>
        </w:rPr>
        <w:t>Personal Discussion.</w:t>
      </w:r>
    </w:p>
    <w:p w:rsidR="002600E6" w:rsidRPr="00E02031" w:rsidRDefault="002600E6" w:rsidP="002600E6">
      <w:pPr>
        <w:pStyle w:val="ListParagraph"/>
        <w:numPr>
          <w:ilvl w:val="0"/>
          <w:numId w:val="2"/>
        </w:numPr>
        <w:rPr>
          <w:sz w:val="20"/>
          <w:szCs w:val="20"/>
        </w:rPr>
      </w:pPr>
      <w:r w:rsidRPr="00E02031">
        <w:rPr>
          <w:sz w:val="20"/>
          <w:szCs w:val="20"/>
        </w:rPr>
        <w:t>Provide validated supporting documents.</w:t>
      </w:r>
    </w:p>
    <w:p w:rsidR="002600E6" w:rsidRPr="00E02031" w:rsidRDefault="002600E6" w:rsidP="002600E6">
      <w:pPr>
        <w:pStyle w:val="ListParagraph"/>
        <w:numPr>
          <w:ilvl w:val="0"/>
          <w:numId w:val="2"/>
        </w:numPr>
        <w:rPr>
          <w:sz w:val="20"/>
          <w:szCs w:val="20"/>
        </w:rPr>
      </w:pPr>
      <w:r w:rsidRPr="00E02031">
        <w:rPr>
          <w:sz w:val="20"/>
          <w:szCs w:val="20"/>
        </w:rPr>
        <w:t>Stage of loan approval or denial.</w:t>
      </w:r>
    </w:p>
    <w:p w:rsidR="002600E6" w:rsidRPr="00E02031" w:rsidRDefault="002600E6" w:rsidP="002600E6">
      <w:pPr>
        <w:pStyle w:val="ListParagraph"/>
        <w:numPr>
          <w:ilvl w:val="0"/>
          <w:numId w:val="2"/>
        </w:numPr>
        <w:rPr>
          <w:sz w:val="20"/>
          <w:szCs w:val="20"/>
        </w:rPr>
      </w:pPr>
      <w:r w:rsidRPr="00E02031">
        <w:rPr>
          <w:sz w:val="20"/>
          <w:szCs w:val="20"/>
        </w:rPr>
        <w:t>Borrower's signature on a Promissory Note.</w:t>
      </w:r>
    </w:p>
    <w:p w:rsidR="00BD7CA8" w:rsidRDefault="00BD7CA8" w:rsidP="002600E6">
      <w:pPr>
        <w:pStyle w:val="ListParagraph"/>
        <w:numPr>
          <w:ilvl w:val="0"/>
          <w:numId w:val="2"/>
        </w:numPr>
        <w:rPr>
          <w:sz w:val="20"/>
          <w:szCs w:val="20"/>
        </w:rPr>
      </w:pPr>
      <w:r w:rsidRPr="00E02031">
        <w:rPr>
          <w:sz w:val="20"/>
          <w:szCs w:val="20"/>
        </w:rPr>
        <w:t>Loan disbursal.</w:t>
      </w:r>
    </w:p>
    <w:p w:rsidR="00F911B5" w:rsidRPr="00F911B5" w:rsidRDefault="00F911B5" w:rsidP="00F911B5">
      <w:pPr>
        <w:rPr>
          <w:sz w:val="20"/>
          <w:szCs w:val="20"/>
        </w:rPr>
      </w:pPr>
    </w:p>
    <w:p w:rsidR="00F13BD0" w:rsidRPr="00584676" w:rsidRDefault="00F13BD0" w:rsidP="00F13BD0">
      <w:pPr>
        <w:pStyle w:val="Subtitle"/>
        <w:rPr>
          <w:b/>
        </w:rPr>
      </w:pPr>
      <w:r w:rsidRPr="00584676">
        <w:rPr>
          <w:b/>
        </w:rPr>
        <w:lastRenderedPageBreak/>
        <w:t>Interest rates of various Banks</w:t>
      </w:r>
    </w:p>
    <w:tbl>
      <w:tblPr>
        <w:tblW w:w="9574" w:type="dxa"/>
        <w:tblInd w:w="108" w:type="dxa"/>
        <w:tblLook w:val="04A0"/>
      </w:tblPr>
      <w:tblGrid>
        <w:gridCol w:w="3848"/>
        <w:gridCol w:w="1192"/>
        <w:gridCol w:w="1496"/>
        <w:gridCol w:w="1436"/>
        <w:gridCol w:w="1602"/>
      </w:tblGrid>
      <w:tr w:rsidR="00F13BD0" w:rsidRPr="00584676" w:rsidTr="00D10C63">
        <w:trPr>
          <w:trHeight w:val="628"/>
        </w:trPr>
        <w:tc>
          <w:tcPr>
            <w:tcW w:w="3848" w:type="dxa"/>
            <w:vMerge w:val="restart"/>
            <w:tcBorders>
              <w:top w:val="nil"/>
              <w:left w:val="nil"/>
              <w:bottom w:val="nil"/>
              <w:right w:val="nil"/>
            </w:tcBorders>
            <w:shd w:val="clear" w:color="auto" w:fill="auto"/>
            <w:noWrap/>
            <w:vAlign w:val="bottom"/>
            <w:hideMark/>
          </w:tcPr>
          <w:tbl>
            <w:tblPr>
              <w:tblW w:w="3617" w:type="dxa"/>
              <w:tblCellSpacing w:w="0" w:type="dxa"/>
              <w:tblCellMar>
                <w:left w:w="0" w:type="dxa"/>
                <w:right w:w="0" w:type="dxa"/>
              </w:tblCellMar>
              <w:tblLook w:val="04A0"/>
            </w:tblPr>
            <w:tblGrid>
              <w:gridCol w:w="3617"/>
            </w:tblGrid>
            <w:tr w:rsidR="00F13BD0" w:rsidRPr="00584676" w:rsidTr="00F13BD0">
              <w:trPr>
                <w:trHeight w:val="333"/>
                <w:tblCellSpacing w:w="0" w:type="dxa"/>
              </w:trPr>
              <w:tc>
                <w:tcPr>
                  <w:tcW w:w="3617" w:type="dxa"/>
                  <w:vMerge w:val="restart"/>
                  <w:tcBorders>
                    <w:top w:val="single" w:sz="8" w:space="0" w:color="auto"/>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b/>
                      <w:bCs/>
                      <w:color w:val="0070C0"/>
                      <w:sz w:val="24"/>
                      <w:szCs w:val="24"/>
                    </w:rPr>
                  </w:pPr>
                  <w:r w:rsidRPr="00584676">
                    <w:rPr>
                      <w:rFonts w:ascii="Calibri" w:eastAsia="Times New Roman" w:hAnsi="Calibri" w:cs="Times New Roman"/>
                      <w:b/>
                      <w:bCs/>
                      <w:color w:val="0070C0"/>
                      <w:sz w:val="24"/>
                      <w:szCs w:val="24"/>
                    </w:rPr>
                    <w:t xml:space="preserve">Bank/product name </w:t>
                  </w:r>
                </w:p>
              </w:tc>
            </w:tr>
            <w:tr w:rsidR="00F13BD0" w:rsidRPr="00584676" w:rsidTr="00F13BD0">
              <w:trPr>
                <w:trHeight w:val="333"/>
                <w:tblCellSpacing w:w="0" w:type="dxa"/>
              </w:trPr>
              <w:tc>
                <w:tcPr>
                  <w:tcW w:w="0" w:type="auto"/>
                  <w:vMerge/>
                  <w:tcBorders>
                    <w:top w:val="single" w:sz="8" w:space="0" w:color="auto"/>
                    <w:left w:val="single" w:sz="8" w:space="0" w:color="auto"/>
                    <w:bottom w:val="single" w:sz="4" w:space="0" w:color="auto"/>
                    <w:right w:val="single" w:sz="4" w:space="0" w:color="auto"/>
                  </w:tcBorders>
                  <w:vAlign w:val="center"/>
                  <w:hideMark/>
                </w:tcPr>
                <w:p w:rsidR="00F13BD0" w:rsidRPr="00584676" w:rsidRDefault="00F13BD0" w:rsidP="000E3309">
                  <w:pPr>
                    <w:spacing w:after="0" w:line="240" w:lineRule="auto"/>
                    <w:rPr>
                      <w:rFonts w:ascii="Calibri" w:eastAsia="Times New Roman" w:hAnsi="Calibri" w:cs="Times New Roman"/>
                      <w:b/>
                      <w:bCs/>
                      <w:color w:val="0070C0"/>
                      <w:sz w:val="24"/>
                      <w:szCs w:val="24"/>
                    </w:rPr>
                  </w:pPr>
                </w:p>
              </w:tc>
            </w:tr>
          </w:tbl>
          <w:p w:rsidR="00F13BD0" w:rsidRPr="00584676" w:rsidRDefault="00F13BD0" w:rsidP="000E3309">
            <w:pPr>
              <w:spacing w:after="0" w:line="240" w:lineRule="auto"/>
              <w:rPr>
                <w:rFonts w:ascii="Calibri" w:eastAsia="Times New Roman" w:hAnsi="Calibri" w:cs="Times New Roman"/>
                <w:color w:val="000000"/>
              </w:rPr>
            </w:pPr>
          </w:p>
        </w:tc>
        <w:tc>
          <w:tcPr>
            <w:tcW w:w="1192" w:type="dxa"/>
            <w:vMerge w:val="restart"/>
            <w:tcBorders>
              <w:top w:val="single" w:sz="8" w:space="0" w:color="auto"/>
              <w:left w:val="single" w:sz="4"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b/>
                <w:bCs/>
                <w:color w:val="0070C0"/>
                <w:sz w:val="24"/>
                <w:szCs w:val="24"/>
              </w:rPr>
            </w:pPr>
            <w:r w:rsidRPr="00584676">
              <w:rPr>
                <w:rFonts w:ascii="Calibri" w:eastAsia="Times New Roman" w:hAnsi="Calibri" w:cs="Times New Roman"/>
                <w:b/>
                <w:bCs/>
                <w:color w:val="0070C0"/>
                <w:sz w:val="24"/>
                <w:szCs w:val="24"/>
              </w:rPr>
              <w:t xml:space="preserve">Interest rate type </w:t>
            </w:r>
          </w:p>
        </w:tc>
        <w:tc>
          <w:tcPr>
            <w:tcW w:w="4534" w:type="dxa"/>
            <w:gridSpan w:val="3"/>
            <w:tcBorders>
              <w:top w:val="single" w:sz="8" w:space="0" w:color="auto"/>
              <w:left w:val="nil"/>
              <w:bottom w:val="single" w:sz="4" w:space="0" w:color="auto"/>
              <w:right w:val="single" w:sz="8" w:space="0" w:color="000000"/>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b/>
                <w:bCs/>
                <w:color w:val="0070C0"/>
                <w:sz w:val="24"/>
                <w:szCs w:val="24"/>
              </w:rPr>
            </w:pPr>
            <w:r w:rsidRPr="00584676">
              <w:rPr>
                <w:rFonts w:ascii="Calibri" w:eastAsia="Times New Roman" w:hAnsi="Calibri" w:cs="Times New Roman"/>
                <w:b/>
                <w:bCs/>
                <w:color w:val="0070C0"/>
                <w:sz w:val="24"/>
                <w:szCs w:val="24"/>
              </w:rPr>
              <w:t xml:space="preserve">Interest Rate for Loan Amount </w:t>
            </w:r>
          </w:p>
        </w:tc>
      </w:tr>
      <w:tr w:rsidR="00F13BD0" w:rsidRPr="00584676" w:rsidTr="00D10C63">
        <w:trPr>
          <w:trHeight w:val="300"/>
        </w:trPr>
        <w:tc>
          <w:tcPr>
            <w:tcW w:w="3848" w:type="dxa"/>
            <w:vMerge/>
            <w:tcBorders>
              <w:top w:val="nil"/>
              <w:left w:val="nil"/>
              <w:bottom w:val="nil"/>
              <w:right w:val="nil"/>
            </w:tcBorders>
            <w:vAlign w:val="center"/>
            <w:hideMark/>
          </w:tcPr>
          <w:p w:rsidR="00F13BD0" w:rsidRPr="00584676" w:rsidRDefault="00F13BD0" w:rsidP="000E3309">
            <w:pPr>
              <w:spacing w:after="0" w:line="240" w:lineRule="auto"/>
              <w:rPr>
                <w:rFonts w:ascii="Calibri" w:eastAsia="Times New Roman" w:hAnsi="Calibri" w:cs="Times New Roman"/>
                <w:color w:val="000000"/>
              </w:rPr>
            </w:pPr>
          </w:p>
        </w:tc>
        <w:tc>
          <w:tcPr>
            <w:tcW w:w="1192" w:type="dxa"/>
            <w:vMerge/>
            <w:tcBorders>
              <w:top w:val="single" w:sz="8" w:space="0" w:color="auto"/>
              <w:left w:val="single" w:sz="4" w:space="0" w:color="auto"/>
              <w:bottom w:val="single" w:sz="4" w:space="0" w:color="auto"/>
              <w:right w:val="single" w:sz="4" w:space="0" w:color="auto"/>
            </w:tcBorders>
            <w:vAlign w:val="center"/>
            <w:hideMark/>
          </w:tcPr>
          <w:p w:rsidR="00F13BD0" w:rsidRPr="00584676" w:rsidRDefault="00F13BD0" w:rsidP="000E3309">
            <w:pPr>
              <w:spacing w:after="0" w:line="240" w:lineRule="auto"/>
              <w:rPr>
                <w:rFonts w:ascii="Calibri" w:eastAsia="Times New Roman" w:hAnsi="Calibri" w:cs="Times New Roman"/>
                <w:b/>
                <w:bCs/>
                <w:color w:val="0070C0"/>
                <w:sz w:val="24"/>
                <w:szCs w:val="24"/>
              </w:rPr>
            </w:pPr>
          </w:p>
        </w:tc>
        <w:tc>
          <w:tcPr>
            <w:tcW w:w="1496" w:type="dxa"/>
            <w:vMerge w:val="restart"/>
            <w:tcBorders>
              <w:top w:val="nil"/>
              <w:left w:val="nil"/>
              <w:bottom w:val="nil"/>
              <w:right w:val="nil"/>
            </w:tcBorders>
            <w:shd w:val="clear" w:color="auto" w:fill="auto"/>
            <w:noWrap/>
            <w:vAlign w:val="bottom"/>
            <w:hideMark/>
          </w:tcPr>
          <w:p w:rsidR="00F13BD0" w:rsidRPr="00584676" w:rsidRDefault="00F13BD0" w:rsidP="000E3309">
            <w:pPr>
              <w:spacing w:after="0" w:line="240" w:lineRule="auto"/>
              <w:rPr>
                <w:rFonts w:ascii="Calibri" w:eastAsia="Times New Roman" w:hAnsi="Calibri" w:cs="Times New Roman"/>
                <w:color w:val="000000"/>
              </w:rPr>
            </w:pPr>
          </w:p>
          <w:tbl>
            <w:tblPr>
              <w:tblW w:w="1270" w:type="dxa"/>
              <w:tblCellSpacing w:w="0" w:type="dxa"/>
              <w:tblCellMar>
                <w:left w:w="0" w:type="dxa"/>
                <w:right w:w="0" w:type="dxa"/>
              </w:tblCellMar>
              <w:tblLook w:val="04A0"/>
            </w:tblPr>
            <w:tblGrid>
              <w:gridCol w:w="1270"/>
            </w:tblGrid>
            <w:tr w:rsidR="00F13BD0" w:rsidRPr="00584676" w:rsidTr="00F911B5">
              <w:trPr>
                <w:trHeight w:val="302"/>
                <w:tblCellSpacing w:w="0" w:type="dxa"/>
              </w:trPr>
              <w:tc>
                <w:tcPr>
                  <w:tcW w:w="1270" w:type="dxa"/>
                  <w:vMerge w:val="restart"/>
                  <w:tcBorders>
                    <w:top w:val="nil"/>
                    <w:left w:val="single" w:sz="4"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b/>
                      <w:bCs/>
                      <w:color w:val="0070C0"/>
                      <w:sz w:val="24"/>
                      <w:szCs w:val="24"/>
                    </w:rPr>
                  </w:pPr>
                  <w:r w:rsidRPr="00584676">
                    <w:rPr>
                      <w:rFonts w:ascii="Calibri" w:eastAsia="Times New Roman" w:hAnsi="Calibri" w:cs="Times New Roman"/>
                      <w:b/>
                      <w:bCs/>
                      <w:color w:val="0070C0"/>
                      <w:sz w:val="24"/>
                      <w:szCs w:val="24"/>
                    </w:rPr>
                    <w:t xml:space="preserve">upto 4 lakh </w:t>
                  </w:r>
                </w:p>
              </w:tc>
            </w:tr>
            <w:tr w:rsidR="00F13BD0" w:rsidRPr="00584676" w:rsidTr="00F911B5">
              <w:trPr>
                <w:trHeight w:val="302"/>
                <w:tblCellSpacing w:w="0" w:type="dxa"/>
              </w:trPr>
              <w:tc>
                <w:tcPr>
                  <w:tcW w:w="0" w:type="auto"/>
                  <w:vMerge/>
                  <w:tcBorders>
                    <w:top w:val="nil"/>
                    <w:left w:val="single" w:sz="4" w:space="0" w:color="auto"/>
                    <w:bottom w:val="single" w:sz="4" w:space="0" w:color="auto"/>
                    <w:right w:val="single" w:sz="4" w:space="0" w:color="auto"/>
                  </w:tcBorders>
                  <w:vAlign w:val="center"/>
                  <w:hideMark/>
                </w:tcPr>
                <w:p w:rsidR="00F13BD0" w:rsidRPr="00584676" w:rsidRDefault="00F13BD0" w:rsidP="000E3309">
                  <w:pPr>
                    <w:spacing w:after="0" w:line="240" w:lineRule="auto"/>
                    <w:rPr>
                      <w:rFonts w:ascii="Calibri" w:eastAsia="Times New Roman" w:hAnsi="Calibri" w:cs="Times New Roman"/>
                      <w:b/>
                      <w:bCs/>
                      <w:color w:val="0070C0"/>
                      <w:sz w:val="24"/>
                      <w:szCs w:val="24"/>
                    </w:rPr>
                  </w:pPr>
                </w:p>
              </w:tc>
            </w:tr>
          </w:tbl>
          <w:p w:rsidR="00F13BD0" w:rsidRPr="00584676" w:rsidRDefault="00F13BD0" w:rsidP="000E3309">
            <w:pPr>
              <w:spacing w:after="0" w:line="240" w:lineRule="auto"/>
              <w:rPr>
                <w:rFonts w:ascii="Calibri" w:eastAsia="Times New Roman" w:hAnsi="Calibri" w:cs="Times New Roman"/>
                <w:color w:val="000000"/>
              </w:rPr>
            </w:pPr>
          </w:p>
        </w:tc>
        <w:tc>
          <w:tcPr>
            <w:tcW w:w="1436" w:type="dxa"/>
            <w:vMerge w:val="restart"/>
            <w:tcBorders>
              <w:top w:val="nil"/>
              <w:left w:val="nil"/>
              <w:bottom w:val="nil"/>
              <w:right w:val="nil"/>
            </w:tcBorders>
            <w:shd w:val="clear" w:color="auto" w:fill="auto"/>
            <w:noWrap/>
            <w:vAlign w:val="bottom"/>
            <w:hideMark/>
          </w:tcPr>
          <w:p w:rsidR="00F13BD0" w:rsidRPr="00584676" w:rsidRDefault="00F13BD0" w:rsidP="000E3309">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tblPr>
            <w:tblGrid>
              <w:gridCol w:w="1210"/>
            </w:tblGrid>
            <w:tr w:rsidR="00F13BD0" w:rsidRPr="00584676" w:rsidTr="000E3309">
              <w:trPr>
                <w:trHeight w:val="293"/>
                <w:tblCellSpacing w:w="0" w:type="dxa"/>
              </w:trPr>
              <w:tc>
                <w:tcPr>
                  <w:tcW w:w="1420" w:type="dxa"/>
                  <w:vMerge w:val="restart"/>
                  <w:tcBorders>
                    <w:top w:val="nil"/>
                    <w:left w:val="single" w:sz="4"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b/>
                      <w:bCs/>
                      <w:color w:val="0070C0"/>
                      <w:sz w:val="24"/>
                      <w:szCs w:val="24"/>
                    </w:rPr>
                  </w:pPr>
                  <w:r w:rsidRPr="00584676">
                    <w:rPr>
                      <w:rFonts w:ascii="Calibri" w:eastAsia="Times New Roman" w:hAnsi="Calibri" w:cs="Times New Roman"/>
                      <w:b/>
                      <w:bCs/>
                      <w:color w:val="0070C0"/>
                      <w:sz w:val="24"/>
                      <w:szCs w:val="24"/>
                    </w:rPr>
                    <w:t xml:space="preserve">4 to 7.5 lakh </w:t>
                  </w:r>
                </w:p>
              </w:tc>
            </w:tr>
            <w:tr w:rsidR="00F13BD0" w:rsidRPr="00584676" w:rsidTr="000E3309">
              <w:trPr>
                <w:trHeight w:val="293"/>
                <w:tblCellSpacing w:w="0" w:type="dxa"/>
              </w:trPr>
              <w:tc>
                <w:tcPr>
                  <w:tcW w:w="0" w:type="auto"/>
                  <w:vMerge/>
                  <w:tcBorders>
                    <w:top w:val="nil"/>
                    <w:left w:val="single" w:sz="4" w:space="0" w:color="auto"/>
                    <w:bottom w:val="single" w:sz="4" w:space="0" w:color="auto"/>
                    <w:right w:val="single" w:sz="4" w:space="0" w:color="auto"/>
                  </w:tcBorders>
                  <w:vAlign w:val="center"/>
                  <w:hideMark/>
                </w:tcPr>
                <w:p w:rsidR="00F13BD0" w:rsidRPr="00584676" w:rsidRDefault="00F13BD0" w:rsidP="000E3309">
                  <w:pPr>
                    <w:spacing w:after="0" w:line="240" w:lineRule="auto"/>
                    <w:rPr>
                      <w:rFonts w:ascii="Calibri" w:eastAsia="Times New Roman" w:hAnsi="Calibri" w:cs="Times New Roman"/>
                      <w:b/>
                      <w:bCs/>
                      <w:color w:val="0070C0"/>
                      <w:sz w:val="24"/>
                      <w:szCs w:val="24"/>
                    </w:rPr>
                  </w:pPr>
                </w:p>
              </w:tc>
            </w:tr>
          </w:tbl>
          <w:p w:rsidR="00F13BD0" w:rsidRPr="00584676" w:rsidRDefault="00F13BD0" w:rsidP="000E3309">
            <w:pPr>
              <w:spacing w:after="0" w:line="240" w:lineRule="auto"/>
              <w:rPr>
                <w:rFonts w:ascii="Calibri" w:eastAsia="Times New Roman" w:hAnsi="Calibri" w:cs="Times New Roman"/>
                <w:color w:val="000000"/>
              </w:rPr>
            </w:pPr>
          </w:p>
        </w:tc>
        <w:tc>
          <w:tcPr>
            <w:tcW w:w="1602" w:type="dxa"/>
            <w:vMerge w:val="restart"/>
            <w:tcBorders>
              <w:top w:val="nil"/>
              <w:left w:val="single" w:sz="4" w:space="0" w:color="auto"/>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b/>
                <w:bCs/>
                <w:color w:val="0070C0"/>
                <w:sz w:val="24"/>
                <w:szCs w:val="24"/>
              </w:rPr>
            </w:pPr>
            <w:r w:rsidRPr="00584676">
              <w:rPr>
                <w:rFonts w:ascii="Calibri" w:eastAsia="Times New Roman" w:hAnsi="Calibri" w:cs="Times New Roman"/>
                <w:b/>
                <w:bCs/>
                <w:color w:val="0070C0"/>
                <w:sz w:val="24"/>
                <w:szCs w:val="24"/>
              </w:rPr>
              <w:t xml:space="preserve">Above 7.5 lakh </w:t>
            </w:r>
          </w:p>
        </w:tc>
      </w:tr>
      <w:tr w:rsidR="00F13BD0" w:rsidRPr="00584676" w:rsidTr="00D10C63">
        <w:trPr>
          <w:trHeight w:val="385"/>
        </w:trPr>
        <w:tc>
          <w:tcPr>
            <w:tcW w:w="3848" w:type="dxa"/>
            <w:vMerge/>
            <w:tcBorders>
              <w:top w:val="nil"/>
              <w:left w:val="nil"/>
              <w:bottom w:val="nil"/>
              <w:right w:val="nil"/>
            </w:tcBorders>
            <w:vAlign w:val="center"/>
            <w:hideMark/>
          </w:tcPr>
          <w:p w:rsidR="00F13BD0" w:rsidRPr="00584676" w:rsidRDefault="00F13BD0" w:rsidP="000E3309">
            <w:pPr>
              <w:spacing w:after="0" w:line="240" w:lineRule="auto"/>
              <w:rPr>
                <w:rFonts w:ascii="Calibri" w:eastAsia="Times New Roman" w:hAnsi="Calibri" w:cs="Times New Roman"/>
                <w:color w:val="000000"/>
              </w:rPr>
            </w:pPr>
          </w:p>
        </w:tc>
        <w:tc>
          <w:tcPr>
            <w:tcW w:w="1192" w:type="dxa"/>
            <w:vMerge/>
            <w:tcBorders>
              <w:top w:val="single" w:sz="8" w:space="0" w:color="auto"/>
              <w:left w:val="single" w:sz="4" w:space="0" w:color="auto"/>
              <w:bottom w:val="single" w:sz="4" w:space="0" w:color="auto"/>
              <w:right w:val="single" w:sz="4" w:space="0" w:color="auto"/>
            </w:tcBorders>
            <w:vAlign w:val="center"/>
            <w:hideMark/>
          </w:tcPr>
          <w:p w:rsidR="00F13BD0" w:rsidRPr="00584676" w:rsidRDefault="00F13BD0" w:rsidP="000E3309">
            <w:pPr>
              <w:spacing w:after="0" w:line="240" w:lineRule="auto"/>
              <w:rPr>
                <w:rFonts w:ascii="Calibri" w:eastAsia="Times New Roman" w:hAnsi="Calibri" w:cs="Times New Roman"/>
                <w:b/>
                <w:bCs/>
                <w:color w:val="0070C0"/>
                <w:sz w:val="24"/>
                <w:szCs w:val="24"/>
              </w:rPr>
            </w:pPr>
          </w:p>
        </w:tc>
        <w:tc>
          <w:tcPr>
            <w:tcW w:w="1496" w:type="dxa"/>
            <w:vMerge/>
            <w:tcBorders>
              <w:top w:val="nil"/>
              <w:left w:val="nil"/>
              <w:bottom w:val="nil"/>
              <w:right w:val="nil"/>
            </w:tcBorders>
            <w:vAlign w:val="center"/>
            <w:hideMark/>
          </w:tcPr>
          <w:p w:rsidR="00F13BD0" w:rsidRPr="00584676" w:rsidRDefault="00F13BD0" w:rsidP="000E3309">
            <w:pPr>
              <w:spacing w:after="0" w:line="240" w:lineRule="auto"/>
              <w:rPr>
                <w:rFonts w:ascii="Calibri" w:eastAsia="Times New Roman" w:hAnsi="Calibri" w:cs="Times New Roman"/>
                <w:color w:val="000000"/>
              </w:rPr>
            </w:pPr>
          </w:p>
        </w:tc>
        <w:tc>
          <w:tcPr>
            <w:tcW w:w="1436" w:type="dxa"/>
            <w:vMerge/>
            <w:tcBorders>
              <w:top w:val="nil"/>
              <w:left w:val="nil"/>
              <w:bottom w:val="nil"/>
              <w:right w:val="nil"/>
            </w:tcBorders>
            <w:vAlign w:val="center"/>
            <w:hideMark/>
          </w:tcPr>
          <w:p w:rsidR="00F13BD0" w:rsidRPr="00584676" w:rsidRDefault="00F13BD0" w:rsidP="000E3309">
            <w:pPr>
              <w:spacing w:after="0" w:line="240" w:lineRule="auto"/>
              <w:rPr>
                <w:rFonts w:ascii="Calibri" w:eastAsia="Times New Roman" w:hAnsi="Calibri" w:cs="Times New Roman"/>
                <w:color w:val="000000"/>
              </w:rPr>
            </w:pPr>
          </w:p>
        </w:tc>
        <w:tc>
          <w:tcPr>
            <w:tcW w:w="1602" w:type="dxa"/>
            <w:vMerge/>
            <w:tcBorders>
              <w:top w:val="nil"/>
              <w:left w:val="single" w:sz="4" w:space="0" w:color="auto"/>
              <w:bottom w:val="single" w:sz="4" w:space="0" w:color="auto"/>
              <w:right w:val="single" w:sz="8" w:space="0" w:color="auto"/>
            </w:tcBorders>
            <w:vAlign w:val="center"/>
            <w:hideMark/>
          </w:tcPr>
          <w:p w:rsidR="00F13BD0" w:rsidRPr="00584676" w:rsidRDefault="00F13BD0" w:rsidP="000E3309">
            <w:pPr>
              <w:spacing w:after="0" w:line="240" w:lineRule="auto"/>
              <w:rPr>
                <w:rFonts w:ascii="Calibri" w:eastAsia="Times New Roman" w:hAnsi="Calibri" w:cs="Times New Roman"/>
                <w:b/>
                <w:bCs/>
                <w:color w:val="0070C0"/>
                <w:sz w:val="24"/>
                <w:szCs w:val="24"/>
              </w:rPr>
            </w:pP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Credila Education Loan Service</w:t>
            </w:r>
            <w:r w:rsidR="007619AA">
              <w:rPr>
                <w:rStyle w:val="EndnoteReference"/>
                <w:rFonts w:ascii="Calibri" w:eastAsia="Times New Roman" w:hAnsi="Calibri" w:cs="Times New Roman"/>
                <w:color w:val="000000"/>
              </w:rPr>
              <w:endnoteReference w:id="2"/>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SBI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12.75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11.75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Bank of Baroda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HDFC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Fixed</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12.0 - 14.0</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12.0 - 14.0</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12.0 - 14.0</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IDBI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11.75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12.75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12.75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Allahabad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Andhra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Fixed</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12.75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12.75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Bank of India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9.5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10.75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Bank of Maharashtra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Canara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9.75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Catholic Syrian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Fixed</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14.25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14.75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14.75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Central Bank of India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Dena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Federal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Fixed</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14.75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14.75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Indian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12.25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Indian Overseas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Fixed</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Karnataka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Fixed</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13.25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13.25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Oriental Bank of Commerce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10.75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Punjab National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11.25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11.25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State Bank of Mysore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13.25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13.25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UCO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11.75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11.75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Union Bank of India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Fixed</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11.75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Vijaya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City Union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Fixed</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13.75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14.5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14.5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Punjab &amp; Sind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NA</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State Bank of Bikaner&amp; Jaipur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11.75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11.75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State Bank of Hyderabad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State Bank of Indore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State Bank of Patiala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13.25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13.25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J&amp;K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Fixed</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State Bank of Travancore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12.25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12.25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Syndicate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9.5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United Bank of India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NA</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Tamilnad Mercantile Bank Ltd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13.25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14.75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NA</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Lakshmi Vilas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11.5</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10.25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Karur Vysya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Apna Sahakari Bank Ltd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Fixed</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Dhanalakshmi Bank Ltd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Floating</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13.5</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13.5</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Corporation Bank - India</w:t>
            </w:r>
          </w:p>
        </w:tc>
        <w:tc>
          <w:tcPr>
            <w:tcW w:w="1192"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Fixed</w:t>
            </w:r>
          </w:p>
        </w:tc>
        <w:tc>
          <w:tcPr>
            <w:tcW w:w="149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11</w:t>
            </w:r>
          </w:p>
        </w:tc>
        <w:tc>
          <w:tcPr>
            <w:tcW w:w="1436" w:type="dxa"/>
            <w:tcBorders>
              <w:top w:val="nil"/>
              <w:left w:val="nil"/>
              <w:bottom w:val="single" w:sz="4" w:space="0" w:color="auto"/>
              <w:right w:val="single" w:sz="4"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12</w:t>
            </w:r>
          </w:p>
        </w:tc>
        <w:tc>
          <w:tcPr>
            <w:tcW w:w="1602" w:type="dxa"/>
            <w:tcBorders>
              <w:top w:val="nil"/>
              <w:left w:val="nil"/>
              <w:bottom w:val="single" w:sz="4" w:space="0" w:color="auto"/>
              <w:right w:val="single" w:sz="8" w:space="0" w:color="auto"/>
            </w:tcBorders>
            <w:shd w:val="clear" w:color="000000" w:fill="E5E0EC"/>
            <w:vAlign w:val="bottom"/>
            <w:hideMark/>
          </w:tcPr>
          <w:p w:rsidR="00F13BD0" w:rsidRPr="00584676" w:rsidRDefault="00F13BD0" w:rsidP="000E3309">
            <w:pPr>
              <w:spacing w:after="0" w:line="240" w:lineRule="auto"/>
              <w:jc w:val="center"/>
              <w:rPr>
                <w:rFonts w:ascii="Calibri" w:eastAsia="Times New Roman" w:hAnsi="Calibri" w:cs="Times New Roman"/>
                <w:color w:val="000000"/>
              </w:rPr>
            </w:pPr>
            <w:r w:rsidRPr="00584676">
              <w:rPr>
                <w:rFonts w:ascii="Calibri" w:eastAsia="Times New Roman" w:hAnsi="Calibri" w:cs="Times New Roman"/>
                <w:color w:val="000000"/>
              </w:rPr>
              <w:t>NA</w:t>
            </w:r>
          </w:p>
        </w:tc>
      </w:tr>
      <w:tr w:rsidR="00F13BD0" w:rsidRPr="00584676" w:rsidTr="00D10C63">
        <w:trPr>
          <w:trHeight w:val="300"/>
        </w:trPr>
        <w:tc>
          <w:tcPr>
            <w:tcW w:w="3848" w:type="dxa"/>
            <w:tcBorders>
              <w:top w:val="nil"/>
              <w:left w:val="single" w:sz="8" w:space="0" w:color="auto"/>
              <w:bottom w:val="single" w:sz="4" w:space="0" w:color="auto"/>
              <w:right w:val="single" w:sz="4" w:space="0" w:color="auto"/>
            </w:tcBorders>
            <w:shd w:val="clear" w:color="auto" w:fill="auto"/>
            <w:noWrap/>
            <w:vAlign w:val="bottom"/>
            <w:hideMark/>
          </w:tcPr>
          <w:p w:rsidR="00F13BD0" w:rsidRPr="00584676" w:rsidRDefault="00F13BD0" w:rsidP="000E3309">
            <w:pPr>
              <w:spacing w:after="0" w:line="240" w:lineRule="auto"/>
              <w:rPr>
                <w:rFonts w:ascii="Calibri" w:eastAsia="Times New Roman" w:hAnsi="Calibri" w:cs="Times New Roman"/>
                <w:color w:val="000000"/>
                <w:sz w:val="20"/>
                <w:szCs w:val="20"/>
              </w:rPr>
            </w:pPr>
            <w:r w:rsidRPr="00584676">
              <w:rPr>
                <w:rFonts w:ascii="Calibri" w:eastAsia="Times New Roman" w:hAnsi="Calibri" w:cs="Times New Roman"/>
                <w:color w:val="000000"/>
                <w:sz w:val="20"/>
                <w:szCs w:val="20"/>
              </w:rPr>
              <w:lastRenderedPageBreak/>
              <w:t>Updated as on 2 June, 2010</w:t>
            </w:r>
          </w:p>
        </w:tc>
        <w:tc>
          <w:tcPr>
            <w:tcW w:w="1192" w:type="dxa"/>
            <w:tcBorders>
              <w:top w:val="nil"/>
              <w:left w:val="nil"/>
              <w:bottom w:val="single" w:sz="4" w:space="0" w:color="auto"/>
              <w:right w:val="single" w:sz="4" w:space="0" w:color="auto"/>
            </w:tcBorders>
            <w:shd w:val="clear" w:color="auto" w:fill="auto"/>
            <w:noWrap/>
            <w:vAlign w:val="bottom"/>
            <w:hideMark/>
          </w:tcPr>
          <w:p w:rsidR="00F13BD0" w:rsidRPr="00584676" w:rsidRDefault="00F13BD0" w:rsidP="000E3309">
            <w:pPr>
              <w:spacing w:after="0" w:line="240" w:lineRule="auto"/>
              <w:rPr>
                <w:rFonts w:ascii="Calibri" w:eastAsia="Times New Roman" w:hAnsi="Calibri" w:cs="Times New Roman"/>
                <w:color w:val="000000"/>
              </w:rPr>
            </w:pPr>
            <w:r w:rsidRPr="00584676">
              <w:rPr>
                <w:rFonts w:ascii="Calibri" w:eastAsia="Times New Roman" w:hAnsi="Calibri" w:cs="Times New Roman"/>
                <w:color w:val="000000"/>
              </w:rPr>
              <w:t> </w:t>
            </w:r>
          </w:p>
        </w:tc>
        <w:tc>
          <w:tcPr>
            <w:tcW w:w="1496" w:type="dxa"/>
            <w:tcBorders>
              <w:top w:val="nil"/>
              <w:left w:val="nil"/>
              <w:bottom w:val="single" w:sz="4" w:space="0" w:color="auto"/>
              <w:right w:val="single" w:sz="4" w:space="0" w:color="auto"/>
            </w:tcBorders>
            <w:shd w:val="clear" w:color="auto" w:fill="auto"/>
            <w:noWrap/>
            <w:vAlign w:val="bottom"/>
            <w:hideMark/>
          </w:tcPr>
          <w:p w:rsidR="00F13BD0" w:rsidRPr="00584676" w:rsidRDefault="00F13BD0" w:rsidP="000E3309">
            <w:pPr>
              <w:spacing w:after="0" w:line="240" w:lineRule="auto"/>
              <w:rPr>
                <w:rFonts w:ascii="Calibri" w:eastAsia="Times New Roman" w:hAnsi="Calibri" w:cs="Times New Roman"/>
                <w:color w:val="000000"/>
              </w:rPr>
            </w:pPr>
            <w:r w:rsidRPr="00584676">
              <w:rPr>
                <w:rFonts w:ascii="Calibri" w:eastAsia="Times New Roman" w:hAnsi="Calibri" w:cs="Times New Roman"/>
                <w:color w:val="000000"/>
              </w:rPr>
              <w:t> </w:t>
            </w:r>
          </w:p>
        </w:tc>
        <w:tc>
          <w:tcPr>
            <w:tcW w:w="1436" w:type="dxa"/>
            <w:tcBorders>
              <w:top w:val="nil"/>
              <w:left w:val="nil"/>
              <w:bottom w:val="single" w:sz="4" w:space="0" w:color="auto"/>
              <w:right w:val="single" w:sz="4" w:space="0" w:color="auto"/>
            </w:tcBorders>
            <w:shd w:val="clear" w:color="auto" w:fill="auto"/>
            <w:noWrap/>
            <w:vAlign w:val="bottom"/>
            <w:hideMark/>
          </w:tcPr>
          <w:p w:rsidR="00F13BD0" w:rsidRPr="00584676" w:rsidRDefault="00F13BD0" w:rsidP="000E3309">
            <w:pPr>
              <w:spacing w:after="0" w:line="240" w:lineRule="auto"/>
              <w:rPr>
                <w:rFonts w:ascii="Calibri" w:eastAsia="Times New Roman" w:hAnsi="Calibri" w:cs="Times New Roman"/>
                <w:color w:val="000000"/>
              </w:rPr>
            </w:pPr>
            <w:r w:rsidRPr="00584676">
              <w:rPr>
                <w:rFonts w:ascii="Calibri" w:eastAsia="Times New Roman" w:hAnsi="Calibri" w:cs="Times New Roman"/>
                <w:color w:val="000000"/>
              </w:rPr>
              <w:t> </w:t>
            </w:r>
          </w:p>
        </w:tc>
        <w:tc>
          <w:tcPr>
            <w:tcW w:w="1602" w:type="dxa"/>
            <w:tcBorders>
              <w:top w:val="nil"/>
              <w:left w:val="nil"/>
              <w:bottom w:val="single" w:sz="4" w:space="0" w:color="auto"/>
              <w:right w:val="single" w:sz="8" w:space="0" w:color="auto"/>
            </w:tcBorders>
            <w:shd w:val="clear" w:color="auto" w:fill="auto"/>
            <w:noWrap/>
            <w:vAlign w:val="bottom"/>
            <w:hideMark/>
          </w:tcPr>
          <w:p w:rsidR="00F13BD0" w:rsidRPr="00584676" w:rsidRDefault="00F13BD0" w:rsidP="000E3309">
            <w:pPr>
              <w:spacing w:after="0" w:line="240" w:lineRule="auto"/>
              <w:rPr>
                <w:rFonts w:ascii="Calibri" w:eastAsia="Times New Roman" w:hAnsi="Calibri" w:cs="Times New Roman"/>
                <w:color w:val="000000"/>
              </w:rPr>
            </w:pPr>
            <w:r w:rsidRPr="00584676">
              <w:rPr>
                <w:rFonts w:ascii="Calibri" w:eastAsia="Times New Roman" w:hAnsi="Calibri" w:cs="Times New Roman"/>
                <w:color w:val="000000"/>
              </w:rPr>
              <w:t> </w:t>
            </w:r>
          </w:p>
        </w:tc>
      </w:tr>
      <w:tr w:rsidR="00F13BD0" w:rsidRPr="00584676" w:rsidTr="00D10C63">
        <w:trPr>
          <w:trHeight w:val="945"/>
        </w:trPr>
        <w:tc>
          <w:tcPr>
            <w:tcW w:w="9574" w:type="dxa"/>
            <w:gridSpan w:val="5"/>
            <w:tcBorders>
              <w:top w:val="single" w:sz="4" w:space="0" w:color="auto"/>
              <w:left w:val="single" w:sz="8" w:space="0" w:color="auto"/>
              <w:bottom w:val="single" w:sz="4" w:space="0" w:color="auto"/>
              <w:right w:val="single" w:sz="8" w:space="0" w:color="000000"/>
            </w:tcBorders>
            <w:shd w:val="clear" w:color="auto" w:fill="auto"/>
            <w:vAlign w:val="bottom"/>
            <w:hideMark/>
          </w:tcPr>
          <w:p w:rsidR="00F13BD0" w:rsidRPr="00584676" w:rsidRDefault="00F13BD0" w:rsidP="000E3309">
            <w:pPr>
              <w:spacing w:after="0" w:line="240" w:lineRule="auto"/>
              <w:rPr>
                <w:rFonts w:ascii="Calibri" w:eastAsia="Times New Roman" w:hAnsi="Calibri" w:cs="Times New Roman"/>
                <w:color w:val="000000"/>
                <w:sz w:val="20"/>
                <w:szCs w:val="20"/>
              </w:rPr>
            </w:pPr>
            <w:r w:rsidRPr="00584676">
              <w:rPr>
                <w:rFonts w:ascii="Calibri" w:eastAsia="Times New Roman" w:hAnsi="Calibri" w:cs="Times New Roman"/>
                <w:color w:val="000000"/>
                <w:sz w:val="20"/>
                <w:szCs w:val="20"/>
              </w:rPr>
              <w:t>The education loan interest rates given above are indicative in nature. It is based on market research conducted by the ApnaPaisa Research Bureau every week. The actual interest rate at which an individual will be able to get a education loan depend on the individual's financial profile and negotiating ability.</w:t>
            </w:r>
          </w:p>
        </w:tc>
      </w:tr>
    </w:tbl>
    <w:p w:rsidR="00F13BD0" w:rsidRDefault="00F13BD0" w:rsidP="00F13BD0"/>
    <w:p w:rsidR="00744D0A" w:rsidRPr="007D0169" w:rsidRDefault="00744D0A" w:rsidP="007D0169">
      <w:pPr>
        <w:pStyle w:val="Subtitle"/>
        <w:rPr>
          <w:b/>
        </w:rPr>
      </w:pPr>
      <w:r w:rsidRPr="007D0169">
        <w:rPr>
          <w:b/>
        </w:rPr>
        <w:t>       Education and its tax benefits</w:t>
      </w:r>
    </w:p>
    <w:p w:rsidR="000F3B57" w:rsidRPr="00E059D7" w:rsidRDefault="000F3B57" w:rsidP="0013110F">
      <w:pPr>
        <w:ind w:firstLine="720"/>
        <w:jc w:val="both"/>
        <w:rPr>
          <w:sz w:val="20"/>
          <w:szCs w:val="20"/>
        </w:rPr>
      </w:pPr>
      <w:r w:rsidRPr="00E059D7">
        <w:rPr>
          <w:sz w:val="20"/>
          <w:szCs w:val="20"/>
        </w:rPr>
        <w:t xml:space="preserve">Sec. 80E </w:t>
      </w:r>
      <w:r w:rsidR="007667CA" w:rsidRPr="00E059D7">
        <w:rPr>
          <w:sz w:val="20"/>
          <w:szCs w:val="20"/>
        </w:rPr>
        <w:t xml:space="preserve">of Income Tax Act, 1961 </w:t>
      </w:r>
      <w:r w:rsidRPr="00E059D7">
        <w:rPr>
          <w:sz w:val="20"/>
          <w:szCs w:val="20"/>
        </w:rPr>
        <w:t>provides for a deduction to an assessee, being an individual, on account of any amount paid by him in the previous year by way of interest on loan taken from any financial institution or any approved charitable institution for the purpose of pursuing his higher education or higher education of his relatives.</w:t>
      </w:r>
    </w:p>
    <w:p w:rsidR="000F3B57" w:rsidRPr="00E059D7" w:rsidRDefault="00680815" w:rsidP="0013110F">
      <w:pPr>
        <w:ind w:firstLine="720"/>
        <w:jc w:val="both"/>
        <w:rPr>
          <w:sz w:val="20"/>
          <w:szCs w:val="20"/>
        </w:rPr>
      </w:pPr>
      <w:r w:rsidRPr="00E059D7">
        <w:rPr>
          <w:sz w:val="20"/>
          <w:szCs w:val="20"/>
        </w:rPr>
        <w:t>Previously, the deduction is available only for pursuing full time studies for any</w:t>
      </w:r>
      <w:r w:rsidR="0000757D" w:rsidRPr="00E059D7">
        <w:rPr>
          <w:sz w:val="20"/>
          <w:szCs w:val="20"/>
        </w:rPr>
        <w:t xml:space="preserve"> graduate or post-graduate cours</w:t>
      </w:r>
      <w:r w:rsidRPr="00E059D7">
        <w:rPr>
          <w:sz w:val="20"/>
          <w:szCs w:val="20"/>
        </w:rPr>
        <w:t>e in</w:t>
      </w:r>
      <w:r w:rsidR="0000757D" w:rsidRPr="00E059D7">
        <w:rPr>
          <w:sz w:val="20"/>
          <w:szCs w:val="20"/>
        </w:rPr>
        <w:t xml:space="preserve"> engineering, medicine, managem</w:t>
      </w:r>
      <w:r w:rsidRPr="00E059D7">
        <w:rPr>
          <w:sz w:val="20"/>
          <w:szCs w:val="20"/>
        </w:rPr>
        <w:t xml:space="preserve">ent or for post-graduate course in applied sciences or pure sciences including </w:t>
      </w:r>
      <w:r w:rsidR="007B5508" w:rsidRPr="00E059D7">
        <w:rPr>
          <w:sz w:val="20"/>
          <w:szCs w:val="20"/>
        </w:rPr>
        <w:t xml:space="preserve">mathematics and </w:t>
      </w:r>
      <w:r w:rsidR="0000757D" w:rsidRPr="00E059D7">
        <w:rPr>
          <w:sz w:val="20"/>
          <w:szCs w:val="20"/>
        </w:rPr>
        <w:t>s</w:t>
      </w:r>
      <w:r w:rsidR="007B5508" w:rsidRPr="00E059D7">
        <w:rPr>
          <w:sz w:val="20"/>
          <w:szCs w:val="20"/>
        </w:rPr>
        <w:t>tatistics.</w:t>
      </w:r>
    </w:p>
    <w:p w:rsidR="007B5508" w:rsidRPr="00E059D7" w:rsidRDefault="001D01C9" w:rsidP="0013110F">
      <w:pPr>
        <w:ind w:firstLine="720"/>
        <w:jc w:val="both"/>
        <w:rPr>
          <w:sz w:val="20"/>
          <w:szCs w:val="20"/>
        </w:rPr>
      </w:pPr>
      <w:r w:rsidRPr="00E059D7">
        <w:rPr>
          <w:sz w:val="20"/>
          <w:szCs w:val="20"/>
        </w:rPr>
        <w:t>However, Finance Act, 2009</w:t>
      </w:r>
      <w:r w:rsidR="006535AA">
        <w:rPr>
          <w:rStyle w:val="EndnoteReference"/>
          <w:sz w:val="20"/>
          <w:szCs w:val="20"/>
        </w:rPr>
        <w:endnoteReference w:id="3"/>
      </w:r>
      <w:r w:rsidRPr="00E059D7">
        <w:rPr>
          <w:sz w:val="20"/>
          <w:szCs w:val="20"/>
        </w:rPr>
        <w:t xml:space="preserve"> amended to this section. Now this section cover all fields of studies (including vocational studies) </w:t>
      </w:r>
      <w:r w:rsidR="00C9238A" w:rsidRPr="00E059D7">
        <w:rPr>
          <w:sz w:val="20"/>
          <w:szCs w:val="20"/>
        </w:rPr>
        <w:t xml:space="preserve">pursued after passing the Senior Secondary Examination or its equivalent from any school, board or university recognized by the Central Government or State Government or local authority or by any other authority authorized by the </w:t>
      </w:r>
      <w:r w:rsidR="00506C62" w:rsidRPr="00E059D7">
        <w:rPr>
          <w:sz w:val="20"/>
          <w:szCs w:val="20"/>
        </w:rPr>
        <w:t xml:space="preserve">Central Government or State Government or local authority to do so. </w:t>
      </w:r>
    </w:p>
    <w:p w:rsidR="008D5A8D" w:rsidRPr="00E059D7" w:rsidRDefault="008D5A8D" w:rsidP="0013110F">
      <w:pPr>
        <w:ind w:firstLine="720"/>
        <w:jc w:val="both"/>
        <w:rPr>
          <w:sz w:val="20"/>
          <w:szCs w:val="20"/>
        </w:rPr>
      </w:pPr>
      <w:r w:rsidRPr="00E059D7">
        <w:rPr>
          <w:sz w:val="20"/>
          <w:szCs w:val="20"/>
        </w:rPr>
        <w:t>Therefore, interest on loan taken for pursuing any course after Class XII or its equivalent, will qualify for deduction under section 80E.</w:t>
      </w:r>
    </w:p>
    <w:p w:rsidR="007E5ED0" w:rsidRPr="00E059D7" w:rsidRDefault="007E5ED0" w:rsidP="0013110F">
      <w:pPr>
        <w:ind w:firstLine="720"/>
        <w:jc w:val="both"/>
        <w:rPr>
          <w:sz w:val="20"/>
          <w:szCs w:val="20"/>
        </w:rPr>
      </w:pPr>
      <w:r w:rsidRPr="00E059D7">
        <w:rPr>
          <w:sz w:val="20"/>
          <w:szCs w:val="20"/>
        </w:rPr>
        <w:t xml:space="preserve">Relative means, in relation to an individual, in </w:t>
      </w:r>
      <w:r w:rsidR="00AD2A25" w:rsidRPr="00E059D7">
        <w:rPr>
          <w:sz w:val="20"/>
          <w:szCs w:val="20"/>
        </w:rPr>
        <w:t>addition</w:t>
      </w:r>
      <w:r w:rsidRPr="00E059D7">
        <w:rPr>
          <w:sz w:val="20"/>
          <w:szCs w:val="20"/>
        </w:rPr>
        <w:t xml:space="preserve"> to spouse and children of the individual, the student for whom the individual is the legal guardian.</w:t>
      </w:r>
    </w:p>
    <w:p w:rsidR="00744D0A" w:rsidRPr="00E059D7" w:rsidRDefault="00744D0A" w:rsidP="007D0169">
      <w:pPr>
        <w:ind w:firstLine="720"/>
        <w:jc w:val="both"/>
        <w:rPr>
          <w:sz w:val="20"/>
          <w:szCs w:val="20"/>
        </w:rPr>
      </w:pPr>
      <w:r w:rsidRPr="00E059D7">
        <w:rPr>
          <w:sz w:val="20"/>
          <w:szCs w:val="20"/>
        </w:rPr>
        <w:t>           </w:t>
      </w:r>
    </w:p>
    <w:p w:rsidR="00584676" w:rsidRDefault="00584676" w:rsidP="00584676"/>
    <w:p w:rsidR="00744D0A" w:rsidRDefault="00744D0A" w:rsidP="00C91635">
      <w:r>
        <w:t>      </w:t>
      </w:r>
    </w:p>
    <w:p w:rsidR="00807773" w:rsidRDefault="00807773"/>
    <w:sectPr w:rsidR="00807773" w:rsidSect="002600E6">
      <w:footerReference w:type="default" r:id="rId8"/>
      <w:pgSz w:w="11909" w:h="16834" w:code="9"/>
      <w:pgMar w:top="1152" w:right="1152" w:bottom="864"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856" w:rsidRDefault="00193856" w:rsidP="00B94928">
      <w:pPr>
        <w:spacing w:after="0" w:line="240" w:lineRule="auto"/>
      </w:pPr>
      <w:r>
        <w:separator/>
      </w:r>
    </w:p>
  </w:endnote>
  <w:endnote w:type="continuationSeparator" w:id="1">
    <w:p w:rsidR="00193856" w:rsidRDefault="00193856" w:rsidP="00B94928">
      <w:pPr>
        <w:spacing w:after="0" w:line="240" w:lineRule="auto"/>
      </w:pPr>
      <w:r>
        <w:continuationSeparator/>
      </w:r>
    </w:p>
  </w:endnote>
  <w:endnote w:id="2">
    <w:p w:rsidR="007619AA" w:rsidRDefault="007619AA">
      <w:pPr>
        <w:pStyle w:val="EndnoteText"/>
      </w:pPr>
      <w:r>
        <w:rPr>
          <w:rStyle w:val="EndnoteReference"/>
        </w:rPr>
        <w:endnoteRef/>
      </w:r>
      <w:r>
        <w:t xml:space="preserve"> Joint venture of HDFC Bank</w:t>
      </w:r>
    </w:p>
  </w:endnote>
  <w:endnote w:id="3">
    <w:p w:rsidR="006535AA" w:rsidRDefault="006535AA">
      <w:pPr>
        <w:pStyle w:val="EndnoteText"/>
      </w:pPr>
      <w:r>
        <w:rPr>
          <w:rStyle w:val="EndnoteReference"/>
        </w:rPr>
        <w:endnoteRef/>
      </w:r>
      <w:r>
        <w:t xml:space="preserve"> Effect from Assessment year 2010-11</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928" w:rsidRDefault="00B94928">
    <w:pPr>
      <w:pStyle w:val="Footer"/>
      <w:pBdr>
        <w:top w:val="thinThickSmallGap" w:sz="24" w:space="1" w:color="622423" w:themeColor="accent2" w:themeShade="7F"/>
      </w:pBdr>
      <w:rPr>
        <w:rFonts w:asciiTheme="majorHAnsi" w:hAnsiTheme="majorHAnsi"/>
      </w:rPr>
    </w:pPr>
    <w:r w:rsidRPr="00B94928">
      <w:rPr>
        <w:rStyle w:val="SubtitleChar"/>
        <w:b/>
        <w:sz w:val="20"/>
        <w:szCs w:val="20"/>
      </w:rPr>
      <w:t>Education Loan – R. Shiva shankara</w:t>
    </w:r>
    <w:r>
      <w:rPr>
        <w:rFonts w:asciiTheme="majorHAnsi" w:hAnsiTheme="majorHAnsi"/>
      </w:rPr>
      <w:ptab w:relativeTo="margin" w:alignment="right" w:leader="none"/>
    </w:r>
    <w:r>
      <w:rPr>
        <w:rFonts w:asciiTheme="majorHAnsi" w:hAnsiTheme="majorHAnsi"/>
      </w:rPr>
      <w:t xml:space="preserve">Page </w:t>
    </w:r>
    <w:fldSimple w:instr=" PAGE   \* MERGEFORMAT ">
      <w:r w:rsidR="00AA4D9F" w:rsidRPr="00AA4D9F">
        <w:rPr>
          <w:rFonts w:asciiTheme="majorHAnsi" w:hAnsiTheme="majorHAnsi"/>
          <w:noProof/>
        </w:rPr>
        <w:t>1</w:t>
      </w:r>
    </w:fldSimple>
  </w:p>
  <w:p w:rsidR="00B94928" w:rsidRDefault="00B949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856" w:rsidRDefault="00193856" w:rsidP="00B94928">
      <w:pPr>
        <w:spacing w:after="0" w:line="240" w:lineRule="auto"/>
      </w:pPr>
      <w:r>
        <w:separator/>
      </w:r>
    </w:p>
  </w:footnote>
  <w:footnote w:type="continuationSeparator" w:id="1">
    <w:p w:rsidR="00193856" w:rsidRDefault="00193856" w:rsidP="00B949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41F4"/>
    <w:multiLevelType w:val="hybridMultilevel"/>
    <w:tmpl w:val="D32E05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0B42A17"/>
    <w:multiLevelType w:val="hybridMultilevel"/>
    <w:tmpl w:val="E2B49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44D0A"/>
    <w:rsid w:val="0000757D"/>
    <w:rsid w:val="00026C7A"/>
    <w:rsid w:val="00071DBD"/>
    <w:rsid w:val="000F3B57"/>
    <w:rsid w:val="0013110F"/>
    <w:rsid w:val="00193856"/>
    <w:rsid w:val="001A1726"/>
    <w:rsid w:val="001D01C9"/>
    <w:rsid w:val="00211FB2"/>
    <w:rsid w:val="002600E6"/>
    <w:rsid w:val="002D2CD2"/>
    <w:rsid w:val="002F570F"/>
    <w:rsid w:val="00343AED"/>
    <w:rsid w:val="003D2BF6"/>
    <w:rsid w:val="003F61A1"/>
    <w:rsid w:val="00465441"/>
    <w:rsid w:val="00506C62"/>
    <w:rsid w:val="00584676"/>
    <w:rsid w:val="006535AA"/>
    <w:rsid w:val="00680815"/>
    <w:rsid w:val="00744D0A"/>
    <w:rsid w:val="007619AA"/>
    <w:rsid w:val="00761A6B"/>
    <w:rsid w:val="007667CA"/>
    <w:rsid w:val="007B5508"/>
    <w:rsid w:val="007D0169"/>
    <w:rsid w:val="007E5ED0"/>
    <w:rsid w:val="00807773"/>
    <w:rsid w:val="00865E95"/>
    <w:rsid w:val="008D5A8D"/>
    <w:rsid w:val="009B3EF5"/>
    <w:rsid w:val="00A6527A"/>
    <w:rsid w:val="00AA4D9F"/>
    <w:rsid w:val="00AD2A25"/>
    <w:rsid w:val="00B94928"/>
    <w:rsid w:val="00BD7CA8"/>
    <w:rsid w:val="00C30724"/>
    <w:rsid w:val="00C91635"/>
    <w:rsid w:val="00C9238A"/>
    <w:rsid w:val="00D10C63"/>
    <w:rsid w:val="00D73729"/>
    <w:rsid w:val="00DC30D0"/>
    <w:rsid w:val="00DD614F"/>
    <w:rsid w:val="00E02031"/>
    <w:rsid w:val="00E059D7"/>
    <w:rsid w:val="00F13BD0"/>
    <w:rsid w:val="00F14BA6"/>
    <w:rsid w:val="00F911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773"/>
  </w:style>
  <w:style w:type="paragraph" w:styleId="Heading1">
    <w:name w:val="heading 1"/>
    <w:basedOn w:val="Normal"/>
    <w:next w:val="Normal"/>
    <w:link w:val="Heading1Char"/>
    <w:uiPriority w:val="9"/>
    <w:qFormat/>
    <w:rsid w:val="00744D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D0A"/>
    <w:rPr>
      <w:rFonts w:asciiTheme="majorHAnsi" w:eastAsiaTheme="majorEastAsia" w:hAnsiTheme="majorHAnsi" w:cstheme="majorBidi"/>
      <w:b/>
      <w:bCs/>
      <w:color w:val="365F91" w:themeColor="accent1" w:themeShade="BF"/>
      <w:sz w:val="28"/>
      <w:szCs w:val="28"/>
    </w:rPr>
  </w:style>
  <w:style w:type="paragraph" w:styleId="IntenseQuote">
    <w:name w:val="Intense Quote"/>
    <w:basedOn w:val="Normal"/>
    <w:next w:val="Normal"/>
    <w:link w:val="IntenseQuoteChar"/>
    <w:uiPriority w:val="30"/>
    <w:qFormat/>
    <w:rsid w:val="00744D0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44D0A"/>
    <w:rPr>
      <w:b/>
      <w:bCs/>
      <w:i/>
      <w:iCs/>
      <w:color w:val="4F81BD" w:themeColor="accent1"/>
    </w:rPr>
  </w:style>
  <w:style w:type="paragraph" w:styleId="Subtitle">
    <w:name w:val="Subtitle"/>
    <w:basedOn w:val="Normal"/>
    <w:next w:val="Normal"/>
    <w:link w:val="SubtitleChar"/>
    <w:uiPriority w:val="11"/>
    <w:qFormat/>
    <w:rsid w:val="001311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3110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13110F"/>
    <w:pPr>
      <w:ind w:left="720"/>
      <w:contextualSpacing/>
    </w:pPr>
  </w:style>
  <w:style w:type="paragraph" w:styleId="Header">
    <w:name w:val="header"/>
    <w:basedOn w:val="Normal"/>
    <w:link w:val="HeaderChar"/>
    <w:uiPriority w:val="99"/>
    <w:semiHidden/>
    <w:unhideWhenUsed/>
    <w:rsid w:val="00B949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94928"/>
  </w:style>
  <w:style w:type="paragraph" w:styleId="Footer">
    <w:name w:val="footer"/>
    <w:basedOn w:val="Normal"/>
    <w:link w:val="FooterChar"/>
    <w:uiPriority w:val="99"/>
    <w:unhideWhenUsed/>
    <w:rsid w:val="00B94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928"/>
  </w:style>
  <w:style w:type="paragraph" w:styleId="BalloonText">
    <w:name w:val="Balloon Text"/>
    <w:basedOn w:val="Normal"/>
    <w:link w:val="BalloonTextChar"/>
    <w:uiPriority w:val="99"/>
    <w:semiHidden/>
    <w:unhideWhenUsed/>
    <w:rsid w:val="00B949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928"/>
    <w:rPr>
      <w:rFonts w:ascii="Tahoma" w:hAnsi="Tahoma" w:cs="Tahoma"/>
      <w:sz w:val="16"/>
      <w:szCs w:val="16"/>
    </w:rPr>
  </w:style>
  <w:style w:type="paragraph" w:styleId="EndnoteText">
    <w:name w:val="endnote text"/>
    <w:basedOn w:val="Normal"/>
    <w:link w:val="EndnoteTextChar"/>
    <w:uiPriority w:val="99"/>
    <w:semiHidden/>
    <w:unhideWhenUsed/>
    <w:rsid w:val="007619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19AA"/>
    <w:rPr>
      <w:sz w:val="20"/>
      <w:szCs w:val="20"/>
    </w:rPr>
  </w:style>
  <w:style w:type="character" w:styleId="EndnoteReference">
    <w:name w:val="endnote reference"/>
    <w:basedOn w:val="DefaultParagraphFont"/>
    <w:uiPriority w:val="99"/>
    <w:semiHidden/>
    <w:unhideWhenUsed/>
    <w:rsid w:val="007619AA"/>
    <w:rPr>
      <w:vertAlign w:val="superscript"/>
    </w:rPr>
  </w:style>
</w:styles>
</file>

<file path=word/webSettings.xml><?xml version="1.0" encoding="utf-8"?>
<w:webSettings xmlns:r="http://schemas.openxmlformats.org/officeDocument/2006/relationships" xmlns:w="http://schemas.openxmlformats.org/wordprocessingml/2006/main">
  <w:divs>
    <w:div w:id="200936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BF258-77BF-45F6-B0C5-E8A53086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998</Words>
  <Characters>5695</Characters>
  <Application>Microsoft Office Word</Application>
  <DocSecurity>0</DocSecurity>
  <Lines>47</Lines>
  <Paragraphs>13</Paragraphs>
  <ScaleCrop>false</ScaleCrop>
  <Company>TRUE LOVE</Company>
  <LinksUpToDate>false</LinksUpToDate>
  <CharactersWithSpaces>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SHIVA SHANKARA</dc:creator>
  <cp:keywords/>
  <dc:description/>
  <cp:lastModifiedBy>R. SHIVA SHANKARA</cp:lastModifiedBy>
  <cp:revision>20</cp:revision>
  <dcterms:created xsi:type="dcterms:W3CDTF">2010-02-07T09:02:00Z</dcterms:created>
  <dcterms:modified xsi:type="dcterms:W3CDTF">2010-02-07T09:12:00Z</dcterms:modified>
</cp:coreProperties>
</file>