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05E" w:rsidRDefault="00871CE6" w:rsidP="00871CE6">
      <w:pPr>
        <w:jc w:val="both"/>
        <w:rPr>
          <w:rFonts w:ascii="Open Sans" w:hAnsi="Open Sans" w:cs="Open Sans"/>
          <w:color w:val="12302E"/>
          <w:sz w:val="27"/>
          <w:szCs w:val="27"/>
          <w:shd w:val="clear" w:color="auto" w:fill="FFFFFF"/>
        </w:rPr>
      </w:pPr>
      <w:r>
        <w:rPr>
          <w:rFonts w:ascii="Open Sans" w:hAnsi="Open Sans" w:cs="Open Sans"/>
          <w:color w:val="12302E"/>
          <w:sz w:val="27"/>
          <w:szCs w:val="27"/>
          <w:shd w:val="clear" w:color="auto" w:fill="FFFFFF"/>
        </w:rPr>
        <w:t>Before we differentiate between the </w:t>
      </w:r>
      <w:hyperlink r:id="rId5" w:tgtFrame="_blank" w:history="1">
        <w:r>
          <w:rPr>
            <w:rStyle w:val="Hyperlink"/>
            <w:rFonts w:ascii="Open Sans" w:hAnsi="Open Sans" w:cs="Open Sans"/>
            <w:color w:val="00AB6B"/>
            <w:sz w:val="27"/>
            <w:szCs w:val="27"/>
            <w:u w:val="none"/>
            <w:shd w:val="clear" w:color="auto" w:fill="FFFFFF"/>
          </w:rPr>
          <w:t>IFRS</w:t>
        </w:r>
      </w:hyperlink>
      <w:r>
        <w:rPr>
          <w:rFonts w:ascii="Open Sans" w:hAnsi="Open Sans" w:cs="Open Sans"/>
          <w:color w:val="12302E"/>
          <w:sz w:val="27"/>
          <w:szCs w:val="27"/>
          <w:shd w:val="clear" w:color="auto" w:fill="FFFFFF"/>
        </w:rPr>
        <w:t> and </w:t>
      </w:r>
      <w:hyperlink r:id="rId6" w:tgtFrame="_blank" w:history="1">
        <w:r>
          <w:rPr>
            <w:rStyle w:val="Hyperlink"/>
            <w:rFonts w:ascii="Open Sans" w:hAnsi="Open Sans" w:cs="Open Sans"/>
            <w:color w:val="00AB6B"/>
            <w:sz w:val="27"/>
            <w:szCs w:val="27"/>
            <w:u w:val="none"/>
            <w:shd w:val="clear" w:color="auto" w:fill="FFFFFF"/>
          </w:rPr>
          <w:t>US GAAP</w:t>
        </w:r>
      </w:hyperlink>
      <w:r>
        <w:rPr>
          <w:rFonts w:ascii="Open Sans" w:hAnsi="Open Sans" w:cs="Open Sans"/>
          <w:color w:val="12302E"/>
          <w:sz w:val="27"/>
          <w:szCs w:val="27"/>
          <w:shd w:val="clear" w:color="auto" w:fill="FFFFFF"/>
        </w:rPr>
        <w:t xml:space="preserve">, it’s important to understand their meaning and the context in which these two terms are used. Wait a minute! Are they not set of accounting standard? No, not exactly. US GAAP and IFRS are technically classified as generally accepted </w:t>
      </w:r>
      <w:proofErr w:type="gramStart"/>
      <w:r>
        <w:rPr>
          <w:rFonts w:ascii="Open Sans" w:hAnsi="Open Sans" w:cs="Open Sans"/>
          <w:color w:val="12302E"/>
          <w:sz w:val="27"/>
          <w:szCs w:val="27"/>
          <w:shd w:val="clear" w:color="auto" w:fill="FFFFFF"/>
        </w:rPr>
        <w:t>accounting principles which in financial and accounting world is</w:t>
      </w:r>
      <w:proofErr w:type="gramEnd"/>
      <w:r>
        <w:rPr>
          <w:rFonts w:ascii="Open Sans" w:hAnsi="Open Sans" w:cs="Open Sans"/>
          <w:color w:val="12302E"/>
          <w:sz w:val="27"/>
          <w:szCs w:val="27"/>
          <w:shd w:val="clear" w:color="auto" w:fill="FFFFFF"/>
        </w:rPr>
        <w:t xml:space="preserve"> commonly known as GAAP.</w:t>
      </w:r>
    </w:p>
    <w:p w:rsidR="00871CE6" w:rsidRDefault="00871CE6">
      <w:pPr>
        <w:rPr>
          <w:rFonts w:ascii="Open Sans" w:hAnsi="Open Sans" w:cs="Open Sans"/>
          <w:color w:val="12302E"/>
          <w:sz w:val="27"/>
          <w:szCs w:val="27"/>
          <w:shd w:val="clear" w:color="auto" w:fill="FFFFFF"/>
        </w:rPr>
      </w:pPr>
    </w:p>
    <w:p w:rsidR="00871CE6" w:rsidRPr="00871CE6" w:rsidRDefault="00871CE6" w:rsidP="00871CE6">
      <w:pPr>
        <w:shd w:val="clear" w:color="auto" w:fill="FFFFFF"/>
        <w:spacing w:before="100" w:beforeAutospacing="1" w:after="100" w:afterAutospacing="1" w:line="387" w:lineRule="atLeast"/>
        <w:outlineLvl w:val="2"/>
        <w:rPr>
          <w:rFonts w:ascii="Martel" w:eastAsia="Times New Roman" w:hAnsi="Martel" w:cs="Times New Roman"/>
          <w:color w:val="12302E"/>
          <w:sz w:val="60"/>
          <w:szCs w:val="60"/>
        </w:rPr>
      </w:pPr>
      <w:r w:rsidRPr="00871CE6">
        <w:rPr>
          <w:rFonts w:ascii="Martel" w:eastAsia="Times New Roman" w:hAnsi="Martel" w:cs="Times New Roman"/>
          <w:color w:val="000000"/>
          <w:sz w:val="60"/>
          <w:szCs w:val="60"/>
        </w:rPr>
        <w:t>What is GAAP?</w:t>
      </w:r>
    </w:p>
    <w:p w:rsidR="00871CE6" w:rsidRDefault="00871CE6" w:rsidP="00871CE6">
      <w:pPr>
        <w:jc w:val="both"/>
        <w:rPr>
          <w:rFonts w:ascii="Open Sans" w:hAnsi="Open Sans" w:cs="Open Sans"/>
          <w:color w:val="12302E"/>
          <w:sz w:val="27"/>
          <w:szCs w:val="27"/>
          <w:shd w:val="clear" w:color="auto" w:fill="FFFFFF"/>
        </w:rPr>
      </w:pPr>
      <w:r w:rsidRPr="00871CE6">
        <w:rPr>
          <w:rFonts w:ascii="Open Sans" w:hAnsi="Open Sans" w:cs="Open Sans"/>
          <w:color w:val="12302E"/>
          <w:sz w:val="27"/>
          <w:szCs w:val="27"/>
          <w:shd w:val="clear" w:color="auto" w:fill="FFFFFF"/>
        </w:rPr>
        <w:t xml:space="preserve">GAAPs are the broad framework or the structure which is used to prepare financial statements of the companies. Like JAVA, C++ or HTML are used by the software engineers to write computer </w:t>
      </w:r>
      <w:proofErr w:type="spellStart"/>
      <w:r w:rsidRPr="00871CE6">
        <w:rPr>
          <w:rFonts w:ascii="Open Sans" w:hAnsi="Open Sans" w:cs="Open Sans"/>
          <w:color w:val="12302E"/>
          <w:sz w:val="27"/>
          <w:szCs w:val="27"/>
          <w:shd w:val="clear" w:color="auto" w:fill="FFFFFF"/>
        </w:rPr>
        <w:t>programme</w:t>
      </w:r>
      <w:proofErr w:type="spellEnd"/>
      <w:r w:rsidRPr="00871CE6">
        <w:rPr>
          <w:rFonts w:ascii="Open Sans" w:hAnsi="Open Sans" w:cs="Open Sans"/>
          <w:color w:val="12302E"/>
          <w:sz w:val="27"/>
          <w:szCs w:val="27"/>
          <w:shd w:val="clear" w:color="auto" w:fill="FFFFFF"/>
        </w:rPr>
        <w:t>, in the same manner accountants all over the world use a language – GAAP, to prepare financial statements. But there is one huge difference between Computer language and GAAP. Unlike a programmer who uses the same language irrespective of whether he is sitting in Silicon Valley or Shanghai, an accountant will use different reporting language in different jurisdiction because every country has different GAAP. For example, Account in India will use IGAAP (Generally accepted accounting principles in India), the one sitting in United States will use US GAAP (Generally accepted accounting principles in India) and the one sitting in UK will use </w:t>
      </w:r>
      <w:hyperlink r:id="rId7" w:tgtFrame="_blank" w:history="1">
        <w:r w:rsidRPr="00871CE6">
          <w:rPr>
            <w:rFonts w:ascii="Open Sans" w:hAnsi="Open Sans" w:cs="Open Sans"/>
            <w:color w:val="12302E"/>
            <w:sz w:val="27"/>
            <w:szCs w:val="27"/>
            <w:shd w:val="clear" w:color="auto" w:fill="FFFFFF"/>
          </w:rPr>
          <w:t>UK GAAP</w:t>
        </w:r>
      </w:hyperlink>
      <w:r w:rsidRPr="00871CE6">
        <w:rPr>
          <w:rFonts w:ascii="Open Sans" w:hAnsi="Open Sans" w:cs="Open Sans"/>
          <w:color w:val="12302E"/>
          <w:sz w:val="27"/>
          <w:szCs w:val="27"/>
          <w:shd w:val="clear" w:color="auto" w:fill="FFFFFF"/>
        </w:rPr>
        <w:t> (Generally accepted accounting principles in UK) in preparation of financial statement or books of account.</w:t>
      </w:r>
    </w:p>
    <w:p w:rsidR="00871CE6" w:rsidRDefault="00871CE6" w:rsidP="00871CE6">
      <w:pPr>
        <w:jc w:val="both"/>
        <w:rPr>
          <w:rFonts w:ascii="Open Sans" w:hAnsi="Open Sans" w:cs="Open Sans"/>
          <w:color w:val="12302E"/>
          <w:sz w:val="27"/>
          <w:szCs w:val="27"/>
          <w:shd w:val="clear" w:color="auto" w:fill="FFFFFF"/>
        </w:rPr>
      </w:pPr>
    </w:p>
    <w:p w:rsidR="00871CE6" w:rsidRDefault="00871CE6" w:rsidP="00871CE6">
      <w:pPr>
        <w:pStyle w:val="NormalWeb"/>
        <w:shd w:val="clear" w:color="auto" w:fill="FFFFFF"/>
        <w:spacing w:line="480" w:lineRule="auto"/>
        <w:rPr>
          <w:rFonts w:ascii="Open Sans" w:hAnsi="Open Sans" w:cs="Open Sans"/>
          <w:color w:val="12302E"/>
          <w:sz w:val="27"/>
          <w:szCs w:val="27"/>
        </w:rPr>
      </w:pPr>
      <w:r>
        <w:rPr>
          <w:rStyle w:val="Strong"/>
          <w:rFonts w:ascii="Open Sans" w:hAnsi="Open Sans" w:cs="Open Sans"/>
          <w:color w:val="12302E"/>
        </w:rPr>
        <w:t xml:space="preserve">So why </w:t>
      </w:r>
      <w:proofErr w:type="gramStart"/>
      <w:r>
        <w:rPr>
          <w:rStyle w:val="Strong"/>
          <w:rFonts w:ascii="Open Sans" w:hAnsi="Open Sans" w:cs="Open Sans"/>
          <w:color w:val="12302E"/>
        </w:rPr>
        <w:t>accountants in different jurisdiction uses</w:t>
      </w:r>
      <w:proofErr w:type="gramEnd"/>
      <w:r>
        <w:rPr>
          <w:rStyle w:val="Strong"/>
          <w:rFonts w:ascii="Open Sans" w:hAnsi="Open Sans" w:cs="Open Sans"/>
          <w:color w:val="12302E"/>
        </w:rPr>
        <w:t xml:space="preserve"> different reporting language or GAAP?</w:t>
      </w:r>
    </w:p>
    <w:p w:rsidR="00871CE6" w:rsidRPr="00871CE6" w:rsidRDefault="00871CE6" w:rsidP="00871CE6">
      <w:pPr>
        <w:pStyle w:val="NormalWeb"/>
        <w:shd w:val="clear" w:color="auto" w:fill="FFFFFF"/>
        <w:spacing w:before="0" w:beforeAutospacing="0" w:after="200" w:afterAutospacing="0" w:line="480" w:lineRule="auto"/>
        <w:jc w:val="both"/>
        <w:rPr>
          <w:rFonts w:ascii="Open Sans" w:eastAsiaTheme="minorHAnsi" w:hAnsi="Open Sans" w:cs="Open Sans"/>
          <w:color w:val="12302E"/>
          <w:sz w:val="27"/>
          <w:szCs w:val="27"/>
          <w:shd w:val="clear" w:color="auto" w:fill="FFFFFF"/>
        </w:rPr>
      </w:pPr>
      <w:r w:rsidRPr="00871CE6">
        <w:rPr>
          <w:rFonts w:ascii="Open Sans" w:eastAsiaTheme="minorHAnsi" w:hAnsi="Open Sans" w:cs="Open Sans"/>
          <w:color w:val="12302E"/>
          <w:sz w:val="27"/>
          <w:szCs w:val="27"/>
          <w:shd w:val="clear" w:color="auto" w:fill="FFFFFF"/>
        </w:rPr>
        <w:lastRenderedPageBreak/>
        <w:t xml:space="preserve">Well, different GAAP’s are used because every country is governed by different set of Laws. Though various laws – Income-tax Act, Companies Act sound similar but they vary in great detail amongst each other.  Criminal Law applicable in UK and US may sound similar but its sections, provisions, clauses and sub-clauses vary in great detail between them. Difference arises because of the diversity in language, ethnicity, culture and above all customs and practices. Hence, to accommodate all these there </w:t>
      </w:r>
      <w:proofErr w:type="gramStart"/>
      <w:r w:rsidRPr="00871CE6">
        <w:rPr>
          <w:rFonts w:ascii="Open Sans" w:eastAsiaTheme="minorHAnsi" w:hAnsi="Open Sans" w:cs="Open Sans"/>
          <w:color w:val="12302E"/>
          <w:sz w:val="27"/>
          <w:szCs w:val="27"/>
          <w:shd w:val="clear" w:color="auto" w:fill="FFFFFF"/>
        </w:rPr>
        <w:t>arises</w:t>
      </w:r>
      <w:proofErr w:type="gramEnd"/>
      <w:r w:rsidRPr="00871CE6">
        <w:rPr>
          <w:rFonts w:ascii="Open Sans" w:eastAsiaTheme="minorHAnsi" w:hAnsi="Open Sans" w:cs="Open Sans"/>
          <w:color w:val="12302E"/>
          <w:sz w:val="27"/>
          <w:szCs w:val="27"/>
          <w:shd w:val="clear" w:color="auto" w:fill="FFFFFF"/>
        </w:rPr>
        <w:t xml:space="preserve"> the need to have different set of laws in different countries. This is also applicable for the business and financial acts as the business environment and practices also vary greatly between nations. Hence very country follows its own reporting language or GAAPs like – IGAAP (Applicable in India), US GAAP (Applicable in USA), UK GAAP (Applicable in UK) and etc.</w:t>
      </w:r>
    </w:p>
    <w:p w:rsidR="00871CE6" w:rsidRPr="00871CE6" w:rsidRDefault="00871CE6" w:rsidP="00871CE6">
      <w:pPr>
        <w:jc w:val="both"/>
        <w:rPr>
          <w:rFonts w:ascii="Open Sans" w:hAnsi="Open Sans" w:cs="Open Sans"/>
          <w:color w:val="12302E"/>
          <w:sz w:val="27"/>
          <w:szCs w:val="27"/>
          <w:shd w:val="clear" w:color="auto" w:fill="FFFFFF"/>
        </w:rPr>
      </w:pP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 xml:space="preserve">Imagine yourself to be a private equity fund manager having millions in coffers to invest. What would you like to do first before investing? Well, there could be many answers to that question but most of you would </w:t>
      </w:r>
      <w:r>
        <w:rPr>
          <w:rFonts w:ascii="Open Sans" w:hAnsi="Open Sans" w:cs="Open Sans"/>
          <w:color w:val="12302E"/>
          <w:sz w:val="27"/>
          <w:szCs w:val="27"/>
        </w:rPr>
        <w:lastRenderedPageBreak/>
        <w:t>definitely agree with me that you would like to have a look at the financial health (Balance Sheet and Statement of Profit and Loss) of those companies.</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 xml:space="preserve">So after searching through many good companies you finally came across newly established Pine-Apple Inc. Pine- Apple Inc sells </w:t>
      </w:r>
      <w:proofErr w:type="spellStart"/>
      <w:r>
        <w:rPr>
          <w:rFonts w:ascii="Open Sans" w:hAnsi="Open Sans" w:cs="Open Sans"/>
          <w:color w:val="12302E"/>
          <w:sz w:val="27"/>
          <w:szCs w:val="27"/>
        </w:rPr>
        <w:t>smartphones</w:t>
      </w:r>
      <w:proofErr w:type="spellEnd"/>
      <w:r>
        <w:rPr>
          <w:rFonts w:ascii="Open Sans" w:hAnsi="Open Sans" w:cs="Open Sans"/>
          <w:color w:val="12302E"/>
          <w:sz w:val="27"/>
          <w:szCs w:val="27"/>
        </w:rPr>
        <w:t xml:space="preserve"> and in order to capture the existing market in emerging countries (India) it sells its products at a discount. Let’s assume Pine-Apple sells </w:t>
      </w:r>
      <w:proofErr w:type="spellStart"/>
      <w:r>
        <w:rPr>
          <w:rFonts w:ascii="Open Sans" w:hAnsi="Open Sans" w:cs="Open Sans"/>
          <w:color w:val="12302E"/>
          <w:sz w:val="27"/>
          <w:szCs w:val="27"/>
        </w:rPr>
        <w:t>smartphones</w:t>
      </w:r>
      <w:proofErr w:type="spellEnd"/>
      <w:r>
        <w:rPr>
          <w:rFonts w:ascii="Open Sans" w:hAnsi="Open Sans" w:cs="Open Sans"/>
          <w:color w:val="12302E"/>
          <w:sz w:val="27"/>
          <w:szCs w:val="27"/>
        </w:rPr>
        <w:t xml:space="preserve"> at cash discount of 20%. For simplicity, let’s also assume it has sold 50,000 phones annually in both India and US, whose market price is $ 125 per phone.</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So how much you expect the recorded revenue in books of accounts of Pine-apple Inc in its holding company in US and subsidiary company in India?</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Well, one would think that $ 5,000,000* is the revenue earned by the company in both US and India.</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(Discounted price equals to $125 less 20% which comes out to $100.</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lastRenderedPageBreak/>
        <w:t>50,000*100= $ 5,000,000*)</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You are right in pointing out that company earned 5 million dollars in US and India. But revenue recorded in the books of account will be different in US and in India.</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In US Company of Pine-Apple Inc. revenue will be recorded at 5 million $. But in Indian Subsidiary of Pine-apple Inc. revenue will be recorded at 6.25 million dollars (50,000 * 125). Well, that’s a huge difference of 1.25 million dollars. Yes, it’s a huge difference. But it’s not because accountants in USA are smarter than their counterparts in India. It’s because of the different GAAP being followed by two countries.</w:t>
      </w:r>
    </w:p>
    <w:p w:rsidR="00871CE6" w:rsidRDefault="00871CE6" w:rsidP="00871CE6">
      <w:pPr>
        <w:pStyle w:val="NormalWeb"/>
        <w:shd w:val="clear" w:color="auto" w:fill="FFFFFF"/>
        <w:spacing w:line="480" w:lineRule="auto"/>
        <w:rPr>
          <w:rFonts w:ascii="Open Sans" w:hAnsi="Open Sans" w:cs="Open Sans"/>
          <w:color w:val="12302E"/>
          <w:sz w:val="27"/>
          <w:szCs w:val="27"/>
        </w:rPr>
      </w:pPr>
      <w:r>
        <w:rPr>
          <w:rFonts w:ascii="Open Sans" w:hAnsi="Open Sans" w:cs="Open Sans"/>
          <w:color w:val="12302E"/>
          <w:sz w:val="27"/>
          <w:szCs w:val="27"/>
        </w:rPr>
        <w:t>As per the US GAAP revenue is measured at </w:t>
      </w:r>
      <w:r>
        <w:rPr>
          <w:rStyle w:val="Strong"/>
          <w:rFonts w:ascii="Open Sans" w:hAnsi="Open Sans" w:cs="Open Sans"/>
          <w:color w:val="12302E"/>
        </w:rPr>
        <w:t>fair value of the economic benefits </w:t>
      </w:r>
      <w:r>
        <w:rPr>
          <w:rFonts w:ascii="Open Sans" w:hAnsi="Open Sans" w:cs="Open Sans"/>
          <w:color w:val="12302E"/>
          <w:sz w:val="27"/>
          <w:szCs w:val="27"/>
        </w:rPr>
        <w:t xml:space="preserve">(Which in simple terms means net of discount and rebates). </w:t>
      </w:r>
      <w:proofErr w:type="gramStart"/>
      <w:r>
        <w:rPr>
          <w:rFonts w:ascii="Open Sans" w:hAnsi="Open Sans" w:cs="Open Sans"/>
          <w:color w:val="12302E"/>
          <w:sz w:val="27"/>
          <w:szCs w:val="27"/>
        </w:rPr>
        <w:t>Whereas in I-GAAP revenue is measured at </w:t>
      </w:r>
      <w:r>
        <w:rPr>
          <w:rStyle w:val="Strong"/>
          <w:rFonts w:ascii="Open Sans" w:hAnsi="Open Sans" w:cs="Open Sans"/>
          <w:color w:val="12302E"/>
        </w:rPr>
        <w:t>gross value of economic benefits.</w:t>
      </w:r>
      <w:proofErr w:type="gramEnd"/>
      <w:r>
        <w:rPr>
          <w:rStyle w:val="Strong"/>
          <w:rFonts w:ascii="Open Sans" w:hAnsi="Open Sans" w:cs="Open Sans"/>
          <w:color w:val="12302E"/>
        </w:rPr>
        <w:t> </w:t>
      </w:r>
      <w:r>
        <w:rPr>
          <w:rFonts w:ascii="Open Sans" w:hAnsi="Open Sans" w:cs="Open Sans"/>
          <w:color w:val="12302E"/>
          <w:sz w:val="27"/>
          <w:szCs w:val="27"/>
        </w:rPr>
        <w:t>(Inclusive of cash discount)</w:t>
      </w:r>
    </w:p>
    <w:p w:rsidR="00871CE6" w:rsidRDefault="00E05A85">
      <w:r>
        <w:t>Summary</w:t>
      </w:r>
    </w:p>
    <w:p w:rsidR="00E05A85" w:rsidRDefault="00E05A85" w:rsidP="00E05A85">
      <w:pPr>
        <w:pStyle w:val="ListParagraph"/>
        <w:numPr>
          <w:ilvl w:val="0"/>
          <w:numId w:val="1"/>
        </w:numPr>
      </w:pPr>
      <w:r>
        <w:t>IFRS requires comparative statement</w:t>
      </w:r>
    </w:p>
    <w:p w:rsidR="00E05A85" w:rsidRDefault="00E05A85" w:rsidP="00E05A85">
      <w:pPr>
        <w:pStyle w:val="ListParagraph"/>
        <w:numPr>
          <w:ilvl w:val="0"/>
          <w:numId w:val="1"/>
        </w:numPr>
      </w:pPr>
      <w:r>
        <w:t>Footnotes for IFRS funds are more expansive.</w:t>
      </w:r>
    </w:p>
    <w:p w:rsidR="00E05A85" w:rsidRDefault="00E05A85" w:rsidP="00E05A85">
      <w:pPr>
        <w:pStyle w:val="ListParagraph"/>
        <w:numPr>
          <w:ilvl w:val="0"/>
          <w:numId w:val="1"/>
        </w:numPr>
      </w:pPr>
      <w:r>
        <w:t>U.S. GAAP requires SOI.</w:t>
      </w:r>
    </w:p>
    <w:p w:rsidR="00E05A85" w:rsidRDefault="00E05A85" w:rsidP="00E05A85">
      <w:pPr>
        <w:pStyle w:val="ListParagraph"/>
        <w:numPr>
          <w:ilvl w:val="0"/>
          <w:numId w:val="1"/>
        </w:numPr>
      </w:pPr>
      <w:r>
        <w:lastRenderedPageBreak/>
        <w:t>IFRS discloses holdings in notes.</w:t>
      </w:r>
    </w:p>
    <w:p w:rsidR="00E05A85" w:rsidRDefault="00E05A85" w:rsidP="00E05A85">
      <w:pPr>
        <w:pStyle w:val="ListParagraph"/>
        <w:numPr>
          <w:ilvl w:val="0"/>
          <w:numId w:val="1"/>
        </w:numPr>
      </w:pPr>
      <w:r>
        <w:t>U.S. GAAP is much more rigid.</w:t>
      </w:r>
    </w:p>
    <w:p w:rsidR="00E05A85" w:rsidRDefault="00E05A85" w:rsidP="00E05A85">
      <w:pPr>
        <w:pStyle w:val="ListParagraph"/>
        <w:numPr>
          <w:ilvl w:val="0"/>
          <w:numId w:val="1"/>
        </w:numPr>
      </w:pPr>
      <w:r>
        <w:t>IFRS tends to be more open to interpretation.</w:t>
      </w:r>
    </w:p>
    <w:p w:rsidR="00E05A85" w:rsidRDefault="00E05A85" w:rsidP="00E05A85">
      <w:pPr>
        <w:pStyle w:val="ListParagraph"/>
      </w:pPr>
    </w:p>
    <w:p w:rsidR="00E05A85" w:rsidRDefault="00A90711" w:rsidP="00E05A85">
      <w:pPr>
        <w:pStyle w:val="ListParagraph"/>
      </w:pPr>
      <w:r>
        <w:t>IAS 1 – Presentation of financial statements</w:t>
      </w:r>
    </w:p>
    <w:p w:rsidR="00E05A85" w:rsidRDefault="00E05A85" w:rsidP="00E05A85">
      <w:pPr>
        <w:pStyle w:val="ListParagraph"/>
      </w:pPr>
      <w:r>
        <w:t>Components</w:t>
      </w:r>
      <w:r w:rsidR="00A90711">
        <w:t xml:space="preserve"> of financial statements</w:t>
      </w:r>
    </w:p>
    <w:p w:rsidR="00A90711" w:rsidRDefault="00A90711" w:rsidP="00E05A85">
      <w:pPr>
        <w:pStyle w:val="ListParagraph"/>
      </w:pPr>
    </w:p>
    <w:p w:rsidR="00A90711" w:rsidRDefault="00A90711" w:rsidP="00E05A85">
      <w:pPr>
        <w:pStyle w:val="ListParagraph"/>
      </w:pPr>
      <w:r>
        <w:t>US GAAP – Comparative financial statements are not required for investment companies.</w:t>
      </w:r>
    </w:p>
    <w:p w:rsidR="00A90711" w:rsidRDefault="00A90711" w:rsidP="00E05A85">
      <w:pPr>
        <w:pStyle w:val="ListParagraph"/>
      </w:pPr>
      <w:r>
        <w:t>Financial statements generally include:</w:t>
      </w:r>
    </w:p>
    <w:p w:rsidR="00A90711" w:rsidRDefault="00A90711" w:rsidP="00E05A85">
      <w:pPr>
        <w:pStyle w:val="ListParagraph"/>
      </w:pPr>
      <w:r>
        <w:t>Statement of assets and liabilities with a schedule of investments (or a statement of net assets, which includes a schedule of investments therein)*,</w:t>
      </w:r>
      <w:r>
        <w:tab/>
      </w:r>
    </w:p>
    <w:p w:rsidR="00A90711" w:rsidRDefault="00A90711" w:rsidP="00E05A85">
      <w:pPr>
        <w:pStyle w:val="ListParagraph"/>
      </w:pPr>
      <w:r>
        <w:t>Statement of Operations;</w:t>
      </w:r>
    </w:p>
    <w:p w:rsidR="00A90711" w:rsidRDefault="00A90711" w:rsidP="00E05A85">
      <w:pPr>
        <w:pStyle w:val="ListParagraph"/>
      </w:pPr>
      <w:r>
        <w:t>Statement of changes in net assets;</w:t>
      </w:r>
    </w:p>
    <w:p w:rsidR="00A90711" w:rsidRDefault="00A90711" w:rsidP="00E05A85">
      <w:pPr>
        <w:pStyle w:val="ListParagraph"/>
      </w:pPr>
      <w:r>
        <w:t>Statements of cash flows (if required);</w:t>
      </w:r>
    </w:p>
    <w:p w:rsidR="00A90711" w:rsidRDefault="00A90711" w:rsidP="00E05A85">
      <w:pPr>
        <w:pStyle w:val="ListParagraph"/>
      </w:pPr>
      <w:proofErr w:type="gramStart"/>
      <w:r>
        <w:t>Notes to the financial statements.</w:t>
      </w:r>
      <w:proofErr w:type="gramEnd"/>
    </w:p>
    <w:p w:rsidR="00A90711" w:rsidRDefault="00A90711" w:rsidP="00E05A85">
      <w:pPr>
        <w:pStyle w:val="ListParagraph"/>
      </w:pPr>
      <w:r>
        <w:t>*At a minimum, a condensed schedule of investments should be provided for each statement of assets and liabilities.</w:t>
      </w:r>
    </w:p>
    <w:p w:rsidR="00A90711" w:rsidRDefault="00A90711" w:rsidP="00E05A85">
      <w:pPr>
        <w:pStyle w:val="ListParagraph"/>
      </w:pPr>
    </w:p>
    <w:p w:rsidR="00A90711" w:rsidRDefault="00A90711" w:rsidP="00E05A85">
      <w:pPr>
        <w:pStyle w:val="ListParagraph"/>
      </w:pPr>
      <w:r>
        <w:t>IFRS – Two years’ balance sheets, income statements, statements of changes in equity (if any), cash flow statements, and notes to the financial statements are required.</w:t>
      </w:r>
    </w:p>
    <w:p w:rsidR="00A90711" w:rsidRDefault="00A90711" w:rsidP="00E05A85">
      <w:pPr>
        <w:pStyle w:val="ListParagraph"/>
      </w:pPr>
      <w:r>
        <w:t>In addition, an entity is required to present a statement of financial position for the beginning of the earliest comparative period when the entity applies an accounting policy retrospectively or makes a retrospective restatement or when it reclassifies items in its financial statements.</w:t>
      </w:r>
    </w:p>
    <w:p w:rsidR="00A90711" w:rsidRDefault="00A90711" w:rsidP="00E05A85">
      <w:pPr>
        <w:pStyle w:val="ListParagraph"/>
      </w:pPr>
      <w:r>
        <w:t>For investment companies that do not have any equity (i.e., because the unity holder shares are classified as liabilities), the best practice is to include a statement of changes in net assets attributable to unit holders.</w:t>
      </w:r>
    </w:p>
    <w:p w:rsidR="00A90711" w:rsidRDefault="00A90711" w:rsidP="00E05A85">
      <w:pPr>
        <w:pStyle w:val="ListParagraph"/>
      </w:pPr>
    </w:p>
    <w:p w:rsidR="00A90711" w:rsidRDefault="00A90711" w:rsidP="00E05A85">
      <w:pPr>
        <w:pStyle w:val="ListParagraph"/>
      </w:pPr>
      <w:r>
        <w:t>Statement of assets and liabilities</w:t>
      </w:r>
    </w:p>
    <w:p w:rsidR="00A90711" w:rsidRDefault="00A90711" w:rsidP="00E05A85">
      <w:pPr>
        <w:pStyle w:val="ListParagraph"/>
      </w:pPr>
    </w:p>
    <w:p w:rsidR="00A90711" w:rsidRDefault="00A90711" w:rsidP="00E05A85">
      <w:pPr>
        <w:pStyle w:val="ListParagraph"/>
      </w:pPr>
      <w:r>
        <w:t xml:space="preserve">US GAAP – The statement of assets and liabilities has a non classified presentation and requires the presentation of specific items. </w:t>
      </w:r>
    </w:p>
    <w:p w:rsidR="00A90711" w:rsidRDefault="00A90711" w:rsidP="00E05A85">
      <w:pPr>
        <w:pStyle w:val="ListParagraph"/>
      </w:pPr>
      <w:r>
        <w:t>Investments are usually presented as the first line because of their importance to the investment company.</w:t>
      </w:r>
    </w:p>
    <w:p w:rsidR="008162F5" w:rsidRDefault="008162F5" w:rsidP="00E05A85">
      <w:pPr>
        <w:pStyle w:val="ListParagraph"/>
      </w:pPr>
    </w:p>
    <w:p w:rsidR="008162F5" w:rsidRDefault="008162F5" w:rsidP="00E05A85">
      <w:pPr>
        <w:pStyle w:val="ListParagraph"/>
      </w:pPr>
      <w:r>
        <w:t>IFRS – IFRS does not prescribe a particular format for an investment company. A current/non current presentation of assets and liabilities should be used unless a liquidity presentation provides more reliable information, which may be the case for investment companies given that generally all assets and liabilities are current.</w:t>
      </w:r>
    </w:p>
    <w:p w:rsidR="008162F5" w:rsidRDefault="008162F5" w:rsidP="00E05A85">
      <w:pPr>
        <w:pStyle w:val="ListParagraph"/>
      </w:pPr>
    </w:p>
    <w:p w:rsidR="008162F5" w:rsidRDefault="008162F5" w:rsidP="00E05A85">
      <w:pPr>
        <w:pStyle w:val="ListParagraph"/>
      </w:pPr>
      <w:r>
        <w:t>Schedule of investments</w:t>
      </w:r>
    </w:p>
    <w:p w:rsidR="008162F5" w:rsidRDefault="008162F5" w:rsidP="00E05A85">
      <w:pPr>
        <w:pStyle w:val="ListParagraph"/>
      </w:pPr>
    </w:p>
    <w:p w:rsidR="008162F5" w:rsidRDefault="008162F5" w:rsidP="00E05A85">
      <w:pPr>
        <w:pStyle w:val="ListParagraph"/>
      </w:pPr>
      <w:r>
        <w:lastRenderedPageBreak/>
        <w:t xml:space="preserve">USGAAP – Investments should be presented and disclosed either on the face of the statement of the assets and liabilities or in </w:t>
      </w:r>
      <w:proofErr w:type="gramStart"/>
      <w:r>
        <w:t>a</w:t>
      </w:r>
      <w:proofErr w:type="gramEnd"/>
      <w:r>
        <w:t xml:space="preserve"> </w:t>
      </w:r>
      <w:proofErr w:type="spellStart"/>
      <w:r>
        <w:t>a</w:t>
      </w:r>
      <w:proofErr w:type="spellEnd"/>
      <w:r>
        <w:t xml:space="preserve"> separate schedule of investments. At a minimum, a condensed schedule should be provided as of the balance sheet date, with specific presentation and disclosure requirements.</w:t>
      </w:r>
    </w:p>
    <w:p w:rsidR="008162F5" w:rsidRDefault="008162F5" w:rsidP="00E05A85">
      <w:pPr>
        <w:pStyle w:val="ListParagraph"/>
      </w:pPr>
    </w:p>
    <w:p w:rsidR="008162F5" w:rsidRDefault="008162F5" w:rsidP="00E05A85">
      <w:pPr>
        <w:pStyle w:val="ListParagraph"/>
      </w:pPr>
      <w:r>
        <w:t xml:space="preserve">IFRS – A Schedule of investments is not required to be presented as a separate statement. However, IFRS requires that the notes to the financial statements include risk management disclosures, which allows the reader to understand the nature and significance of the investments held by the investment company. </w:t>
      </w:r>
    </w:p>
    <w:p w:rsidR="008162F5" w:rsidRDefault="008162F5" w:rsidP="00E05A85">
      <w:pPr>
        <w:pStyle w:val="ListParagraph"/>
      </w:pPr>
      <w:r>
        <w:t>Hence, the schedule of investments may be used to satisfy some of the disclosure requirements.</w:t>
      </w:r>
    </w:p>
    <w:p w:rsidR="008162F5" w:rsidRDefault="008162F5" w:rsidP="00E05A85">
      <w:pPr>
        <w:pStyle w:val="ListParagraph"/>
      </w:pPr>
      <w:r>
        <w:t>Comparative information should be provided.</w:t>
      </w:r>
    </w:p>
    <w:p w:rsidR="00A90711" w:rsidRDefault="00A90711" w:rsidP="00E05A85">
      <w:pPr>
        <w:pStyle w:val="ListParagraph"/>
      </w:pPr>
    </w:p>
    <w:p w:rsidR="00A90711" w:rsidRDefault="008162F5" w:rsidP="00E05A85">
      <w:pPr>
        <w:pStyle w:val="ListParagraph"/>
      </w:pPr>
      <w:r>
        <w:t>Income Statement</w:t>
      </w:r>
    </w:p>
    <w:p w:rsidR="008162F5" w:rsidRDefault="008162F5" w:rsidP="00E05A85">
      <w:pPr>
        <w:pStyle w:val="ListParagraph"/>
      </w:pPr>
    </w:p>
    <w:p w:rsidR="008162F5" w:rsidRDefault="008162F5" w:rsidP="00E05A85">
      <w:pPr>
        <w:pStyle w:val="ListParagraph"/>
      </w:pPr>
      <w:r>
        <w:t>US GAAP - Specific items are required to be presented and disclosed on the face of the statement of operations.</w:t>
      </w:r>
    </w:p>
    <w:p w:rsidR="008162F5" w:rsidRDefault="008162F5" w:rsidP="00E05A85">
      <w:pPr>
        <w:pStyle w:val="ListParagraph"/>
      </w:pPr>
    </w:p>
    <w:p w:rsidR="008162F5" w:rsidRDefault="008162F5" w:rsidP="00E05A85">
      <w:pPr>
        <w:pStyle w:val="ListParagraph"/>
      </w:pPr>
      <w:r>
        <w:t>IFRS</w:t>
      </w:r>
      <w:r w:rsidR="0038312E">
        <w:t xml:space="preserve"> – IFRS does not prescribe a standard format for the income statement. The entity should select a method of presenting its expenses by either function or nature. Certain minimum items are required to be presented on the face of the income statement.</w:t>
      </w:r>
    </w:p>
    <w:p w:rsidR="0038312E" w:rsidRDefault="0038312E" w:rsidP="00E05A85">
      <w:pPr>
        <w:pStyle w:val="ListParagraph"/>
      </w:pPr>
    </w:p>
    <w:p w:rsidR="0038312E" w:rsidRDefault="0038312E" w:rsidP="00E05A85">
      <w:pPr>
        <w:pStyle w:val="ListParagraph"/>
      </w:pPr>
      <w:r>
        <w:t>Statement of changes in net assets/equity</w:t>
      </w:r>
    </w:p>
    <w:p w:rsidR="0038312E" w:rsidRDefault="0038312E" w:rsidP="00E05A85">
      <w:pPr>
        <w:pStyle w:val="ListParagraph"/>
      </w:pPr>
    </w:p>
    <w:p w:rsidR="0038312E" w:rsidRDefault="0038312E" w:rsidP="00E05A85">
      <w:pPr>
        <w:pStyle w:val="ListParagraph"/>
      </w:pPr>
      <w:r>
        <w:t>US GAAP – Specific items are required to be presented and disclosed on the face of the statement of changes in net assets.</w:t>
      </w:r>
    </w:p>
    <w:p w:rsidR="0038312E" w:rsidRDefault="0038312E" w:rsidP="00E05A85">
      <w:pPr>
        <w:pStyle w:val="ListParagraph"/>
      </w:pPr>
    </w:p>
    <w:p w:rsidR="0038312E" w:rsidRDefault="0038312E" w:rsidP="00E05A85">
      <w:pPr>
        <w:pStyle w:val="ListParagraph"/>
      </w:pPr>
      <w:r>
        <w:t xml:space="preserve">IFRS – In most cases, an investment company that issues only </w:t>
      </w:r>
      <w:proofErr w:type="spellStart"/>
      <w:r>
        <w:t>puttable</w:t>
      </w:r>
      <w:proofErr w:type="spellEnd"/>
      <w:r>
        <w:t xml:space="preserve"> s</w:t>
      </w:r>
      <w:r w:rsidR="006D3C61">
        <w:t>hares would not have any equity (unless the criteria in IAS 32 are met). Accordingly, if there are no other changes in equity, then a statement of changes in equity is not required. However, the best practice is to present a statement of changes in net assets attributable to holders of redeemable shares or interests.</w:t>
      </w:r>
    </w:p>
    <w:p w:rsidR="00592885" w:rsidRDefault="00592885" w:rsidP="00E05A85">
      <w:pPr>
        <w:pStyle w:val="ListParagraph"/>
      </w:pPr>
    </w:p>
    <w:p w:rsidR="00592885" w:rsidRDefault="00592885" w:rsidP="00E05A85">
      <w:pPr>
        <w:pStyle w:val="ListParagraph"/>
      </w:pPr>
      <w:r>
        <w:t>Statement of cash flows</w:t>
      </w:r>
    </w:p>
    <w:p w:rsidR="00592885" w:rsidRDefault="00592885" w:rsidP="00E05A85">
      <w:pPr>
        <w:pStyle w:val="ListParagraph"/>
      </w:pPr>
    </w:p>
    <w:p w:rsidR="00592885" w:rsidRDefault="00592885" w:rsidP="00E05A85">
      <w:pPr>
        <w:pStyle w:val="ListParagraph"/>
      </w:pPr>
      <w:r>
        <w:t>US GAAP – There are standard headings and specific guidance for items included in each category.</w:t>
      </w:r>
    </w:p>
    <w:p w:rsidR="00592885" w:rsidRDefault="00592885" w:rsidP="00E05A85">
      <w:pPr>
        <w:pStyle w:val="ListParagraph"/>
      </w:pPr>
      <w:r>
        <w:t>Either the direct or indirect method can be used for cash flows from operating activities.</w:t>
      </w:r>
    </w:p>
    <w:p w:rsidR="00592885" w:rsidRDefault="00592885" w:rsidP="00E05A85">
      <w:pPr>
        <w:pStyle w:val="ListParagraph"/>
      </w:pPr>
      <w:r>
        <w:t>If certain conditions are met, an investment company may be exempted from presenting a statement of cash flows.</w:t>
      </w:r>
    </w:p>
    <w:p w:rsidR="00EC0A48" w:rsidRDefault="00EC0A48" w:rsidP="00E05A85">
      <w:pPr>
        <w:pStyle w:val="ListParagraph"/>
      </w:pPr>
    </w:p>
    <w:p w:rsidR="00EC0A48" w:rsidRDefault="00EC0A48" w:rsidP="00E05A85">
      <w:pPr>
        <w:pStyle w:val="ListParagraph"/>
      </w:pPr>
      <w:r>
        <w:t>IFRS – IFRS requires standard headings; however, there is limited guidance on what should be included within each heading.</w:t>
      </w:r>
    </w:p>
    <w:p w:rsidR="009C67F5" w:rsidRDefault="00EC0A48" w:rsidP="00E05A85">
      <w:pPr>
        <w:pStyle w:val="ListParagraph"/>
      </w:pPr>
      <w:r>
        <w:lastRenderedPageBreak/>
        <w:t>Either the direct or indirect method can be used for cash flows from operating activities. In practice,</w:t>
      </w:r>
      <w:r w:rsidR="00F777D6">
        <w:t xml:space="preserve"> investment companies ty</w:t>
      </w:r>
      <w:r w:rsidR="00D12B2A">
        <w:t xml:space="preserve">pically </w:t>
      </w:r>
      <w:r w:rsidR="000E5946">
        <w:t>use the indirect method even though IFRS encourages the use</w:t>
      </w:r>
      <w:r w:rsidR="009C67F5">
        <w:t xml:space="preserve"> of the direct method.</w:t>
      </w:r>
    </w:p>
    <w:p w:rsidR="00EC0A48" w:rsidRDefault="009C67F5" w:rsidP="00E05A85">
      <w:pPr>
        <w:pStyle w:val="ListParagraph"/>
      </w:pPr>
      <w:r>
        <w:t>Statement of cash flows is required for all the entities, there are no exceptions.</w:t>
      </w:r>
    </w:p>
    <w:p w:rsidR="005C4011" w:rsidRDefault="005C4011" w:rsidP="00E05A85">
      <w:pPr>
        <w:pStyle w:val="ListParagraph"/>
      </w:pPr>
    </w:p>
    <w:p w:rsidR="005C4011" w:rsidRDefault="005C4011" w:rsidP="00E05A85">
      <w:pPr>
        <w:pStyle w:val="ListParagraph"/>
      </w:pPr>
      <w:r>
        <w:t xml:space="preserve">Financial periods required – </w:t>
      </w:r>
    </w:p>
    <w:p w:rsidR="005C4011" w:rsidRDefault="005C4011" w:rsidP="00E05A85">
      <w:pPr>
        <w:pStyle w:val="ListParagraph"/>
      </w:pPr>
    </w:p>
    <w:p w:rsidR="005C4011" w:rsidRDefault="005C4011" w:rsidP="00E05A85">
      <w:pPr>
        <w:pStyle w:val="ListParagraph"/>
      </w:pPr>
      <w:r>
        <w:t>US GAAP – Generally, comparative financial statements are presented; however, a single year may be presented in certain circumstances. Public companies must follow SEC rules, which typically require balance sheets for the two most recent years, while all other statements must cover the three-year period ended on the balance sheet date.</w:t>
      </w:r>
    </w:p>
    <w:p w:rsidR="005C4011" w:rsidRDefault="005C4011" w:rsidP="00E05A85">
      <w:pPr>
        <w:pStyle w:val="ListParagraph"/>
      </w:pPr>
    </w:p>
    <w:p w:rsidR="005C4011" w:rsidRDefault="005C4011" w:rsidP="00E05A85">
      <w:pPr>
        <w:pStyle w:val="ListParagraph"/>
      </w:pPr>
      <w:r>
        <w:t xml:space="preserve">IFRS – Comparative </w:t>
      </w:r>
      <w:proofErr w:type="gramStart"/>
      <w:r>
        <w:t>information  must</w:t>
      </w:r>
      <w:proofErr w:type="gramEnd"/>
      <w:r>
        <w:t xml:space="preserve"> be disclosed with respect to the previous period for all the amounts reported in the current period’s financial statements.</w:t>
      </w:r>
    </w:p>
    <w:p w:rsidR="005C4011" w:rsidRDefault="005C4011" w:rsidP="00E05A85">
      <w:pPr>
        <w:pStyle w:val="ListParagraph"/>
      </w:pPr>
    </w:p>
    <w:p w:rsidR="005C4011" w:rsidRDefault="005C4011" w:rsidP="00E05A85">
      <w:pPr>
        <w:pStyle w:val="ListParagraph"/>
      </w:pPr>
      <w:proofErr w:type="gramStart"/>
      <w:r>
        <w:t>Layout of balance sheet and income statement.</w:t>
      </w:r>
      <w:proofErr w:type="gramEnd"/>
    </w:p>
    <w:p w:rsidR="005C4011" w:rsidRDefault="005C4011" w:rsidP="00E05A85">
      <w:pPr>
        <w:pStyle w:val="ListParagraph"/>
      </w:pPr>
    </w:p>
    <w:p w:rsidR="005C4011" w:rsidRDefault="005C4011" w:rsidP="00E05A85">
      <w:pPr>
        <w:pStyle w:val="ListParagraph"/>
      </w:pPr>
      <w:r>
        <w:t xml:space="preserve">US GAAP – No general requirement with US GAAP to prepare the balance sheet and income statement in accordance with a specific layout; however, public companies must follow the detailed requirements in </w:t>
      </w:r>
      <w:proofErr w:type="gramStart"/>
      <w:r>
        <w:t>Regulation  S</w:t>
      </w:r>
      <w:proofErr w:type="gramEnd"/>
      <w:r>
        <w:t>-X.</w:t>
      </w:r>
    </w:p>
    <w:p w:rsidR="005C4011" w:rsidRDefault="005C4011" w:rsidP="00E05A85">
      <w:pPr>
        <w:pStyle w:val="ListParagraph"/>
      </w:pPr>
    </w:p>
    <w:p w:rsidR="005C4011" w:rsidRDefault="005C4011" w:rsidP="00E05A85">
      <w:pPr>
        <w:pStyle w:val="ListParagraph"/>
      </w:pPr>
      <w:r>
        <w:t>IFRS – IFRS does not prescribe a standard layout, but includes a list of minimum line items. These minimum line items are less prescriptive than the requirements in regulation S-X.</w:t>
      </w:r>
    </w:p>
    <w:p w:rsidR="005C4011" w:rsidRDefault="005C4011" w:rsidP="00E05A85">
      <w:pPr>
        <w:pStyle w:val="ListParagraph"/>
      </w:pPr>
    </w:p>
    <w:p w:rsidR="005C4011" w:rsidRDefault="005C4011" w:rsidP="00E05A85">
      <w:pPr>
        <w:pStyle w:val="ListParagraph"/>
      </w:pPr>
      <w:r>
        <w:t>Valuation</w:t>
      </w:r>
    </w:p>
    <w:p w:rsidR="005C4011" w:rsidRDefault="005C4011" w:rsidP="00E05A85">
      <w:pPr>
        <w:pStyle w:val="ListParagraph"/>
      </w:pPr>
    </w:p>
    <w:p w:rsidR="005C4011" w:rsidRDefault="005C4011" w:rsidP="00E05A85">
      <w:pPr>
        <w:pStyle w:val="ListParagraph"/>
      </w:pPr>
      <w:r>
        <w:t>US GAAP – Under US GAAP, Investments are valued at their last traded price.</w:t>
      </w:r>
    </w:p>
    <w:p w:rsidR="005C4011" w:rsidRDefault="005C4011" w:rsidP="00E05A85">
      <w:pPr>
        <w:pStyle w:val="ListParagraph"/>
      </w:pPr>
    </w:p>
    <w:p w:rsidR="005C4011" w:rsidRDefault="005C4011" w:rsidP="005C4011">
      <w:pPr>
        <w:pStyle w:val="ListParagraph"/>
      </w:pPr>
      <w:r>
        <w:t>IFRS – IFRS requires that investment in quoted securities be valued using their relevant bid-ask price (bid for long, ask for short).</w:t>
      </w:r>
    </w:p>
    <w:p w:rsidR="005C4011" w:rsidRDefault="005C4011" w:rsidP="005C4011">
      <w:pPr>
        <w:pStyle w:val="ListParagraph"/>
      </w:pPr>
    </w:p>
    <w:p w:rsidR="005C4011" w:rsidRDefault="005C4011" w:rsidP="005C4011">
      <w:pPr>
        <w:pStyle w:val="ListParagraph"/>
      </w:pPr>
    </w:p>
    <w:p w:rsidR="005C4011" w:rsidRDefault="005C4011" w:rsidP="00E05A85">
      <w:pPr>
        <w:pStyle w:val="ListParagraph"/>
      </w:pPr>
    </w:p>
    <w:p w:rsidR="005C4011" w:rsidRDefault="005C4011" w:rsidP="00E05A85">
      <w:pPr>
        <w:pStyle w:val="ListParagraph"/>
      </w:pPr>
    </w:p>
    <w:p w:rsidR="0038312E" w:rsidRDefault="0038312E" w:rsidP="0038312E"/>
    <w:p w:rsidR="00A90711" w:rsidRDefault="00A90711" w:rsidP="00A90711"/>
    <w:p w:rsidR="00A90711" w:rsidRDefault="00A90711" w:rsidP="00A90711"/>
    <w:p w:rsidR="00A90711" w:rsidRDefault="00A90711" w:rsidP="00E05A85">
      <w:pPr>
        <w:pStyle w:val="ListParagraph"/>
      </w:pPr>
    </w:p>
    <w:sectPr w:rsidR="00A90711" w:rsidSect="00B920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arte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422B2"/>
    <w:multiLevelType w:val="hybridMultilevel"/>
    <w:tmpl w:val="D00C0FB4"/>
    <w:lvl w:ilvl="0" w:tplc="B9B61D0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CB91BD1"/>
    <w:multiLevelType w:val="hybridMultilevel"/>
    <w:tmpl w:val="49CA1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B83CFC"/>
    <w:multiLevelType w:val="hybridMultilevel"/>
    <w:tmpl w:val="3D02F5B8"/>
    <w:lvl w:ilvl="0" w:tplc="F45CF60E">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1CE6"/>
    <w:rsid w:val="000E5946"/>
    <w:rsid w:val="0038312E"/>
    <w:rsid w:val="00592885"/>
    <w:rsid w:val="005C4011"/>
    <w:rsid w:val="006D3C61"/>
    <w:rsid w:val="007017DA"/>
    <w:rsid w:val="008162F5"/>
    <w:rsid w:val="00871CE6"/>
    <w:rsid w:val="009C67F5"/>
    <w:rsid w:val="00A90711"/>
    <w:rsid w:val="00B9205E"/>
    <w:rsid w:val="00D12B2A"/>
    <w:rsid w:val="00E05A85"/>
    <w:rsid w:val="00EC0A48"/>
    <w:rsid w:val="00F777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05E"/>
  </w:style>
  <w:style w:type="paragraph" w:styleId="Heading3">
    <w:name w:val="heading 3"/>
    <w:basedOn w:val="Normal"/>
    <w:link w:val="Heading3Char"/>
    <w:uiPriority w:val="9"/>
    <w:qFormat/>
    <w:rsid w:val="00871C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1CE6"/>
    <w:rPr>
      <w:color w:val="0000FF"/>
      <w:u w:val="single"/>
    </w:rPr>
  </w:style>
  <w:style w:type="character" w:customStyle="1" w:styleId="Heading3Char">
    <w:name w:val="Heading 3 Char"/>
    <w:basedOn w:val="DefaultParagraphFont"/>
    <w:link w:val="Heading3"/>
    <w:uiPriority w:val="9"/>
    <w:rsid w:val="00871CE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71C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1CE6"/>
    <w:rPr>
      <w:b/>
      <w:bCs/>
    </w:rPr>
  </w:style>
  <w:style w:type="paragraph" w:styleId="ListParagraph">
    <w:name w:val="List Paragraph"/>
    <w:basedOn w:val="Normal"/>
    <w:uiPriority w:val="34"/>
    <w:qFormat/>
    <w:rsid w:val="00E05A85"/>
    <w:pPr>
      <w:ind w:left="720"/>
      <w:contextualSpacing/>
    </w:pPr>
  </w:style>
</w:styles>
</file>

<file path=word/webSettings.xml><?xml version="1.0" encoding="utf-8"?>
<w:webSettings xmlns:r="http://schemas.openxmlformats.org/officeDocument/2006/relationships" xmlns:w="http://schemas.openxmlformats.org/wordprocessingml/2006/main">
  <w:divs>
    <w:div w:id="91635397">
      <w:bodyDiv w:val="1"/>
      <w:marLeft w:val="0"/>
      <w:marRight w:val="0"/>
      <w:marTop w:val="0"/>
      <w:marBottom w:val="0"/>
      <w:divBdr>
        <w:top w:val="none" w:sz="0" w:space="0" w:color="auto"/>
        <w:left w:val="none" w:sz="0" w:space="0" w:color="auto"/>
        <w:bottom w:val="none" w:sz="0" w:space="0" w:color="auto"/>
        <w:right w:val="none" w:sz="0" w:space="0" w:color="auto"/>
      </w:divBdr>
    </w:div>
    <w:div w:id="314066186">
      <w:bodyDiv w:val="1"/>
      <w:marLeft w:val="0"/>
      <w:marRight w:val="0"/>
      <w:marTop w:val="0"/>
      <w:marBottom w:val="0"/>
      <w:divBdr>
        <w:top w:val="none" w:sz="0" w:space="0" w:color="auto"/>
        <w:left w:val="none" w:sz="0" w:space="0" w:color="auto"/>
        <w:bottom w:val="none" w:sz="0" w:space="0" w:color="auto"/>
        <w:right w:val="none" w:sz="0" w:space="0" w:color="auto"/>
      </w:divBdr>
    </w:div>
    <w:div w:id="500970262">
      <w:bodyDiv w:val="1"/>
      <w:marLeft w:val="0"/>
      <w:marRight w:val="0"/>
      <w:marTop w:val="0"/>
      <w:marBottom w:val="0"/>
      <w:divBdr>
        <w:top w:val="none" w:sz="0" w:space="0" w:color="auto"/>
        <w:left w:val="none" w:sz="0" w:space="0" w:color="auto"/>
        <w:bottom w:val="none" w:sz="0" w:space="0" w:color="auto"/>
        <w:right w:val="none" w:sz="0" w:space="0" w:color="auto"/>
      </w:divBdr>
    </w:div>
    <w:div w:id="144430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aew.com/en/technical/financial-reporting/uk-ga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sb.org/home" TargetMode="External"/><Relationship Id="rId5" Type="http://schemas.openxmlformats.org/officeDocument/2006/relationships/hyperlink" Target="http://www.ifrs.org/about-us/pages/what-are-ifr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7</Pages>
  <Words>1541</Words>
  <Characters>8789</Characters>
  <Application>Microsoft Office Word</Application>
  <DocSecurity>0</DocSecurity>
  <Lines>73</Lines>
  <Paragraphs>20</Paragraphs>
  <ScaleCrop>false</ScaleCrop>
  <Company/>
  <LinksUpToDate>false</LinksUpToDate>
  <CharactersWithSpaces>10310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dcterms:created xsi:type="dcterms:W3CDTF">2018-05-09T16:28:00Z</dcterms:created>
  <dcterms:modified xsi:type="dcterms:W3CDTF">2018-05-16T01:45:00Z</dcterms:modified>
</cp:coreProperties>
</file>