
<file path=[Content_Types].xml><?xml version="1.0" encoding="utf-8"?>
<Types xmlns="http://schemas.openxmlformats.org/package/2006/content-types">
  <Default Extension="xml" ContentType="application/xml"/>
  <Default Extension="rels" ContentType="application/vnd.openxmlformats-package.relationships+xml"/>
  <Override PartName="/word/settings.xml" ContentType="application/vnd.openxmlformats-officedocument.wordprocessingml.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http://schemas.openxmlformats.org/wordprocessingml/2006/main">
  <w:body>
    <w:p>
      <w:pPr>
        <w:bidi w:val="off"/>
        <w:rPr>
          <w:rtl w:val="off"/>
        </w:rPr>
      </w:pPr>
      <w:r>
        <w:rPr>
          <w:rtl w:val="off"/>
        </w:rPr>
        <w:t>BALANCE SHEET FINALISATION CHECKLIST</w:t>
      </w:r>
      <w:r>
        <w:rPr>
          <w:rtl w:val="off"/>
        </w:rPr>
        <w:t>:</w:t>
      </w:r>
    </w:p>
    <w:p>
      <w:pPr>
        <w:bidi w:val="off"/>
        <w:rPr>
          <w:rtl w:val="off"/>
        </w:rPr>
      </w:pPr>
      <w:r>
        <w:rPr>
          <w:rtl w:val="off"/>
        </w:rPr>
        <w:t>.</w:t>
      </w:r>
    </w:p>
    <w:p>
      <w:pPr>
        <w:bidi w:val="off"/>
        <w:rPr>
          <w:rtl w:val="off"/>
        </w:rPr>
      </w:pPr>
      <w:r>
        <w:rPr>
          <w:rtl w:val="off"/>
        </w:rPr>
        <w:t xml:space="preserve">Given below is the checklist for finalisation of Balance sheet hope this will help you for sure in finalising the balancesheet of all organisations. Must check the following things before finalising </w:t>
      </w:r>
      <w:r>
        <w:rPr>
          <w:rtl w:val="off"/>
        </w:rPr>
        <w:t>.</w:t>
      </w:r>
    </w:p>
    <w:p>
      <w:pPr>
        <w:bidi w:val="off"/>
        <w:rPr>
          <w:rtl w:val="off"/>
        </w:rPr>
      </w:pPr>
      <w:r>
        <w:rPr>
          <w:rtl w:val="off"/>
        </w:rPr>
        <w:t>1. No Entry On National Holiday</w:t>
      </w:r>
      <w:r>
        <w:rPr>
          <w:rtl w:val="off"/>
        </w:rPr>
        <w:t>.</w:t>
      </w:r>
    </w:p>
    <w:p>
      <w:pPr>
        <w:bidi w:val="off"/>
        <w:rPr>
          <w:rtl w:val="off"/>
        </w:rPr>
      </w:pPr>
      <w:r>
        <w:rPr>
          <w:rtl w:val="off"/>
        </w:rPr>
        <w:t>2. Confirmation of Secured Loans</w:t>
      </w:r>
      <w:r>
        <w:rPr>
          <w:rtl w:val="off"/>
        </w:rPr>
        <w:t>.</w:t>
      </w:r>
    </w:p>
    <w:p>
      <w:pPr>
        <w:bidi w:val="off"/>
        <w:rPr>
          <w:rtl w:val="off"/>
        </w:rPr>
      </w:pPr>
      <w:r>
        <w:rPr>
          <w:rtl w:val="off"/>
        </w:rPr>
        <w:t>3. Confirmation of Unsecured Loans</w:t>
      </w:r>
      <w:r>
        <w:rPr>
          <w:rtl w:val="off"/>
        </w:rPr>
        <w:t>.</w:t>
      </w:r>
    </w:p>
    <w:p>
      <w:pPr>
        <w:bidi w:val="off"/>
        <w:rPr>
          <w:rtl w:val="off"/>
        </w:rPr>
      </w:pPr>
      <w:r>
        <w:rPr>
          <w:rtl w:val="off"/>
        </w:rPr>
        <w:t>4. Confirmation of S.Creditors (Specialy Those With Debit Balance.</w:t>
      </w:r>
      <w:r>
        <w:rPr>
          <w:rtl w:val="off"/>
        </w:rPr>
        <w:t>)</w:t>
      </w:r>
    </w:p>
    <w:p>
      <w:pPr>
        <w:bidi w:val="off"/>
        <w:rPr>
          <w:rtl w:val="off"/>
        </w:rPr>
      </w:pPr>
      <w:r>
        <w:rPr>
          <w:rtl w:val="off"/>
        </w:rPr>
        <w:t>5. Confirmation of S.Debtors (Specialy Those With Credit Balance</w:t>
      </w:r>
      <w:r>
        <w:rPr>
          <w:rtl w:val="off"/>
        </w:rPr>
        <w:t>)</w:t>
      </w:r>
    </w:p>
    <w:p>
      <w:pPr>
        <w:bidi w:val="off"/>
        <w:rPr>
          <w:rtl w:val="off"/>
        </w:rPr>
      </w:pPr>
      <w:r>
        <w:rPr>
          <w:rtl w:val="off"/>
        </w:rPr>
        <w:t>6. Bonus Sheet To Be Tallied With Bonus Paid In Cash And By Cheque</w:t>
      </w:r>
      <w:r>
        <w:rPr>
          <w:rtl w:val="off"/>
        </w:rPr>
        <w:t>.</w:t>
      </w:r>
    </w:p>
    <w:p>
      <w:pPr>
        <w:bidi w:val="off"/>
        <w:rPr>
          <w:rtl w:val="off"/>
        </w:rPr>
      </w:pPr>
      <w:r>
        <w:rPr>
          <w:rtl w:val="off"/>
        </w:rPr>
        <w:t>7. Check Cash For Negative Balance</w:t>
      </w:r>
      <w:r>
        <w:rPr>
          <w:rtl w:val="off"/>
        </w:rPr>
        <w:t>.</w:t>
      </w:r>
    </w:p>
    <w:p>
      <w:pPr>
        <w:bidi w:val="off"/>
        <w:rPr>
          <w:rtl w:val="off"/>
        </w:rPr>
      </w:pPr>
      <w:r>
        <w:rPr>
          <w:rtl w:val="off"/>
        </w:rPr>
        <w:t>8. Electricity Charges For 12 Months Entered Or Not</w:t>
      </w:r>
      <w:r>
        <w:rPr>
          <w:rtl w:val="off"/>
        </w:rPr>
        <w:t>.</w:t>
      </w:r>
    </w:p>
    <w:p>
      <w:pPr>
        <w:bidi w:val="off"/>
        <w:rPr>
          <w:rtl w:val="off"/>
        </w:rPr>
      </w:pPr>
      <w:r>
        <w:rPr>
          <w:rtl w:val="off"/>
        </w:rPr>
        <w:t>9. Salary Sheet – Tally With Salary Paid In Cash+Cheque. Salary of Employees Who Have Not Signed Salary Sheet Should Reflect As Payable. Tally With Salary Summary For Whole Year</w:t>
      </w:r>
      <w:r>
        <w:rPr>
          <w:rtl w:val="off"/>
        </w:rPr>
        <w:t>.</w:t>
      </w:r>
    </w:p>
    <w:p>
      <w:pPr>
        <w:bidi w:val="off"/>
        <w:rPr>
          <w:rtl w:val="off"/>
        </w:rPr>
      </w:pPr>
      <w:r>
        <w:rPr>
          <w:rtl w:val="off"/>
        </w:rPr>
        <w:t>10. Copy of All Full &amp; Final A/C Papers Required</w:t>
      </w:r>
      <w:r>
        <w:rPr>
          <w:rtl w:val="off"/>
        </w:rPr>
        <w:t>.</w:t>
      </w:r>
    </w:p>
    <w:p>
      <w:pPr>
        <w:bidi w:val="off"/>
        <w:rPr>
          <w:rtl w:val="off"/>
        </w:rPr>
      </w:pPr>
      <w:r>
        <w:rPr>
          <w:rtl w:val="off"/>
        </w:rPr>
        <w:t>11. Insurance Exp. – Pre-Paid Entries To Be Done. Copy of All Cover Notes To Be Kept In Balance Sheet File</w:t>
      </w:r>
      <w:r>
        <w:rPr>
          <w:rtl w:val="off"/>
        </w:rPr>
        <w:t>.</w:t>
      </w:r>
    </w:p>
    <w:p>
      <w:pPr>
        <w:bidi w:val="off"/>
        <w:rPr>
          <w:rtl w:val="off"/>
        </w:rPr>
      </w:pPr>
      <w:r>
        <w:rPr>
          <w:rtl w:val="off"/>
        </w:rPr>
        <w:t>12. Other Pre-Paid Exp. Entries Like Licence Fee, AMC Etc</w:t>
      </w:r>
      <w:r>
        <w:rPr>
          <w:rtl w:val="off"/>
        </w:rPr>
        <w:t>.</w:t>
      </w:r>
    </w:p>
    <w:p>
      <w:pPr>
        <w:bidi w:val="off"/>
        <w:rPr>
          <w:rtl w:val="off"/>
        </w:rPr>
      </w:pPr>
      <w:r>
        <w:rPr>
          <w:rtl w:val="off"/>
        </w:rPr>
        <w:t>13. Tally Opening Balance With Last Year Balance Sheet</w:t>
      </w:r>
      <w:r>
        <w:rPr>
          <w:rtl w:val="off"/>
        </w:rPr>
        <w:t>.</w:t>
      </w:r>
    </w:p>
    <w:p>
      <w:pPr>
        <w:bidi w:val="off"/>
        <w:rPr>
          <w:rtl w:val="off"/>
        </w:rPr>
      </w:pPr>
      <w:r>
        <w:rPr>
          <w:rtl w:val="off"/>
        </w:rPr>
        <w:t>14. Reconcile Sale + Purchase With Sales Tax Returns</w:t>
      </w:r>
      <w:r>
        <w:rPr>
          <w:rtl w:val="off"/>
        </w:rPr>
        <w:t>.</w:t>
      </w:r>
    </w:p>
    <w:p>
      <w:pPr>
        <w:bidi w:val="off"/>
        <w:rPr>
          <w:rtl w:val="off"/>
        </w:rPr>
      </w:pPr>
      <w:r>
        <w:rPr>
          <w:rtl w:val="off"/>
        </w:rPr>
        <w:t>15. Licence Fee – Receipt Or Covering Letters of Licence Copy</w:t>
      </w:r>
      <w:r>
        <w:rPr>
          <w:rtl w:val="off"/>
        </w:rPr>
        <w:t>.</w:t>
      </w:r>
    </w:p>
    <w:p>
      <w:pPr>
        <w:bidi w:val="off"/>
        <w:rPr>
          <w:rtl w:val="off"/>
        </w:rPr>
      </w:pPr>
      <w:r>
        <w:rPr>
          <w:rtl w:val="off"/>
        </w:rPr>
        <w:t>16. Tel. Exp. – Bill of 12 Months Entered Or Not. Narration Similar To That of Electricity Exp</w:t>
      </w:r>
      <w:r>
        <w:rPr>
          <w:rtl w:val="off"/>
        </w:rPr>
        <w:t>.</w:t>
      </w:r>
    </w:p>
    <w:p>
      <w:pPr>
        <w:bidi w:val="off"/>
        <w:rPr>
          <w:rtl w:val="off"/>
        </w:rPr>
      </w:pPr>
      <w:r>
        <w:rPr>
          <w:rtl w:val="off"/>
        </w:rPr>
        <w:t>17. Depriciation Entries</w:t>
      </w:r>
      <w:r>
        <w:rPr>
          <w:rtl w:val="off"/>
        </w:rPr>
        <w:t>.</w:t>
      </w:r>
    </w:p>
    <w:p>
      <w:pPr>
        <w:bidi w:val="off"/>
        <w:rPr>
          <w:rtl w:val="off"/>
        </w:rPr>
      </w:pPr>
      <w:r>
        <w:rPr>
          <w:rtl w:val="off"/>
        </w:rPr>
        <w:t>18. Tally Tds Certificates With Relevant Ledgers</w:t>
      </w:r>
      <w:r>
        <w:rPr>
          <w:rtl w:val="off"/>
        </w:rPr>
        <w:t>.</w:t>
      </w:r>
    </w:p>
    <w:p>
      <w:pPr>
        <w:bidi w:val="off"/>
        <w:rPr>
          <w:rtl w:val="off"/>
        </w:rPr>
      </w:pPr>
      <w:r>
        <w:rPr>
          <w:rtl w:val="off"/>
        </w:rPr>
        <w:t>19. Tally Tds Returns With Relevant Ledgers</w:t>
      </w:r>
      <w:r>
        <w:rPr>
          <w:rtl w:val="off"/>
        </w:rPr>
        <w:t>.</w:t>
      </w:r>
    </w:p>
    <w:p>
      <w:pPr>
        <w:bidi w:val="off"/>
        <w:rPr>
          <w:rtl w:val="off"/>
        </w:rPr>
      </w:pPr>
      <w:r>
        <w:rPr>
          <w:rtl w:val="off"/>
        </w:rPr>
        <w:t>20. Reconcile All Bank Accounts</w:t>
      </w:r>
      <w:r>
        <w:rPr>
          <w:rtl w:val="off"/>
        </w:rPr>
        <w:t>.</w:t>
      </w:r>
    </w:p>
    <w:p>
      <w:pPr>
        <w:bidi w:val="off"/>
        <w:rPr>
          <w:rtl w:val="off"/>
        </w:rPr>
      </w:pPr>
      <w:r>
        <w:rPr>
          <w:rtl w:val="off"/>
        </w:rPr>
        <w:t>21. G.P. Rate Comparison With Last Year</w:t>
      </w:r>
      <w:r>
        <w:rPr>
          <w:rtl w:val="off"/>
        </w:rPr>
        <w:t>.</w:t>
      </w:r>
    </w:p>
    <w:p>
      <w:pPr>
        <w:bidi w:val="off"/>
        <w:rPr>
          <w:rtl w:val="off"/>
        </w:rPr>
      </w:pPr>
      <w:r>
        <w:rPr>
          <w:rtl w:val="off"/>
        </w:rPr>
        <w:t>22. Audit Fee To Be Entered</w:t>
      </w:r>
      <w:r>
        <w:rPr>
          <w:rtl w:val="off"/>
        </w:rPr>
        <w:t>.</w:t>
      </w:r>
    </w:p>
    <w:p>
      <w:pPr>
        <w:bidi w:val="off"/>
        <w:rPr>
          <w:rtl w:val="off"/>
        </w:rPr>
      </w:pPr>
      <w:r>
        <w:rPr>
          <w:rtl w:val="off"/>
        </w:rPr>
        <w:t>23. Check Cash Exp. Vouchers</w:t>
      </w:r>
      <w:r>
        <w:rPr>
          <w:rtl w:val="off"/>
        </w:rPr>
        <w:t>.</w:t>
      </w:r>
    </w:p>
    <w:p>
      <w:pPr>
        <w:bidi w:val="off"/>
        <w:rPr>
          <w:rtl w:val="off"/>
        </w:rPr>
      </w:pPr>
      <w:r>
        <w:rPr>
          <w:rtl w:val="off"/>
        </w:rPr>
        <w:t>24. Check All Debit Notes / Cr. Notes. Should Be Signe</w:t>
      </w:r>
      <w:r>
        <w:rPr>
          <w:rtl w:val="off"/>
        </w:rPr>
        <w:t>d</w:t>
      </w:r>
    </w:p>
    <w:p>
      <w:pPr>
        <w:bidi w:val="off"/>
        <w:rPr>
          <w:rtl w:val="off"/>
        </w:rPr>
      </w:pPr>
      <w:r>
        <w:rPr>
          <w:rtl w:val="off"/>
        </w:rPr>
        <w:t>25. Check All Cash Receipts. Should Be Signe</w:t>
      </w:r>
      <w:r>
        <w:rPr>
          <w:rtl w:val="off"/>
        </w:rPr>
        <w:t>d</w:t>
      </w:r>
    </w:p>
    <w:p>
      <w:pPr>
        <w:bidi w:val="off"/>
        <w:rPr>
          <w:rtl w:val="off"/>
        </w:rPr>
      </w:pPr>
      <w:r>
        <w:rPr>
          <w:rtl w:val="off"/>
        </w:rPr>
        <w:t>26. Check All Discounts To Customers Or Short &amp; Excess Or Bad Debts Vouchers. Should Be Signe</w:t>
      </w:r>
      <w:r>
        <w:rPr>
          <w:rtl w:val="off"/>
        </w:rPr>
        <w:t>d</w:t>
      </w:r>
    </w:p>
    <w:p>
      <w:pPr>
        <w:bidi w:val="off"/>
        <w:rPr>
          <w:rtl w:val="off"/>
        </w:rPr>
      </w:pPr>
      <w:r>
        <w:rPr>
          <w:rtl w:val="off"/>
        </w:rPr>
        <w:t>27. All Heads In Previous Year P&amp;L, Trading Balance Sheet Should Be In Current Year Balance Sheet And Comparasion of Amount To Be Done</w:t>
      </w:r>
      <w:r>
        <w:rPr>
          <w:rtl w:val="off"/>
        </w:rPr>
        <w:t>.</w:t>
      </w:r>
    </w:p>
    <w:p>
      <w:pPr>
        <w:bidi w:val="off"/>
        <w:rPr>
          <w:rtl w:val="off"/>
        </w:rPr>
      </w:pPr>
      <w:r>
        <w:rPr>
          <w:rtl w:val="off"/>
        </w:rPr>
        <w:t xml:space="preserve">28. Challans of All Govt. Dues To Be Enclosed With I.T.R., VAT / CST / ESI / EPF / TDS Etc </w:t>
      </w:r>
      <w:r>
        <w:rPr>
          <w:rtl w:val="off"/>
        </w:rPr>
        <w:t>.</w:t>
      </w:r>
    </w:p>
    <w:p>
      <w:pPr>
        <w:bidi w:val="off"/>
        <w:rPr>
          <w:rtl w:val="off"/>
        </w:rPr>
      </w:pPr>
      <w:r>
        <w:rPr>
          <w:rtl w:val="off"/>
        </w:rPr>
        <w:t xml:space="preserve">29. Exp. Payable Entries : Tel., Electricity, Water Etc </w:t>
      </w:r>
      <w:r>
        <w:rPr>
          <w:rtl w:val="off"/>
        </w:rPr>
        <w:t>.</w:t>
      </w:r>
    </w:p>
    <w:p>
      <w:pPr>
        <w:bidi w:val="off"/>
        <w:rPr>
          <w:rtl w:val="off"/>
        </w:rPr>
      </w:pPr>
      <w:r>
        <w:rPr>
          <w:rtl w:val="off"/>
        </w:rPr>
        <w:t>30. Freight Inward For All Central Purchases Should Be Entered</w:t>
      </w:r>
      <w:r>
        <w:rPr>
          <w:rtl w:val="off"/>
        </w:rPr>
        <w:t>.</w:t>
      </w:r>
    </w:p>
    <w:p>
      <w:pPr>
        <w:bidi w:val="off"/>
        <w:rPr>
          <w:rtl w:val="off"/>
        </w:rPr>
      </w:pPr>
      <w:r>
        <w:rPr>
          <w:rtl w:val="off"/>
        </w:rPr>
        <w:t>31. Transfer Previous Year Pre-Paid To Relevant Expense Head</w:t>
      </w:r>
      <w:r>
        <w:rPr>
          <w:rtl w:val="off"/>
        </w:rPr>
        <w:t>.</w:t>
      </w:r>
    </w:p>
    <w:p>
      <w:r>
        <w:rPr>
          <w:rtl w:val="off"/>
        </w:rPr>
        <w:t>32. Check Payment of Previous Year Expenses Payable.</w:t>
      </w:r>
    </w:p>
    <w:sectPr>
      <w:type w:val="nextPage"/>
      <w:pgSz w:w="11906" w:h="16838"/>
      <w:pgMar w:top="1417" w:right="1417" w:bottom="1417" w:left="1417" w:header="708" w:footer="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ompat>
    <w:compatSetting w:name="compatibilityMode" w:uri="http://schemas.microsoft.com/office/word" w:val="15"/>
  </w:compat>
  <w:footnotePr/>
  <w:endnotePr/>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sz w:val="22"/>
      </w:rPr>
    </w:rPrDefault>
    <w:pPrDefault>
      <w:pPr>
        <w:spacing w:after="200" w:line="276" w:lineRule="auto"/>
      </w:pPr>
    </w:pPrDefault>
  </w:docDefaults>
  <w:style w:type="character" w:customStyle="1" w:styleId="Heading7Char">
    <w:name w:val="Heading 7 Char"/>
    <w:basedOn w:val="DefaultParagraphFont"/>
    <w:link w:val="Heading7"/>
    <w:uiPriority w:val="9"/>
    <w:rPr>
      <w:rFonts w:asciiTheme="majorHAnsi" w:cstheme="majorBidi" w:eastAsiaTheme="majorEastAsia" w:hAnsiTheme="majorHAnsi"/>
      <w:i/>
      <w:color w:val="404040"/>
    </w:rPr>
  </w:style>
  <w:style w:type="character" w:customStyle="1" w:styleId="Heading4Char">
    <w:name w:val="Heading 4 Char"/>
    <w:basedOn w:val="DefaultParagraphFont"/>
    <w:link w:val="Heading4"/>
    <w:uiPriority w:val="9"/>
    <w:rPr>
      <w:rFonts w:asciiTheme="majorHAnsi" w:cstheme="majorBidi" w:eastAsiaTheme="majorEastAsia" w:hAnsiTheme="majorHAnsi"/>
      <w:b/>
      <w:i/>
      <w:color w:val="4f81bd"/>
    </w:rPr>
  </w:style>
  <w:style w:type="paragraph" w:styleId="Quote">
    <w:name w:val="Quote"/>
    <w:basedOn w:val="Normal"/>
    <w:next w:val="Normal"/>
    <w:link w:val="QuoteChar"/>
    <w:uiPriority w:val="29"/>
    <w:qFormat w:val="on"/>
    <w:rPr>
      <w:i/>
      <w:color w:val="000000"/>
    </w:rPr>
  </w:style>
  <w:style w:type="character" w:styleId="Footnotereference">
    <w:name w:val="Footnote reference"/>
    <w:basedOn w:val="DefaultParagraphFont"/>
    <w:uiPriority w:val="99"/>
    <w:semiHidden w:val="on"/>
    <w:unhideWhenUsed w:val="on"/>
    <w:unhideWhenUsed w:val="on"/>
    <w:rPr>
      <w:vertAlign w:val="superscript"/>
    </w:rPr>
  </w:style>
  <w:style w:type="paragraph" w:styleId="Subtitle">
    <w:name w:val="Subtitle"/>
    <w:basedOn w:val="Normal"/>
    <w:next w:val="Normal"/>
    <w:link w:val="SubtitleChar"/>
    <w:uiPriority w:val="11"/>
    <w:qFormat w:val="on"/>
    <w:pPr>
      <w:numPr>
        <w:ilvl w:val="1"/>
      </w:numPr>
    </w:pPr>
    <w:rPr>
      <w:rFonts w:asciiTheme="majorHAnsi" w:cstheme="majorBidi" w:eastAsiaTheme="majorEastAsia" w:hAnsiTheme="majorHAnsi"/>
      <w:i/>
      <w:color w:val="4f81bd"/>
      <w:spacing w:val="15"/>
      <w:sz w:val="24"/>
    </w:rPr>
  </w:style>
  <w:style w:type="character" w:customStyle="1" w:styleId="EndnoteTextChar">
    <w:name w:val="Endnote Text Char"/>
    <w:basedOn w:val="DefaultParagraphFont"/>
    <w:link w:val="Endnotetext"/>
    <w:uiPriority w:val="99"/>
    <w:semiHidden w:val="on"/>
    <w:rPr>
      <w:sz w:val="20"/>
    </w:rPr>
  </w:style>
  <w:style w:type="table" w:default="1" w:styleId="NormalTable">
    <w:name w:val="Normal Table"/>
    <w:uiPriority w:val="99"/>
    <w:semiHidden w:val="on"/>
    <w:unhideWhenUsed w:val="on"/>
    <w:qFormat w:val="on"/>
    <w:unhideWhenUsed w:val="on"/>
    <w:tblPr>
      <w:tblInd w:w="0" w:type="dxa"/>
      <w:tblCellMar>
        <w:top w:w="0" w:type="dxa"/>
        <w:left w:w="108" w:type="dxa"/>
        <w:bottom w:w="0" w:type="dxa"/>
        <w:right w:w="108" w:type="dxa"/>
      </w:tblCellMar>
    </w:tblPr>
  </w:style>
  <w:style w:type="character" w:customStyle="1" w:styleId="SubtitleChar">
    <w:name w:val="Subtitle Char"/>
    <w:basedOn w:val="DefaultParagraphFont"/>
    <w:link w:val="Subtitle"/>
    <w:uiPriority w:val="11"/>
    <w:rPr>
      <w:rFonts w:asciiTheme="majorHAnsi" w:cstheme="majorBidi" w:eastAsiaTheme="majorEastAsia" w:hAnsiTheme="majorHAnsi"/>
      <w:i/>
      <w:color w:val="4f81bd"/>
      <w:spacing w:val="15"/>
      <w:sz w:val="24"/>
    </w:rPr>
  </w:style>
  <w:style w:type="paragraph" w:styleId="Endnotetext">
    <w:name w:val="Endnote text"/>
    <w:basedOn w:val="Normal"/>
    <w:link w:val="EndnoteTextChar"/>
    <w:uiPriority w:val="99"/>
    <w:semiHidden w:val="on"/>
    <w:unhideWhenUsed w:val="on"/>
    <w:unhideWhenUsed w:val="on"/>
    <w:pPr>
      <w:spacing w:after="0" w:line="240" w:lineRule="auto"/>
    </w:pPr>
    <w:rPr>
      <w:sz w:val="20"/>
    </w:rPr>
  </w:style>
  <w:style w:type="character" w:styleId="SubtleReference">
    <w:name w:val="Subtle Reference"/>
    <w:basedOn w:val="DefaultParagraphFont"/>
    <w:uiPriority w:val="31"/>
    <w:qFormat w:val="on"/>
    <w:rPr>
      <w:smallCaps/>
      <w:color w:val="c0504d"/>
      <w:u w:val="single"/>
    </w:rPr>
  </w:style>
  <w:style w:type="paragraph" w:styleId="Heading6">
    <w:name w:val="Heading 6"/>
    <w:basedOn w:val="Normal"/>
    <w:next w:val="Normal"/>
    <w:link w:val="Heading6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color w:val="243f60"/>
    </w:rPr>
  </w:style>
  <w:style w:type="character" w:customStyle="1" w:styleId="Heading2Char">
    <w:name w:val="Heading 2 Char"/>
    <w:basedOn w:val="DefaultParagraphFont"/>
    <w:link w:val="Heading2"/>
    <w:uiPriority w:val="9"/>
    <w:rPr>
      <w:rFonts w:asciiTheme="majorHAnsi" w:cstheme="majorBidi" w:eastAsiaTheme="majorEastAsia" w:hAnsiTheme="majorHAnsi"/>
      <w:b/>
      <w:color w:val="4f81bd"/>
      <w:sz w:val="26"/>
    </w:rPr>
  </w:style>
  <w:style w:type="character" w:default="1" w:styleId="DefaultParagraphFont">
    <w:name w:val="Default Paragraph Font"/>
    <w:uiPriority w:val="1"/>
    <w:semiHidden w:val="on"/>
    <w:unhideWhenUsed w:val="on"/>
    <w:unhideWhenUsed w:val="on"/>
  </w:style>
  <w:style w:type="paragraph" w:styleId="Heading4">
    <w:name w:val="Heading 4"/>
    <w:basedOn w:val="Normal"/>
    <w:next w:val="Normal"/>
    <w:link w:val="Heading4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i/>
      <w:color w:val="4f81bd"/>
    </w:rPr>
  </w:style>
  <w:style w:type="character" w:customStyle="1" w:styleId="FootnoteTextChar">
    <w:name w:val="Footnote Text Char"/>
    <w:basedOn w:val="DefaultParagraphFont"/>
    <w:link w:val="Footnotetext"/>
    <w:uiPriority w:val="99"/>
    <w:semiHidden w:val="on"/>
    <w:rPr>
      <w:sz w:val="20"/>
    </w:rPr>
  </w:style>
  <w:style w:type="character" w:customStyle="1" w:styleId="IntenseQuoteChar">
    <w:name w:val="Intense Quote Char"/>
    <w:basedOn w:val="DefaultParagraphFont"/>
    <w:link w:val="IntenseQuote"/>
    <w:uiPriority w:val="30"/>
    <w:rPr>
      <w:b/>
      <w:i/>
      <w:color w:val="4f81bd"/>
    </w:rPr>
  </w:style>
  <w:style w:type="character" w:styleId="Hyperlink">
    <w:name w:val="Hyperlink"/>
    <w:basedOn w:val="DefaultParagraphFont"/>
    <w:uiPriority w:val="99"/>
    <w:unhideWhenUsed w:val="on"/>
    <w:unhideWhenUsed w:val="on"/>
    <w:rPr>
      <w:color w:val="0000ff"/>
      <w:u w:val="single"/>
    </w:rPr>
  </w:style>
  <w:style w:type="character" w:styleId="IntenseReference">
    <w:name w:val="Intense Reference"/>
    <w:basedOn w:val="DefaultParagraphFont"/>
    <w:uiPriority w:val="32"/>
    <w:qFormat w:val="on"/>
    <w:rPr>
      <w:b/>
      <w:smallCaps/>
      <w:color w:val="c0504d"/>
      <w:spacing w:val="5"/>
      <w:u w:val="single"/>
    </w:rPr>
  </w:style>
  <w:style w:type="paragraph" w:styleId="NoSpacing">
    <w:name w:val="No Spacing"/>
    <w:uiPriority w:val="1"/>
    <w:qFormat w:val="on"/>
    <w:pPr>
      <w:spacing w:after="0" w:line="240" w:lineRule="auto"/>
    </w:pPr>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color w:val="365f91"/>
      <w:sz w:val="28"/>
    </w:rPr>
  </w:style>
  <w:style w:type="character" w:styleId="Emphasis">
    <w:name w:val="Emphasis"/>
    <w:basedOn w:val="DefaultParagraphFont"/>
    <w:uiPriority w:val="20"/>
    <w:qFormat w:val="on"/>
    <w:rPr>
      <w:i/>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243f60"/>
    </w:rPr>
  </w:style>
  <w:style w:type="numbering" w:default="1" w:styleId="NoList">
    <w:name w:val="No List"/>
    <w:uiPriority w:val="99"/>
    <w:semiHidden w:val="on"/>
    <w:unhideWhenUsed w:val="on"/>
    <w:unhideWhenUsed w:val="on"/>
  </w:style>
  <w:style w:type="character" w:customStyle="1" w:styleId="PlainTextChar">
    <w:name w:val="Plain Text Char"/>
    <w:basedOn w:val="DefaultParagraphFont"/>
    <w:link w:val="PlainText"/>
    <w:uiPriority w:val="99"/>
    <w:rPr>
      <w:rFonts w:ascii="Courier New" w:cs="Courier New" w:hAnsi="Courier New"/>
      <w:sz w:val="21"/>
    </w:rPr>
  </w:style>
  <w:style w:type="character" w:styleId="SubtleEmphasis">
    <w:name w:val="Subtle Emphasis"/>
    <w:basedOn w:val="DefaultParagraphFont"/>
    <w:uiPriority w:val="19"/>
    <w:qFormat w:val="on"/>
    <w:rPr>
      <w:i/>
      <w:color w:val="808080"/>
    </w:rPr>
  </w:style>
  <w:style w:type="character" w:customStyle="1" w:styleId="QuoteChar">
    <w:name w:val="Quote Char"/>
    <w:basedOn w:val="DefaultParagraphFont"/>
    <w:link w:val="Quote"/>
    <w:uiPriority w:val="29"/>
    <w:rPr>
      <w:i/>
      <w:color w:val="000000"/>
    </w:rPr>
  </w:style>
  <w:style w:type="paragraph" w:styleId="PlainText">
    <w:name w:val="Plain Text"/>
    <w:basedOn w:val="Normal"/>
    <w:link w:val="PlainTextChar"/>
    <w:uiPriority w:val="99"/>
    <w:semiHidden w:val="on"/>
    <w:unhideWhenUsed w:val="on"/>
    <w:unhideWhenUsed w:val="on"/>
    <w:pPr>
      <w:spacing w:after="0" w:line="240" w:lineRule="auto"/>
    </w:pPr>
    <w:rPr>
      <w:rFonts w:ascii="Courier New" w:cs="Courier New" w:hAnsi="Courier New"/>
      <w:sz w:val="21"/>
    </w:rPr>
  </w:style>
  <w:style w:type="paragraph" w:styleId="Footnotetext">
    <w:name w:val="Footnote text"/>
    <w:basedOn w:val="Normal"/>
    <w:link w:val="FootnoteTextChar"/>
    <w:uiPriority w:val="99"/>
    <w:semiHidden w:val="on"/>
    <w:unhideWhenUsed w:val="on"/>
    <w:unhideWhenUsed w:val="on"/>
    <w:pPr>
      <w:spacing w:after="0" w:line="240" w:lineRule="auto"/>
    </w:pPr>
    <w:rPr>
      <w:sz w:val="20"/>
    </w:rPr>
  </w:style>
  <w:style w:type="character" w:customStyle="1" w:styleId="Heading1Char">
    <w:name w:val="Heading 1 Char"/>
    <w:basedOn w:val="DefaultParagraphFont"/>
    <w:link w:val="Heading1"/>
    <w:uiPriority w:val="9"/>
    <w:rPr>
      <w:rFonts w:asciiTheme="majorHAnsi" w:cstheme="majorBidi" w:eastAsiaTheme="majorEastAsia" w:hAnsiTheme="majorHAnsi"/>
      <w:b/>
      <w:color w:val="365f91"/>
      <w:sz w:val="28"/>
    </w:rPr>
  </w:style>
  <w:style w:type="character" w:customStyle="1" w:styleId="Heading3Char">
    <w:name w:val="Heading 3 Char"/>
    <w:basedOn w:val="DefaultParagraphFont"/>
    <w:link w:val="Heading3"/>
    <w:uiPriority w:val="9"/>
    <w:rPr>
      <w:rFonts w:asciiTheme="majorHAnsi" w:cstheme="majorBidi" w:eastAsiaTheme="majorEastAsia" w:hAnsiTheme="majorHAnsi"/>
      <w:b/>
      <w:color w:val="4f81bd"/>
    </w:rPr>
  </w:style>
  <w:style w:type="character" w:customStyle="1" w:styleId="TitleChar">
    <w:name w:val="Title Char"/>
    <w:basedOn w:val="DefaultParagraphFont"/>
    <w:link w:val="Title"/>
    <w:uiPriority w:val="10"/>
    <w:rPr>
      <w:rFonts w:asciiTheme="majorHAnsi" w:cstheme="majorBidi" w:eastAsiaTheme="majorEastAsia" w:hAnsiTheme="majorHAnsi"/>
      <w:color w:val="17365d"/>
      <w:spacing w:val="5"/>
      <w:sz w:val="52"/>
    </w:rPr>
  </w:style>
  <w:style w:type="paragraph" w:styleId="Envelopeaddress">
    <w:name w:val="Envelope address"/>
    <w:basedOn w:val="Normal"/>
    <w:uiPriority w:val="99"/>
    <w:unhideWhenUsed w:val="on"/>
    <w:unhideWhenUsed w:val="on"/>
    <w:pPr>
      <w:spacing w:after="0" w:line="240" w:lineRule="auto"/>
      <w:ind w:left="2880"/>
    </w:pPr>
    <w:rPr>
      <w:rFonts w:asciiTheme="majorHAnsi" w:cstheme="majorBidi" w:eastAsiaTheme="majorEastAsia" w:hAnsiTheme="majorHAnsi"/>
      <w:sz w:val="24"/>
    </w:rPr>
  </w:style>
  <w:style w:type="character" w:styleId="Strong">
    <w:name w:val="Strong"/>
    <w:basedOn w:val="DefaultParagraphFont"/>
    <w:uiPriority w:val="22"/>
    <w:qFormat w:val="on"/>
    <w:rPr>
      <w:b/>
    </w:rPr>
  </w:style>
  <w:style w:type="character" w:styleId="Endnotereference">
    <w:name w:val="Endnote reference"/>
    <w:basedOn w:val="DefaultParagraphFont"/>
    <w:uiPriority w:val="99"/>
    <w:semiHidden w:val="on"/>
    <w:unhideWhenUsed w:val="on"/>
    <w:unhideWhenUsed w:val="on"/>
    <w:rPr>
      <w:vertAlign w:val="superscript"/>
    </w:rPr>
  </w:style>
  <w:style w:type="paragraph" w:styleId="Envelopereturn">
    <w:name w:val="Envelope return"/>
    <w:basedOn w:val="Normal"/>
    <w:uiPriority w:val="99"/>
    <w:unhideWhenUsed w:val="on"/>
    <w:unhideWhenUsed w:val="on"/>
    <w:pPr>
      <w:spacing w:after="0" w:line="240" w:lineRule="auto"/>
    </w:pPr>
    <w:rPr>
      <w:rFonts w:asciiTheme="majorHAnsi" w:cstheme="majorBidi" w:eastAsiaTheme="majorEastAsia" w:hAnsiTheme="majorHAnsi"/>
      <w:sz w:val="20"/>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sz w:val="20"/>
    </w:rPr>
  </w:style>
  <w:style w:type="paragraph" w:styleId="ListParagraph">
    <w:name w:val="List Paragraph"/>
    <w:basedOn w:val="Normal"/>
    <w:uiPriority w:val="34"/>
    <w:qFormat w:val="on"/>
    <w:pPr>
      <w:ind w:left="720"/>
      <w:contextualSpacing w:val="on"/>
    </w:pPr>
  </w:style>
  <w:style w:type="character" w:customStyle="1" w:styleId="Heading9Char">
    <w:name w:val="Heading 9 Char"/>
    <w:basedOn w:val="DefaultParagraphFont"/>
    <w:link w:val="Heading9"/>
    <w:uiPriority w:val="9"/>
    <w:rPr>
      <w:rFonts w:asciiTheme="majorHAnsi" w:cstheme="majorBidi" w:eastAsiaTheme="majorEastAsia" w:hAnsiTheme="majorHAnsi"/>
      <w:i/>
      <w:color w:val="404040"/>
      <w:sz w:val="20"/>
    </w:rPr>
  </w:style>
  <w:style w:type="character" w:styleId="IntenseEmphasis">
    <w:name w:val="Intense Emphasis"/>
    <w:basedOn w:val="DefaultParagraphFont"/>
    <w:uiPriority w:val="21"/>
    <w:qFormat w:val="on"/>
    <w:rPr>
      <w:b/>
      <w:i/>
      <w:color w:val="4f81bd"/>
    </w:rPr>
  </w:style>
  <w:style w:type="paragraph" w:styleId="Heading7">
    <w:name w:val="Heading 7"/>
    <w:basedOn w:val="Normal"/>
    <w:next w:val="Normal"/>
    <w:link w:val="Heading7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color w:val="404040"/>
    </w:rPr>
  </w:style>
  <w:style w:type="paragraph" w:styleId="Heading8">
    <w:name w:val="Heading 8"/>
    <w:basedOn w:val="Normal"/>
    <w:next w:val="Normal"/>
    <w:link w:val="Heading8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color w:val="404040"/>
      <w:sz w:val="20"/>
    </w:rPr>
  </w:style>
  <w:style w:type="character" w:customStyle="1" w:styleId="Heading6Char">
    <w:name w:val="Heading 6 Char"/>
    <w:basedOn w:val="DefaultParagraphFont"/>
    <w:link w:val="Heading6"/>
    <w:uiPriority w:val="9"/>
    <w:rPr>
      <w:rFonts w:asciiTheme="majorHAnsi" w:cstheme="majorBidi" w:eastAsiaTheme="majorEastAsia" w:hAnsiTheme="majorHAnsi"/>
      <w:i/>
      <w:color w:val="243f60"/>
    </w:rPr>
  </w:style>
  <w:style w:type="paragraph" w:styleId="Heading5">
    <w:name w:val="Heading 5"/>
    <w:basedOn w:val="Normal"/>
    <w:next w:val="Normal"/>
    <w:link w:val="Heading5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color w:val="243f60"/>
    </w:rPr>
  </w:style>
  <w:style w:type="paragraph" w:styleId="Heading2">
    <w:name w:val="Heading 2"/>
    <w:basedOn w:val="Normal"/>
    <w:next w:val="Normal"/>
    <w:link w:val="Heading2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color w:val="4f81bd"/>
      <w:sz w:val="26"/>
    </w:rPr>
  </w:style>
  <w:style w:type="character" w:styleId="BookTitle">
    <w:name w:val="Book Title"/>
    <w:basedOn w:val="DefaultParagraphFont"/>
    <w:uiPriority w:val="33"/>
    <w:qFormat w:val="on"/>
    <w:rPr>
      <w:b/>
      <w:smallCaps/>
      <w:spacing w:val="5"/>
    </w:rPr>
  </w:style>
  <w:style w:type="paragraph" w:styleId="Title">
    <w:name w:val="Title"/>
    <w:basedOn w:val="Normal"/>
    <w:next w:val="Normal"/>
    <w:link w:val="TitleChar"/>
    <w:uiPriority w:val="10"/>
    <w:qFormat w:val="on"/>
    <w:pPr>
      <w:pBdr>
        <w:bottom w:val="single" w:color="4f81bd" w:sz="8"/>
      </w:pBdr>
      <w:spacing w:after="300" w:line="240" w:lineRule="auto"/>
      <w:contextualSpacing w:val="on"/>
    </w:pPr>
    <w:rPr>
      <w:rFonts w:asciiTheme="majorHAnsi" w:cstheme="majorBidi" w:eastAsiaTheme="majorEastAsia" w:hAnsiTheme="majorHAnsi"/>
      <w:color w:val="17365d"/>
      <w:spacing w:val="5"/>
      <w:sz w:val="52"/>
    </w:rPr>
  </w:style>
  <w:style w:type="paragraph" w:styleId="Heading3">
    <w:name w:val="Heading 3"/>
    <w:basedOn w:val="Normal"/>
    <w:next w:val="Normal"/>
    <w:link w:val="Heading3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color w:val="4f81bd"/>
    </w:rPr>
  </w:style>
  <w:style w:type="paragraph" w:styleId="IntenseQuote">
    <w:name w:val="Intense Quote"/>
    <w:basedOn w:val="Normal"/>
    <w:next w:val="Normal"/>
    <w:link w:val="IntenseQuoteChar"/>
    <w:uiPriority w:val="30"/>
    <w:qFormat w:val="on"/>
    <w:pPr>
      <w:pBdr>
        <w:bottom w:val="single" w:color="4f81bd" w:sz="4"/>
      </w:pBdr>
      <w:spacing w:before="200" w:after="280"/>
      <w:ind w:left="936" w:right="936"/>
    </w:pPr>
    <w:rPr>
      <w:b/>
      <w:i/>
      <w:color w:val="4f81bd"/>
    </w:rPr>
  </w:style>
  <w:style w:type="paragraph" w:styleId="Heading9">
    <w:name w:val="Heading 9"/>
    <w:basedOn w:val="Normal"/>
    <w:next w:val="Normal"/>
    <w:link w:val="Heading9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color w:val="404040"/>
      <w:sz w:val="20"/>
    </w:rPr>
  </w:style>
  <w:style w:type="paragraph" w:default="1" w:styleId="Normal">
    <w:name w:val="Normal"/>
    <w:uiPriority w:val="0"/>
    <w:qFormat w:val="on"/>
  </w:style>
</w:styles>
</file>

<file path=word/_rels/document.xml.rels><?xml version="1.0" encoding="UTF-8" standalone="yes"?>
<Relationships xmlns="http://schemas.openxmlformats.org/package/2006/relationships"><Relationship Id="rId3" Type="http://schemas.openxmlformats.org/officeDocument/2006/relationships/styles" Target="styles.xml"/><Relationship Id="rId2" Type="http://schemas.openxmlformats.org/officeDocument/2006/relationships/fontTable" Target="fontTable.xml"/><Relationship Id="rId4" Type="http://schemas.openxmlformats.org/officeDocument/2006/relationships/settings" Target="settings.xml"/><Relationship Id="rId1" Type="http://schemas.openxmlformats.org/officeDocument/2006/relationships/theme" Target="theme/theme1.xml"/></Relationships>
</file>

<file path=word/theme/theme1.xml><?xml version="1.0" encoding="utf-8"?>
<a:theme xmlns:a="http://schemas.openxmlformats.org/drawingml/2006/main" name="MS Office Theme">
  <a:themeElements>
    <a:clrScheme name="MS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Office">
      <a:majorFont>
        <a:latin typeface="Cambria"/>
        <a:ea typeface=""/>
        <a:cs typeface=""/>
        <a:font script="Jpan" typeface="ＭＳ ゴシック"/>
        <a:font script="Arab" typeface="Times New Roman"/>
        <a:font script="Hebr" typeface="Times New Roman"/>
        <a:font script="Thai" typeface="Angsana New"/>
        <a:font script="Viet" typeface="Times New Roman"/>
      </a:majorFont>
      <a:minorFont>
        <a:latin typeface="Calibri"/>
        <a:ea typeface=""/>
        <a:cs typeface=""/>
        <a:font script="Jpan" typeface="ＭＳ 明朝"/>
        <a:font script="Arab" typeface="Arial"/>
        <a:font script="Hebr" typeface="Arial"/>
        <a:font script="Thai" typeface="Cordia New"/>
        <a:font script="Viet" typeface="Arial"/>
      </a:minorFont>
    </a:fontScheme>
    <a:fmtScheme name="MS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sidhusiri333</dc:creator>
  <cp:lastModifiedBy>sidhusiri333</cp:lastModifiedBy>
</cp:coreProperties>
</file>