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178" w:rsidRPr="004C1178" w:rsidRDefault="004C1178" w:rsidP="004C1178">
      <w:pPr>
        <w:pStyle w:val="NormalWeb"/>
        <w:rPr>
          <w:b/>
        </w:rPr>
      </w:pPr>
      <w:r w:rsidRPr="004C1178">
        <w:rPr>
          <w:b/>
        </w:rPr>
        <w:t>Alok Ranjan</w:t>
      </w:r>
    </w:p>
    <w:p w:rsidR="004C1178" w:rsidRDefault="004C1178" w:rsidP="004C1178">
      <w:pPr>
        <w:pStyle w:val="NormalWeb"/>
      </w:pPr>
      <w:r w:rsidRPr="004C1178">
        <w:rPr>
          <w:b/>
        </w:rPr>
        <w:t xml:space="preserve">We discussed here only </w:t>
      </w:r>
      <w:proofErr w:type="gramStart"/>
      <w:r w:rsidRPr="004C1178">
        <w:rPr>
          <w:b/>
        </w:rPr>
        <w:t>those point</w:t>
      </w:r>
      <w:proofErr w:type="gramEnd"/>
      <w:r w:rsidRPr="004C1178">
        <w:rPr>
          <w:b/>
        </w:rPr>
        <w:t xml:space="preserve"> which is </w:t>
      </w:r>
      <w:r w:rsidR="00722E35">
        <w:rPr>
          <w:b/>
        </w:rPr>
        <w:t>extra/</w:t>
      </w:r>
      <w:r w:rsidRPr="004C1178">
        <w:rPr>
          <w:b/>
        </w:rPr>
        <w:t xml:space="preserve">changes in </w:t>
      </w:r>
      <w:proofErr w:type="spellStart"/>
      <w:r w:rsidRPr="004C1178">
        <w:rPr>
          <w:b/>
        </w:rPr>
        <w:t>Ind</w:t>
      </w:r>
      <w:proofErr w:type="spellEnd"/>
      <w:r w:rsidRPr="004C1178">
        <w:rPr>
          <w:b/>
        </w:rPr>
        <w:t xml:space="preserve"> as 23</w:t>
      </w:r>
      <w:r>
        <w:t>.</w:t>
      </w:r>
    </w:p>
    <w:p w:rsidR="004C1178" w:rsidRDefault="004C1178" w:rsidP="004C1178">
      <w:pPr>
        <w:pStyle w:val="NormalWeb"/>
        <w:spacing w:before="0" w:beforeAutospacing="0" w:after="240" w:afterAutospacing="0"/>
      </w:pPr>
      <w:r>
        <w:t>1.</w:t>
      </w:r>
      <w:r>
        <w:tab/>
        <w:t xml:space="preserve">Carve Out: </w:t>
      </w:r>
      <w:r w:rsidRPr="00527B0A">
        <w:rPr>
          <w:color w:val="000000" w:themeColor="text1"/>
        </w:rPr>
        <w:t>Qualifying Assets</w:t>
      </w:r>
    </w:p>
    <w:p w:rsidR="004C1178" w:rsidRDefault="004C1178" w:rsidP="004C1178">
      <w:pPr>
        <w:pStyle w:val="NormalWeb"/>
        <w:spacing w:before="0" w:beforeAutospacing="0" w:after="240" w:afterAutospacing="0"/>
      </w:pPr>
      <w:r>
        <w:t>2.</w:t>
      </w:r>
      <w:r>
        <w:tab/>
        <w:t>Carve Out: Substantial period of Time</w:t>
      </w:r>
    </w:p>
    <w:p w:rsidR="004C1178" w:rsidRDefault="004C1178" w:rsidP="004C1178">
      <w:pPr>
        <w:pStyle w:val="NormalWeb"/>
        <w:spacing w:before="0" w:beforeAutospacing="0" w:after="240" w:afterAutospacing="0"/>
      </w:pPr>
      <w:r>
        <w:t>3</w:t>
      </w:r>
      <w:r>
        <w:tab/>
        <w:t>Carve Out: Borrowing Cost</w:t>
      </w:r>
    </w:p>
    <w:p w:rsidR="004C1178" w:rsidRDefault="004C1178" w:rsidP="004C1178">
      <w:pPr>
        <w:pStyle w:val="NormalWeb"/>
        <w:spacing w:before="0" w:beforeAutospacing="0" w:after="240" w:afterAutospacing="0"/>
      </w:pPr>
      <w:r>
        <w:t>4.</w:t>
      </w:r>
      <w:r>
        <w:tab/>
        <w:t>Carve Out: Hyper Inflationary Situation</w:t>
      </w:r>
    </w:p>
    <w:p w:rsidR="004C1178" w:rsidRDefault="004C1178" w:rsidP="004C1178">
      <w:pPr>
        <w:pStyle w:val="NormalWeb"/>
        <w:spacing w:before="0" w:beforeAutospacing="0" w:after="240" w:afterAutospacing="0"/>
      </w:pPr>
      <w:r>
        <w:t>5.</w:t>
      </w:r>
      <w:r>
        <w:tab/>
        <w:t>Carve Out: Inventories</w:t>
      </w:r>
    </w:p>
    <w:p w:rsidR="004C1178" w:rsidRDefault="004C1178" w:rsidP="004C1178">
      <w:pPr>
        <w:pStyle w:val="NormalWeb"/>
        <w:spacing w:before="0" w:beforeAutospacing="0" w:after="240" w:afterAutospacing="0"/>
      </w:pPr>
      <w:r>
        <w:t xml:space="preserve">6. </w:t>
      </w:r>
      <w:r>
        <w:tab/>
        <w:t>Carve Out: Disclosure</w:t>
      </w:r>
    </w:p>
    <w:p w:rsidR="004C1178" w:rsidRDefault="004C1178" w:rsidP="004C1178">
      <w:pPr>
        <w:pStyle w:val="NormalWeb"/>
        <w:spacing w:before="0" w:beforeAutospacing="0" w:after="240" w:afterAutospacing="0"/>
      </w:pPr>
      <w:r>
        <w:t xml:space="preserve">7. </w:t>
      </w:r>
      <w:r>
        <w:tab/>
        <w:t>Carve Out: Holding &amp; subsidiaries</w:t>
      </w:r>
    </w:p>
    <w:tbl>
      <w:tblPr>
        <w:tblStyle w:val="TableGrid"/>
        <w:tblW w:w="9464" w:type="dxa"/>
        <w:tblLook w:val="04A0"/>
      </w:tblPr>
      <w:tblGrid>
        <w:gridCol w:w="2298"/>
        <w:gridCol w:w="2303"/>
        <w:gridCol w:w="2737"/>
        <w:gridCol w:w="2126"/>
      </w:tblGrid>
      <w:tr w:rsidR="004C1178" w:rsidTr="00722E35">
        <w:tc>
          <w:tcPr>
            <w:tcW w:w="2298" w:type="dxa"/>
          </w:tcPr>
          <w:p w:rsidR="004C1178" w:rsidRDefault="004C1178" w:rsidP="004C1178">
            <w:pPr>
              <w:pStyle w:val="NormalWeb"/>
              <w:spacing w:before="0" w:beforeAutospacing="0" w:after="240" w:afterAutospacing="0"/>
            </w:pPr>
            <w:r>
              <w:t>SN</w:t>
            </w:r>
          </w:p>
        </w:tc>
        <w:tc>
          <w:tcPr>
            <w:tcW w:w="2303" w:type="dxa"/>
          </w:tcPr>
          <w:p w:rsidR="004C1178" w:rsidRDefault="004C1178" w:rsidP="004C1178">
            <w:pPr>
              <w:pStyle w:val="NormalWeb"/>
              <w:spacing w:before="0" w:beforeAutospacing="0" w:after="240" w:afterAutospacing="0"/>
            </w:pPr>
            <w:r>
              <w:t>Changes</w:t>
            </w:r>
          </w:p>
        </w:tc>
        <w:tc>
          <w:tcPr>
            <w:tcW w:w="2737" w:type="dxa"/>
          </w:tcPr>
          <w:p w:rsidR="004C1178" w:rsidRDefault="004C1178" w:rsidP="004C1178">
            <w:pPr>
              <w:pStyle w:val="NormalWeb"/>
              <w:spacing w:before="0" w:beforeAutospacing="0" w:after="240" w:afterAutospacing="0"/>
            </w:pPr>
            <w:r>
              <w:t>AS 16</w:t>
            </w:r>
          </w:p>
        </w:tc>
        <w:tc>
          <w:tcPr>
            <w:tcW w:w="2126" w:type="dxa"/>
          </w:tcPr>
          <w:p w:rsidR="004C1178" w:rsidRDefault="004C1178" w:rsidP="004C1178">
            <w:pPr>
              <w:pStyle w:val="NormalWeb"/>
              <w:spacing w:before="0" w:beforeAutospacing="0" w:after="240" w:afterAutospacing="0"/>
            </w:pPr>
            <w:r>
              <w:t>IND AS 23</w:t>
            </w:r>
          </w:p>
        </w:tc>
      </w:tr>
      <w:tr w:rsidR="004C1178" w:rsidTr="00722E35">
        <w:tc>
          <w:tcPr>
            <w:tcW w:w="2298" w:type="dxa"/>
          </w:tcPr>
          <w:p w:rsidR="004C1178" w:rsidRDefault="004C1178" w:rsidP="004C1178">
            <w:pPr>
              <w:pStyle w:val="NormalWeb"/>
              <w:spacing w:before="0" w:beforeAutospacing="0" w:after="240" w:afterAutospacing="0"/>
            </w:pPr>
            <w:r>
              <w:t>1</w:t>
            </w:r>
          </w:p>
        </w:tc>
        <w:tc>
          <w:tcPr>
            <w:tcW w:w="2303" w:type="dxa"/>
          </w:tcPr>
          <w:p w:rsidR="004C1178" w:rsidRDefault="004C1178" w:rsidP="004C1178">
            <w:pPr>
              <w:pStyle w:val="NormalWeb"/>
              <w:spacing w:before="0" w:beforeAutospacing="0" w:after="240" w:afterAutospacing="0"/>
            </w:pPr>
            <w:r>
              <w:t>Qualifying Assets</w:t>
            </w:r>
          </w:p>
        </w:tc>
        <w:tc>
          <w:tcPr>
            <w:tcW w:w="2737" w:type="dxa"/>
          </w:tcPr>
          <w:p w:rsidR="004C1178" w:rsidRDefault="004C1178" w:rsidP="00527B0A">
            <w:pPr>
              <w:pStyle w:val="NormalWeb"/>
              <w:spacing w:before="0" w:beforeAutospacing="0" w:after="240" w:afterAutospacing="0"/>
              <w:jc w:val="both"/>
            </w:pPr>
            <w:r>
              <w:t>As per the provision of AS-16, Qualifying Assets may Include Biological Assets because it does not exclude specifically out of coverage.</w:t>
            </w:r>
          </w:p>
        </w:tc>
        <w:tc>
          <w:tcPr>
            <w:tcW w:w="2126" w:type="dxa"/>
          </w:tcPr>
          <w:p w:rsidR="004C1178" w:rsidRDefault="004C1178" w:rsidP="00527B0A">
            <w:pPr>
              <w:pStyle w:val="NormalWeb"/>
              <w:spacing w:before="0" w:beforeAutospacing="0" w:after="240" w:afterAutospacing="0"/>
              <w:jc w:val="both"/>
            </w:pPr>
            <w:r>
              <w:t>As per the</w:t>
            </w:r>
            <w:r w:rsidR="00527B0A">
              <w:t xml:space="preserve"> provision of IND AS 23 Biological assets can’t</w:t>
            </w:r>
            <w:r>
              <w:t xml:space="preserve"> be covered under </w:t>
            </w:r>
            <w:r w:rsidR="00527B0A">
              <w:t>Q-Assets Because These assets are always carried at fair market value as per IND AS 41.</w:t>
            </w:r>
          </w:p>
          <w:p w:rsidR="00527B0A" w:rsidRDefault="00527B0A" w:rsidP="00527B0A">
            <w:pPr>
              <w:pStyle w:val="NormalWeb"/>
              <w:spacing w:before="0" w:beforeAutospacing="0" w:after="0" w:afterAutospacing="0"/>
              <w:jc w:val="both"/>
            </w:pPr>
            <w:r>
              <w:t>Meaning of Biological Assets: A Biological Assets is an animal or plant. It may be in the form of sheep, Goats, Buffalos, Plant, trees, crops.</w:t>
            </w:r>
          </w:p>
          <w:p w:rsidR="00527B0A" w:rsidRDefault="00527B0A" w:rsidP="00527B0A">
            <w:pPr>
              <w:pStyle w:val="NormalWeb"/>
              <w:spacing w:before="0" w:beforeAutospacing="0" w:after="0" w:afterAutospacing="0"/>
              <w:jc w:val="both"/>
            </w:pPr>
            <w:r>
              <w:t xml:space="preserve">Conclusion: It means we can’t </w:t>
            </w:r>
            <w:proofErr w:type="gramStart"/>
            <w:r>
              <w:t>capitalised</w:t>
            </w:r>
            <w:proofErr w:type="gramEnd"/>
            <w:r>
              <w:t xml:space="preserve"> Borrowing cost to the Biological Assets.</w:t>
            </w:r>
          </w:p>
        </w:tc>
      </w:tr>
      <w:tr w:rsidR="004C1178" w:rsidTr="00722E35">
        <w:tc>
          <w:tcPr>
            <w:tcW w:w="2298" w:type="dxa"/>
          </w:tcPr>
          <w:p w:rsidR="004C1178" w:rsidRDefault="004C1178" w:rsidP="004C1178">
            <w:pPr>
              <w:pStyle w:val="NormalWeb"/>
              <w:spacing w:before="0" w:beforeAutospacing="0" w:after="240" w:afterAutospacing="0"/>
            </w:pPr>
            <w:r>
              <w:t>2</w:t>
            </w:r>
          </w:p>
        </w:tc>
        <w:tc>
          <w:tcPr>
            <w:tcW w:w="2303" w:type="dxa"/>
          </w:tcPr>
          <w:p w:rsidR="004C1178" w:rsidRDefault="004C1178" w:rsidP="004C1178">
            <w:pPr>
              <w:pStyle w:val="NormalWeb"/>
              <w:spacing w:before="0" w:beforeAutospacing="0" w:after="240" w:afterAutospacing="0"/>
            </w:pPr>
            <w:r>
              <w:t>Substantial period of Time</w:t>
            </w:r>
          </w:p>
        </w:tc>
        <w:tc>
          <w:tcPr>
            <w:tcW w:w="2737" w:type="dxa"/>
          </w:tcPr>
          <w:p w:rsidR="004C1178" w:rsidRDefault="00527B0A" w:rsidP="00527B0A">
            <w:pPr>
              <w:pStyle w:val="NormalWeb"/>
              <w:spacing w:before="0" w:beforeAutospacing="0" w:after="240" w:afterAutospacing="0"/>
              <w:jc w:val="both"/>
            </w:pPr>
            <w:r>
              <w:t xml:space="preserve">As per the provision of As16 there is specific definition/explanation on the understanding of </w:t>
            </w:r>
            <w:r>
              <w:lastRenderedPageBreak/>
              <w:t>substantial period of time.</w:t>
            </w:r>
          </w:p>
        </w:tc>
        <w:tc>
          <w:tcPr>
            <w:tcW w:w="2126" w:type="dxa"/>
          </w:tcPr>
          <w:p w:rsidR="004C1178" w:rsidRDefault="00A37A1D" w:rsidP="00527B0A">
            <w:pPr>
              <w:pStyle w:val="NormalWeb"/>
              <w:spacing w:before="0" w:beforeAutospacing="0" w:after="240" w:afterAutospacing="0"/>
              <w:jc w:val="both"/>
            </w:pPr>
            <w:r>
              <w:lastRenderedPageBreak/>
              <w:t xml:space="preserve">As per the provision of IND AS 23 It is a matter of judgement. It means that there is </w:t>
            </w:r>
            <w:r>
              <w:lastRenderedPageBreak/>
              <w:t>no specific definition regarding substantial period of time.</w:t>
            </w:r>
          </w:p>
        </w:tc>
      </w:tr>
      <w:tr w:rsidR="004C1178" w:rsidTr="00722E35">
        <w:tc>
          <w:tcPr>
            <w:tcW w:w="2298" w:type="dxa"/>
          </w:tcPr>
          <w:p w:rsidR="004C1178" w:rsidRDefault="004C1178" w:rsidP="004C1178">
            <w:pPr>
              <w:pStyle w:val="NormalWeb"/>
              <w:spacing w:before="0" w:beforeAutospacing="0" w:after="240" w:afterAutospacing="0"/>
            </w:pPr>
            <w:r>
              <w:lastRenderedPageBreak/>
              <w:t>3</w:t>
            </w:r>
          </w:p>
        </w:tc>
        <w:tc>
          <w:tcPr>
            <w:tcW w:w="2303" w:type="dxa"/>
          </w:tcPr>
          <w:p w:rsidR="004C1178" w:rsidRDefault="004C1178" w:rsidP="004C1178">
            <w:pPr>
              <w:pStyle w:val="NormalWeb"/>
              <w:spacing w:before="0" w:beforeAutospacing="0" w:after="240" w:afterAutospacing="0"/>
            </w:pPr>
            <w:r>
              <w:t>Borrowing Cost</w:t>
            </w:r>
          </w:p>
          <w:p w:rsidR="004C1178" w:rsidRDefault="004C1178" w:rsidP="004C1178">
            <w:pPr>
              <w:pStyle w:val="NormalWeb"/>
              <w:spacing w:before="0" w:beforeAutospacing="0" w:after="240" w:afterAutospacing="0"/>
            </w:pPr>
          </w:p>
        </w:tc>
        <w:tc>
          <w:tcPr>
            <w:tcW w:w="2737" w:type="dxa"/>
          </w:tcPr>
          <w:p w:rsidR="00A37A1D" w:rsidRDefault="00A37A1D" w:rsidP="00A37A1D">
            <w:pPr>
              <w:pStyle w:val="NormalWeb"/>
              <w:spacing w:before="0" w:beforeAutospacing="0" w:after="240" w:afterAutospacing="0"/>
              <w:jc w:val="both"/>
            </w:pPr>
            <w:r>
              <w:t xml:space="preserve">As per the provision of AS16 the following items should be included in the meaning of Borrowing Cost:- </w:t>
            </w:r>
          </w:p>
          <w:p w:rsidR="00A37A1D" w:rsidRDefault="00A37A1D" w:rsidP="00A37A1D">
            <w:pPr>
              <w:pStyle w:val="NormalWeb"/>
              <w:spacing w:before="0" w:beforeAutospacing="0" w:after="240" w:afterAutospacing="0"/>
              <w:jc w:val="both"/>
            </w:pPr>
            <w:r>
              <w:t>a) Interest on short/Long term loan</w:t>
            </w:r>
          </w:p>
          <w:p w:rsidR="00A37A1D" w:rsidRDefault="00A37A1D" w:rsidP="00A37A1D">
            <w:pPr>
              <w:pStyle w:val="NormalWeb"/>
              <w:spacing w:before="0" w:beforeAutospacing="0" w:after="240" w:afterAutospacing="0"/>
              <w:jc w:val="both"/>
            </w:pPr>
            <w:r>
              <w:t>b) Amortised part of discount/Premium</w:t>
            </w:r>
          </w:p>
          <w:p w:rsidR="00A37A1D" w:rsidRDefault="00A37A1D" w:rsidP="00A37A1D">
            <w:pPr>
              <w:pStyle w:val="NormalWeb"/>
              <w:spacing w:before="0" w:beforeAutospacing="0" w:after="240" w:afterAutospacing="0"/>
              <w:jc w:val="both"/>
            </w:pPr>
            <w:r>
              <w:t>c) Amortised part of Related Expenses</w:t>
            </w:r>
          </w:p>
          <w:p w:rsidR="00A37A1D" w:rsidRDefault="00A37A1D" w:rsidP="00A37A1D">
            <w:pPr>
              <w:pStyle w:val="NormalWeb"/>
              <w:spacing w:before="0" w:beforeAutospacing="0" w:after="240" w:afterAutospacing="0"/>
              <w:jc w:val="both"/>
            </w:pPr>
            <w:r>
              <w:t>d) Finance CH under Finance lease.</w:t>
            </w:r>
          </w:p>
          <w:p w:rsidR="00A37A1D" w:rsidRDefault="00A37A1D" w:rsidP="00A37A1D">
            <w:pPr>
              <w:pStyle w:val="NormalWeb"/>
              <w:spacing w:before="0" w:beforeAutospacing="0" w:after="240" w:afterAutospacing="0"/>
              <w:jc w:val="both"/>
            </w:pPr>
            <w:r>
              <w:t xml:space="preserve">e)Exchange difference under </w:t>
            </w:r>
            <w:proofErr w:type="spellStart"/>
            <w:r>
              <w:t>para</w:t>
            </w:r>
            <w:proofErr w:type="spellEnd"/>
            <w:r>
              <w:t xml:space="preserve"> 4(e) subject to Interest </w:t>
            </w:r>
            <w:proofErr w:type="spellStart"/>
            <w:r>
              <w:t>adjustement</w:t>
            </w:r>
            <w:proofErr w:type="spellEnd"/>
            <w:r>
              <w:t xml:space="preserve"> </w:t>
            </w:r>
          </w:p>
        </w:tc>
        <w:tc>
          <w:tcPr>
            <w:tcW w:w="2126" w:type="dxa"/>
          </w:tcPr>
          <w:p w:rsidR="00A37A1D" w:rsidRDefault="00A37A1D" w:rsidP="00A37A1D">
            <w:pPr>
              <w:pStyle w:val="NormalWeb"/>
              <w:spacing w:before="0" w:beforeAutospacing="0" w:after="240" w:afterAutospacing="0"/>
              <w:jc w:val="both"/>
            </w:pPr>
            <w:r>
              <w:t xml:space="preserve">As per the provision of </w:t>
            </w:r>
            <w:proofErr w:type="spellStart"/>
            <w:r>
              <w:t>Ind</w:t>
            </w:r>
            <w:proofErr w:type="spellEnd"/>
            <w:r>
              <w:t xml:space="preserve"> AS 23 the following items should be included in the meaning of Borrowing Cost:- </w:t>
            </w:r>
          </w:p>
          <w:p w:rsidR="00A37A1D" w:rsidRDefault="00A37A1D" w:rsidP="00A37A1D">
            <w:pPr>
              <w:pStyle w:val="NormalWeb"/>
              <w:spacing w:before="0" w:beforeAutospacing="0" w:after="240" w:afterAutospacing="0"/>
              <w:jc w:val="both"/>
            </w:pPr>
            <w:proofErr w:type="gramStart"/>
            <w:r w:rsidRPr="00722E35">
              <w:rPr>
                <w:highlight w:val="darkGray"/>
              </w:rPr>
              <w:t>a)</w:t>
            </w:r>
            <w:proofErr w:type="gramEnd"/>
            <w:r w:rsidRPr="00722E35">
              <w:rPr>
                <w:highlight w:val="darkGray"/>
              </w:rPr>
              <w:t>Interest rate as per Effective Interest method</w:t>
            </w:r>
            <w:r>
              <w:t>.</w:t>
            </w:r>
          </w:p>
          <w:p w:rsidR="00A37A1D" w:rsidRDefault="00A37A1D" w:rsidP="00A37A1D">
            <w:pPr>
              <w:pStyle w:val="NormalWeb"/>
              <w:spacing w:before="0" w:beforeAutospacing="0" w:after="240" w:afterAutospacing="0"/>
              <w:jc w:val="both"/>
            </w:pPr>
            <w:r>
              <w:t>b)</w:t>
            </w:r>
            <w:r w:rsidR="00722E35">
              <w:t xml:space="preserve"> Finance CH under Finance lease.</w:t>
            </w:r>
          </w:p>
          <w:p w:rsidR="00722E35" w:rsidRDefault="00722E35" w:rsidP="00A37A1D">
            <w:pPr>
              <w:pStyle w:val="NormalWeb"/>
              <w:spacing w:before="0" w:beforeAutospacing="0" w:after="240" w:afterAutospacing="0"/>
              <w:jc w:val="both"/>
            </w:pPr>
            <w:r>
              <w:t>c)Exchange difference</w:t>
            </w:r>
          </w:p>
          <w:p w:rsidR="004C1178" w:rsidRDefault="00722E35" w:rsidP="004C1178">
            <w:pPr>
              <w:pStyle w:val="NormalWeb"/>
              <w:spacing w:before="0" w:beforeAutospacing="0" w:after="240" w:afterAutospacing="0"/>
            </w:pPr>
            <w:r>
              <w:t>*Effective Interest method should be applied under the guidance of IND AS 109.</w:t>
            </w:r>
          </w:p>
          <w:p w:rsidR="001D0408" w:rsidRDefault="001D0408" w:rsidP="004C1178">
            <w:pPr>
              <w:pStyle w:val="NormalWeb"/>
              <w:spacing w:before="0" w:beforeAutospacing="0" w:after="240" w:afterAutospacing="0"/>
            </w:pPr>
            <w:r>
              <w:t xml:space="preserve">*As per </w:t>
            </w:r>
            <w:proofErr w:type="spellStart"/>
            <w:r>
              <w:t>Ind</w:t>
            </w:r>
            <w:proofErr w:type="spellEnd"/>
            <w:r>
              <w:t xml:space="preserve"> AS 109 Effective Interest rate is IRR.</w:t>
            </w:r>
          </w:p>
        </w:tc>
      </w:tr>
      <w:tr w:rsidR="004C1178" w:rsidTr="00722E35">
        <w:tc>
          <w:tcPr>
            <w:tcW w:w="2298" w:type="dxa"/>
          </w:tcPr>
          <w:p w:rsidR="004C1178" w:rsidRDefault="004C1178" w:rsidP="004C1178">
            <w:pPr>
              <w:pStyle w:val="NormalWeb"/>
              <w:spacing w:before="0" w:beforeAutospacing="0" w:after="240" w:afterAutospacing="0"/>
            </w:pPr>
            <w:r>
              <w:t>4</w:t>
            </w:r>
          </w:p>
        </w:tc>
        <w:tc>
          <w:tcPr>
            <w:tcW w:w="2303" w:type="dxa"/>
          </w:tcPr>
          <w:p w:rsidR="004C1178" w:rsidRDefault="004C1178" w:rsidP="004C1178">
            <w:pPr>
              <w:pStyle w:val="NormalWeb"/>
              <w:spacing w:before="0" w:beforeAutospacing="0" w:after="240" w:afterAutospacing="0"/>
            </w:pPr>
            <w:r>
              <w:t>Hyper Inflationary Situation</w:t>
            </w:r>
          </w:p>
        </w:tc>
        <w:tc>
          <w:tcPr>
            <w:tcW w:w="2737" w:type="dxa"/>
          </w:tcPr>
          <w:p w:rsidR="004C1178" w:rsidRDefault="001D0408" w:rsidP="001D0408">
            <w:pPr>
              <w:pStyle w:val="NormalWeb"/>
              <w:spacing w:before="0" w:beforeAutospacing="0" w:after="240" w:afterAutospacing="0"/>
              <w:jc w:val="both"/>
            </w:pPr>
            <w:r>
              <w:t xml:space="preserve">There is no explanation on inflation in interest rate in the provision of IND AS 16. We can </w:t>
            </w:r>
            <w:proofErr w:type="gramStart"/>
            <w:r>
              <w:t>capitalised</w:t>
            </w:r>
            <w:proofErr w:type="gramEnd"/>
            <w:r>
              <w:t xml:space="preserve"> full interest to the cost of Qualifying Assets. </w:t>
            </w:r>
          </w:p>
        </w:tc>
        <w:tc>
          <w:tcPr>
            <w:tcW w:w="2126" w:type="dxa"/>
          </w:tcPr>
          <w:p w:rsidR="004C1178" w:rsidRDefault="001D0408" w:rsidP="001D0408">
            <w:pPr>
              <w:pStyle w:val="NormalWeb"/>
              <w:spacing w:before="0" w:beforeAutospacing="0" w:after="240" w:afterAutospacing="0"/>
              <w:jc w:val="both"/>
            </w:pPr>
            <w:r>
              <w:t xml:space="preserve">As per the provision of </w:t>
            </w:r>
            <w:proofErr w:type="spellStart"/>
            <w:r>
              <w:t>Ind</w:t>
            </w:r>
            <w:proofErr w:type="spellEnd"/>
            <w:r>
              <w:t xml:space="preserve"> As 23, we should capitalised normal interest only to the cost of Qualifying Assets. If interest cost is increase due to hyper inflationary  situation then the increase in Interest cost should be written off in statement of P/L.</w:t>
            </w:r>
          </w:p>
        </w:tc>
      </w:tr>
      <w:tr w:rsidR="004C1178" w:rsidTr="00722E35">
        <w:tc>
          <w:tcPr>
            <w:tcW w:w="2298" w:type="dxa"/>
          </w:tcPr>
          <w:p w:rsidR="004C1178" w:rsidRDefault="004C1178" w:rsidP="004C1178">
            <w:pPr>
              <w:pStyle w:val="NormalWeb"/>
              <w:spacing w:before="0" w:beforeAutospacing="0" w:after="240" w:afterAutospacing="0"/>
            </w:pPr>
            <w:r>
              <w:lastRenderedPageBreak/>
              <w:t>5</w:t>
            </w:r>
          </w:p>
        </w:tc>
        <w:tc>
          <w:tcPr>
            <w:tcW w:w="2303" w:type="dxa"/>
          </w:tcPr>
          <w:p w:rsidR="004C1178" w:rsidRDefault="004C1178" w:rsidP="004C1178">
            <w:pPr>
              <w:pStyle w:val="NormalWeb"/>
              <w:spacing w:before="0" w:beforeAutospacing="0" w:after="240" w:afterAutospacing="0"/>
            </w:pPr>
            <w:r>
              <w:t>Inventories</w:t>
            </w:r>
          </w:p>
        </w:tc>
        <w:tc>
          <w:tcPr>
            <w:tcW w:w="2737" w:type="dxa"/>
          </w:tcPr>
          <w:p w:rsidR="004C1178" w:rsidRDefault="001D0408" w:rsidP="004C1178">
            <w:pPr>
              <w:pStyle w:val="NormalWeb"/>
              <w:spacing w:before="0" w:beforeAutospacing="0" w:after="240" w:afterAutospacing="0"/>
            </w:pPr>
            <w:r>
              <w:t>As per the provision of As16 Inventories may be Qualifying assets if condition of substantial period is satisfied.</w:t>
            </w:r>
          </w:p>
        </w:tc>
        <w:tc>
          <w:tcPr>
            <w:tcW w:w="2126" w:type="dxa"/>
          </w:tcPr>
          <w:p w:rsidR="004C1178" w:rsidRDefault="001D0408" w:rsidP="001D0408">
            <w:pPr>
              <w:pStyle w:val="NormalWeb"/>
              <w:spacing w:before="0" w:beforeAutospacing="0" w:after="240" w:afterAutospacing="0"/>
            </w:pPr>
            <w:r>
              <w:t>As per the provision of IND AS 23, Inventories which are produce in large quantity should not be considered as Qualifying Assets</w:t>
            </w:r>
            <w:r w:rsidR="00751E43">
              <w:t>. It means that Inventories which are produce in less quantity should be considered as Qualifying assets.</w:t>
            </w:r>
          </w:p>
        </w:tc>
      </w:tr>
      <w:tr w:rsidR="004C1178" w:rsidTr="00722E35">
        <w:tc>
          <w:tcPr>
            <w:tcW w:w="2298" w:type="dxa"/>
          </w:tcPr>
          <w:p w:rsidR="004C1178" w:rsidRDefault="004C1178" w:rsidP="004C1178">
            <w:pPr>
              <w:pStyle w:val="NormalWeb"/>
              <w:spacing w:before="0" w:beforeAutospacing="0" w:after="240" w:afterAutospacing="0"/>
            </w:pPr>
            <w:r>
              <w:t>6</w:t>
            </w:r>
          </w:p>
        </w:tc>
        <w:tc>
          <w:tcPr>
            <w:tcW w:w="2303" w:type="dxa"/>
          </w:tcPr>
          <w:p w:rsidR="004C1178" w:rsidRDefault="004C1178" w:rsidP="004C1178">
            <w:pPr>
              <w:pStyle w:val="NormalWeb"/>
              <w:spacing w:before="0" w:beforeAutospacing="0" w:after="240" w:afterAutospacing="0"/>
            </w:pPr>
            <w:r>
              <w:t>Disclosure</w:t>
            </w:r>
          </w:p>
        </w:tc>
        <w:tc>
          <w:tcPr>
            <w:tcW w:w="2737" w:type="dxa"/>
          </w:tcPr>
          <w:p w:rsidR="004C1178" w:rsidRDefault="00751E43" w:rsidP="004C1178">
            <w:pPr>
              <w:pStyle w:val="NormalWeb"/>
              <w:spacing w:before="0" w:beforeAutospacing="0" w:after="240" w:afterAutospacing="0"/>
            </w:pPr>
            <w:r>
              <w:t>As per the provision of AS 16 separate disclosure of Weighted average capitalisation rate is not mandatory.</w:t>
            </w:r>
          </w:p>
        </w:tc>
        <w:tc>
          <w:tcPr>
            <w:tcW w:w="2126" w:type="dxa"/>
          </w:tcPr>
          <w:p w:rsidR="004C1178" w:rsidRDefault="00751E43" w:rsidP="001D0408">
            <w:pPr>
              <w:pStyle w:val="NormalWeb"/>
              <w:spacing w:before="0" w:beforeAutospacing="0" w:after="240" w:afterAutospacing="0"/>
            </w:pPr>
            <w:r>
              <w:t xml:space="preserve">As per the provision of </w:t>
            </w:r>
            <w:proofErr w:type="spellStart"/>
            <w:r>
              <w:t>Ind</w:t>
            </w:r>
            <w:proofErr w:type="spellEnd"/>
            <w:r>
              <w:t xml:space="preserve"> as 23, the enterprises should also disclosed weighted Average capitalisation rate in Notes to accounts.</w:t>
            </w:r>
          </w:p>
        </w:tc>
      </w:tr>
      <w:tr w:rsidR="004C1178" w:rsidTr="00722E35">
        <w:tc>
          <w:tcPr>
            <w:tcW w:w="2298" w:type="dxa"/>
          </w:tcPr>
          <w:p w:rsidR="004C1178" w:rsidRDefault="004C1178" w:rsidP="004C1178">
            <w:pPr>
              <w:pStyle w:val="NormalWeb"/>
              <w:spacing w:before="0" w:beforeAutospacing="0" w:after="240" w:afterAutospacing="0"/>
            </w:pPr>
            <w:r>
              <w:t>7</w:t>
            </w:r>
          </w:p>
        </w:tc>
        <w:tc>
          <w:tcPr>
            <w:tcW w:w="2303" w:type="dxa"/>
          </w:tcPr>
          <w:p w:rsidR="004C1178" w:rsidRDefault="004C1178" w:rsidP="004C1178">
            <w:pPr>
              <w:pStyle w:val="NormalWeb"/>
              <w:spacing w:before="0" w:beforeAutospacing="0" w:after="240" w:afterAutospacing="0"/>
            </w:pPr>
            <w:r>
              <w:t>Holding &amp; subsidiaries</w:t>
            </w:r>
          </w:p>
        </w:tc>
        <w:tc>
          <w:tcPr>
            <w:tcW w:w="2737" w:type="dxa"/>
          </w:tcPr>
          <w:p w:rsidR="004C1178" w:rsidRDefault="004C1178" w:rsidP="004C1178">
            <w:pPr>
              <w:pStyle w:val="NormalWeb"/>
              <w:spacing w:before="0" w:beforeAutospacing="0" w:after="240" w:afterAutospacing="0"/>
            </w:pPr>
          </w:p>
        </w:tc>
        <w:tc>
          <w:tcPr>
            <w:tcW w:w="2126" w:type="dxa"/>
          </w:tcPr>
          <w:p w:rsidR="004C1178" w:rsidRDefault="00751E43" w:rsidP="004C1178">
            <w:pPr>
              <w:pStyle w:val="NormalWeb"/>
              <w:spacing w:before="0" w:beforeAutospacing="0" w:after="240" w:afterAutospacing="0"/>
            </w:pPr>
            <w:r>
              <w:t xml:space="preserve">In IND AS 23 we should calculate weighted average capitalisation rate on total borrowing of Holding &amp; subsidiaries. There Individual weighted average cost of capitalisation rate shall not be considered in consolidated statement. </w:t>
            </w:r>
          </w:p>
        </w:tc>
      </w:tr>
    </w:tbl>
    <w:p w:rsidR="004C1178" w:rsidRDefault="004C1178" w:rsidP="004C1178">
      <w:pPr>
        <w:pStyle w:val="NormalWeb"/>
        <w:spacing w:before="0" w:beforeAutospacing="0" w:after="240" w:afterAutospacing="0"/>
      </w:pPr>
    </w:p>
    <w:p w:rsidR="00FC6FFC" w:rsidRDefault="00FC6FFC" w:rsidP="004C1178">
      <w:pPr>
        <w:spacing w:after="240"/>
      </w:pPr>
    </w:p>
    <w:sectPr w:rsidR="00FC6FFC" w:rsidSect="00FC6F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D6537"/>
    <w:multiLevelType w:val="hybridMultilevel"/>
    <w:tmpl w:val="563A5E7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E7B5B46"/>
    <w:multiLevelType w:val="hybridMultilevel"/>
    <w:tmpl w:val="4432C2E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EFE1E6D"/>
    <w:multiLevelType w:val="hybridMultilevel"/>
    <w:tmpl w:val="BF84DB6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1178"/>
    <w:rsid w:val="001D0408"/>
    <w:rsid w:val="004C1178"/>
    <w:rsid w:val="00527B0A"/>
    <w:rsid w:val="00722E35"/>
    <w:rsid w:val="00751E43"/>
    <w:rsid w:val="00A37A1D"/>
    <w:rsid w:val="00FC6FF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F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1178"/>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59"/>
    <w:rsid w:val="004C11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73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cp:revision>
  <dcterms:created xsi:type="dcterms:W3CDTF">2017-07-06T04:49:00Z</dcterms:created>
  <dcterms:modified xsi:type="dcterms:W3CDTF">2017-07-06T05:49:00Z</dcterms:modified>
</cp:coreProperties>
</file>