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shd w:val="clear" w:color="auto" w:fill="FFFFFF"/>
        <w:tblCellMar>
          <w:top w:w="30" w:type="dxa"/>
          <w:left w:w="30" w:type="dxa"/>
          <w:bottom w:w="30" w:type="dxa"/>
          <w:right w:w="30" w:type="dxa"/>
        </w:tblCellMar>
        <w:tblLook w:val="04A0"/>
      </w:tblPr>
      <w:tblGrid>
        <w:gridCol w:w="9420"/>
      </w:tblGrid>
      <w:tr w:rsidR="00E445D6" w:rsidRPr="00E445D6" w:rsidTr="00E445D6">
        <w:trPr>
          <w:tblCellSpacing w:w="0" w:type="dxa"/>
        </w:trPr>
        <w:tc>
          <w:tcPr>
            <w:tcW w:w="0" w:type="auto"/>
            <w:shd w:val="clear" w:color="auto" w:fill="FFFFFF"/>
            <w:vAlign w:val="center"/>
            <w:hideMark/>
          </w:tcPr>
          <w:p w:rsidR="00E445D6" w:rsidRPr="00E445D6" w:rsidRDefault="00E445D6" w:rsidP="00E445D6">
            <w:pPr>
              <w:spacing w:after="0" w:line="192" w:lineRule="atLeast"/>
              <w:rPr>
                <w:rFonts w:ascii="Arial" w:eastAsia="Times New Roman" w:hAnsi="Arial" w:cs="Arial"/>
                <w:color w:val="000000"/>
                <w:sz w:val="12"/>
                <w:szCs w:val="12"/>
                <w:lang w:bidi="hi-IN"/>
              </w:rPr>
            </w:pPr>
            <w:r w:rsidRPr="00E445D6">
              <w:rPr>
                <w:rFonts w:ascii="Arial" w:eastAsia="Times New Roman" w:hAnsi="Arial" w:cs="Arial"/>
                <w:b/>
                <w:bCs/>
                <w:color w:val="000000"/>
                <w:sz w:val="12"/>
                <w:lang w:bidi="hi-IN"/>
              </w:rPr>
              <w:t>Disclosure of Accounting Policies:</w:t>
            </w:r>
            <w:r w:rsidRPr="00E445D6">
              <w:rPr>
                <w:rFonts w:ascii="Arial" w:eastAsia="Times New Roman" w:hAnsi="Arial" w:cs="Arial"/>
                <w:color w:val="000000"/>
                <w:sz w:val="12"/>
                <w:lang w:bidi="hi-IN"/>
              </w:rPr>
              <w:t> </w:t>
            </w:r>
            <w:r w:rsidRPr="00E445D6">
              <w:rPr>
                <w:rFonts w:ascii="Arial" w:eastAsia="Times New Roman" w:hAnsi="Arial" w:cs="Arial"/>
                <w:color w:val="000000"/>
                <w:sz w:val="12"/>
                <w:szCs w:val="12"/>
                <w:lang w:bidi="hi-IN"/>
              </w:rPr>
              <w:t>Accounting Policies refer to specific accounting principles and the method of applying those principles adopted by the enterprises in preparation and presentation of the financial statements.</w:t>
            </w:r>
            <w:bookmarkStart w:id="0" w:name="2"/>
            <w:bookmarkEnd w:id="0"/>
          </w:p>
        </w:tc>
      </w:tr>
      <w:tr w:rsidR="00E445D6" w:rsidRPr="00E445D6" w:rsidTr="00E445D6">
        <w:trPr>
          <w:tblCellSpacing w:w="0" w:type="dxa"/>
        </w:trPr>
        <w:tc>
          <w:tcPr>
            <w:tcW w:w="0" w:type="auto"/>
            <w:shd w:val="clear" w:color="auto" w:fill="FFFFFF"/>
            <w:vAlign w:val="center"/>
            <w:hideMark/>
          </w:tcPr>
          <w:p w:rsidR="00E445D6" w:rsidRPr="00E445D6" w:rsidRDefault="00E445D6" w:rsidP="00E445D6">
            <w:pPr>
              <w:spacing w:after="0" w:line="192" w:lineRule="atLeast"/>
              <w:rPr>
                <w:rFonts w:ascii="Arial" w:eastAsia="Times New Roman" w:hAnsi="Arial" w:cs="Arial"/>
                <w:color w:val="000000"/>
                <w:sz w:val="12"/>
                <w:szCs w:val="12"/>
                <w:lang w:bidi="hi-IN"/>
              </w:rPr>
            </w:pPr>
          </w:p>
        </w:tc>
      </w:tr>
      <w:tr w:rsidR="00E445D6" w:rsidRPr="00E445D6" w:rsidTr="00E445D6">
        <w:trPr>
          <w:tblCellSpacing w:w="0" w:type="dxa"/>
        </w:trPr>
        <w:tc>
          <w:tcPr>
            <w:tcW w:w="0" w:type="auto"/>
            <w:shd w:val="clear" w:color="auto" w:fill="FFFFFF"/>
            <w:vAlign w:val="center"/>
            <w:hideMark/>
          </w:tcPr>
          <w:p w:rsidR="00E445D6" w:rsidRPr="00E445D6" w:rsidRDefault="00E445D6" w:rsidP="00E445D6">
            <w:pPr>
              <w:spacing w:after="0" w:line="192" w:lineRule="atLeast"/>
              <w:rPr>
                <w:rFonts w:ascii="Arial" w:eastAsia="Times New Roman" w:hAnsi="Arial" w:cs="Arial"/>
                <w:color w:val="000000"/>
                <w:sz w:val="12"/>
                <w:szCs w:val="12"/>
                <w:lang w:bidi="hi-IN"/>
              </w:rPr>
            </w:pPr>
            <w:r w:rsidRPr="00E445D6">
              <w:rPr>
                <w:rFonts w:ascii="Arial" w:eastAsia="Times New Roman" w:hAnsi="Arial" w:cs="Arial"/>
                <w:b/>
                <w:bCs/>
                <w:color w:val="000000"/>
                <w:sz w:val="12"/>
                <w:lang w:bidi="hi-IN"/>
              </w:rPr>
              <w:t>Valuation of Inventories:</w:t>
            </w:r>
            <w:r w:rsidRPr="00E445D6">
              <w:rPr>
                <w:rFonts w:ascii="Arial" w:eastAsia="Times New Roman" w:hAnsi="Arial" w:cs="Arial"/>
                <w:color w:val="000000"/>
                <w:sz w:val="12"/>
                <w:lang w:bidi="hi-IN"/>
              </w:rPr>
              <w:t> </w:t>
            </w:r>
            <w:r w:rsidRPr="00E445D6">
              <w:rPr>
                <w:rFonts w:ascii="Arial" w:eastAsia="Times New Roman" w:hAnsi="Arial" w:cs="Arial"/>
                <w:color w:val="000000"/>
                <w:sz w:val="12"/>
                <w:szCs w:val="12"/>
                <w:lang w:bidi="hi-IN"/>
              </w:rPr>
              <w:t>The objective of this standard is to formulate the method of computation of cost of inventories / stock, determine the value of closing stock / inventory at which the inventory is to be shown in balance sheet till it is not sold and recognized as revenue.</w:t>
            </w:r>
            <w:bookmarkStart w:id="1" w:name="3"/>
            <w:bookmarkEnd w:id="1"/>
          </w:p>
        </w:tc>
      </w:tr>
      <w:tr w:rsidR="00E445D6" w:rsidRPr="00E445D6" w:rsidTr="00E445D6">
        <w:trPr>
          <w:tblCellSpacing w:w="0" w:type="dxa"/>
        </w:trPr>
        <w:tc>
          <w:tcPr>
            <w:tcW w:w="0" w:type="auto"/>
            <w:shd w:val="clear" w:color="auto" w:fill="FFFFFF"/>
            <w:vAlign w:val="center"/>
            <w:hideMark/>
          </w:tcPr>
          <w:p w:rsidR="00E445D6" w:rsidRPr="00E445D6" w:rsidRDefault="00E445D6" w:rsidP="00E445D6">
            <w:pPr>
              <w:spacing w:after="0" w:line="192" w:lineRule="atLeast"/>
              <w:rPr>
                <w:rFonts w:ascii="Arial" w:eastAsia="Times New Roman" w:hAnsi="Arial" w:cs="Arial"/>
                <w:color w:val="000000"/>
                <w:sz w:val="12"/>
                <w:szCs w:val="12"/>
                <w:lang w:bidi="hi-IN"/>
              </w:rPr>
            </w:pPr>
          </w:p>
        </w:tc>
      </w:tr>
      <w:tr w:rsidR="00E445D6" w:rsidRPr="00E445D6" w:rsidTr="00E445D6">
        <w:trPr>
          <w:tblCellSpacing w:w="0" w:type="dxa"/>
        </w:trPr>
        <w:tc>
          <w:tcPr>
            <w:tcW w:w="0" w:type="auto"/>
            <w:shd w:val="clear" w:color="auto" w:fill="FFFFFF"/>
            <w:vAlign w:val="center"/>
            <w:hideMark/>
          </w:tcPr>
          <w:p w:rsidR="00E445D6" w:rsidRPr="00E445D6" w:rsidRDefault="00E445D6" w:rsidP="00E445D6">
            <w:pPr>
              <w:spacing w:after="0" w:line="192" w:lineRule="atLeast"/>
              <w:rPr>
                <w:rFonts w:ascii="Arial" w:eastAsia="Times New Roman" w:hAnsi="Arial" w:cs="Arial"/>
                <w:color w:val="000000"/>
                <w:sz w:val="12"/>
                <w:szCs w:val="12"/>
                <w:lang w:bidi="hi-IN"/>
              </w:rPr>
            </w:pPr>
            <w:r w:rsidRPr="00E445D6">
              <w:rPr>
                <w:rFonts w:ascii="Arial" w:eastAsia="Times New Roman" w:hAnsi="Arial" w:cs="Arial"/>
                <w:b/>
                <w:bCs/>
                <w:color w:val="000000"/>
                <w:sz w:val="12"/>
                <w:lang w:bidi="hi-IN"/>
              </w:rPr>
              <w:t>Cash Flow Statements:</w:t>
            </w:r>
            <w:r w:rsidRPr="00E445D6">
              <w:rPr>
                <w:rFonts w:ascii="Arial" w:eastAsia="Times New Roman" w:hAnsi="Arial" w:cs="Arial"/>
                <w:color w:val="000000"/>
                <w:sz w:val="12"/>
                <w:lang w:bidi="hi-IN"/>
              </w:rPr>
              <w:t> </w:t>
            </w:r>
            <w:r w:rsidRPr="00E445D6">
              <w:rPr>
                <w:rFonts w:ascii="Arial" w:eastAsia="Times New Roman" w:hAnsi="Arial" w:cs="Arial"/>
                <w:color w:val="000000"/>
                <w:sz w:val="12"/>
                <w:szCs w:val="12"/>
                <w:lang w:bidi="hi-IN"/>
              </w:rPr>
              <w:t>Cash flow statement is additional information to user of financial statement. This statement exhibits the flow of incoming and outgoing cash. This statement assesses the ability of the enterprise to generate cash and to utilize the cash. This statement is one of the tools for assessing the liquidity and solvency of the enterprise.</w:t>
            </w:r>
            <w:bookmarkStart w:id="2" w:name="4"/>
            <w:bookmarkEnd w:id="2"/>
          </w:p>
        </w:tc>
      </w:tr>
      <w:tr w:rsidR="00E445D6" w:rsidRPr="00E445D6" w:rsidTr="00E445D6">
        <w:trPr>
          <w:tblCellSpacing w:w="0" w:type="dxa"/>
        </w:trPr>
        <w:tc>
          <w:tcPr>
            <w:tcW w:w="0" w:type="auto"/>
            <w:shd w:val="clear" w:color="auto" w:fill="FFFFFF"/>
            <w:vAlign w:val="center"/>
            <w:hideMark/>
          </w:tcPr>
          <w:p w:rsidR="00E445D6" w:rsidRPr="00E445D6" w:rsidRDefault="00E445D6" w:rsidP="00E445D6">
            <w:pPr>
              <w:spacing w:after="0" w:line="192" w:lineRule="atLeast"/>
              <w:rPr>
                <w:rFonts w:ascii="Arial" w:eastAsia="Times New Roman" w:hAnsi="Arial" w:cs="Arial"/>
                <w:color w:val="000000"/>
                <w:sz w:val="12"/>
                <w:szCs w:val="12"/>
                <w:lang w:bidi="hi-IN"/>
              </w:rPr>
            </w:pPr>
          </w:p>
        </w:tc>
      </w:tr>
      <w:tr w:rsidR="00E445D6" w:rsidRPr="00E445D6" w:rsidTr="00E445D6">
        <w:trPr>
          <w:tblCellSpacing w:w="0" w:type="dxa"/>
        </w:trPr>
        <w:tc>
          <w:tcPr>
            <w:tcW w:w="0" w:type="auto"/>
            <w:shd w:val="clear" w:color="auto" w:fill="FFFFFF"/>
            <w:vAlign w:val="center"/>
            <w:hideMark/>
          </w:tcPr>
          <w:p w:rsidR="00E445D6" w:rsidRPr="00E445D6" w:rsidRDefault="00E445D6" w:rsidP="00E445D6">
            <w:pPr>
              <w:spacing w:before="100" w:beforeAutospacing="1" w:after="100" w:afterAutospacing="1" w:line="192" w:lineRule="atLeast"/>
              <w:rPr>
                <w:rFonts w:ascii="Arial" w:eastAsia="Times New Roman" w:hAnsi="Arial" w:cs="Arial"/>
                <w:color w:val="000000"/>
                <w:sz w:val="12"/>
                <w:szCs w:val="12"/>
                <w:lang w:bidi="hi-IN"/>
              </w:rPr>
            </w:pPr>
            <w:proofErr w:type="spellStart"/>
            <w:r w:rsidRPr="00E445D6">
              <w:rPr>
                <w:rFonts w:ascii="Arial" w:eastAsia="Times New Roman" w:hAnsi="Arial" w:cs="Arial"/>
                <w:b/>
                <w:bCs/>
                <w:color w:val="000000"/>
                <w:sz w:val="12"/>
                <w:lang w:bidi="hi-IN"/>
              </w:rPr>
              <w:t>Contigencies</w:t>
            </w:r>
            <w:proofErr w:type="spellEnd"/>
            <w:r w:rsidRPr="00E445D6">
              <w:rPr>
                <w:rFonts w:ascii="Arial" w:eastAsia="Times New Roman" w:hAnsi="Arial" w:cs="Arial"/>
                <w:b/>
                <w:bCs/>
                <w:color w:val="000000"/>
                <w:sz w:val="12"/>
                <w:lang w:bidi="hi-IN"/>
              </w:rPr>
              <w:t xml:space="preserve"> and Events </w:t>
            </w:r>
            <w:proofErr w:type="spellStart"/>
            <w:r w:rsidRPr="00E445D6">
              <w:rPr>
                <w:rFonts w:ascii="Arial" w:eastAsia="Times New Roman" w:hAnsi="Arial" w:cs="Arial"/>
                <w:b/>
                <w:bCs/>
                <w:color w:val="000000"/>
                <w:sz w:val="12"/>
                <w:lang w:bidi="hi-IN"/>
              </w:rPr>
              <w:t>occuring</w:t>
            </w:r>
            <w:proofErr w:type="spellEnd"/>
            <w:r w:rsidRPr="00E445D6">
              <w:rPr>
                <w:rFonts w:ascii="Arial" w:eastAsia="Times New Roman" w:hAnsi="Arial" w:cs="Arial"/>
                <w:b/>
                <w:bCs/>
                <w:color w:val="000000"/>
                <w:sz w:val="12"/>
                <w:lang w:bidi="hi-IN"/>
              </w:rPr>
              <w:t xml:space="preserve"> after the balance sheet date:</w:t>
            </w:r>
            <w:r w:rsidRPr="00E445D6">
              <w:rPr>
                <w:rFonts w:ascii="Arial" w:eastAsia="Times New Roman" w:hAnsi="Arial" w:cs="Arial"/>
                <w:color w:val="000000"/>
                <w:sz w:val="12"/>
                <w:lang w:bidi="hi-IN"/>
              </w:rPr>
              <w:t> </w:t>
            </w:r>
            <w:r w:rsidRPr="00E445D6">
              <w:rPr>
                <w:rFonts w:ascii="Arial" w:eastAsia="Times New Roman" w:hAnsi="Arial" w:cs="Arial"/>
                <w:color w:val="000000"/>
                <w:sz w:val="12"/>
                <w:szCs w:val="12"/>
                <w:lang w:bidi="hi-IN"/>
              </w:rPr>
              <w:t xml:space="preserve">In preparing financial statement of a particular enterprise, accounting is done by following accrual basis of accounting and prudent accounting policies to calculate the profit or loss for the year and to recognize assets and liabilities in balance sheet. While following the prudent accounting policies, the provision is made for all known liabilities and losses even for those liabilities / events, which are probable. Professional </w:t>
            </w:r>
            <w:proofErr w:type="spellStart"/>
            <w:r w:rsidRPr="00E445D6">
              <w:rPr>
                <w:rFonts w:ascii="Arial" w:eastAsia="Times New Roman" w:hAnsi="Arial" w:cs="Arial"/>
                <w:color w:val="000000"/>
                <w:sz w:val="12"/>
                <w:szCs w:val="12"/>
                <w:lang w:bidi="hi-IN"/>
              </w:rPr>
              <w:t>judgement</w:t>
            </w:r>
            <w:proofErr w:type="spellEnd"/>
            <w:r w:rsidRPr="00E445D6">
              <w:rPr>
                <w:rFonts w:ascii="Arial" w:eastAsia="Times New Roman" w:hAnsi="Arial" w:cs="Arial"/>
                <w:color w:val="000000"/>
                <w:sz w:val="12"/>
                <w:szCs w:val="12"/>
                <w:lang w:bidi="hi-IN"/>
              </w:rPr>
              <w:t xml:space="preserve"> is required to classify the </w:t>
            </w:r>
            <w:proofErr w:type="spellStart"/>
            <w:r w:rsidRPr="00E445D6">
              <w:rPr>
                <w:rFonts w:ascii="Arial" w:eastAsia="Times New Roman" w:hAnsi="Arial" w:cs="Arial"/>
                <w:color w:val="000000"/>
                <w:sz w:val="12"/>
                <w:szCs w:val="12"/>
                <w:lang w:bidi="hi-IN"/>
              </w:rPr>
              <w:t>likehood</w:t>
            </w:r>
            <w:proofErr w:type="spellEnd"/>
            <w:r w:rsidRPr="00E445D6">
              <w:rPr>
                <w:rFonts w:ascii="Arial" w:eastAsia="Times New Roman" w:hAnsi="Arial" w:cs="Arial"/>
                <w:color w:val="000000"/>
                <w:sz w:val="12"/>
                <w:szCs w:val="12"/>
                <w:lang w:bidi="hi-IN"/>
              </w:rPr>
              <w:t xml:space="preserve"> of the future events </w:t>
            </w:r>
            <w:proofErr w:type="spellStart"/>
            <w:r w:rsidRPr="00E445D6">
              <w:rPr>
                <w:rFonts w:ascii="Arial" w:eastAsia="Times New Roman" w:hAnsi="Arial" w:cs="Arial"/>
                <w:color w:val="000000"/>
                <w:sz w:val="12"/>
                <w:szCs w:val="12"/>
                <w:lang w:bidi="hi-IN"/>
              </w:rPr>
              <w:t>occuring</w:t>
            </w:r>
            <w:proofErr w:type="spellEnd"/>
            <w:r w:rsidRPr="00E445D6">
              <w:rPr>
                <w:rFonts w:ascii="Arial" w:eastAsia="Times New Roman" w:hAnsi="Arial" w:cs="Arial"/>
                <w:color w:val="000000"/>
                <w:sz w:val="12"/>
                <w:szCs w:val="12"/>
                <w:lang w:bidi="hi-IN"/>
              </w:rPr>
              <w:t xml:space="preserve"> and, therefore, the question of contingencies and their accounting arises.</w:t>
            </w:r>
          </w:p>
          <w:p w:rsidR="00E445D6" w:rsidRPr="00E445D6" w:rsidRDefault="00E445D6" w:rsidP="00E445D6">
            <w:pPr>
              <w:spacing w:before="100" w:beforeAutospacing="1" w:after="100" w:afterAutospacing="1" w:line="192" w:lineRule="atLeast"/>
              <w:rPr>
                <w:rFonts w:ascii="Arial" w:eastAsia="Times New Roman" w:hAnsi="Arial" w:cs="Arial"/>
                <w:color w:val="000000"/>
                <w:sz w:val="12"/>
                <w:szCs w:val="12"/>
                <w:lang w:bidi="hi-IN"/>
              </w:rPr>
            </w:pPr>
            <w:r w:rsidRPr="00E445D6">
              <w:rPr>
                <w:rFonts w:ascii="Arial" w:eastAsia="Times New Roman" w:hAnsi="Arial" w:cs="Arial"/>
                <w:color w:val="000000"/>
                <w:sz w:val="12"/>
                <w:szCs w:val="12"/>
                <w:lang w:bidi="hi-IN"/>
              </w:rPr>
              <w:t xml:space="preserve">Objective of this standard is to prescribe the accounting of </w:t>
            </w:r>
            <w:proofErr w:type="spellStart"/>
            <w:r w:rsidRPr="00E445D6">
              <w:rPr>
                <w:rFonts w:ascii="Arial" w:eastAsia="Times New Roman" w:hAnsi="Arial" w:cs="Arial"/>
                <w:color w:val="000000"/>
                <w:sz w:val="12"/>
                <w:szCs w:val="12"/>
                <w:lang w:bidi="hi-IN"/>
              </w:rPr>
              <w:t>contigencies</w:t>
            </w:r>
            <w:proofErr w:type="spellEnd"/>
            <w:r w:rsidRPr="00E445D6">
              <w:rPr>
                <w:rFonts w:ascii="Arial" w:eastAsia="Times New Roman" w:hAnsi="Arial" w:cs="Arial"/>
                <w:color w:val="000000"/>
                <w:sz w:val="12"/>
                <w:szCs w:val="12"/>
                <w:lang w:bidi="hi-IN"/>
              </w:rPr>
              <w:t xml:space="preserve"> and the events, which take place after the balance sheet date but before approval of balance sheet by Board of Directors. The Accounting Standard deals with Contingencies and Events </w:t>
            </w:r>
            <w:proofErr w:type="spellStart"/>
            <w:r w:rsidRPr="00E445D6">
              <w:rPr>
                <w:rFonts w:ascii="Arial" w:eastAsia="Times New Roman" w:hAnsi="Arial" w:cs="Arial"/>
                <w:color w:val="000000"/>
                <w:sz w:val="12"/>
                <w:szCs w:val="12"/>
                <w:lang w:bidi="hi-IN"/>
              </w:rPr>
              <w:t>occuring</w:t>
            </w:r>
            <w:proofErr w:type="spellEnd"/>
            <w:r w:rsidRPr="00E445D6">
              <w:rPr>
                <w:rFonts w:ascii="Arial" w:eastAsia="Times New Roman" w:hAnsi="Arial" w:cs="Arial"/>
                <w:color w:val="000000"/>
                <w:sz w:val="12"/>
                <w:szCs w:val="12"/>
                <w:lang w:bidi="hi-IN"/>
              </w:rPr>
              <w:t xml:space="preserve"> after the balance sheet date.</w:t>
            </w:r>
            <w:bookmarkStart w:id="3" w:name="5"/>
            <w:bookmarkEnd w:id="3"/>
          </w:p>
        </w:tc>
      </w:tr>
      <w:tr w:rsidR="00E445D6" w:rsidRPr="00E445D6" w:rsidTr="00E445D6">
        <w:trPr>
          <w:tblCellSpacing w:w="0" w:type="dxa"/>
        </w:trPr>
        <w:tc>
          <w:tcPr>
            <w:tcW w:w="0" w:type="auto"/>
            <w:shd w:val="clear" w:color="auto" w:fill="FFFFFF"/>
            <w:vAlign w:val="center"/>
            <w:hideMark/>
          </w:tcPr>
          <w:p w:rsidR="00E445D6" w:rsidRPr="00E445D6" w:rsidRDefault="00E445D6" w:rsidP="00E445D6">
            <w:pPr>
              <w:spacing w:after="0" w:line="192" w:lineRule="atLeast"/>
              <w:rPr>
                <w:rFonts w:ascii="Arial" w:eastAsia="Times New Roman" w:hAnsi="Arial" w:cs="Arial"/>
                <w:color w:val="000000"/>
                <w:sz w:val="12"/>
                <w:szCs w:val="12"/>
                <w:lang w:bidi="hi-IN"/>
              </w:rPr>
            </w:pPr>
          </w:p>
        </w:tc>
      </w:tr>
      <w:tr w:rsidR="00E445D6" w:rsidRPr="00E445D6" w:rsidTr="00E445D6">
        <w:trPr>
          <w:tblCellSpacing w:w="0" w:type="dxa"/>
        </w:trPr>
        <w:tc>
          <w:tcPr>
            <w:tcW w:w="0" w:type="auto"/>
            <w:shd w:val="clear" w:color="auto" w:fill="FFFFFF"/>
            <w:vAlign w:val="center"/>
            <w:hideMark/>
          </w:tcPr>
          <w:p w:rsidR="00E445D6" w:rsidRPr="00E445D6" w:rsidRDefault="00E445D6" w:rsidP="00E445D6">
            <w:pPr>
              <w:spacing w:after="0" w:line="192" w:lineRule="atLeast"/>
              <w:rPr>
                <w:rFonts w:ascii="Arial" w:eastAsia="Times New Roman" w:hAnsi="Arial" w:cs="Arial"/>
                <w:color w:val="000000"/>
                <w:sz w:val="12"/>
                <w:szCs w:val="12"/>
                <w:lang w:bidi="hi-IN"/>
              </w:rPr>
            </w:pPr>
            <w:r w:rsidRPr="00E445D6">
              <w:rPr>
                <w:rFonts w:ascii="Arial" w:eastAsia="Times New Roman" w:hAnsi="Arial" w:cs="Arial"/>
                <w:b/>
                <w:bCs/>
                <w:color w:val="000000"/>
                <w:sz w:val="12"/>
                <w:lang w:bidi="hi-IN"/>
              </w:rPr>
              <w:t xml:space="preserve">Net Profit or Loss for the Period, Prior Period Items and change in Accounting </w:t>
            </w:r>
            <w:proofErr w:type="gramStart"/>
            <w:r w:rsidRPr="00E445D6">
              <w:rPr>
                <w:rFonts w:ascii="Arial" w:eastAsia="Times New Roman" w:hAnsi="Arial" w:cs="Arial"/>
                <w:b/>
                <w:bCs/>
                <w:color w:val="000000"/>
                <w:sz w:val="12"/>
                <w:lang w:bidi="hi-IN"/>
              </w:rPr>
              <w:t>Policies :</w:t>
            </w:r>
            <w:proofErr w:type="gramEnd"/>
            <w:r w:rsidRPr="00E445D6">
              <w:rPr>
                <w:rFonts w:ascii="Arial" w:eastAsia="Times New Roman" w:hAnsi="Arial" w:cs="Arial"/>
                <w:color w:val="000000"/>
                <w:sz w:val="12"/>
                <w:lang w:bidi="hi-IN"/>
              </w:rPr>
              <w:t> </w:t>
            </w:r>
            <w:r w:rsidRPr="00E445D6">
              <w:rPr>
                <w:rFonts w:ascii="Arial" w:eastAsia="Times New Roman" w:hAnsi="Arial" w:cs="Arial"/>
                <w:color w:val="000000"/>
                <w:sz w:val="12"/>
                <w:szCs w:val="12"/>
                <w:lang w:bidi="hi-IN"/>
              </w:rPr>
              <w:t>The objective of this accounting standard is to prescribe the criteria for certain items in the profit and loss account so that comparability of the financial statement can be enhanced. Profit and loss account being a period statement covers the items of the income and expenditure of the particular period. This accounting standard also deals with change in accounting policy, accounting estimates and extraordinary items.</w:t>
            </w:r>
            <w:bookmarkStart w:id="4" w:name="6"/>
            <w:bookmarkEnd w:id="4"/>
          </w:p>
        </w:tc>
      </w:tr>
      <w:tr w:rsidR="00E445D6" w:rsidRPr="00E445D6" w:rsidTr="00E445D6">
        <w:trPr>
          <w:tblCellSpacing w:w="0" w:type="dxa"/>
        </w:trPr>
        <w:tc>
          <w:tcPr>
            <w:tcW w:w="0" w:type="auto"/>
            <w:shd w:val="clear" w:color="auto" w:fill="FFFFFF"/>
            <w:vAlign w:val="center"/>
            <w:hideMark/>
          </w:tcPr>
          <w:p w:rsidR="00E445D6" w:rsidRPr="00E445D6" w:rsidRDefault="00E445D6" w:rsidP="00E445D6">
            <w:pPr>
              <w:spacing w:after="0" w:line="192" w:lineRule="atLeast"/>
              <w:rPr>
                <w:rFonts w:ascii="Arial" w:eastAsia="Times New Roman" w:hAnsi="Arial" w:cs="Arial"/>
                <w:color w:val="000000"/>
                <w:sz w:val="12"/>
                <w:szCs w:val="12"/>
                <w:lang w:bidi="hi-IN"/>
              </w:rPr>
            </w:pPr>
          </w:p>
        </w:tc>
      </w:tr>
      <w:tr w:rsidR="00E445D6" w:rsidRPr="00E445D6" w:rsidTr="00E445D6">
        <w:trPr>
          <w:tblCellSpacing w:w="0" w:type="dxa"/>
        </w:trPr>
        <w:tc>
          <w:tcPr>
            <w:tcW w:w="0" w:type="auto"/>
            <w:shd w:val="clear" w:color="auto" w:fill="FFFFFF"/>
            <w:vAlign w:val="center"/>
            <w:hideMark/>
          </w:tcPr>
          <w:p w:rsidR="00E445D6" w:rsidRPr="00E445D6" w:rsidRDefault="00E445D6" w:rsidP="00E445D6">
            <w:pPr>
              <w:spacing w:after="0" w:line="192" w:lineRule="atLeast"/>
              <w:rPr>
                <w:rFonts w:ascii="Arial" w:eastAsia="Times New Roman" w:hAnsi="Arial" w:cs="Arial"/>
                <w:color w:val="000000"/>
                <w:sz w:val="12"/>
                <w:szCs w:val="12"/>
                <w:lang w:bidi="hi-IN"/>
              </w:rPr>
            </w:pPr>
            <w:r w:rsidRPr="00E445D6">
              <w:rPr>
                <w:rFonts w:ascii="Arial" w:eastAsia="Times New Roman" w:hAnsi="Arial" w:cs="Arial"/>
                <w:b/>
                <w:bCs/>
                <w:color w:val="000000"/>
                <w:sz w:val="12"/>
                <w:lang w:bidi="hi-IN"/>
              </w:rPr>
              <w:t xml:space="preserve">Depreciation </w:t>
            </w:r>
            <w:proofErr w:type="gramStart"/>
            <w:r w:rsidRPr="00E445D6">
              <w:rPr>
                <w:rFonts w:ascii="Arial" w:eastAsia="Times New Roman" w:hAnsi="Arial" w:cs="Arial"/>
                <w:b/>
                <w:bCs/>
                <w:color w:val="000000"/>
                <w:sz w:val="12"/>
                <w:lang w:bidi="hi-IN"/>
              </w:rPr>
              <w:t>Accounting :</w:t>
            </w:r>
            <w:proofErr w:type="gramEnd"/>
            <w:r w:rsidRPr="00E445D6">
              <w:rPr>
                <w:rFonts w:ascii="Arial" w:eastAsia="Times New Roman" w:hAnsi="Arial" w:cs="Arial"/>
                <w:color w:val="000000"/>
                <w:sz w:val="12"/>
                <w:lang w:bidi="hi-IN"/>
              </w:rPr>
              <w:t> </w:t>
            </w:r>
            <w:r w:rsidRPr="00E445D6">
              <w:rPr>
                <w:rFonts w:ascii="Arial" w:eastAsia="Times New Roman" w:hAnsi="Arial" w:cs="Arial"/>
                <w:color w:val="000000"/>
                <w:sz w:val="12"/>
                <w:szCs w:val="12"/>
                <w:lang w:bidi="hi-IN"/>
              </w:rPr>
              <w:t>It is a measure of wearing out, consumption or other loss of value of a depreciable asset arising from use, passage of time. Depreciation is nothing but distribution of total cost of asset over its useful life.</w:t>
            </w:r>
            <w:bookmarkStart w:id="5" w:name="7"/>
            <w:bookmarkEnd w:id="5"/>
          </w:p>
        </w:tc>
      </w:tr>
      <w:tr w:rsidR="00E445D6" w:rsidRPr="00E445D6" w:rsidTr="00E445D6">
        <w:trPr>
          <w:tblCellSpacing w:w="0" w:type="dxa"/>
        </w:trPr>
        <w:tc>
          <w:tcPr>
            <w:tcW w:w="0" w:type="auto"/>
            <w:shd w:val="clear" w:color="auto" w:fill="FFFFFF"/>
            <w:vAlign w:val="center"/>
            <w:hideMark/>
          </w:tcPr>
          <w:p w:rsidR="00E445D6" w:rsidRPr="00E445D6" w:rsidRDefault="00E445D6" w:rsidP="00E445D6">
            <w:pPr>
              <w:spacing w:after="0" w:line="192" w:lineRule="atLeast"/>
              <w:rPr>
                <w:rFonts w:ascii="Arial" w:eastAsia="Times New Roman" w:hAnsi="Arial" w:cs="Arial"/>
                <w:color w:val="000000"/>
                <w:sz w:val="12"/>
                <w:szCs w:val="12"/>
                <w:lang w:bidi="hi-IN"/>
              </w:rPr>
            </w:pPr>
          </w:p>
        </w:tc>
      </w:tr>
      <w:tr w:rsidR="00E445D6" w:rsidRPr="00E445D6" w:rsidTr="00E445D6">
        <w:trPr>
          <w:tblCellSpacing w:w="0" w:type="dxa"/>
        </w:trPr>
        <w:tc>
          <w:tcPr>
            <w:tcW w:w="0" w:type="auto"/>
            <w:shd w:val="clear" w:color="auto" w:fill="FFFFFF"/>
            <w:vAlign w:val="center"/>
            <w:hideMark/>
          </w:tcPr>
          <w:p w:rsidR="00E445D6" w:rsidRPr="00E445D6" w:rsidRDefault="00E445D6" w:rsidP="00E445D6">
            <w:pPr>
              <w:spacing w:after="0" w:line="192" w:lineRule="atLeast"/>
              <w:rPr>
                <w:rFonts w:ascii="Arial" w:eastAsia="Times New Roman" w:hAnsi="Arial" w:cs="Arial"/>
                <w:color w:val="000000"/>
                <w:sz w:val="12"/>
                <w:szCs w:val="12"/>
                <w:lang w:bidi="hi-IN"/>
              </w:rPr>
            </w:pPr>
            <w:r w:rsidRPr="00E445D6">
              <w:rPr>
                <w:rFonts w:ascii="Arial" w:eastAsia="Times New Roman" w:hAnsi="Arial" w:cs="Arial"/>
                <w:b/>
                <w:bCs/>
                <w:color w:val="000000"/>
                <w:sz w:val="12"/>
                <w:lang w:bidi="hi-IN"/>
              </w:rPr>
              <w:t xml:space="preserve">Construction </w:t>
            </w:r>
            <w:proofErr w:type="gramStart"/>
            <w:r w:rsidRPr="00E445D6">
              <w:rPr>
                <w:rFonts w:ascii="Arial" w:eastAsia="Times New Roman" w:hAnsi="Arial" w:cs="Arial"/>
                <w:b/>
                <w:bCs/>
                <w:color w:val="000000"/>
                <w:sz w:val="12"/>
                <w:lang w:bidi="hi-IN"/>
              </w:rPr>
              <w:t>Contracts :</w:t>
            </w:r>
            <w:proofErr w:type="gramEnd"/>
            <w:r w:rsidRPr="00E445D6">
              <w:rPr>
                <w:rFonts w:ascii="Arial" w:eastAsia="Times New Roman" w:hAnsi="Arial" w:cs="Arial"/>
                <w:color w:val="000000"/>
                <w:sz w:val="12"/>
                <w:lang w:bidi="hi-IN"/>
              </w:rPr>
              <w:t> </w:t>
            </w:r>
            <w:r w:rsidRPr="00E445D6">
              <w:rPr>
                <w:rFonts w:ascii="Arial" w:eastAsia="Times New Roman" w:hAnsi="Arial" w:cs="Arial"/>
                <w:color w:val="000000"/>
                <w:sz w:val="12"/>
                <w:szCs w:val="12"/>
                <w:lang w:bidi="hi-IN"/>
              </w:rPr>
              <w:t>Accounting for long term construction contracts involves question as to when revenue should be recognized and how to measure the revenue in the books of contractor. As the period of construction contract is long, work of construction starts in one year and is completed in another year or after 4-5 years or so. Therefore question arises how the profit or loss of construction contract by contractor should be determined. There may be following two ways to determine profit or loss: On year-to-year basis based on percentage of completion or On completion of the contract.</w:t>
            </w:r>
            <w:bookmarkStart w:id="6" w:name="8"/>
            <w:bookmarkEnd w:id="6"/>
          </w:p>
        </w:tc>
      </w:tr>
      <w:tr w:rsidR="00E445D6" w:rsidRPr="00E445D6" w:rsidTr="00E445D6">
        <w:trPr>
          <w:tblCellSpacing w:w="0" w:type="dxa"/>
        </w:trPr>
        <w:tc>
          <w:tcPr>
            <w:tcW w:w="0" w:type="auto"/>
            <w:shd w:val="clear" w:color="auto" w:fill="FFFFFF"/>
            <w:vAlign w:val="center"/>
            <w:hideMark/>
          </w:tcPr>
          <w:p w:rsidR="00E445D6" w:rsidRPr="00E445D6" w:rsidRDefault="00E445D6" w:rsidP="00E445D6">
            <w:pPr>
              <w:spacing w:after="0" w:line="192" w:lineRule="atLeast"/>
              <w:rPr>
                <w:rFonts w:ascii="Arial" w:eastAsia="Times New Roman" w:hAnsi="Arial" w:cs="Arial"/>
                <w:color w:val="000000"/>
                <w:sz w:val="12"/>
                <w:szCs w:val="12"/>
                <w:lang w:bidi="hi-IN"/>
              </w:rPr>
            </w:pPr>
          </w:p>
        </w:tc>
      </w:tr>
      <w:tr w:rsidR="00E445D6" w:rsidRPr="00E445D6" w:rsidTr="00E445D6">
        <w:trPr>
          <w:tblCellSpacing w:w="0" w:type="dxa"/>
        </w:trPr>
        <w:tc>
          <w:tcPr>
            <w:tcW w:w="0" w:type="auto"/>
            <w:shd w:val="clear" w:color="auto" w:fill="FFFFFF"/>
            <w:vAlign w:val="center"/>
            <w:hideMark/>
          </w:tcPr>
          <w:p w:rsidR="00E445D6" w:rsidRPr="00E445D6" w:rsidRDefault="00E445D6" w:rsidP="00E445D6">
            <w:pPr>
              <w:spacing w:after="0" w:line="192" w:lineRule="atLeast"/>
              <w:rPr>
                <w:rFonts w:ascii="Arial" w:eastAsia="Times New Roman" w:hAnsi="Arial" w:cs="Arial"/>
                <w:color w:val="000000"/>
                <w:sz w:val="12"/>
                <w:szCs w:val="12"/>
                <w:lang w:bidi="hi-IN"/>
              </w:rPr>
            </w:pPr>
            <w:r w:rsidRPr="00E445D6">
              <w:rPr>
                <w:rFonts w:ascii="Arial" w:eastAsia="Times New Roman" w:hAnsi="Arial" w:cs="Arial"/>
                <w:b/>
                <w:bCs/>
                <w:color w:val="000000"/>
                <w:sz w:val="12"/>
                <w:lang w:bidi="hi-IN"/>
              </w:rPr>
              <w:t xml:space="preserve">Revenue </w:t>
            </w:r>
            <w:proofErr w:type="gramStart"/>
            <w:r w:rsidRPr="00E445D6">
              <w:rPr>
                <w:rFonts w:ascii="Arial" w:eastAsia="Times New Roman" w:hAnsi="Arial" w:cs="Arial"/>
                <w:b/>
                <w:bCs/>
                <w:color w:val="000000"/>
                <w:sz w:val="12"/>
                <w:lang w:bidi="hi-IN"/>
              </w:rPr>
              <w:t>Recognition :</w:t>
            </w:r>
            <w:proofErr w:type="gramEnd"/>
            <w:r w:rsidRPr="00E445D6">
              <w:rPr>
                <w:rFonts w:ascii="Arial" w:eastAsia="Times New Roman" w:hAnsi="Arial" w:cs="Arial"/>
                <w:color w:val="000000"/>
                <w:sz w:val="12"/>
                <w:lang w:bidi="hi-IN"/>
              </w:rPr>
              <w:t> </w:t>
            </w:r>
            <w:r w:rsidRPr="00E445D6">
              <w:rPr>
                <w:rFonts w:ascii="Arial" w:eastAsia="Times New Roman" w:hAnsi="Arial" w:cs="Arial"/>
                <w:color w:val="000000"/>
                <w:sz w:val="12"/>
                <w:szCs w:val="12"/>
                <w:lang w:bidi="hi-IN"/>
              </w:rPr>
              <w:t xml:space="preserve">The standard explains as to when the revenue should be recognized in profit and loss account and also states the circumstances in which revenue recognition can be postponed. Revenue means gross inflow of cash, receivable or other consideration arising in the course of ordinary activities of an enterprise such as:- The sale of goods, Rendering of Services, and Use of enterprises resources by other </w:t>
            </w:r>
            <w:proofErr w:type="spellStart"/>
            <w:r w:rsidRPr="00E445D6">
              <w:rPr>
                <w:rFonts w:ascii="Arial" w:eastAsia="Times New Roman" w:hAnsi="Arial" w:cs="Arial"/>
                <w:color w:val="000000"/>
                <w:sz w:val="12"/>
                <w:szCs w:val="12"/>
                <w:lang w:bidi="hi-IN"/>
              </w:rPr>
              <w:t>yeilding</w:t>
            </w:r>
            <w:proofErr w:type="spellEnd"/>
            <w:r w:rsidRPr="00E445D6">
              <w:rPr>
                <w:rFonts w:ascii="Arial" w:eastAsia="Times New Roman" w:hAnsi="Arial" w:cs="Arial"/>
                <w:color w:val="000000"/>
                <w:sz w:val="12"/>
                <w:szCs w:val="12"/>
                <w:lang w:bidi="hi-IN"/>
              </w:rPr>
              <w:t xml:space="preserve"> interest, dividend and royalties. In other words, revenue is a charge made to customers / clients for goods supplied and services rendered.</w:t>
            </w:r>
            <w:bookmarkStart w:id="7" w:name="9"/>
            <w:bookmarkEnd w:id="7"/>
          </w:p>
        </w:tc>
      </w:tr>
      <w:tr w:rsidR="00E445D6" w:rsidRPr="00E445D6" w:rsidTr="00E445D6">
        <w:trPr>
          <w:tblCellSpacing w:w="0" w:type="dxa"/>
        </w:trPr>
        <w:tc>
          <w:tcPr>
            <w:tcW w:w="0" w:type="auto"/>
            <w:shd w:val="clear" w:color="auto" w:fill="FFFFFF"/>
            <w:vAlign w:val="center"/>
            <w:hideMark/>
          </w:tcPr>
          <w:p w:rsidR="00E445D6" w:rsidRPr="00E445D6" w:rsidRDefault="00E445D6" w:rsidP="00E445D6">
            <w:pPr>
              <w:spacing w:after="0" w:line="192" w:lineRule="atLeast"/>
              <w:rPr>
                <w:rFonts w:ascii="Arial" w:eastAsia="Times New Roman" w:hAnsi="Arial" w:cs="Arial"/>
                <w:color w:val="000000"/>
                <w:sz w:val="12"/>
                <w:szCs w:val="12"/>
                <w:lang w:bidi="hi-IN"/>
              </w:rPr>
            </w:pPr>
          </w:p>
        </w:tc>
      </w:tr>
      <w:tr w:rsidR="00E445D6" w:rsidRPr="00E445D6" w:rsidTr="00E445D6">
        <w:trPr>
          <w:tblCellSpacing w:w="0" w:type="dxa"/>
        </w:trPr>
        <w:tc>
          <w:tcPr>
            <w:tcW w:w="0" w:type="auto"/>
            <w:shd w:val="clear" w:color="auto" w:fill="FFFFFF"/>
            <w:vAlign w:val="center"/>
            <w:hideMark/>
          </w:tcPr>
          <w:p w:rsidR="00E445D6" w:rsidRPr="00E445D6" w:rsidRDefault="00E445D6" w:rsidP="00E445D6">
            <w:pPr>
              <w:spacing w:after="0" w:line="192" w:lineRule="atLeast"/>
              <w:rPr>
                <w:rFonts w:ascii="Arial" w:eastAsia="Times New Roman" w:hAnsi="Arial" w:cs="Arial"/>
                <w:color w:val="000000"/>
                <w:sz w:val="12"/>
                <w:szCs w:val="12"/>
                <w:lang w:bidi="hi-IN"/>
              </w:rPr>
            </w:pPr>
            <w:r w:rsidRPr="00E445D6">
              <w:rPr>
                <w:rFonts w:ascii="Arial" w:eastAsia="Times New Roman" w:hAnsi="Arial" w:cs="Arial"/>
                <w:b/>
                <w:bCs/>
                <w:color w:val="000000"/>
                <w:sz w:val="12"/>
                <w:lang w:bidi="hi-IN"/>
              </w:rPr>
              <w:t xml:space="preserve">Accounting for Fixed </w:t>
            </w:r>
            <w:proofErr w:type="gramStart"/>
            <w:r w:rsidRPr="00E445D6">
              <w:rPr>
                <w:rFonts w:ascii="Arial" w:eastAsia="Times New Roman" w:hAnsi="Arial" w:cs="Arial"/>
                <w:b/>
                <w:bCs/>
                <w:color w:val="000000"/>
                <w:sz w:val="12"/>
                <w:lang w:bidi="hi-IN"/>
              </w:rPr>
              <w:t>Assets :</w:t>
            </w:r>
            <w:proofErr w:type="gramEnd"/>
            <w:r w:rsidRPr="00E445D6">
              <w:rPr>
                <w:rFonts w:ascii="Arial" w:eastAsia="Times New Roman" w:hAnsi="Arial" w:cs="Arial"/>
                <w:color w:val="000000"/>
                <w:sz w:val="12"/>
                <w:lang w:bidi="hi-IN"/>
              </w:rPr>
              <w:t> </w:t>
            </w:r>
            <w:r w:rsidRPr="00E445D6">
              <w:rPr>
                <w:rFonts w:ascii="Arial" w:eastAsia="Times New Roman" w:hAnsi="Arial" w:cs="Arial"/>
                <w:color w:val="000000"/>
                <w:sz w:val="12"/>
                <w:szCs w:val="12"/>
                <w:lang w:bidi="hi-IN"/>
              </w:rPr>
              <w:t>It is an asset, which is:- Held with intention of being used for the purpose of producing or providing goods and services. Not held for sale in the normal course of business. Expected to be used for more than one accounting period.</w:t>
            </w:r>
            <w:bookmarkStart w:id="8" w:name="10"/>
            <w:bookmarkEnd w:id="8"/>
          </w:p>
        </w:tc>
      </w:tr>
      <w:tr w:rsidR="00E445D6" w:rsidRPr="00E445D6" w:rsidTr="00E445D6">
        <w:trPr>
          <w:tblCellSpacing w:w="0" w:type="dxa"/>
        </w:trPr>
        <w:tc>
          <w:tcPr>
            <w:tcW w:w="0" w:type="auto"/>
            <w:shd w:val="clear" w:color="auto" w:fill="FFFFFF"/>
            <w:vAlign w:val="center"/>
            <w:hideMark/>
          </w:tcPr>
          <w:p w:rsidR="00E445D6" w:rsidRPr="00E445D6" w:rsidRDefault="00E445D6" w:rsidP="00E445D6">
            <w:pPr>
              <w:spacing w:after="0" w:line="192" w:lineRule="atLeast"/>
              <w:rPr>
                <w:rFonts w:ascii="Arial" w:eastAsia="Times New Roman" w:hAnsi="Arial" w:cs="Arial"/>
                <w:color w:val="000000"/>
                <w:sz w:val="12"/>
                <w:szCs w:val="12"/>
                <w:lang w:bidi="hi-IN"/>
              </w:rPr>
            </w:pPr>
          </w:p>
        </w:tc>
      </w:tr>
      <w:tr w:rsidR="00E445D6" w:rsidRPr="00E445D6" w:rsidTr="00E445D6">
        <w:trPr>
          <w:tblCellSpacing w:w="0" w:type="dxa"/>
        </w:trPr>
        <w:tc>
          <w:tcPr>
            <w:tcW w:w="0" w:type="auto"/>
            <w:shd w:val="clear" w:color="auto" w:fill="FFFFFF"/>
            <w:vAlign w:val="center"/>
            <w:hideMark/>
          </w:tcPr>
          <w:p w:rsidR="00E445D6" w:rsidRPr="00E445D6" w:rsidRDefault="00E445D6" w:rsidP="00E445D6">
            <w:pPr>
              <w:spacing w:before="100" w:beforeAutospacing="1" w:after="100" w:afterAutospacing="1" w:line="192" w:lineRule="atLeast"/>
              <w:rPr>
                <w:rFonts w:ascii="Arial" w:eastAsia="Times New Roman" w:hAnsi="Arial" w:cs="Arial"/>
                <w:color w:val="000000"/>
                <w:sz w:val="12"/>
                <w:szCs w:val="12"/>
                <w:lang w:bidi="hi-IN"/>
              </w:rPr>
            </w:pPr>
            <w:r w:rsidRPr="00E445D6">
              <w:rPr>
                <w:rFonts w:ascii="Arial" w:eastAsia="Times New Roman" w:hAnsi="Arial" w:cs="Arial"/>
                <w:b/>
                <w:bCs/>
                <w:color w:val="000000"/>
                <w:sz w:val="12"/>
                <w:lang w:bidi="hi-IN"/>
              </w:rPr>
              <w:t xml:space="preserve">The Effects of changes in Foreign Exchange </w:t>
            </w:r>
            <w:proofErr w:type="gramStart"/>
            <w:r w:rsidRPr="00E445D6">
              <w:rPr>
                <w:rFonts w:ascii="Arial" w:eastAsia="Times New Roman" w:hAnsi="Arial" w:cs="Arial"/>
                <w:b/>
                <w:bCs/>
                <w:color w:val="000000"/>
                <w:sz w:val="12"/>
                <w:lang w:bidi="hi-IN"/>
              </w:rPr>
              <w:t>Rates :</w:t>
            </w:r>
            <w:proofErr w:type="gramEnd"/>
            <w:r w:rsidRPr="00E445D6">
              <w:rPr>
                <w:rFonts w:ascii="Arial" w:eastAsia="Times New Roman" w:hAnsi="Arial" w:cs="Arial"/>
                <w:color w:val="000000"/>
                <w:sz w:val="12"/>
                <w:lang w:bidi="hi-IN"/>
              </w:rPr>
              <w:t> </w:t>
            </w:r>
            <w:r w:rsidRPr="00E445D6">
              <w:rPr>
                <w:rFonts w:ascii="Arial" w:eastAsia="Times New Roman" w:hAnsi="Arial" w:cs="Arial"/>
                <w:color w:val="000000"/>
                <w:sz w:val="12"/>
                <w:szCs w:val="12"/>
                <w:lang w:bidi="hi-IN"/>
              </w:rPr>
              <w:t xml:space="preserve">Effect of Changes in Foreign Exchange Rate shall be applicable in Respect of Accounting Period commencing on or after 01-04-2004 and is mandatory in nature. This accounting Standard applicable to accounting for transaction in Foreign currencies in translating in the Financial Statement Of foreign operation Integral as well as non- integral and also accounting for </w:t>
            </w:r>
            <w:proofErr w:type="spellStart"/>
            <w:r w:rsidRPr="00E445D6">
              <w:rPr>
                <w:rFonts w:ascii="Arial" w:eastAsia="Times New Roman" w:hAnsi="Arial" w:cs="Arial"/>
                <w:color w:val="000000"/>
                <w:sz w:val="12"/>
                <w:szCs w:val="12"/>
                <w:lang w:bidi="hi-IN"/>
              </w:rPr>
              <w:t>For</w:t>
            </w:r>
            <w:proofErr w:type="spellEnd"/>
            <w:r w:rsidRPr="00E445D6">
              <w:rPr>
                <w:rFonts w:ascii="Arial" w:eastAsia="Times New Roman" w:hAnsi="Arial" w:cs="Arial"/>
                <w:color w:val="000000"/>
                <w:sz w:val="12"/>
                <w:szCs w:val="12"/>
                <w:lang w:bidi="hi-IN"/>
              </w:rPr>
              <w:t xml:space="preserve"> forward </w:t>
            </w:r>
            <w:proofErr w:type="spellStart"/>
            <w:r w:rsidRPr="00E445D6">
              <w:rPr>
                <w:rFonts w:ascii="Arial" w:eastAsia="Times New Roman" w:hAnsi="Arial" w:cs="Arial"/>
                <w:color w:val="000000"/>
                <w:sz w:val="12"/>
                <w:szCs w:val="12"/>
                <w:lang w:bidi="hi-IN"/>
              </w:rPr>
              <w:t>exchange.Effect</w:t>
            </w:r>
            <w:proofErr w:type="spellEnd"/>
            <w:r w:rsidRPr="00E445D6">
              <w:rPr>
                <w:rFonts w:ascii="Arial" w:eastAsia="Times New Roman" w:hAnsi="Arial" w:cs="Arial"/>
                <w:color w:val="000000"/>
                <w:sz w:val="12"/>
                <w:szCs w:val="12"/>
                <w:lang w:bidi="hi-IN"/>
              </w:rPr>
              <w:t xml:space="preserve"> of Changes in Foreign Exchange Rate, an enterprises should disclose following aspects:</w:t>
            </w:r>
          </w:p>
          <w:p w:rsidR="00E445D6" w:rsidRPr="00E445D6" w:rsidRDefault="00E445D6" w:rsidP="00E445D6">
            <w:pPr>
              <w:numPr>
                <w:ilvl w:val="0"/>
                <w:numId w:val="1"/>
              </w:numPr>
              <w:spacing w:before="100" w:beforeAutospacing="1" w:after="100" w:afterAutospacing="1" w:line="192" w:lineRule="atLeast"/>
              <w:rPr>
                <w:rFonts w:ascii="Arial" w:eastAsia="Times New Roman" w:hAnsi="Arial" w:cs="Arial"/>
                <w:color w:val="000000"/>
                <w:sz w:val="12"/>
                <w:szCs w:val="12"/>
                <w:lang w:bidi="hi-IN"/>
              </w:rPr>
            </w:pPr>
            <w:r w:rsidRPr="00E445D6">
              <w:rPr>
                <w:rFonts w:ascii="Arial" w:eastAsia="Times New Roman" w:hAnsi="Arial" w:cs="Arial"/>
                <w:color w:val="000000"/>
                <w:sz w:val="12"/>
                <w:szCs w:val="12"/>
                <w:lang w:bidi="hi-IN"/>
              </w:rPr>
              <w:t>Amount Exchange Difference included in Net profit or Loss;</w:t>
            </w:r>
          </w:p>
          <w:p w:rsidR="00E445D6" w:rsidRPr="00E445D6" w:rsidRDefault="00E445D6" w:rsidP="00E445D6">
            <w:pPr>
              <w:numPr>
                <w:ilvl w:val="0"/>
                <w:numId w:val="1"/>
              </w:numPr>
              <w:spacing w:before="100" w:beforeAutospacing="1" w:after="100" w:afterAutospacing="1" w:line="192" w:lineRule="atLeast"/>
              <w:rPr>
                <w:rFonts w:ascii="Arial" w:eastAsia="Times New Roman" w:hAnsi="Arial" w:cs="Arial"/>
                <w:color w:val="000000"/>
                <w:sz w:val="12"/>
                <w:szCs w:val="12"/>
                <w:lang w:bidi="hi-IN"/>
              </w:rPr>
            </w:pPr>
            <w:r w:rsidRPr="00E445D6">
              <w:rPr>
                <w:rFonts w:ascii="Arial" w:eastAsia="Times New Roman" w:hAnsi="Arial" w:cs="Arial"/>
                <w:color w:val="000000"/>
                <w:sz w:val="12"/>
                <w:szCs w:val="12"/>
                <w:lang w:bidi="hi-IN"/>
              </w:rPr>
              <w:t>Amount accumulated in foreign exchange translation reserve;</w:t>
            </w:r>
          </w:p>
          <w:p w:rsidR="00E445D6" w:rsidRPr="00E445D6" w:rsidRDefault="00E445D6" w:rsidP="00E445D6">
            <w:pPr>
              <w:numPr>
                <w:ilvl w:val="0"/>
                <w:numId w:val="1"/>
              </w:numPr>
              <w:spacing w:before="100" w:beforeAutospacing="1" w:after="100" w:afterAutospacing="1" w:line="192" w:lineRule="atLeast"/>
              <w:rPr>
                <w:rFonts w:ascii="Arial" w:eastAsia="Times New Roman" w:hAnsi="Arial" w:cs="Arial"/>
                <w:color w:val="000000"/>
                <w:sz w:val="12"/>
                <w:szCs w:val="12"/>
                <w:lang w:bidi="hi-IN"/>
              </w:rPr>
            </w:pPr>
            <w:r w:rsidRPr="00E445D6">
              <w:rPr>
                <w:rFonts w:ascii="Arial" w:eastAsia="Times New Roman" w:hAnsi="Arial" w:cs="Arial"/>
                <w:color w:val="000000"/>
                <w:sz w:val="12"/>
                <w:szCs w:val="12"/>
                <w:lang w:bidi="hi-IN"/>
              </w:rPr>
              <w:t>Reconciliation of opening and closing balance of Foreign Exchange translation reserve;</w:t>
            </w:r>
            <w:bookmarkStart w:id="9" w:name="11"/>
            <w:bookmarkEnd w:id="9"/>
          </w:p>
        </w:tc>
      </w:tr>
      <w:tr w:rsidR="00E445D6" w:rsidRPr="00E445D6" w:rsidTr="00E445D6">
        <w:trPr>
          <w:tblCellSpacing w:w="0" w:type="dxa"/>
        </w:trPr>
        <w:tc>
          <w:tcPr>
            <w:tcW w:w="0" w:type="auto"/>
            <w:shd w:val="clear" w:color="auto" w:fill="FFFFFF"/>
            <w:vAlign w:val="center"/>
            <w:hideMark/>
          </w:tcPr>
          <w:p w:rsidR="00E445D6" w:rsidRPr="00E445D6" w:rsidRDefault="00E445D6" w:rsidP="00E445D6">
            <w:pPr>
              <w:spacing w:after="0" w:line="192" w:lineRule="atLeast"/>
              <w:rPr>
                <w:rFonts w:ascii="Arial" w:eastAsia="Times New Roman" w:hAnsi="Arial" w:cs="Arial"/>
                <w:color w:val="000000"/>
                <w:sz w:val="12"/>
                <w:szCs w:val="12"/>
                <w:lang w:bidi="hi-IN"/>
              </w:rPr>
            </w:pPr>
          </w:p>
        </w:tc>
      </w:tr>
      <w:tr w:rsidR="00E445D6" w:rsidRPr="00E445D6" w:rsidTr="00E445D6">
        <w:trPr>
          <w:tblCellSpacing w:w="0" w:type="dxa"/>
        </w:trPr>
        <w:tc>
          <w:tcPr>
            <w:tcW w:w="0" w:type="auto"/>
            <w:shd w:val="clear" w:color="auto" w:fill="FFFFFF"/>
            <w:vAlign w:val="center"/>
            <w:hideMark/>
          </w:tcPr>
          <w:p w:rsidR="00E445D6" w:rsidRPr="00E445D6" w:rsidRDefault="00E445D6" w:rsidP="00E445D6">
            <w:pPr>
              <w:spacing w:after="0" w:line="192" w:lineRule="atLeast"/>
              <w:rPr>
                <w:rFonts w:ascii="Arial" w:eastAsia="Times New Roman" w:hAnsi="Arial" w:cs="Arial"/>
                <w:color w:val="000000"/>
                <w:sz w:val="12"/>
                <w:szCs w:val="12"/>
                <w:lang w:bidi="hi-IN"/>
              </w:rPr>
            </w:pPr>
            <w:r w:rsidRPr="00E445D6">
              <w:rPr>
                <w:rFonts w:ascii="Arial" w:eastAsia="Times New Roman" w:hAnsi="Arial" w:cs="Arial"/>
                <w:b/>
                <w:bCs/>
                <w:color w:val="000000"/>
                <w:sz w:val="12"/>
                <w:lang w:bidi="hi-IN"/>
              </w:rPr>
              <w:t xml:space="preserve">Accounting for Government </w:t>
            </w:r>
            <w:proofErr w:type="gramStart"/>
            <w:r w:rsidRPr="00E445D6">
              <w:rPr>
                <w:rFonts w:ascii="Arial" w:eastAsia="Times New Roman" w:hAnsi="Arial" w:cs="Arial"/>
                <w:b/>
                <w:bCs/>
                <w:color w:val="000000"/>
                <w:sz w:val="12"/>
                <w:lang w:bidi="hi-IN"/>
              </w:rPr>
              <w:t>Grants :</w:t>
            </w:r>
            <w:proofErr w:type="gramEnd"/>
            <w:r w:rsidRPr="00E445D6">
              <w:rPr>
                <w:rFonts w:ascii="Arial" w:eastAsia="Times New Roman" w:hAnsi="Arial" w:cs="Arial"/>
                <w:color w:val="000000"/>
                <w:sz w:val="12"/>
                <w:lang w:bidi="hi-IN"/>
              </w:rPr>
              <w:t> </w:t>
            </w:r>
            <w:proofErr w:type="spellStart"/>
            <w:r w:rsidRPr="00E445D6">
              <w:rPr>
                <w:rFonts w:ascii="Arial" w:eastAsia="Times New Roman" w:hAnsi="Arial" w:cs="Arial"/>
                <w:color w:val="000000"/>
                <w:sz w:val="12"/>
                <w:szCs w:val="12"/>
                <w:lang w:bidi="hi-IN"/>
              </w:rPr>
              <w:t>Governement</w:t>
            </w:r>
            <w:proofErr w:type="spellEnd"/>
            <w:r w:rsidRPr="00E445D6">
              <w:rPr>
                <w:rFonts w:ascii="Arial" w:eastAsia="Times New Roman" w:hAnsi="Arial" w:cs="Arial"/>
                <w:color w:val="000000"/>
                <w:sz w:val="12"/>
                <w:szCs w:val="12"/>
                <w:lang w:bidi="hi-IN"/>
              </w:rPr>
              <w:t xml:space="preserve"> Grants are assistance by the Govt. in the form of cash or kind to an enterprise in return for past or future compliance with certain conditions. Government assistance, which cannot be valued reasonably, is excluded from Govt. grants</w:t>
            </w:r>
            <w:proofErr w:type="gramStart"/>
            <w:r w:rsidRPr="00E445D6">
              <w:rPr>
                <w:rFonts w:ascii="Arial" w:eastAsia="Times New Roman" w:hAnsi="Arial" w:cs="Arial"/>
                <w:color w:val="000000"/>
                <w:sz w:val="12"/>
                <w:szCs w:val="12"/>
                <w:lang w:bidi="hi-IN"/>
              </w:rPr>
              <w:t>,.</w:t>
            </w:r>
            <w:proofErr w:type="gramEnd"/>
            <w:r w:rsidRPr="00E445D6">
              <w:rPr>
                <w:rFonts w:ascii="Arial" w:eastAsia="Times New Roman" w:hAnsi="Arial" w:cs="Arial"/>
                <w:color w:val="000000"/>
                <w:sz w:val="12"/>
                <w:szCs w:val="12"/>
                <w:lang w:bidi="hi-IN"/>
              </w:rPr>
              <w:t xml:space="preserve"> Those transactions with </w:t>
            </w:r>
            <w:proofErr w:type="spellStart"/>
            <w:r w:rsidRPr="00E445D6">
              <w:rPr>
                <w:rFonts w:ascii="Arial" w:eastAsia="Times New Roman" w:hAnsi="Arial" w:cs="Arial"/>
                <w:color w:val="000000"/>
                <w:sz w:val="12"/>
                <w:szCs w:val="12"/>
                <w:lang w:bidi="hi-IN"/>
              </w:rPr>
              <w:t>Governement</w:t>
            </w:r>
            <w:proofErr w:type="spellEnd"/>
            <w:r w:rsidRPr="00E445D6">
              <w:rPr>
                <w:rFonts w:ascii="Arial" w:eastAsia="Times New Roman" w:hAnsi="Arial" w:cs="Arial"/>
                <w:color w:val="000000"/>
                <w:sz w:val="12"/>
                <w:szCs w:val="12"/>
                <w:lang w:bidi="hi-IN"/>
              </w:rPr>
              <w:t>, which cannot be distinguished from the normal trading transactions of the enterprise, are not considered as Government grants.</w:t>
            </w:r>
            <w:bookmarkStart w:id="10" w:name="12"/>
            <w:bookmarkEnd w:id="10"/>
          </w:p>
        </w:tc>
      </w:tr>
      <w:tr w:rsidR="00E445D6" w:rsidRPr="00E445D6" w:rsidTr="00E445D6">
        <w:trPr>
          <w:tblCellSpacing w:w="0" w:type="dxa"/>
        </w:trPr>
        <w:tc>
          <w:tcPr>
            <w:tcW w:w="0" w:type="auto"/>
            <w:shd w:val="clear" w:color="auto" w:fill="FFFFFF"/>
            <w:vAlign w:val="center"/>
            <w:hideMark/>
          </w:tcPr>
          <w:p w:rsidR="00E445D6" w:rsidRPr="00E445D6" w:rsidRDefault="00E445D6" w:rsidP="00E445D6">
            <w:pPr>
              <w:spacing w:after="0" w:line="192" w:lineRule="atLeast"/>
              <w:rPr>
                <w:rFonts w:ascii="Arial" w:eastAsia="Times New Roman" w:hAnsi="Arial" w:cs="Arial"/>
                <w:color w:val="000000"/>
                <w:sz w:val="12"/>
                <w:szCs w:val="12"/>
                <w:lang w:bidi="hi-IN"/>
              </w:rPr>
            </w:pPr>
          </w:p>
        </w:tc>
      </w:tr>
      <w:tr w:rsidR="00E445D6" w:rsidRPr="00E445D6" w:rsidTr="00E445D6">
        <w:trPr>
          <w:tblCellSpacing w:w="0" w:type="dxa"/>
        </w:trPr>
        <w:tc>
          <w:tcPr>
            <w:tcW w:w="0" w:type="auto"/>
            <w:shd w:val="clear" w:color="auto" w:fill="FFFFFF"/>
            <w:vAlign w:val="center"/>
            <w:hideMark/>
          </w:tcPr>
          <w:p w:rsidR="00E445D6" w:rsidRPr="00E445D6" w:rsidRDefault="00E445D6" w:rsidP="00E445D6">
            <w:pPr>
              <w:spacing w:after="0" w:line="192" w:lineRule="atLeast"/>
              <w:rPr>
                <w:rFonts w:ascii="Arial" w:eastAsia="Times New Roman" w:hAnsi="Arial" w:cs="Arial"/>
                <w:color w:val="000000"/>
                <w:sz w:val="12"/>
                <w:szCs w:val="12"/>
                <w:lang w:bidi="hi-IN"/>
              </w:rPr>
            </w:pPr>
            <w:r w:rsidRPr="00E445D6">
              <w:rPr>
                <w:rFonts w:ascii="Arial" w:eastAsia="Times New Roman" w:hAnsi="Arial" w:cs="Arial"/>
                <w:b/>
                <w:bCs/>
                <w:color w:val="000000"/>
                <w:sz w:val="12"/>
                <w:lang w:bidi="hi-IN"/>
              </w:rPr>
              <w:t xml:space="preserve">Accounting for </w:t>
            </w:r>
            <w:proofErr w:type="gramStart"/>
            <w:r w:rsidRPr="00E445D6">
              <w:rPr>
                <w:rFonts w:ascii="Arial" w:eastAsia="Times New Roman" w:hAnsi="Arial" w:cs="Arial"/>
                <w:b/>
                <w:bCs/>
                <w:color w:val="000000"/>
                <w:sz w:val="12"/>
                <w:lang w:bidi="hi-IN"/>
              </w:rPr>
              <w:t>Investments :</w:t>
            </w:r>
            <w:proofErr w:type="gramEnd"/>
            <w:r w:rsidRPr="00E445D6">
              <w:rPr>
                <w:rFonts w:ascii="Arial" w:eastAsia="Times New Roman" w:hAnsi="Arial" w:cs="Arial"/>
                <w:color w:val="000000"/>
                <w:sz w:val="12"/>
                <w:lang w:bidi="hi-IN"/>
              </w:rPr>
              <w:t> </w:t>
            </w:r>
            <w:r w:rsidRPr="00E445D6">
              <w:rPr>
                <w:rFonts w:ascii="Arial" w:eastAsia="Times New Roman" w:hAnsi="Arial" w:cs="Arial"/>
                <w:color w:val="000000"/>
                <w:sz w:val="12"/>
                <w:szCs w:val="12"/>
                <w:lang w:bidi="hi-IN"/>
              </w:rPr>
              <w:t>It is the assets held for earning income by way of dividend, interest and rentals, for capital appreciation or for other benefits.</w:t>
            </w:r>
            <w:bookmarkStart w:id="11" w:name="13"/>
            <w:bookmarkEnd w:id="11"/>
          </w:p>
        </w:tc>
      </w:tr>
      <w:tr w:rsidR="00E445D6" w:rsidRPr="00E445D6" w:rsidTr="00E445D6">
        <w:trPr>
          <w:tblCellSpacing w:w="0" w:type="dxa"/>
        </w:trPr>
        <w:tc>
          <w:tcPr>
            <w:tcW w:w="0" w:type="auto"/>
            <w:shd w:val="clear" w:color="auto" w:fill="FFFFFF"/>
            <w:vAlign w:val="center"/>
            <w:hideMark/>
          </w:tcPr>
          <w:p w:rsidR="00E445D6" w:rsidRPr="00E445D6" w:rsidRDefault="00E445D6" w:rsidP="00E445D6">
            <w:pPr>
              <w:spacing w:after="0" w:line="192" w:lineRule="atLeast"/>
              <w:rPr>
                <w:rFonts w:ascii="Arial" w:eastAsia="Times New Roman" w:hAnsi="Arial" w:cs="Arial"/>
                <w:color w:val="000000"/>
                <w:sz w:val="12"/>
                <w:szCs w:val="12"/>
                <w:lang w:bidi="hi-IN"/>
              </w:rPr>
            </w:pPr>
          </w:p>
        </w:tc>
      </w:tr>
      <w:tr w:rsidR="00E445D6" w:rsidRPr="00E445D6" w:rsidTr="00E445D6">
        <w:trPr>
          <w:tblCellSpacing w:w="0" w:type="dxa"/>
        </w:trPr>
        <w:tc>
          <w:tcPr>
            <w:tcW w:w="0" w:type="auto"/>
            <w:shd w:val="clear" w:color="auto" w:fill="FFFFFF"/>
            <w:vAlign w:val="center"/>
            <w:hideMark/>
          </w:tcPr>
          <w:p w:rsidR="00E445D6" w:rsidRPr="00E445D6" w:rsidRDefault="00E445D6" w:rsidP="00E445D6">
            <w:pPr>
              <w:spacing w:after="0" w:line="192" w:lineRule="atLeast"/>
              <w:rPr>
                <w:rFonts w:ascii="Arial" w:eastAsia="Times New Roman" w:hAnsi="Arial" w:cs="Arial"/>
                <w:color w:val="000000"/>
                <w:sz w:val="12"/>
                <w:szCs w:val="12"/>
                <w:lang w:bidi="hi-IN"/>
              </w:rPr>
            </w:pPr>
            <w:r w:rsidRPr="00E445D6">
              <w:rPr>
                <w:rFonts w:ascii="Arial" w:eastAsia="Times New Roman" w:hAnsi="Arial" w:cs="Arial"/>
                <w:b/>
                <w:bCs/>
                <w:color w:val="000000"/>
                <w:sz w:val="12"/>
                <w:lang w:bidi="hi-IN"/>
              </w:rPr>
              <w:t xml:space="preserve">Accounting for </w:t>
            </w:r>
            <w:proofErr w:type="gramStart"/>
            <w:r w:rsidRPr="00E445D6">
              <w:rPr>
                <w:rFonts w:ascii="Arial" w:eastAsia="Times New Roman" w:hAnsi="Arial" w:cs="Arial"/>
                <w:b/>
                <w:bCs/>
                <w:color w:val="000000"/>
                <w:sz w:val="12"/>
                <w:lang w:bidi="hi-IN"/>
              </w:rPr>
              <w:t>Amalgamation :</w:t>
            </w:r>
            <w:proofErr w:type="gramEnd"/>
            <w:r w:rsidRPr="00E445D6">
              <w:rPr>
                <w:rFonts w:ascii="Arial" w:eastAsia="Times New Roman" w:hAnsi="Arial" w:cs="Arial"/>
                <w:color w:val="000000"/>
                <w:sz w:val="12"/>
                <w:lang w:bidi="hi-IN"/>
              </w:rPr>
              <w:t> </w:t>
            </w:r>
            <w:r w:rsidRPr="00E445D6">
              <w:rPr>
                <w:rFonts w:ascii="Arial" w:eastAsia="Times New Roman" w:hAnsi="Arial" w:cs="Arial"/>
                <w:color w:val="000000"/>
                <w:sz w:val="12"/>
                <w:szCs w:val="12"/>
                <w:lang w:bidi="hi-IN"/>
              </w:rPr>
              <w:t xml:space="preserve">This accounting standard deals with accounting to be made in books of Transferee company in case of </w:t>
            </w:r>
            <w:proofErr w:type="spellStart"/>
            <w:r w:rsidRPr="00E445D6">
              <w:rPr>
                <w:rFonts w:ascii="Arial" w:eastAsia="Times New Roman" w:hAnsi="Arial" w:cs="Arial"/>
                <w:color w:val="000000"/>
                <w:sz w:val="12"/>
                <w:szCs w:val="12"/>
                <w:lang w:bidi="hi-IN"/>
              </w:rPr>
              <w:t>amalgamtion</w:t>
            </w:r>
            <w:proofErr w:type="spellEnd"/>
            <w:r w:rsidRPr="00E445D6">
              <w:rPr>
                <w:rFonts w:ascii="Arial" w:eastAsia="Times New Roman" w:hAnsi="Arial" w:cs="Arial"/>
                <w:color w:val="000000"/>
                <w:sz w:val="12"/>
                <w:szCs w:val="12"/>
                <w:lang w:bidi="hi-IN"/>
              </w:rPr>
              <w:t xml:space="preserve">. This accounting standard is not applicable to cases of acquisition of shares when one company acquires / </w:t>
            </w:r>
            <w:proofErr w:type="spellStart"/>
            <w:r w:rsidRPr="00E445D6">
              <w:rPr>
                <w:rFonts w:ascii="Arial" w:eastAsia="Times New Roman" w:hAnsi="Arial" w:cs="Arial"/>
                <w:color w:val="000000"/>
                <w:sz w:val="12"/>
                <w:szCs w:val="12"/>
                <w:lang w:bidi="hi-IN"/>
              </w:rPr>
              <w:t>purcahses</w:t>
            </w:r>
            <w:proofErr w:type="spellEnd"/>
            <w:r w:rsidRPr="00E445D6">
              <w:rPr>
                <w:rFonts w:ascii="Arial" w:eastAsia="Times New Roman" w:hAnsi="Arial" w:cs="Arial"/>
                <w:color w:val="000000"/>
                <w:sz w:val="12"/>
                <w:szCs w:val="12"/>
                <w:lang w:bidi="hi-IN"/>
              </w:rPr>
              <w:t xml:space="preserve"> the share of another company and the acquired company is not dissolved and its </w:t>
            </w:r>
            <w:proofErr w:type="spellStart"/>
            <w:r w:rsidRPr="00E445D6">
              <w:rPr>
                <w:rFonts w:ascii="Arial" w:eastAsia="Times New Roman" w:hAnsi="Arial" w:cs="Arial"/>
                <w:color w:val="000000"/>
                <w:sz w:val="12"/>
                <w:szCs w:val="12"/>
                <w:lang w:bidi="hi-IN"/>
              </w:rPr>
              <w:t>seperate</w:t>
            </w:r>
            <w:proofErr w:type="spellEnd"/>
            <w:r w:rsidRPr="00E445D6">
              <w:rPr>
                <w:rFonts w:ascii="Arial" w:eastAsia="Times New Roman" w:hAnsi="Arial" w:cs="Arial"/>
                <w:color w:val="000000"/>
                <w:sz w:val="12"/>
                <w:szCs w:val="12"/>
                <w:lang w:bidi="hi-IN"/>
              </w:rPr>
              <w:t xml:space="preserve"> entity continues to exist. The standard is applicable when acquired company is dissolved and </w:t>
            </w:r>
            <w:proofErr w:type="spellStart"/>
            <w:r w:rsidRPr="00E445D6">
              <w:rPr>
                <w:rFonts w:ascii="Arial" w:eastAsia="Times New Roman" w:hAnsi="Arial" w:cs="Arial"/>
                <w:color w:val="000000"/>
                <w:sz w:val="12"/>
                <w:szCs w:val="12"/>
                <w:lang w:bidi="hi-IN"/>
              </w:rPr>
              <w:t>seperate</w:t>
            </w:r>
            <w:proofErr w:type="spellEnd"/>
            <w:r w:rsidRPr="00E445D6">
              <w:rPr>
                <w:rFonts w:ascii="Arial" w:eastAsia="Times New Roman" w:hAnsi="Arial" w:cs="Arial"/>
                <w:color w:val="000000"/>
                <w:sz w:val="12"/>
                <w:szCs w:val="12"/>
                <w:lang w:bidi="hi-IN"/>
              </w:rPr>
              <w:t xml:space="preserve"> entity ceased exist and purchasing company continues with the business of acquired company</w:t>
            </w:r>
            <w:bookmarkStart w:id="12" w:name="14"/>
            <w:bookmarkEnd w:id="12"/>
          </w:p>
        </w:tc>
      </w:tr>
      <w:tr w:rsidR="00E445D6" w:rsidRPr="00E445D6" w:rsidTr="00E445D6">
        <w:trPr>
          <w:tblCellSpacing w:w="0" w:type="dxa"/>
        </w:trPr>
        <w:tc>
          <w:tcPr>
            <w:tcW w:w="0" w:type="auto"/>
            <w:shd w:val="clear" w:color="auto" w:fill="FFFFFF"/>
            <w:vAlign w:val="center"/>
            <w:hideMark/>
          </w:tcPr>
          <w:p w:rsidR="00E445D6" w:rsidRPr="00E445D6" w:rsidRDefault="00E445D6" w:rsidP="00E445D6">
            <w:pPr>
              <w:spacing w:after="0" w:line="192" w:lineRule="atLeast"/>
              <w:rPr>
                <w:rFonts w:ascii="Arial" w:eastAsia="Times New Roman" w:hAnsi="Arial" w:cs="Arial"/>
                <w:color w:val="000000"/>
                <w:sz w:val="12"/>
                <w:szCs w:val="12"/>
                <w:lang w:bidi="hi-IN"/>
              </w:rPr>
            </w:pPr>
          </w:p>
        </w:tc>
      </w:tr>
      <w:tr w:rsidR="00E445D6" w:rsidRPr="00E445D6" w:rsidTr="00E445D6">
        <w:trPr>
          <w:tblCellSpacing w:w="0" w:type="dxa"/>
        </w:trPr>
        <w:tc>
          <w:tcPr>
            <w:tcW w:w="0" w:type="auto"/>
            <w:shd w:val="clear" w:color="auto" w:fill="FFFFFF"/>
            <w:vAlign w:val="center"/>
            <w:hideMark/>
          </w:tcPr>
          <w:p w:rsidR="00E445D6" w:rsidRPr="00E445D6" w:rsidRDefault="00E445D6" w:rsidP="00E445D6">
            <w:pPr>
              <w:spacing w:after="0" w:line="192" w:lineRule="atLeast"/>
              <w:rPr>
                <w:rFonts w:ascii="Arial" w:eastAsia="Times New Roman" w:hAnsi="Arial" w:cs="Arial"/>
                <w:color w:val="000000"/>
                <w:sz w:val="12"/>
                <w:szCs w:val="12"/>
                <w:lang w:bidi="hi-IN"/>
              </w:rPr>
            </w:pPr>
            <w:r w:rsidRPr="00E445D6">
              <w:rPr>
                <w:rFonts w:ascii="Arial" w:eastAsia="Times New Roman" w:hAnsi="Arial" w:cs="Arial"/>
                <w:b/>
                <w:bCs/>
                <w:color w:val="000000"/>
                <w:sz w:val="12"/>
                <w:lang w:bidi="hi-IN"/>
              </w:rPr>
              <w:t xml:space="preserve">Employee </w:t>
            </w:r>
            <w:proofErr w:type="gramStart"/>
            <w:r w:rsidRPr="00E445D6">
              <w:rPr>
                <w:rFonts w:ascii="Arial" w:eastAsia="Times New Roman" w:hAnsi="Arial" w:cs="Arial"/>
                <w:b/>
                <w:bCs/>
                <w:color w:val="000000"/>
                <w:sz w:val="12"/>
                <w:lang w:bidi="hi-IN"/>
              </w:rPr>
              <w:t>Benefits :</w:t>
            </w:r>
            <w:proofErr w:type="gramEnd"/>
            <w:r w:rsidRPr="00E445D6">
              <w:rPr>
                <w:rFonts w:ascii="Arial" w:eastAsia="Times New Roman" w:hAnsi="Arial" w:cs="Arial"/>
                <w:color w:val="000000"/>
                <w:sz w:val="12"/>
                <w:lang w:bidi="hi-IN"/>
              </w:rPr>
              <w:t> </w:t>
            </w:r>
            <w:r w:rsidRPr="00E445D6">
              <w:rPr>
                <w:rFonts w:ascii="Arial" w:eastAsia="Times New Roman" w:hAnsi="Arial" w:cs="Arial"/>
                <w:color w:val="000000"/>
                <w:sz w:val="12"/>
                <w:szCs w:val="12"/>
                <w:lang w:bidi="hi-IN"/>
              </w:rPr>
              <w:t xml:space="preserve">Accounting Standard has been revised by ICAI and is applicable in respect of accounting periods commencing on or after 1st April 2006. </w:t>
            </w:r>
            <w:proofErr w:type="gramStart"/>
            <w:r w:rsidRPr="00E445D6">
              <w:rPr>
                <w:rFonts w:ascii="Arial" w:eastAsia="Times New Roman" w:hAnsi="Arial" w:cs="Arial"/>
                <w:color w:val="000000"/>
                <w:sz w:val="12"/>
                <w:szCs w:val="12"/>
                <w:lang w:bidi="hi-IN"/>
              </w:rPr>
              <w:t>the</w:t>
            </w:r>
            <w:proofErr w:type="gramEnd"/>
            <w:r w:rsidRPr="00E445D6">
              <w:rPr>
                <w:rFonts w:ascii="Arial" w:eastAsia="Times New Roman" w:hAnsi="Arial" w:cs="Arial"/>
                <w:color w:val="000000"/>
                <w:sz w:val="12"/>
                <w:szCs w:val="12"/>
                <w:lang w:bidi="hi-IN"/>
              </w:rPr>
              <w:t xml:space="preserve"> scope of the accounting standard has been enlarged, to include accounting for short-term employee benefits and termination benefits.</w:t>
            </w:r>
            <w:bookmarkStart w:id="13" w:name="15"/>
            <w:bookmarkEnd w:id="13"/>
          </w:p>
        </w:tc>
      </w:tr>
      <w:tr w:rsidR="00E445D6" w:rsidRPr="00E445D6" w:rsidTr="00E445D6">
        <w:trPr>
          <w:tblCellSpacing w:w="0" w:type="dxa"/>
        </w:trPr>
        <w:tc>
          <w:tcPr>
            <w:tcW w:w="0" w:type="auto"/>
            <w:shd w:val="clear" w:color="auto" w:fill="FFFFFF"/>
            <w:vAlign w:val="center"/>
            <w:hideMark/>
          </w:tcPr>
          <w:p w:rsidR="00E445D6" w:rsidRPr="00E445D6" w:rsidRDefault="00E445D6" w:rsidP="00E445D6">
            <w:pPr>
              <w:spacing w:after="0" w:line="192" w:lineRule="atLeast"/>
              <w:rPr>
                <w:rFonts w:ascii="Arial" w:eastAsia="Times New Roman" w:hAnsi="Arial" w:cs="Arial"/>
                <w:color w:val="000000"/>
                <w:sz w:val="12"/>
                <w:szCs w:val="12"/>
                <w:lang w:bidi="hi-IN"/>
              </w:rPr>
            </w:pPr>
          </w:p>
        </w:tc>
      </w:tr>
      <w:tr w:rsidR="00E445D6" w:rsidRPr="00E445D6" w:rsidTr="00E445D6">
        <w:trPr>
          <w:tblCellSpacing w:w="0" w:type="dxa"/>
        </w:trPr>
        <w:tc>
          <w:tcPr>
            <w:tcW w:w="0" w:type="auto"/>
            <w:shd w:val="clear" w:color="auto" w:fill="FFFFFF"/>
            <w:vAlign w:val="center"/>
            <w:hideMark/>
          </w:tcPr>
          <w:p w:rsidR="00E445D6" w:rsidRPr="00E445D6" w:rsidRDefault="00E445D6" w:rsidP="00E445D6">
            <w:pPr>
              <w:spacing w:after="0" w:line="192" w:lineRule="atLeast"/>
              <w:rPr>
                <w:rFonts w:ascii="Arial" w:eastAsia="Times New Roman" w:hAnsi="Arial" w:cs="Arial"/>
                <w:color w:val="000000"/>
                <w:sz w:val="12"/>
                <w:szCs w:val="12"/>
                <w:lang w:bidi="hi-IN"/>
              </w:rPr>
            </w:pPr>
            <w:r w:rsidRPr="00E445D6">
              <w:rPr>
                <w:rFonts w:ascii="Arial" w:eastAsia="Times New Roman" w:hAnsi="Arial" w:cs="Arial"/>
                <w:b/>
                <w:bCs/>
                <w:color w:val="000000"/>
                <w:sz w:val="12"/>
                <w:lang w:bidi="hi-IN"/>
              </w:rPr>
              <w:t>Borrowing Costs :</w:t>
            </w:r>
            <w:r w:rsidRPr="00E445D6">
              <w:rPr>
                <w:rFonts w:ascii="Arial" w:eastAsia="Times New Roman" w:hAnsi="Arial" w:cs="Arial"/>
                <w:color w:val="000000"/>
                <w:sz w:val="12"/>
                <w:lang w:bidi="hi-IN"/>
              </w:rPr>
              <w:t> </w:t>
            </w:r>
            <w:r w:rsidRPr="00E445D6">
              <w:rPr>
                <w:rFonts w:ascii="Arial" w:eastAsia="Times New Roman" w:hAnsi="Arial" w:cs="Arial"/>
                <w:color w:val="000000"/>
                <w:sz w:val="12"/>
                <w:szCs w:val="12"/>
                <w:lang w:bidi="hi-IN"/>
              </w:rPr>
              <w:t xml:space="preserve">Enterprises are borrowing the funds to acquire, build and install the fixed assets and other assets, these assets take time to make them useable or saleable, therefore the enterprises incur the interest (cost </w:t>
            </w:r>
            <w:proofErr w:type="spellStart"/>
            <w:r w:rsidRPr="00E445D6">
              <w:rPr>
                <w:rFonts w:ascii="Arial" w:eastAsia="Times New Roman" w:hAnsi="Arial" w:cs="Arial"/>
                <w:color w:val="000000"/>
                <w:sz w:val="12"/>
                <w:szCs w:val="12"/>
                <w:lang w:bidi="hi-IN"/>
              </w:rPr>
              <w:t>on</w:t>
            </w:r>
            <w:proofErr w:type="spellEnd"/>
            <w:r w:rsidRPr="00E445D6">
              <w:rPr>
                <w:rFonts w:ascii="Arial" w:eastAsia="Times New Roman" w:hAnsi="Arial" w:cs="Arial"/>
                <w:color w:val="000000"/>
                <w:sz w:val="12"/>
                <w:szCs w:val="12"/>
                <w:lang w:bidi="hi-IN"/>
              </w:rPr>
              <w:t xml:space="preserve"> borrowing) to acquire and build these assets. The objective of the Accounting Standard is to prescribe the treatment of borrowing cost (interest + other cost) in accounting, whether the cost of borrowing should be included in the cost of assets or not.</w:t>
            </w:r>
            <w:bookmarkStart w:id="14" w:name="16"/>
            <w:bookmarkEnd w:id="14"/>
          </w:p>
        </w:tc>
      </w:tr>
      <w:tr w:rsidR="00E445D6" w:rsidRPr="00E445D6" w:rsidTr="00E445D6">
        <w:trPr>
          <w:tblCellSpacing w:w="0" w:type="dxa"/>
        </w:trPr>
        <w:tc>
          <w:tcPr>
            <w:tcW w:w="0" w:type="auto"/>
            <w:shd w:val="clear" w:color="auto" w:fill="FFFFFF"/>
            <w:vAlign w:val="center"/>
            <w:hideMark/>
          </w:tcPr>
          <w:p w:rsidR="00E445D6" w:rsidRPr="00E445D6" w:rsidRDefault="00E445D6" w:rsidP="00E445D6">
            <w:pPr>
              <w:spacing w:after="0" w:line="192" w:lineRule="atLeast"/>
              <w:rPr>
                <w:rFonts w:ascii="Arial" w:eastAsia="Times New Roman" w:hAnsi="Arial" w:cs="Arial"/>
                <w:color w:val="000000"/>
                <w:sz w:val="12"/>
                <w:szCs w:val="12"/>
                <w:lang w:bidi="hi-IN"/>
              </w:rPr>
            </w:pPr>
          </w:p>
        </w:tc>
      </w:tr>
      <w:tr w:rsidR="00E445D6" w:rsidRPr="00E445D6" w:rsidTr="00E445D6">
        <w:trPr>
          <w:tblCellSpacing w:w="0" w:type="dxa"/>
        </w:trPr>
        <w:tc>
          <w:tcPr>
            <w:tcW w:w="0" w:type="auto"/>
            <w:shd w:val="clear" w:color="auto" w:fill="FFFFFF"/>
            <w:vAlign w:val="center"/>
            <w:hideMark/>
          </w:tcPr>
          <w:p w:rsidR="00E445D6" w:rsidRPr="00E445D6" w:rsidRDefault="00E445D6" w:rsidP="00E445D6">
            <w:pPr>
              <w:spacing w:after="0" w:line="192" w:lineRule="atLeast"/>
              <w:rPr>
                <w:rFonts w:ascii="Arial" w:eastAsia="Times New Roman" w:hAnsi="Arial" w:cs="Arial"/>
                <w:color w:val="000000"/>
                <w:sz w:val="12"/>
                <w:szCs w:val="12"/>
                <w:lang w:bidi="hi-IN"/>
              </w:rPr>
            </w:pPr>
            <w:r w:rsidRPr="00E445D6">
              <w:rPr>
                <w:rFonts w:ascii="Arial" w:eastAsia="Times New Roman" w:hAnsi="Arial" w:cs="Arial"/>
                <w:b/>
                <w:bCs/>
                <w:color w:val="000000"/>
                <w:sz w:val="12"/>
                <w:lang w:bidi="hi-IN"/>
              </w:rPr>
              <w:t xml:space="preserve">Segment </w:t>
            </w:r>
            <w:proofErr w:type="gramStart"/>
            <w:r w:rsidRPr="00E445D6">
              <w:rPr>
                <w:rFonts w:ascii="Arial" w:eastAsia="Times New Roman" w:hAnsi="Arial" w:cs="Arial"/>
                <w:b/>
                <w:bCs/>
                <w:color w:val="000000"/>
                <w:sz w:val="12"/>
                <w:lang w:bidi="hi-IN"/>
              </w:rPr>
              <w:t>Reporting :</w:t>
            </w:r>
            <w:proofErr w:type="gramEnd"/>
            <w:r w:rsidRPr="00E445D6">
              <w:rPr>
                <w:rFonts w:ascii="Arial" w:eastAsia="Times New Roman" w:hAnsi="Arial" w:cs="Arial"/>
                <w:color w:val="000000"/>
                <w:sz w:val="12"/>
                <w:lang w:bidi="hi-IN"/>
              </w:rPr>
              <w:t> </w:t>
            </w:r>
            <w:r w:rsidRPr="00E445D6">
              <w:rPr>
                <w:rFonts w:ascii="Arial" w:eastAsia="Times New Roman" w:hAnsi="Arial" w:cs="Arial"/>
                <w:color w:val="000000"/>
                <w:sz w:val="12"/>
                <w:szCs w:val="12"/>
                <w:lang w:bidi="hi-IN"/>
              </w:rPr>
              <w:t>An enterprise needs in multiple products/services and operates in different geographical areas. Multiple products / services and their operations in different geographical areas are exposed to different risks and returns. Information about multiple products / services and their operation in different geographical areas are called segment information. Such information is used to assess the risk and return of multiple products/services and their operation in different geographical areas. Disclosure of such information is called segment reporting.</w:t>
            </w:r>
            <w:bookmarkStart w:id="15" w:name="17"/>
            <w:bookmarkEnd w:id="15"/>
          </w:p>
        </w:tc>
      </w:tr>
      <w:tr w:rsidR="00E445D6" w:rsidRPr="00E445D6" w:rsidTr="00E445D6">
        <w:trPr>
          <w:tblCellSpacing w:w="0" w:type="dxa"/>
        </w:trPr>
        <w:tc>
          <w:tcPr>
            <w:tcW w:w="0" w:type="auto"/>
            <w:shd w:val="clear" w:color="auto" w:fill="FFFFFF"/>
            <w:vAlign w:val="center"/>
            <w:hideMark/>
          </w:tcPr>
          <w:p w:rsidR="00E445D6" w:rsidRPr="00E445D6" w:rsidRDefault="00E445D6" w:rsidP="00E445D6">
            <w:pPr>
              <w:spacing w:after="0" w:line="192" w:lineRule="atLeast"/>
              <w:rPr>
                <w:rFonts w:ascii="Arial" w:eastAsia="Times New Roman" w:hAnsi="Arial" w:cs="Arial"/>
                <w:color w:val="000000"/>
                <w:sz w:val="12"/>
                <w:szCs w:val="12"/>
                <w:lang w:bidi="hi-IN"/>
              </w:rPr>
            </w:pPr>
          </w:p>
        </w:tc>
      </w:tr>
      <w:tr w:rsidR="00E445D6" w:rsidRPr="00E445D6" w:rsidTr="00E445D6">
        <w:trPr>
          <w:tblCellSpacing w:w="0" w:type="dxa"/>
        </w:trPr>
        <w:tc>
          <w:tcPr>
            <w:tcW w:w="0" w:type="auto"/>
            <w:shd w:val="clear" w:color="auto" w:fill="FFFFFF"/>
            <w:vAlign w:val="center"/>
            <w:hideMark/>
          </w:tcPr>
          <w:p w:rsidR="00E445D6" w:rsidRPr="00E445D6" w:rsidRDefault="00E445D6" w:rsidP="00E445D6">
            <w:pPr>
              <w:spacing w:after="0" w:line="192" w:lineRule="atLeast"/>
              <w:rPr>
                <w:rFonts w:ascii="Arial" w:eastAsia="Times New Roman" w:hAnsi="Arial" w:cs="Arial"/>
                <w:color w:val="000000"/>
                <w:sz w:val="12"/>
                <w:szCs w:val="12"/>
                <w:lang w:bidi="hi-IN"/>
              </w:rPr>
            </w:pPr>
            <w:r w:rsidRPr="00E445D6">
              <w:rPr>
                <w:rFonts w:ascii="Arial" w:eastAsia="Times New Roman" w:hAnsi="Arial" w:cs="Arial"/>
                <w:b/>
                <w:bCs/>
                <w:color w:val="000000"/>
                <w:sz w:val="12"/>
                <w:lang w:bidi="hi-IN"/>
              </w:rPr>
              <w:lastRenderedPageBreak/>
              <w:t xml:space="preserve">Related </w:t>
            </w:r>
            <w:proofErr w:type="spellStart"/>
            <w:r w:rsidRPr="00E445D6">
              <w:rPr>
                <w:rFonts w:ascii="Arial" w:eastAsia="Times New Roman" w:hAnsi="Arial" w:cs="Arial"/>
                <w:b/>
                <w:bCs/>
                <w:color w:val="000000"/>
                <w:sz w:val="12"/>
                <w:lang w:bidi="hi-IN"/>
              </w:rPr>
              <w:t>Paty</w:t>
            </w:r>
            <w:proofErr w:type="spellEnd"/>
            <w:r w:rsidRPr="00E445D6">
              <w:rPr>
                <w:rFonts w:ascii="Arial" w:eastAsia="Times New Roman" w:hAnsi="Arial" w:cs="Arial"/>
                <w:b/>
                <w:bCs/>
                <w:color w:val="000000"/>
                <w:sz w:val="12"/>
                <w:lang w:bidi="hi-IN"/>
              </w:rPr>
              <w:t xml:space="preserve"> </w:t>
            </w:r>
            <w:proofErr w:type="gramStart"/>
            <w:r w:rsidRPr="00E445D6">
              <w:rPr>
                <w:rFonts w:ascii="Arial" w:eastAsia="Times New Roman" w:hAnsi="Arial" w:cs="Arial"/>
                <w:b/>
                <w:bCs/>
                <w:color w:val="000000"/>
                <w:sz w:val="12"/>
                <w:lang w:bidi="hi-IN"/>
              </w:rPr>
              <w:t>Disclosure :</w:t>
            </w:r>
            <w:proofErr w:type="gramEnd"/>
            <w:r w:rsidRPr="00E445D6">
              <w:rPr>
                <w:rFonts w:ascii="Arial" w:eastAsia="Times New Roman" w:hAnsi="Arial" w:cs="Arial"/>
                <w:color w:val="000000"/>
                <w:sz w:val="12"/>
                <w:lang w:bidi="hi-IN"/>
              </w:rPr>
              <w:t> </w:t>
            </w:r>
            <w:r w:rsidRPr="00E445D6">
              <w:rPr>
                <w:rFonts w:ascii="Arial" w:eastAsia="Times New Roman" w:hAnsi="Arial" w:cs="Arial"/>
                <w:color w:val="000000"/>
                <w:sz w:val="12"/>
                <w:szCs w:val="12"/>
                <w:lang w:bidi="hi-IN"/>
              </w:rPr>
              <w:t>Sometimes business transactions between related parties lose the feature and character of the arms length transactions. Related party relationship affects the volume and decision of business of one enterprise for the benefit of the other enterprise. Hence disclosure of related party transaction is essential for proper understanding of financial performance and financial position of enterprise.</w:t>
            </w:r>
            <w:bookmarkStart w:id="16" w:name="18"/>
            <w:bookmarkEnd w:id="16"/>
          </w:p>
        </w:tc>
      </w:tr>
      <w:tr w:rsidR="00E445D6" w:rsidRPr="00E445D6" w:rsidTr="00E445D6">
        <w:trPr>
          <w:tblCellSpacing w:w="0" w:type="dxa"/>
        </w:trPr>
        <w:tc>
          <w:tcPr>
            <w:tcW w:w="0" w:type="auto"/>
            <w:shd w:val="clear" w:color="auto" w:fill="FFFFFF"/>
            <w:vAlign w:val="center"/>
            <w:hideMark/>
          </w:tcPr>
          <w:p w:rsidR="00E445D6" w:rsidRPr="00E445D6" w:rsidRDefault="00E445D6" w:rsidP="00E445D6">
            <w:pPr>
              <w:spacing w:after="0" w:line="192" w:lineRule="atLeast"/>
              <w:rPr>
                <w:rFonts w:ascii="Arial" w:eastAsia="Times New Roman" w:hAnsi="Arial" w:cs="Arial"/>
                <w:color w:val="000000"/>
                <w:sz w:val="12"/>
                <w:szCs w:val="12"/>
                <w:lang w:bidi="hi-IN"/>
              </w:rPr>
            </w:pPr>
          </w:p>
        </w:tc>
      </w:tr>
      <w:tr w:rsidR="00E445D6" w:rsidRPr="00E445D6" w:rsidTr="00E445D6">
        <w:trPr>
          <w:tblCellSpacing w:w="0" w:type="dxa"/>
        </w:trPr>
        <w:tc>
          <w:tcPr>
            <w:tcW w:w="0" w:type="auto"/>
            <w:shd w:val="clear" w:color="auto" w:fill="FFFFFF"/>
            <w:vAlign w:val="center"/>
            <w:hideMark/>
          </w:tcPr>
          <w:p w:rsidR="00E445D6" w:rsidRPr="00E445D6" w:rsidRDefault="00E445D6" w:rsidP="00E445D6">
            <w:pPr>
              <w:spacing w:after="0" w:line="192" w:lineRule="atLeast"/>
              <w:rPr>
                <w:rFonts w:ascii="Arial" w:eastAsia="Times New Roman" w:hAnsi="Arial" w:cs="Arial"/>
                <w:color w:val="000000"/>
                <w:sz w:val="12"/>
                <w:szCs w:val="12"/>
                <w:lang w:bidi="hi-IN"/>
              </w:rPr>
            </w:pPr>
            <w:r w:rsidRPr="00E445D6">
              <w:rPr>
                <w:rFonts w:ascii="Arial" w:eastAsia="Times New Roman" w:hAnsi="Arial" w:cs="Arial"/>
                <w:b/>
                <w:bCs/>
                <w:color w:val="000000"/>
                <w:sz w:val="12"/>
                <w:lang w:bidi="hi-IN"/>
              </w:rPr>
              <w:t xml:space="preserve">Accounting for </w:t>
            </w:r>
            <w:proofErr w:type="gramStart"/>
            <w:r w:rsidRPr="00E445D6">
              <w:rPr>
                <w:rFonts w:ascii="Arial" w:eastAsia="Times New Roman" w:hAnsi="Arial" w:cs="Arial"/>
                <w:b/>
                <w:bCs/>
                <w:color w:val="000000"/>
                <w:sz w:val="12"/>
                <w:lang w:bidi="hi-IN"/>
              </w:rPr>
              <w:t>leases :</w:t>
            </w:r>
            <w:proofErr w:type="gramEnd"/>
            <w:r w:rsidRPr="00E445D6">
              <w:rPr>
                <w:rFonts w:ascii="Arial" w:eastAsia="Times New Roman" w:hAnsi="Arial" w:cs="Arial"/>
                <w:color w:val="000000"/>
                <w:sz w:val="12"/>
                <w:lang w:bidi="hi-IN"/>
              </w:rPr>
              <w:t> </w:t>
            </w:r>
            <w:r w:rsidRPr="00E445D6">
              <w:rPr>
                <w:rFonts w:ascii="Arial" w:eastAsia="Times New Roman" w:hAnsi="Arial" w:cs="Arial"/>
                <w:color w:val="000000"/>
                <w:sz w:val="12"/>
                <w:szCs w:val="12"/>
                <w:lang w:bidi="hi-IN"/>
              </w:rPr>
              <w:t xml:space="preserve">Lease is an arrangement by which the lesser gives the right to use an asset for given period of time to the lessee on rent. It involves two parties, a </w:t>
            </w:r>
            <w:proofErr w:type="spellStart"/>
            <w:r w:rsidRPr="00E445D6">
              <w:rPr>
                <w:rFonts w:ascii="Arial" w:eastAsia="Times New Roman" w:hAnsi="Arial" w:cs="Arial"/>
                <w:color w:val="000000"/>
                <w:sz w:val="12"/>
                <w:szCs w:val="12"/>
                <w:lang w:bidi="hi-IN"/>
              </w:rPr>
              <w:t>lessor</w:t>
            </w:r>
            <w:proofErr w:type="spellEnd"/>
            <w:r w:rsidRPr="00E445D6">
              <w:rPr>
                <w:rFonts w:ascii="Arial" w:eastAsia="Times New Roman" w:hAnsi="Arial" w:cs="Arial"/>
                <w:color w:val="000000"/>
                <w:sz w:val="12"/>
                <w:szCs w:val="12"/>
                <w:lang w:bidi="hi-IN"/>
              </w:rPr>
              <w:t xml:space="preserve"> and a lessee and an asset which is to be leased. The </w:t>
            </w:r>
            <w:proofErr w:type="spellStart"/>
            <w:r w:rsidRPr="00E445D6">
              <w:rPr>
                <w:rFonts w:ascii="Arial" w:eastAsia="Times New Roman" w:hAnsi="Arial" w:cs="Arial"/>
                <w:color w:val="000000"/>
                <w:sz w:val="12"/>
                <w:szCs w:val="12"/>
                <w:lang w:bidi="hi-IN"/>
              </w:rPr>
              <w:t>lessor</w:t>
            </w:r>
            <w:proofErr w:type="spellEnd"/>
            <w:r w:rsidRPr="00E445D6">
              <w:rPr>
                <w:rFonts w:ascii="Arial" w:eastAsia="Times New Roman" w:hAnsi="Arial" w:cs="Arial"/>
                <w:color w:val="000000"/>
                <w:sz w:val="12"/>
                <w:szCs w:val="12"/>
                <w:lang w:bidi="hi-IN"/>
              </w:rPr>
              <w:t xml:space="preserve"> who owns the asset agrees to allow the lessee to use it for a specified period of time in return of periodic rent payments.</w:t>
            </w:r>
            <w:bookmarkStart w:id="17" w:name="19"/>
            <w:bookmarkEnd w:id="17"/>
          </w:p>
        </w:tc>
      </w:tr>
      <w:tr w:rsidR="00E445D6" w:rsidRPr="00E445D6" w:rsidTr="00E445D6">
        <w:trPr>
          <w:tblCellSpacing w:w="0" w:type="dxa"/>
        </w:trPr>
        <w:tc>
          <w:tcPr>
            <w:tcW w:w="0" w:type="auto"/>
            <w:shd w:val="clear" w:color="auto" w:fill="FFFFFF"/>
            <w:vAlign w:val="center"/>
            <w:hideMark/>
          </w:tcPr>
          <w:p w:rsidR="00E445D6" w:rsidRPr="00E445D6" w:rsidRDefault="00E445D6" w:rsidP="00E445D6">
            <w:pPr>
              <w:spacing w:after="0" w:line="192" w:lineRule="atLeast"/>
              <w:rPr>
                <w:rFonts w:ascii="Arial" w:eastAsia="Times New Roman" w:hAnsi="Arial" w:cs="Arial"/>
                <w:color w:val="000000"/>
                <w:sz w:val="12"/>
                <w:szCs w:val="12"/>
                <w:lang w:bidi="hi-IN"/>
              </w:rPr>
            </w:pPr>
          </w:p>
        </w:tc>
      </w:tr>
      <w:tr w:rsidR="00E445D6" w:rsidRPr="00E445D6" w:rsidTr="00E445D6">
        <w:trPr>
          <w:tblCellSpacing w:w="0" w:type="dxa"/>
        </w:trPr>
        <w:tc>
          <w:tcPr>
            <w:tcW w:w="0" w:type="auto"/>
            <w:shd w:val="clear" w:color="auto" w:fill="FFFFFF"/>
            <w:vAlign w:val="center"/>
            <w:hideMark/>
          </w:tcPr>
          <w:p w:rsidR="00E445D6" w:rsidRPr="00E445D6" w:rsidRDefault="00E445D6" w:rsidP="00E445D6">
            <w:pPr>
              <w:spacing w:after="0" w:line="192" w:lineRule="atLeast"/>
              <w:rPr>
                <w:rFonts w:ascii="Arial" w:eastAsia="Times New Roman" w:hAnsi="Arial" w:cs="Arial"/>
                <w:color w:val="000000"/>
                <w:sz w:val="12"/>
                <w:szCs w:val="12"/>
                <w:lang w:bidi="hi-IN"/>
              </w:rPr>
            </w:pPr>
            <w:proofErr w:type="spellStart"/>
            <w:r w:rsidRPr="00E445D6">
              <w:rPr>
                <w:rFonts w:ascii="Arial" w:eastAsia="Times New Roman" w:hAnsi="Arial" w:cs="Arial"/>
                <w:b/>
                <w:bCs/>
                <w:color w:val="000000"/>
                <w:sz w:val="12"/>
                <w:lang w:bidi="hi-IN"/>
              </w:rPr>
              <w:t>Earning</w:t>
            </w:r>
            <w:proofErr w:type="spellEnd"/>
            <w:r w:rsidRPr="00E445D6">
              <w:rPr>
                <w:rFonts w:ascii="Arial" w:eastAsia="Times New Roman" w:hAnsi="Arial" w:cs="Arial"/>
                <w:b/>
                <w:bCs/>
                <w:color w:val="000000"/>
                <w:sz w:val="12"/>
                <w:lang w:bidi="hi-IN"/>
              </w:rPr>
              <w:t xml:space="preserve"> Per </w:t>
            </w:r>
            <w:proofErr w:type="gramStart"/>
            <w:r w:rsidRPr="00E445D6">
              <w:rPr>
                <w:rFonts w:ascii="Arial" w:eastAsia="Times New Roman" w:hAnsi="Arial" w:cs="Arial"/>
                <w:b/>
                <w:bCs/>
                <w:color w:val="000000"/>
                <w:sz w:val="12"/>
                <w:lang w:bidi="hi-IN"/>
              </w:rPr>
              <w:t>Share :</w:t>
            </w:r>
            <w:proofErr w:type="spellStart"/>
            <w:r w:rsidRPr="00E445D6">
              <w:rPr>
                <w:rFonts w:ascii="Arial" w:eastAsia="Times New Roman" w:hAnsi="Arial" w:cs="Arial"/>
                <w:color w:val="000000"/>
                <w:sz w:val="12"/>
                <w:szCs w:val="12"/>
                <w:lang w:bidi="hi-IN"/>
              </w:rPr>
              <w:t>Earning</w:t>
            </w:r>
            <w:proofErr w:type="spellEnd"/>
            <w:proofErr w:type="gramEnd"/>
            <w:r w:rsidRPr="00E445D6">
              <w:rPr>
                <w:rFonts w:ascii="Arial" w:eastAsia="Times New Roman" w:hAnsi="Arial" w:cs="Arial"/>
                <w:color w:val="000000"/>
                <w:sz w:val="12"/>
                <w:szCs w:val="12"/>
                <w:lang w:bidi="hi-IN"/>
              </w:rPr>
              <w:t xml:space="preserve"> per share (EPS)is a financial ratio that gives the information regarding earning available to each </w:t>
            </w:r>
            <w:proofErr w:type="spellStart"/>
            <w:r w:rsidRPr="00E445D6">
              <w:rPr>
                <w:rFonts w:ascii="Arial" w:eastAsia="Times New Roman" w:hAnsi="Arial" w:cs="Arial"/>
                <w:color w:val="000000"/>
                <w:sz w:val="12"/>
                <w:szCs w:val="12"/>
                <w:lang w:bidi="hi-IN"/>
              </w:rPr>
              <w:t>equiy</w:t>
            </w:r>
            <w:proofErr w:type="spellEnd"/>
            <w:r w:rsidRPr="00E445D6">
              <w:rPr>
                <w:rFonts w:ascii="Arial" w:eastAsia="Times New Roman" w:hAnsi="Arial" w:cs="Arial"/>
                <w:color w:val="000000"/>
                <w:sz w:val="12"/>
                <w:szCs w:val="12"/>
                <w:lang w:bidi="hi-IN"/>
              </w:rPr>
              <w:t xml:space="preserve"> share. It is very important financial ratio for assessing the state of market price of share. This accounting standard gives computational methodology for the determination and presentation of earning per share, which will improve the comparison of EPS. The statement is applicable to the enterprise whose equity shares or potential equity shares are listed in stock exchange.</w:t>
            </w:r>
            <w:bookmarkStart w:id="18" w:name="20"/>
            <w:bookmarkEnd w:id="18"/>
          </w:p>
        </w:tc>
      </w:tr>
      <w:tr w:rsidR="00E445D6" w:rsidRPr="00E445D6" w:rsidTr="00E445D6">
        <w:trPr>
          <w:tblCellSpacing w:w="0" w:type="dxa"/>
        </w:trPr>
        <w:tc>
          <w:tcPr>
            <w:tcW w:w="0" w:type="auto"/>
            <w:shd w:val="clear" w:color="auto" w:fill="FFFFFF"/>
            <w:vAlign w:val="center"/>
            <w:hideMark/>
          </w:tcPr>
          <w:p w:rsidR="00E445D6" w:rsidRPr="00E445D6" w:rsidRDefault="00E445D6" w:rsidP="00E445D6">
            <w:pPr>
              <w:spacing w:after="0" w:line="192" w:lineRule="atLeast"/>
              <w:rPr>
                <w:rFonts w:ascii="Arial" w:eastAsia="Times New Roman" w:hAnsi="Arial" w:cs="Arial"/>
                <w:color w:val="000000"/>
                <w:sz w:val="12"/>
                <w:szCs w:val="12"/>
                <w:lang w:bidi="hi-IN"/>
              </w:rPr>
            </w:pPr>
          </w:p>
        </w:tc>
      </w:tr>
      <w:tr w:rsidR="00E445D6" w:rsidRPr="00E445D6" w:rsidTr="00E445D6">
        <w:trPr>
          <w:tblCellSpacing w:w="0" w:type="dxa"/>
        </w:trPr>
        <w:tc>
          <w:tcPr>
            <w:tcW w:w="0" w:type="auto"/>
            <w:shd w:val="clear" w:color="auto" w:fill="FFFFFF"/>
            <w:vAlign w:val="center"/>
            <w:hideMark/>
          </w:tcPr>
          <w:p w:rsidR="00E445D6" w:rsidRPr="00E445D6" w:rsidRDefault="00E445D6" w:rsidP="00E445D6">
            <w:pPr>
              <w:spacing w:after="0" w:line="192" w:lineRule="atLeast"/>
              <w:rPr>
                <w:rFonts w:ascii="Arial" w:eastAsia="Times New Roman" w:hAnsi="Arial" w:cs="Arial"/>
                <w:color w:val="000000"/>
                <w:sz w:val="12"/>
                <w:szCs w:val="12"/>
                <w:lang w:bidi="hi-IN"/>
              </w:rPr>
            </w:pPr>
            <w:r w:rsidRPr="00E445D6">
              <w:rPr>
                <w:rFonts w:ascii="Arial" w:eastAsia="Times New Roman" w:hAnsi="Arial" w:cs="Arial"/>
                <w:b/>
                <w:bCs/>
                <w:color w:val="000000"/>
                <w:sz w:val="12"/>
                <w:lang w:bidi="hi-IN"/>
              </w:rPr>
              <w:t xml:space="preserve">Consolidated Financial </w:t>
            </w:r>
            <w:proofErr w:type="gramStart"/>
            <w:r w:rsidRPr="00E445D6">
              <w:rPr>
                <w:rFonts w:ascii="Arial" w:eastAsia="Times New Roman" w:hAnsi="Arial" w:cs="Arial"/>
                <w:b/>
                <w:bCs/>
                <w:color w:val="000000"/>
                <w:sz w:val="12"/>
                <w:lang w:bidi="hi-IN"/>
              </w:rPr>
              <w:t>Statements :</w:t>
            </w:r>
            <w:proofErr w:type="gramEnd"/>
            <w:r w:rsidRPr="00E445D6">
              <w:rPr>
                <w:rFonts w:ascii="Arial" w:eastAsia="Times New Roman" w:hAnsi="Arial" w:cs="Arial"/>
                <w:color w:val="000000"/>
                <w:sz w:val="12"/>
                <w:lang w:bidi="hi-IN"/>
              </w:rPr>
              <w:t> </w:t>
            </w:r>
            <w:r w:rsidRPr="00E445D6">
              <w:rPr>
                <w:rFonts w:ascii="Arial" w:eastAsia="Times New Roman" w:hAnsi="Arial" w:cs="Arial"/>
                <w:color w:val="000000"/>
                <w:sz w:val="12"/>
                <w:szCs w:val="12"/>
                <w:lang w:bidi="hi-IN"/>
              </w:rPr>
              <w:t>The objective of this statement is to present financial statements of a parent and its subsidiary (</w:t>
            </w:r>
            <w:proofErr w:type="spellStart"/>
            <w:r w:rsidRPr="00E445D6">
              <w:rPr>
                <w:rFonts w:ascii="Arial" w:eastAsia="Times New Roman" w:hAnsi="Arial" w:cs="Arial"/>
                <w:color w:val="000000"/>
                <w:sz w:val="12"/>
                <w:szCs w:val="12"/>
                <w:lang w:bidi="hi-IN"/>
              </w:rPr>
              <w:t>ies</w:t>
            </w:r>
            <w:proofErr w:type="spellEnd"/>
            <w:r w:rsidRPr="00E445D6">
              <w:rPr>
                <w:rFonts w:ascii="Arial" w:eastAsia="Times New Roman" w:hAnsi="Arial" w:cs="Arial"/>
                <w:color w:val="000000"/>
                <w:sz w:val="12"/>
                <w:szCs w:val="12"/>
                <w:lang w:bidi="hi-IN"/>
              </w:rPr>
              <w:t>) as a single economic entity. In other words the holding company and its subsidiary (</w:t>
            </w:r>
            <w:proofErr w:type="spellStart"/>
            <w:r w:rsidRPr="00E445D6">
              <w:rPr>
                <w:rFonts w:ascii="Arial" w:eastAsia="Times New Roman" w:hAnsi="Arial" w:cs="Arial"/>
                <w:color w:val="000000"/>
                <w:sz w:val="12"/>
                <w:szCs w:val="12"/>
                <w:lang w:bidi="hi-IN"/>
              </w:rPr>
              <w:t>ies</w:t>
            </w:r>
            <w:proofErr w:type="spellEnd"/>
            <w:r w:rsidRPr="00E445D6">
              <w:rPr>
                <w:rFonts w:ascii="Arial" w:eastAsia="Times New Roman" w:hAnsi="Arial" w:cs="Arial"/>
                <w:color w:val="000000"/>
                <w:sz w:val="12"/>
                <w:szCs w:val="12"/>
                <w:lang w:bidi="hi-IN"/>
              </w:rPr>
              <w:t xml:space="preserve">) are treated as one entity for the preparation of these consolidated financial statements. Consolidated profit/loss account and consolidated balance sheet are prepared for disclosing the total profit/loss of the group and total assets and liabilities of the group. As per this accounting standard, the </w:t>
            </w:r>
            <w:proofErr w:type="spellStart"/>
            <w:r w:rsidRPr="00E445D6">
              <w:rPr>
                <w:rFonts w:ascii="Arial" w:eastAsia="Times New Roman" w:hAnsi="Arial" w:cs="Arial"/>
                <w:color w:val="000000"/>
                <w:sz w:val="12"/>
                <w:szCs w:val="12"/>
                <w:lang w:bidi="hi-IN"/>
              </w:rPr>
              <w:t>conslidated</w:t>
            </w:r>
            <w:proofErr w:type="spellEnd"/>
            <w:r w:rsidRPr="00E445D6">
              <w:rPr>
                <w:rFonts w:ascii="Arial" w:eastAsia="Times New Roman" w:hAnsi="Arial" w:cs="Arial"/>
                <w:color w:val="000000"/>
                <w:sz w:val="12"/>
                <w:szCs w:val="12"/>
                <w:lang w:bidi="hi-IN"/>
              </w:rPr>
              <w:t xml:space="preserve"> balance sheet if prepared should be prepared in the manner prescribed by this statement.</w:t>
            </w:r>
            <w:bookmarkStart w:id="19" w:name="21"/>
            <w:bookmarkEnd w:id="19"/>
          </w:p>
        </w:tc>
      </w:tr>
      <w:tr w:rsidR="00E445D6" w:rsidRPr="00E445D6" w:rsidTr="00E445D6">
        <w:trPr>
          <w:tblCellSpacing w:w="0" w:type="dxa"/>
        </w:trPr>
        <w:tc>
          <w:tcPr>
            <w:tcW w:w="0" w:type="auto"/>
            <w:shd w:val="clear" w:color="auto" w:fill="FFFFFF"/>
            <w:vAlign w:val="center"/>
            <w:hideMark/>
          </w:tcPr>
          <w:p w:rsidR="00E445D6" w:rsidRPr="00E445D6" w:rsidRDefault="00E445D6" w:rsidP="00E445D6">
            <w:pPr>
              <w:spacing w:after="0" w:line="192" w:lineRule="atLeast"/>
              <w:rPr>
                <w:rFonts w:ascii="Arial" w:eastAsia="Times New Roman" w:hAnsi="Arial" w:cs="Arial"/>
                <w:color w:val="000000"/>
                <w:sz w:val="12"/>
                <w:szCs w:val="12"/>
                <w:lang w:bidi="hi-IN"/>
              </w:rPr>
            </w:pPr>
          </w:p>
        </w:tc>
      </w:tr>
      <w:tr w:rsidR="00E445D6" w:rsidRPr="00E445D6" w:rsidTr="00E445D6">
        <w:trPr>
          <w:tblCellSpacing w:w="0" w:type="dxa"/>
        </w:trPr>
        <w:tc>
          <w:tcPr>
            <w:tcW w:w="0" w:type="auto"/>
            <w:shd w:val="clear" w:color="auto" w:fill="FFFFFF"/>
            <w:vAlign w:val="center"/>
            <w:hideMark/>
          </w:tcPr>
          <w:p w:rsidR="00E445D6" w:rsidRPr="00E445D6" w:rsidRDefault="00E445D6" w:rsidP="00E445D6">
            <w:pPr>
              <w:spacing w:after="0" w:line="192" w:lineRule="atLeast"/>
              <w:rPr>
                <w:rFonts w:ascii="Arial" w:eastAsia="Times New Roman" w:hAnsi="Arial" w:cs="Arial"/>
                <w:color w:val="000000"/>
                <w:sz w:val="12"/>
                <w:szCs w:val="12"/>
                <w:lang w:bidi="hi-IN"/>
              </w:rPr>
            </w:pPr>
            <w:r w:rsidRPr="00E445D6">
              <w:rPr>
                <w:rFonts w:ascii="Arial" w:eastAsia="Times New Roman" w:hAnsi="Arial" w:cs="Arial"/>
                <w:b/>
                <w:bCs/>
                <w:color w:val="000000"/>
                <w:sz w:val="12"/>
                <w:lang w:bidi="hi-IN"/>
              </w:rPr>
              <w:t xml:space="preserve">Accounting for Taxes on </w:t>
            </w:r>
            <w:proofErr w:type="gramStart"/>
            <w:r w:rsidRPr="00E445D6">
              <w:rPr>
                <w:rFonts w:ascii="Arial" w:eastAsia="Times New Roman" w:hAnsi="Arial" w:cs="Arial"/>
                <w:b/>
                <w:bCs/>
                <w:color w:val="000000"/>
                <w:sz w:val="12"/>
                <w:lang w:bidi="hi-IN"/>
              </w:rPr>
              <w:t>Income :</w:t>
            </w:r>
            <w:proofErr w:type="gramEnd"/>
            <w:r w:rsidRPr="00E445D6">
              <w:rPr>
                <w:rFonts w:ascii="Arial" w:eastAsia="Times New Roman" w:hAnsi="Arial" w:cs="Arial"/>
                <w:color w:val="000000"/>
                <w:sz w:val="12"/>
                <w:lang w:bidi="hi-IN"/>
              </w:rPr>
              <w:t> </w:t>
            </w:r>
            <w:r w:rsidRPr="00E445D6">
              <w:rPr>
                <w:rFonts w:ascii="Arial" w:eastAsia="Times New Roman" w:hAnsi="Arial" w:cs="Arial"/>
                <w:color w:val="000000"/>
                <w:sz w:val="12"/>
                <w:szCs w:val="12"/>
                <w:lang w:bidi="hi-IN"/>
              </w:rPr>
              <w:t>This accounting standard prescribes the accounting treatment for taxes on income. Traditionally, amount of tax payable is determined on the profit/loss computed as per income tax laws. According to this accounting standard, tax on income is determined on the principle of accrual concept. According to this concept, tax should be accounted in the period in which corresponding revenue and expenses are accounted. In simple words tax shall be accounted on accrual basis; not on liability to pay basis.</w:t>
            </w:r>
            <w:bookmarkStart w:id="20" w:name="22"/>
            <w:bookmarkEnd w:id="20"/>
          </w:p>
        </w:tc>
      </w:tr>
      <w:tr w:rsidR="00E445D6" w:rsidRPr="00E445D6" w:rsidTr="00E445D6">
        <w:trPr>
          <w:tblCellSpacing w:w="0" w:type="dxa"/>
        </w:trPr>
        <w:tc>
          <w:tcPr>
            <w:tcW w:w="0" w:type="auto"/>
            <w:shd w:val="clear" w:color="auto" w:fill="FFFFFF"/>
            <w:vAlign w:val="center"/>
            <w:hideMark/>
          </w:tcPr>
          <w:p w:rsidR="00E445D6" w:rsidRPr="00E445D6" w:rsidRDefault="00E445D6" w:rsidP="00E445D6">
            <w:pPr>
              <w:spacing w:after="0" w:line="192" w:lineRule="atLeast"/>
              <w:rPr>
                <w:rFonts w:ascii="Arial" w:eastAsia="Times New Roman" w:hAnsi="Arial" w:cs="Arial"/>
                <w:color w:val="000000"/>
                <w:sz w:val="12"/>
                <w:szCs w:val="12"/>
                <w:lang w:bidi="hi-IN"/>
              </w:rPr>
            </w:pPr>
          </w:p>
        </w:tc>
      </w:tr>
      <w:tr w:rsidR="00E445D6" w:rsidRPr="00E445D6" w:rsidTr="00E445D6">
        <w:trPr>
          <w:tblCellSpacing w:w="0" w:type="dxa"/>
        </w:trPr>
        <w:tc>
          <w:tcPr>
            <w:tcW w:w="0" w:type="auto"/>
            <w:shd w:val="clear" w:color="auto" w:fill="FFFFFF"/>
            <w:vAlign w:val="center"/>
            <w:hideMark/>
          </w:tcPr>
          <w:p w:rsidR="00E445D6" w:rsidRPr="00E445D6" w:rsidRDefault="00E445D6" w:rsidP="00E445D6">
            <w:pPr>
              <w:spacing w:after="0" w:line="192" w:lineRule="atLeast"/>
              <w:rPr>
                <w:rFonts w:ascii="Arial" w:eastAsia="Times New Roman" w:hAnsi="Arial" w:cs="Arial"/>
                <w:color w:val="000000"/>
                <w:sz w:val="12"/>
                <w:szCs w:val="12"/>
                <w:lang w:bidi="hi-IN"/>
              </w:rPr>
            </w:pPr>
            <w:r w:rsidRPr="00E445D6">
              <w:rPr>
                <w:rFonts w:ascii="Arial" w:eastAsia="Times New Roman" w:hAnsi="Arial" w:cs="Arial"/>
                <w:b/>
                <w:bCs/>
                <w:color w:val="000000"/>
                <w:sz w:val="12"/>
                <w:lang w:bidi="hi-IN"/>
              </w:rPr>
              <w:t xml:space="preserve">Accounting for Investments in Associates in consolidated financial </w:t>
            </w:r>
            <w:proofErr w:type="gramStart"/>
            <w:r w:rsidRPr="00E445D6">
              <w:rPr>
                <w:rFonts w:ascii="Arial" w:eastAsia="Times New Roman" w:hAnsi="Arial" w:cs="Arial"/>
                <w:b/>
                <w:bCs/>
                <w:color w:val="000000"/>
                <w:sz w:val="12"/>
                <w:lang w:bidi="hi-IN"/>
              </w:rPr>
              <w:t>statements :</w:t>
            </w:r>
            <w:proofErr w:type="gramEnd"/>
            <w:r w:rsidRPr="00E445D6">
              <w:rPr>
                <w:rFonts w:ascii="Arial" w:eastAsia="Times New Roman" w:hAnsi="Arial" w:cs="Arial"/>
                <w:b/>
                <w:bCs/>
                <w:color w:val="000000"/>
                <w:sz w:val="12"/>
                <w:lang w:bidi="hi-IN"/>
              </w:rPr>
              <w:t> </w:t>
            </w:r>
            <w:r w:rsidRPr="00E445D6">
              <w:rPr>
                <w:rFonts w:ascii="Arial" w:eastAsia="Times New Roman" w:hAnsi="Arial" w:cs="Arial"/>
                <w:color w:val="000000"/>
                <w:sz w:val="12"/>
                <w:szCs w:val="12"/>
                <w:lang w:bidi="hi-IN"/>
              </w:rPr>
              <w:t xml:space="preserve">The accounting standard was formulated with the objective to set out the principles and procedures for recognizing the investment in associates in the </w:t>
            </w:r>
            <w:proofErr w:type="spellStart"/>
            <w:r w:rsidRPr="00E445D6">
              <w:rPr>
                <w:rFonts w:ascii="Arial" w:eastAsia="Times New Roman" w:hAnsi="Arial" w:cs="Arial"/>
                <w:color w:val="000000"/>
                <w:sz w:val="12"/>
                <w:szCs w:val="12"/>
                <w:lang w:bidi="hi-IN"/>
              </w:rPr>
              <w:t>cosolidated</w:t>
            </w:r>
            <w:proofErr w:type="spellEnd"/>
            <w:r w:rsidRPr="00E445D6">
              <w:rPr>
                <w:rFonts w:ascii="Arial" w:eastAsia="Times New Roman" w:hAnsi="Arial" w:cs="Arial"/>
                <w:color w:val="000000"/>
                <w:sz w:val="12"/>
                <w:szCs w:val="12"/>
                <w:lang w:bidi="hi-IN"/>
              </w:rPr>
              <w:t xml:space="preserve"> financial statements of the investor, so that the effect of investment in associates on the financial position of the group is indicated.</w:t>
            </w:r>
            <w:bookmarkStart w:id="21" w:name="23"/>
            <w:bookmarkEnd w:id="21"/>
          </w:p>
        </w:tc>
      </w:tr>
      <w:tr w:rsidR="00E445D6" w:rsidRPr="00E445D6" w:rsidTr="00E445D6">
        <w:trPr>
          <w:tblCellSpacing w:w="0" w:type="dxa"/>
        </w:trPr>
        <w:tc>
          <w:tcPr>
            <w:tcW w:w="0" w:type="auto"/>
            <w:shd w:val="clear" w:color="auto" w:fill="FFFFFF"/>
            <w:vAlign w:val="center"/>
            <w:hideMark/>
          </w:tcPr>
          <w:p w:rsidR="00E445D6" w:rsidRPr="00E445D6" w:rsidRDefault="00E445D6" w:rsidP="00E445D6">
            <w:pPr>
              <w:spacing w:after="0" w:line="192" w:lineRule="atLeast"/>
              <w:rPr>
                <w:rFonts w:ascii="Arial" w:eastAsia="Times New Roman" w:hAnsi="Arial" w:cs="Arial"/>
                <w:color w:val="000000"/>
                <w:sz w:val="12"/>
                <w:szCs w:val="12"/>
                <w:lang w:bidi="hi-IN"/>
              </w:rPr>
            </w:pPr>
          </w:p>
        </w:tc>
      </w:tr>
      <w:tr w:rsidR="00E445D6" w:rsidRPr="00E445D6" w:rsidTr="00E445D6">
        <w:trPr>
          <w:tblCellSpacing w:w="0" w:type="dxa"/>
        </w:trPr>
        <w:tc>
          <w:tcPr>
            <w:tcW w:w="0" w:type="auto"/>
            <w:shd w:val="clear" w:color="auto" w:fill="FFFFFF"/>
            <w:vAlign w:val="center"/>
            <w:hideMark/>
          </w:tcPr>
          <w:p w:rsidR="00E445D6" w:rsidRPr="00E445D6" w:rsidRDefault="00E445D6" w:rsidP="00E445D6">
            <w:pPr>
              <w:spacing w:after="0" w:line="192" w:lineRule="atLeast"/>
              <w:rPr>
                <w:rFonts w:ascii="Arial" w:eastAsia="Times New Roman" w:hAnsi="Arial" w:cs="Arial"/>
                <w:color w:val="000000"/>
                <w:sz w:val="12"/>
                <w:szCs w:val="12"/>
                <w:lang w:bidi="hi-IN"/>
              </w:rPr>
            </w:pPr>
            <w:r w:rsidRPr="00E445D6">
              <w:rPr>
                <w:rFonts w:ascii="Arial" w:eastAsia="Times New Roman" w:hAnsi="Arial" w:cs="Arial"/>
                <w:b/>
                <w:bCs/>
                <w:color w:val="000000"/>
                <w:sz w:val="12"/>
                <w:lang w:bidi="hi-IN"/>
              </w:rPr>
              <w:t xml:space="preserve">Discontinuing </w:t>
            </w:r>
            <w:proofErr w:type="gramStart"/>
            <w:r w:rsidRPr="00E445D6">
              <w:rPr>
                <w:rFonts w:ascii="Arial" w:eastAsia="Times New Roman" w:hAnsi="Arial" w:cs="Arial"/>
                <w:b/>
                <w:bCs/>
                <w:color w:val="000000"/>
                <w:sz w:val="12"/>
                <w:lang w:bidi="hi-IN"/>
              </w:rPr>
              <w:t>Operations :</w:t>
            </w:r>
            <w:proofErr w:type="gramEnd"/>
            <w:r w:rsidRPr="00E445D6">
              <w:rPr>
                <w:rFonts w:ascii="Arial" w:eastAsia="Times New Roman" w:hAnsi="Arial" w:cs="Arial"/>
                <w:b/>
                <w:bCs/>
                <w:color w:val="000000"/>
                <w:sz w:val="12"/>
                <w:lang w:bidi="hi-IN"/>
              </w:rPr>
              <w:t> </w:t>
            </w:r>
            <w:r w:rsidRPr="00E445D6">
              <w:rPr>
                <w:rFonts w:ascii="Arial" w:eastAsia="Times New Roman" w:hAnsi="Arial" w:cs="Arial"/>
                <w:color w:val="000000"/>
                <w:sz w:val="12"/>
                <w:szCs w:val="12"/>
                <w:lang w:bidi="hi-IN"/>
              </w:rPr>
              <w:t xml:space="preserve">The objective of this standard is to establish principles for reporting information about discontinuing operations. This standard covers "discontinuing operations" rather than "discontinued operation". The focus of the disclosure of the Information is about the operations which the enterprise plans to discontinue rather than </w:t>
            </w:r>
            <w:proofErr w:type="spellStart"/>
            <w:r w:rsidRPr="00E445D6">
              <w:rPr>
                <w:rFonts w:ascii="Arial" w:eastAsia="Times New Roman" w:hAnsi="Arial" w:cs="Arial"/>
                <w:color w:val="000000"/>
                <w:sz w:val="12"/>
                <w:szCs w:val="12"/>
                <w:lang w:bidi="hi-IN"/>
              </w:rPr>
              <w:t>dsclosing</w:t>
            </w:r>
            <w:proofErr w:type="spellEnd"/>
            <w:r w:rsidRPr="00E445D6">
              <w:rPr>
                <w:rFonts w:ascii="Arial" w:eastAsia="Times New Roman" w:hAnsi="Arial" w:cs="Arial"/>
                <w:color w:val="000000"/>
                <w:sz w:val="12"/>
                <w:szCs w:val="12"/>
                <w:lang w:bidi="hi-IN"/>
              </w:rPr>
              <w:t xml:space="preserve"> on the operations which are already discontinued. However, the disclosure about discontinued operation is also covered by this standard.</w:t>
            </w:r>
            <w:bookmarkStart w:id="22" w:name="24"/>
            <w:bookmarkEnd w:id="22"/>
          </w:p>
        </w:tc>
      </w:tr>
      <w:tr w:rsidR="00E445D6" w:rsidRPr="00E445D6" w:rsidTr="00E445D6">
        <w:trPr>
          <w:tblCellSpacing w:w="0" w:type="dxa"/>
        </w:trPr>
        <w:tc>
          <w:tcPr>
            <w:tcW w:w="0" w:type="auto"/>
            <w:shd w:val="clear" w:color="auto" w:fill="FFFFFF"/>
            <w:vAlign w:val="center"/>
            <w:hideMark/>
          </w:tcPr>
          <w:p w:rsidR="00E445D6" w:rsidRPr="00E445D6" w:rsidRDefault="00E445D6" w:rsidP="00E445D6">
            <w:pPr>
              <w:spacing w:after="0" w:line="192" w:lineRule="atLeast"/>
              <w:rPr>
                <w:rFonts w:ascii="Arial" w:eastAsia="Times New Roman" w:hAnsi="Arial" w:cs="Arial"/>
                <w:color w:val="000000"/>
                <w:sz w:val="12"/>
                <w:szCs w:val="12"/>
                <w:lang w:bidi="hi-IN"/>
              </w:rPr>
            </w:pPr>
          </w:p>
        </w:tc>
      </w:tr>
      <w:tr w:rsidR="00E445D6" w:rsidRPr="00E445D6" w:rsidTr="00E445D6">
        <w:trPr>
          <w:tblCellSpacing w:w="0" w:type="dxa"/>
        </w:trPr>
        <w:tc>
          <w:tcPr>
            <w:tcW w:w="0" w:type="auto"/>
            <w:shd w:val="clear" w:color="auto" w:fill="FFFFFF"/>
            <w:vAlign w:val="center"/>
            <w:hideMark/>
          </w:tcPr>
          <w:p w:rsidR="00E445D6" w:rsidRPr="00E445D6" w:rsidRDefault="00E445D6" w:rsidP="00E445D6">
            <w:pPr>
              <w:spacing w:after="0" w:line="192" w:lineRule="atLeast"/>
              <w:rPr>
                <w:rFonts w:ascii="Arial" w:eastAsia="Times New Roman" w:hAnsi="Arial" w:cs="Arial"/>
                <w:color w:val="000000"/>
                <w:sz w:val="12"/>
                <w:szCs w:val="12"/>
                <w:lang w:bidi="hi-IN"/>
              </w:rPr>
            </w:pPr>
            <w:r w:rsidRPr="00E445D6">
              <w:rPr>
                <w:rFonts w:ascii="Arial" w:eastAsia="Times New Roman" w:hAnsi="Arial" w:cs="Arial"/>
                <w:b/>
                <w:bCs/>
                <w:color w:val="000000"/>
                <w:sz w:val="12"/>
                <w:lang w:bidi="hi-IN"/>
              </w:rPr>
              <w:t>Interim Financial Reporting (IFR</w:t>
            </w:r>
            <w:proofErr w:type="gramStart"/>
            <w:r w:rsidRPr="00E445D6">
              <w:rPr>
                <w:rFonts w:ascii="Arial" w:eastAsia="Times New Roman" w:hAnsi="Arial" w:cs="Arial"/>
                <w:b/>
                <w:bCs/>
                <w:color w:val="000000"/>
                <w:sz w:val="12"/>
                <w:lang w:bidi="hi-IN"/>
              </w:rPr>
              <w:t>) :</w:t>
            </w:r>
            <w:proofErr w:type="gramEnd"/>
            <w:r w:rsidRPr="00E445D6">
              <w:rPr>
                <w:rFonts w:ascii="Arial" w:eastAsia="Times New Roman" w:hAnsi="Arial" w:cs="Arial"/>
                <w:b/>
                <w:bCs/>
                <w:color w:val="000000"/>
                <w:sz w:val="12"/>
                <w:lang w:bidi="hi-IN"/>
              </w:rPr>
              <w:t> </w:t>
            </w:r>
            <w:r w:rsidRPr="00E445D6">
              <w:rPr>
                <w:rFonts w:ascii="Arial" w:eastAsia="Times New Roman" w:hAnsi="Arial" w:cs="Arial"/>
                <w:color w:val="000000"/>
                <w:sz w:val="12"/>
                <w:szCs w:val="12"/>
                <w:lang w:bidi="hi-IN"/>
              </w:rPr>
              <w:t>Interim financial reporting is the reporting for periods of less than a year generally for a period of 3 months. As per clause 41 of listing agreement the companies are required to publish the financial results on a quarterly basis.</w:t>
            </w:r>
            <w:bookmarkStart w:id="23" w:name="25"/>
            <w:bookmarkEnd w:id="23"/>
          </w:p>
        </w:tc>
      </w:tr>
      <w:tr w:rsidR="00E445D6" w:rsidRPr="00E445D6" w:rsidTr="00E445D6">
        <w:trPr>
          <w:tblCellSpacing w:w="0" w:type="dxa"/>
        </w:trPr>
        <w:tc>
          <w:tcPr>
            <w:tcW w:w="0" w:type="auto"/>
            <w:shd w:val="clear" w:color="auto" w:fill="FFFFFF"/>
            <w:vAlign w:val="center"/>
            <w:hideMark/>
          </w:tcPr>
          <w:p w:rsidR="00E445D6" w:rsidRPr="00E445D6" w:rsidRDefault="00E445D6" w:rsidP="00E445D6">
            <w:pPr>
              <w:spacing w:after="0" w:line="192" w:lineRule="atLeast"/>
              <w:rPr>
                <w:rFonts w:ascii="Arial" w:eastAsia="Times New Roman" w:hAnsi="Arial" w:cs="Arial"/>
                <w:color w:val="000000"/>
                <w:sz w:val="12"/>
                <w:szCs w:val="12"/>
                <w:lang w:bidi="hi-IN"/>
              </w:rPr>
            </w:pPr>
          </w:p>
        </w:tc>
      </w:tr>
      <w:tr w:rsidR="00E445D6" w:rsidRPr="00E445D6" w:rsidTr="00E445D6">
        <w:trPr>
          <w:tblCellSpacing w:w="0" w:type="dxa"/>
        </w:trPr>
        <w:tc>
          <w:tcPr>
            <w:tcW w:w="0" w:type="auto"/>
            <w:shd w:val="clear" w:color="auto" w:fill="FFFFFF"/>
            <w:vAlign w:val="center"/>
            <w:hideMark/>
          </w:tcPr>
          <w:p w:rsidR="00E445D6" w:rsidRPr="00E445D6" w:rsidRDefault="00E445D6" w:rsidP="00E445D6">
            <w:pPr>
              <w:spacing w:after="0" w:line="192" w:lineRule="atLeast"/>
              <w:rPr>
                <w:rFonts w:ascii="Arial" w:eastAsia="Times New Roman" w:hAnsi="Arial" w:cs="Arial"/>
                <w:color w:val="000000"/>
                <w:sz w:val="12"/>
                <w:szCs w:val="12"/>
                <w:lang w:bidi="hi-IN"/>
              </w:rPr>
            </w:pPr>
            <w:r w:rsidRPr="00E445D6">
              <w:rPr>
                <w:rFonts w:ascii="Arial" w:eastAsia="Times New Roman" w:hAnsi="Arial" w:cs="Arial"/>
                <w:b/>
                <w:bCs/>
                <w:color w:val="000000"/>
                <w:sz w:val="12"/>
                <w:lang w:bidi="hi-IN"/>
              </w:rPr>
              <w:t>Intangible Assets :</w:t>
            </w:r>
            <w:r w:rsidRPr="00E445D6">
              <w:rPr>
                <w:rFonts w:ascii="Arial" w:eastAsia="Times New Roman" w:hAnsi="Arial" w:cs="Arial"/>
                <w:color w:val="000000"/>
                <w:sz w:val="12"/>
                <w:lang w:bidi="hi-IN"/>
              </w:rPr>
              <w:t> </w:t>
            </w:r>
            <w:r w:rsidRPr="00E445D6">
              <w:rPr>
                <w:rFonts w:ascii="Arial" w:eastAsia="Times New Roman" w:hAnsi="Arial" w:cs="Arial"/>
                <w:color w:val="000000"/>
                <w:sz w:val="12"/>
                <w:szCs w:val="12"/>
                <w:lang w:bidi="hi-IN"/>
              </w:rPr>
              <w:t>An Intangible Asset is an Identifiable non-monetary Asset without physical substance held for use in the production or supplying of goods or services for rentals to others or for administrative purpose</w:t>
            </w:r>
            <w:bookmarkStart w:id="24" w:name="26"/>
            <w:bookmarkEnd w:id="24"/>
          </w:p>
        </w:tc>
      </w:tr>
      <w:tr w:rsidR="00E445D6" w:rsidRPr="00E445D6" w:rsidTr="00E445D6">
        <w:trPr>
          <w:tblCellSpacing w:w="0" w:type="dxa"/>
        </w:trPr>
        <w:tc>
          <w:tcPr>
            <w:tcW w:w="0" w:type="auto"/>
            <w:shd w:val="clear" w:color="auto" w:fill="FFFFFF"/>
            <w:vAlign w:val="center"/>
            <w:hideMark/>
          </w:tcPr>
          <w:p w:rsidR="00E445D6" w:rsidRPr="00E445D6" w:rsidRDefault="00E445D6" w:rsidP="00E445D6">
            <w:pPr>
              <w:spacing w:after="0" w:line="192" w:lineRule="atLeast"/>
              <w:rPr>
                <w:rFonts w:ascii="Arial" w:eastAsia="Times New Roman" w:hAnsi="Arial" w:cs="Arial"/>
                <w:color w:val="000000"/>
                <w:sz w:val="12"/>
                <w:szCs w:val="12"/>
                <w:lang w:bidi="hi-IN"/>
              </w:rPr>
            </w:pPr>
          </w:p>
        </w:tc>
      </w:tr>
      <w:tr w:rsidR="00E445D6" w:rsidRPr="00E445D6" w:rsidTr="00E445D6">
        <w:trPr>
          <w:tblCellSpacing w:w="0" w:type="dxa"/>
        </w:trPr>
        <w:tc>
          <w:tcPr>
            <w:tcW w:w="0" w:type="auto"/>
            <w:shd w:val="clear" w:color="auto" w:fill="FFFFFF"/>
            <w:vAlign w:val="center"/>
            <w:hideMark/>
          </w:tcPr>
          <w:p w:rsidR="00E445D6" w:rsidRPr="00E445D6" w:rsidRDefault="00E445D6" w:rsidP="00E445D6">
            <w:pPr>
              <w:spacing w:after="0" w:line="192" w:lineRule="atLeast"/>
              <w:rPr>
                <w:rFonts w:ascii="Arial" w:eastAsia="Times New Roman" w:hAnsi="Arial" w:cs="Arial"/>
                <w:color w:val="000000"/>
                <w:sz w:val="12"/>
                <w:szCs w:val="12"/>
                <w:lang w:bidi="hi-IN"/>
              </w:rPr>
            </w:pPr>
            <w:r w:rsidRPr="00E445D6">
              <w:rPr>
                <w:rFonts w:ascii="Arial" w:eastAsia="Times New Roman" w:hAnsi="Arial" w:cs="Arial"/>
                <w:b/>
                <w:bCs/>
                <w:color w:val="000000"/>
                <w:sz w:val="12"/>
                <w:lang w:bidi="hi-IN"/>
              </w:rPr>
              <w:t xml:space="preserve">Financial Reporting of Interest in joint </w:t>
            </w:r>
            <w:proofErr w:type="gramStart"/>
            <w:r w:rsidRPr="00E445D6">
              <w:rPr>
                <w:rFonts w:ascii="Arial" w:eastAsia="Times New Roman" w:hAnsi="Arial" w:cs="Arial"/>
                <w:b/>
                <w:bCs/>
                <w:color w:val="000000"/>
                <w:sz w:val="12"/>
                <w:lang w:bidi="hi-IN"/>
              </w:rPr>
              <w:t>ventures :</w:t>
            </w:r>
            <w:proofErr w:type="gramEnd"/>
            <w:r w:rsidRPr="00E445D6">
              <w:rPr>
                <w:rFonts w:ascii="Arial" w:eastAsia="Times New Roman" w:hAnsi="Arial" w:cs="Arial"/>
                <w:color w:val="000000"/>
                <w:sz w:val="12"/>
                <w:lang w:bidi="hi-IN"/>
              </w:rPr>
              <w:t> </w:t>
            </w:r>
            <w:r w:rsidRPr="00E445D6">
              <w:rPr>
                <w:rFonts w:ascii="Arial" w:eastAsia="Times New Roman" w:hAnsi="Arial" w:cs="Arial"/>
                <w:color w:val="000000"/>
                <w:sz w:val="12"/>
                <w:szCs w:val="12"/>
                <w:lang w:bidi="hi-IN"/>
              </w:rPr>
              <w:t>Joint Venture is defined as a contractual arrangement whereby two or more parties carry on an economic activity under '</w:t>
            </w:r>
            <w:r w:rsidRPr="00E445D6">
              <w:rPr>
                <w:rFonts w:ascii="Arial" w:eastAsia="Times New Roman" w:hAnsi="Arial" w:cs="Arial"/>
                <w:b/>
                <w:bCs/>
                <w:color w:val="000000"/>
                <w:sz w:val="12"/>
                <w:lang w:bidi="hi-IN"/>
              </w:rPr>
              <w:t>joint control</w:t>
            </w:r>
            <w:r w:rsidRPr="00E445D6">
              <w:rPr>
                <w:rFonts w:ascii="Arial" w:eastAsia="Times New Roman" w:hAnsi="Arial" w:cs="Arial"/>
                <w:color w:val="000000"/>
                <w:sz w:val="12"/>
                <w:szCs w:val="12"/>
                <w:lang w:bidi="hi-IN"/>
              </w:rPr>
              <w:t>'. Control is the power to govern the financial and operating policies of an economic activity so as to obtain benefit from it. 'Joint control' is the contractually agreed sharing of control over economic activity.</w:t>
            </w:r>
            <w:bookmarkStart w:id="25" w:name="27"/>
            <w:bookmarkEnd w:id="25"/>
          </w:p>
        </w:tc>
      </w:tr>
      <w:tr w:rsidR="00E445D6" w:rsidRPr="00E445D6" w:rsidTr="00E445D6">
        <w:trPr>
          <w:tblCellSpacing w:w="0" w:type="dxa"/>
        </w:trPr>
        <w:tc>
          <w:tcPr>
            <w:tcW w:w="0" w:type="auto"/>
            <w:shd w:val="clear" w:color="auto" w:fill="FFFFFF"/>
            <w:vAlign w:val="center"/>
            <w:hideMark/>
          </w:tcPr>
          <w:p w:rsidR="00E445D6" w:rsidRPr="00E445D6" w:rsidRDefault="00E445D6" w:rsidP="00E445D6">
            <w:pPr>
              <w:spacing w:after="0" w:line="192" w:lineRule="atLeast"/>
              <w:rPr>
                <w:rFonts w:ascii="Arial" w:eastAsia="Times New Roman" w:hAnsi="Arial" w:cs="Arial"/>
                <w:color w:val="000000"/>
                <w:sz w:val="12"/>
                <w:szCs w:val="12"/>
                <w:lang w:bidi="hi-IN"/>
              </w:rPr>
            </w:pPr>
          </w:p>
        </w:tc>
      </w:tr>
      <w:tr w:rsidR="00E445D6" w:rsidRPr="00E445D6" w:rsidTr="00E445D6">
        <w:trPr>
          <w:tblCellSpacing w:w="0" w:type="dxa"/>
        </w:trPr>
        <w:tc>
          <w:tcPr>
            <w:tcW w:w="0" w:type="auto"/>
            <w:shd w:val="clear" w:color="auto" w:fill="FFFFFF"/>
            <w:vAlign w:val="center"/>
            <w:hideMark/>
          </w:tcPr>
          <w:p w:rsidR="00E445D6" w:rsidRPr="00E445D6" w:rsidRDefault="00E445D6" w:rsidP="00E445D6">
            <w:pPr>
              <w:spacing w:after="0" w:line="192" w:lineRule="atLeast"/>
              <w:rPr>
                <w:rFonts w:ascii="Arial" w:eastAsia="Times New Roman" w:hAnsi="Arial" w:cs="Arial"/>
                <w:color w:val="000000"/>
                <w:sz w:val="12"/>
                <w:szCs w:val="12"/>
                <w:lang w:bidi="hi-IN"/>
              </w:rPr>
            </w:pPr>
            <w:r w:rsidRPr="00E445D6">
              <w:rPr>
                <w:rFonts w:ascii="Arial" w:eastAsia="Times New Roman" w:hAnsi="Arial" w:cs="Arial"/>
                <w:b/>
                <w:bCs/>
                <w:color w:val="000000"/>
                <w:sz w:val="12"/>
                <w:lang w:bidi="hi-IN"/>
              </w:rPr>
              <w:t xml:space="preserve">Impairment of </w:t>
            </w:r>
            <w:proofErr w:type="gramStart"/>
            <w:r w:rsidRPr="00E445D6">
              <w:rPr>
                <w:rFonts w:ascii="Arial" w:eastAsia="Times New Roman" w:hAnsi="Arial" w:cs="Arial"/>
                <w:b/>
                <w:bCs/>
                <w:color w:val="000000"/>
                <w:sz w:val="12"/>
                <w:lang w:bidi="hi-IN"/>
              </w:rPr>
              <w:t>Assets :</w:t>
            </w:r>
            <w:proofErr w:type="gramEnd"/>
            <w:r w:rsidRPr="00E445D6">
              <w:rPr>
                <w:rFonts w:ascii="Arial" w:eastAsia="Times New Roman" w:hAnsi="Arial" w:cs="Arial"/>
                <w:color w:val="000000"/>
                <w:sz w:val="12"/>
                <w:lang w:bidi="hi-IN"/>
              </w:rPr>
              <w:t> </w:t>
            </w:r>
            <w:r w:rsidRPr="00E445D6">
              <w:rPr>
                <w:rFonts w:ascii="Arial" w:eastAsia="Times New Roman" w:hAnsi="Arial" w:cs="Arial"/>
                <w:color w:val="000000"/>
                <w:sz w:val="12"/>
                <w:szCs w:val="12"/>
                <w:lang w:bidi="hi-IN"/>
              </w:rPr>
              <w:t xml:space="preserve">The dictionary </w:t>
            </w:r>
            <w:proofErr w:type="spellStart"/>
            <w:r w:rsidRPr="00E445D6">
              <w:rPr>
                <w:rFonts w:ascii="Arial" w:eastAsia="Times New Roman" w:hAnsi="Arial" w:cs="Arial"/>
                <w:color w:val="000000"/>
                <w:sz w:val="12"/>
                <w:szCs w:val="12"/>
                <w:lang w:bidi="hi-IN"/>
              </w:rPr>
              <w:t>meanong</w:t>
            </w:r>
            <w:proofErr w:type="spellEnd"/>
            <w:r w:rsidRPr="00E445D6">
              <w:rPr>
                <w:rFonts w:ascii="Arial" w:eastAsia="Times New Roman" w:hAnsi="Arial" w:cs="Arial"/>
                <w:color w:val="000000"/>
                <w:sz w:val="12"/>
                <w:szCs w:val="12"/>
                <w:lang w:bidi="hi-IN"/>
              </w:rPr>
              <w:t xml:space="preserve"> of 'impairment of asset' is weakening in value of asset. In other words when the value of asset decreases, it may be called impairment of an asset. As per AS-28 asset is said to be impaired when carrying amount of asset is more than its recoverable amount.</w:t>
            </w:r>
            <w:bookmarkStart w:id="26" w:name="28"/>
            <w:bookmarkEnd w:id="26"/>
          </w:p>
        </w:tc>
      </w:tr>
      <w:tr w:rsidR="00E445D6" w:rsidRPr="00E445D6" w:rsidTr="00E445D6">
        <w:trPr>
          <w:tblCellSpacing w:w="0" w:type="dxa"/>
        </w:trPr>
        <w:tc>
          <w:tcPr>
            <w:tcW w:w="0" w:type="auto"/>
            <w:shd w:val="clear" w:color="auto" w:fill="FFFFFF"/>
            <w:vAlign w:val="center"/>
            <w:hideMark/>
          </w:tcPr>
          <w:p w:rsidR="00E445D6" w:rsidRPr="00E445D6" w:rsidRDefault="00E445D6" w:rsidP="00E445D6">
            <w:pPr>
              <w:spacing w:after="0" w:line="192" w:lineRule="atLeast"/>
              <w:rPr>
                <w:rFonts w:ascii="Arial" w:eastAsia="Times New Roman" w:hAnsi="Arial" w:cs="Arial"/>
                <w:color w:val="000000"/>
                <w:sz w:val="12"/>
                <w:szCs w:val="12"/>
                <w:lang w:bidi="hi-IN"/>
              </w:rPr>
            </w:pPr>
          </w:p>
        </w:tc>
      </w:tr>
      <w:tr w:rsidR="00E445D6" w:rsidRPr="00E445D6" w:rsidTr="00E445D6">
        <w:trPr>
          <w:tblCellSpacing w:w="0" w:type="dxa"/>
        </w:trPr>
        <w:tc>
          <w:tcPr>
            <w:tcW w:w="0" w:type="auto"/>
            <w:shd w:val="clear" w:color="auto" w:fill="FFFFFF"/>
            <w:vAlign w:val="center"/>
            <w:hideMark/>
          </w:tcPr>
          <w:p w:rsidR="00E445D6" w:rsidRPr="00E445D6" w:rsidRDefault="00E445D6" w:rsidP="00E445D6">
            <w:pPr>
              <w:spacing w:after="0" w:line="192" w:lineRule="atLeast"/>
              <w:rPr>
                <w:rFonts w:ascii="Arial" w:eastAsia="Times New Roman" w:hAnsi="Arial" w:cs="Arial"/>
                <w:color w:val="000000"/>
                <w:sz w:val="12"/>
                <w:szCs w:val="12"/>
                <w:lang w:bidi="hi-IN"/>
              </w:rPr>
            </w:pPr>
            <w:r w:rsidRPr="00E445D6">
              <w:rPr>
                <w:rFonts w:ascii="Arial" w:eastAsia="Times New Roman" w:hAnsi="Arial" w:cs="Arial"/>
                <w:b/>
                <w:bCs/>
                <w:color w:val="000000"/>
                <w:sz w:val="12"/>
                <w:lang w:bidi="hi-IN"/>
              </w:rPr>
              <w:t xml:space="preserve">Provisions, Contingent Liabilities And Contingent </w:t>
            </w:r>
            <w:proofErr w:type="gramStart"/>
            <w:r w:rsidRPr="00E445D6">
              <w:rPr>
                <w:rFonts w:ascii="Arial" w:eastAsia="Times New Roman" w:hAnsi="Arial" w:cs="Arial"/>
                <w:b/>
                <w:bCs/>
                <w:color w:val="000000"/>
                <w:sz w:val="12"/>
                <w:lang w:bidi="hi-IN"/>
              </w:rPr>
              <w:t>Assets :</w:t>
            </w:r>
            <w:proofErr w:type="gramEnd"/>
            <w:r w:rsidRPr="00E445D6">
              <w:rPr>
                <w:rFonts w:ascii="Arial" w:eastAsia="Times New Roman" w:hAnsi="Arial" w:cs="Arial"/>
                <w:color w:val="000000"/>
                <w:sz w:val="12"/>
                <w:lang w:bidi="hi-IN"/>
              </w:rPr>
              <w:t> </w:t>
            </w:r>
            <w:r w:rsidRPr="00E445D6">
              <w:rPr>
                <w:rFonts w:ascii="Arial" w:eastAsia="Times New Roman" w:hAnsi="Arial" w:cs="Arial"/>
                <w:color w:val="000000"/>
                <w:sz w:val="12"/>
                <w:szCs w:val="12"/>
                <w:lang w:bidi="hi-IN"/>
              </w:rPr>
              <w:t xml:space="preserve">Objective of this standard is to prescribe the accounting for Provisions, Contingent </w:t>
            </w:r>
            <w:proofErr w:type="spellStart"/>
            <w:r w:rsidRPr="00E445D6">
              <w:rPr>
                <w:rFonts w:ascii="Arial" w:eastAsia="Times New Roman" w:hAnsi="Arial" w:cs="Arial"/>
                <w:color w:val="000000"/>
                <w:sz w:val="12"/>
                <w:szCs w:val="12"/>
                <w:lang w:bidi="hi-IN"/>
              </w:rPr>
              <w:t>Liabilitites</w:t>
            </w:r>
            <w:proofErr w:type="spellEnd"/>
            <w:r w:rsidRPr="00E445D6">
              <w:rPr>
                <w:rFonts w:ascii="Arial" w:eastAsia="Times New Roman" w:hAnsi="Arial" w:cs="Arial"/>
                <w:color w:val="000000"/>
                <w:sz w:val="12"/>
                <w:szCs w:val="12"/>
                <w:lang w:bidi="hi-IN"/>
              </w:rPr>
              <w:t>, Contingent Assets, Provision for restructuring cost.</w:t>
            </w:r>
            <w:r w:rsidRPr="00E445D6">
              <w:rPr>
                <w:rFonts w:ascii="Arial" w:eastAsia="Times New Roman" w:hAnsi="Arial" w:cs="Arial"/>
                <w:color w:val="000000"/>
                <w:sz w:val="12"/>
                <w:szCs w:val="12"/>
                <w:lang w:bidi="hi-IN"/>
              </w:rPr>
              <w:br/>
              <w:t>Provision: It is a liability, which can be measured only by using a substantial degree of estimation.</w:t>
            </w:r>
            <w:r w:rsidRPr="00E445D6">
              <w:rPr>
                <w:rFonts w:ascii="Arial" w:eastAsia="Times New Roman" w:hAnsi="Arial" w:cs="Arial"/>
                <w:color w:val="000000"/>
                <w:sz w:val="12"/>
                <w:szCs w:val="12"/>
                <w:lang w:bidi="hi-IN"/>
              </w:rPr>
              <w:br/>
              <w:t>Liability: A liability is present obligation of the enterprise arising from past events the settlement of which is expected to result in an outflow from the enterprise of resources embodying economic benefits</w:t>
            </w:r>
          </w:p>
        </w:tc>
      </w:tr>
    </w:tbl>
    <w:p w:rsidR="000166E3" w:rsidRDefault="000166E3"/>
    <w:sectPr w:rsidR="000166E3" w:rsidSect="000166E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4D6B85"/>
    <w:multiLevelType w:val="multilevel"/>
    <w:tmpl w:val="4D82F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E445D6"/>
    <w:rsid w:val="000166E3"/>
    <w:rsid w:val="00E445D6"/>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66E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445D6"/>
    <w:rPr>
      <w:b/>
      <w:bCs/>
    </w:rPr>
  </w:style>
  <w:style w:type="character" w:customStyle="1" w:styleId="apple-converted-space">
    <w:name w:val="apple-converted-space"/>
    <w:basedOn w:val="DefaultParagraphFont"/>
    <w:rsid w:val="00E445D6"/>
  </w:style>
  <w:style w:type="paragraph" w:styleId="NormalWeb">
    <w:name w:val="Normal (Web)"/>
    <w:basedOn w:val="Normal"/>
    <w:uiPriority w:val="99"/>
    <w:unhideWhenUsed/>
    <w:rsid w:val="00E445D6"/>
    <w:pPr>
      <w:spacing w:before="100" w:beforeAutospacing="1" w:after="100" w:afterAutospacing="1" w:line="240" w:lineRule="auto"/>
    </w:pPr>
    <w:rPr>
      <w:rFonts w:ascii="Times New Roman" w:eastAsia="Times New Roman" w:hAnsi="Times New Roman" w:cs="Times New Roman"/>
      <w:sz w:val="24"/>
      <w:szCs w:val="24"/>
      <w:lang w:bidi="hi-IN"/>
    </w:rPr>
  </w:style>
</w:styles>
</file>

<file path=word/webSettings.xml><?xml version="1.0" encoding="utf-8"?>
<w:webSettings xmlns:r="http://schemas.openxmlformats.org/officeDocument/2006/relationships" xmlns:w="http://schemas.openxmlformats.org/wordprocessingml/2006/main">
  <w:divs>
    <w:div w:id="1772626618">
      <w:bodyDiv w:val="1"/>
      <w:marLeft w:val="0"/>
      <w:marRight w:val="0"/>
      <w:marTop w:val="0"/>
      <w:marBottom w:val="0"/>
      <w:divBdr>
        <w:top w:val="none" w:sz="0" w:space="0" w:color="auto"/>
        <w:left w:val="none" w:sz="0" w:space="0" w:color="auto"/>
        <w:bottom w:val="none" w:sz="0" w:space="0" w:color="auto"/>
        <w:right w:val="none" w:sz="0" w:space="0" w:color="auto"/>
      </w:divBdr>
      <w:divsChild>
        <w:div w:id="712271369">
          <w:marLeft w:val="0"/>
          <w:marRight w:val="0"/>
          <w:marTop w:val="0"/>
          <w:marBottom w:val="0"/>
          <w:divBdr>
            <w:top w:val="none" w:sz="0" w:space="0" w:color="auto"/>
            <w:left w:val="none" w:sz="0" w:space="0" w:color="auto"/>
            <w:bottom w:val="none" w:sz="0" w:space="0" w:color="auto"/>
            <w:right w:val="none" w:sz="0" w:space="0" w:color="auto"/>
          </w:divBdr>
        </w:div>
        <w:div w:id="98379852">
          <w:marLeft w:val="0"/>
          <w:marRight w:val="0"/>
          <w:marTop w:val="0"/>
          <w:marBottom w:val="0"/>
          <w:divBdr>
            <w:top w:val="none" w:sz="0" w:space="0" w:color="auto"/>
            <w:left w:val="none" w:sz="0" w:space="0" w:color="auto"/>
            <w:bottom w:val="none" w:sz="0" w:space="0" w:color="auto"/>
            <w:right w:val="none" w:sz="0" w:space="0" w:color="auto"/>
          </w:divBdr>
        </w:div>
        <w:div w:id="1961300678">
          <w:marLeft w:val="0"/>
          <w:marRight w:val="0"/>
          <w:marTop w:val="0"/>
          <w:marBottom w:val="0"/>
          <w:divBdr>
            <w:top w:val="none" w:sz="0" w:space="0" w:color="auto"/>
            <w:left w:val="none" w:sz="0" w:space="0" w:color="auto"/>
            <w:bottom w:val="none" w:sz="0" w:space="0" w:color="auto"/>
            <w:right w:val="none" w:sz="0" w:space="0" w:color="auto"/>
          </w:divBdr>
        </w:div>
        <w:div w:id="1401631703">
          <w:marLeft w:val="0"/>
          <w:marRight w:val="0"/>
          <w:marTop w:val="0"/>
          <w:marBottom w:val="0"/>
          <w:divBdr>
            <w:top w:val="none" w:sz="0" w:space="0" w:color="auto"/>
            <w:left w:val="none" w:sz="0" w:space="0" w:color="auto"/>
            <w:bottom w:val="none" w:sz="0" w:space="0" w:color="auto"/>
            <w:right w:val="none" w:sz="0" w:space="0" w:color="auto"/>
          </w:divBdr>
        </w:div>
        <w:div w:id="1539583180">
          <w:marLeft w:val="0"/>
          <w:marRight w:val="0"/>
          <w:marTop w:val="0"/>
          <w:marBottom w:val="0"/>
          <w:divBdr>
            <w:top w:val="none" w:sz="0" w:space="0" w:color="auto"/>
            <w:left w:val="none" w:sz="0" w:space="0" w:color="auto"/>
            <w:bottom w:val="none" w:sz="0" w:space="0" w:color="auto"/>
            <w:right w:val="none" w:sz="0" w:space="0" w:color="auto"/>
          </w:divBdr>
        </w:div>
        <w:div w:id="467671131">
          <w:marLeft w:val="0"/>
          <w:marRight w:val="0"/>
          <w:marTop w:val="0"/>
          <w:marBottom w:val="0"/>
          <w:divBdr>
            <w:top w:val="none" w:sz="0" w:space="0" w:color="auto"/>
            <w:left w:val="none" w:sz="0" w:space="0" w:color="auto"/>
            <w:bottom w:val="none" w:sz="0" w:space="0" w:color="auto"/>
            <w:right w:val="none" w:sz="0" w:space="0" w:color="auto"/>
          </w:divBdr>
        </w:div>
        <w:div w:id="1930887325">
          <w:marLeft w:val="0"/>
          <w:marRight w:val="0"/>
          <w:marTop w:val="0"/>
          <w:marBottom w:val="0"/>
          <w:divBdr>
            <w:top w:val="none" w:sz="0" w:space="0" w:color="auto"/>
            <w:left w:val="none" w:sz="0" w:space="0" w:color="auto"/>
            <w:bottom w:val="none" w:sz="0" w:space="0" w:color="auto"/>
            <w:right w:val="none" w:sz="0" w:space="0" w:color="auto"/>
          </w:divBdr>
        </w:div>
        <w:div w:id="2119785984">
          <w:marLeft w:val="0"/>
          <w:marRight w:val="0"/>
          <w:marTop w:val="0"/>
          <w:marBottom w:val="0"/>
          <w:divBdr>
            <w:top w:val="none" w:sz="0" w:space="0" w:color="auto"/>
            <w:left w:val="none" w:sz="0" w:space="0" w:color="auto"/>
            <w:bottom w:val="none" w:sz="0" w:space="0" w:color="auto"/>
            <w:right w:val="none" w:sz="0" w:space="0" w:color="auto"/>
          </w:divBdr>
        </w:div>
        <w:div w:id="672609043">
          <w:marLeft w:val="0"/>
          <w:marRight w:val="0"/>
          <w:marTop w:val="0"/>
          <w:marBottom w:val="0"/>
          <w:divBdr>
            <w:top w:val="none" w:sz="0" w:space="0" w:color="auto"/>
            <w:left w:val="none" w:sz="0" w:space="0" w:color="auto"/>
            <w:bottom w:val="none" w:sz="0" w:space="0" w:color="auto"/>
            <w:right w:val="none" w:sz="0" w:space="0" w:color="auto"/>
          </w:divBdr>
        </w:div>
        <w:div w:id="113326803">
          <w:marLeft w:val="0"/>
          <w:marRight w:val="0"/>
          <w:marTop w:val="0"/>
          <w:marBottom w:val="0"/>
          <w:divBdr>
            <w:top w:val="none" w:sz="0" w:space="0" w:color="auto"/>
            <w:left w:val="none" w:sz="0" w:space="0" w:color="auto"/>
            <w:bottom w:val="none" w:sz="0" w:space="0" w:color="auto"/>
            <w:right w:val="none" w:sz="0" w:space="0" w:color="auto"/>
          </w:divBdr>
        </w:div>
        <w:div w:id="1110081522">
          <w:marLeft w:val="0"/>
          <w:marRight w:val="0"/>
          <w:marTop w:val="0"/>
          <w:marBottom w:val="0"/>
          <w:divBdr>
            <w:top w:val="none" w:sz="0" w:space="0" w:color="auto"/>
            <w:left w:val="none" w:sz="0" w:space="0" w:color="auto"/>
            <w:bottom w:val="none" w:sz="0" w:space="0" w:color="auto"/>
            <w:right w:val="none" w:sz="0" w:space="0" w:color="auto"/>
          </w:divBdr>
        </w:div>
        <w:div w:id="319385302">
          <w:marLeft w:val="0"/>
          <w:marRight w:val="0"/>
          <w:marTop w:val="0"/>
          <w:marBottom w:val="0"/>
          <w:divBdr>
            <w:top w:val="none" w:sz="0" w:space="0" w:color="auto"/>
            <w:left w:val="none" w:sz="0" w:space="0" w:color="auto"/>
            <w:bottom w:val="none" w:sz="0" w:space="0" w:color="auto"/>
            <w:right w:val="none" w:sz="0" w:space="0" w:color="auto"/>
          </w:divBdr>
        </w:div>
        <w:div w:id="751588090">
          <w:marLeft w:val="0"/>
          <w:marRight w:val="0"/>
          <w:marTop w:val="0"/>
          <w:marBottom w:val="0"/>
          <w:divBdr>
            <w:top w:val="none" w:sz="0" w:space="0" w:color="auto"/>
            <w:left w:val="none" w:sz="0" w:space="0" w:color="auto"/>
            <w:bottom w:val="none" w:sz="0" w:space="0" w:color="auto"/>
            <w:right w:val="none" w:sz="0" w:space="0" w:color="auto"/>
          </w:divBdr>
        </w:div>
        <w:div w:id="1594778822">
          <w:marLeft w:val="0"/>
          <w:marRight w:val="0"/>
          <w:marTop w:val="0"/>
          <w:marBottom w:val="0"/>
          <w:divBdr>
            <w:top w:val="none" w:sz="0" w:space="0" w:color="auto"/>
            <w:left w:val="none" w:sz="0" w:space="0" w:color="auto"/>
            <w:bottom w:val="none" w:sz="0" w:space="0" w:color="auto"/>
            <w:right w:val="none" w:sz="0" w:space="0" w:color="auto"/>
          </w:divBdr>
        </w:div>
        <w:div w:id="451636524">
          <w:marLeft w:val="0"/>
          <w:marRight w:val="0"/>
          <w:marTop w:val="0"/>
          <w:marBottom w:val="0"/>
          <w:divBdr>
            <w:top w:val="none" w:sz="0" w:space="0" w:color="auto"/>
            <w:left w:val="none" w:sz="0" w:space="0" w:color="auto"/>
            <w:bottom w:val="none" w:sz="0" w:space="0" w:color="auto"/>
            <w:right w:val="none" w:sz="0" w:space="0" w:color="auto"/>
          </w:divBdr>
        </w:div>
        <w:div w:id="1449591919">
          <w:marLeft w:val="0"/>
          <w:marRight w:val="0"/>
          <w:marTop w:val="0"/>
          <w:marBottom w:val="0"/>
          <w:divBdr>
            <w:top w:val="none" w:sz="0" w:space="0" w:color="auto"/>
            <w:left w:val="none" w:sz="0" w:space="0" w:color="auto"/>
            <w:bottom w:val="none" w:sz="0" w:space="0" w:color="auto"/>
            <w:right w:val="none" w:sz="0" w:space="0" w:color="auto"/>
          </w:divBdr>
        </w:div>
        <w:div w:id="666829777">
          <w:marLeft w:val="0"/>
          <w:marRight w:val="0"/>
          <w:marTop w:val="0"/>
          <w:marBottom w:val="0"/>
          <w:divBdr>
            <w:top w:val="none" w:sz="0" w:space="0" w:color="auto"/>
            <w:left w:val="none" w:sz="0" w:space="0" w:color="auto"/>
            <w:bottom w:val="none" w:sz="0" w:space="0" w:color="auto"/>
            <w:right w:val="none" w:sz="0" w:space="0" w:color="auto"/>
          </w:divBdr>
        </w:div>
        <w:div w:id="34240156">
          <w:marLeft w:val="0"/>
          <w:marRight w:val="0"/>
          <w:marTop w:val="0"/>
          <w:marBottom w:val="0"/>
          <w:divBdr>
            <w:top w:val="none" w:sz="0" w:space="0" w:color="auto"/>
            <w:left w:val="none" w:sz="0" w:space="0" w:color="auto"/>
            <w:bottom w:val="none" w:sz="0" w:space="0" w:color="auto"/>
            <w:right w:val="none" w:sz="0" w:space="0" w:color="auto"/>
          </w:divBdr>
        </w:div>
        <w:div w:id="1540778926">
          <w:marLeft w:val="0"/>
          <w:marRight w:val="0"/>
          <w:marTop w:val="0"/>
          <w:marBottom w:val="0"/>
          <w:divBdr>
            <w:top w:val="none" w:sz="0" w:space="0" w:color="auto"/>
            <w:left w:val="none" w:sz="0" w:space="0" w:color="auto"/>
            <w:bottom w:val="none" w:sz="0" w:space="0" w:color="auto"/>
            <w:right w:val="none" w:sz="0" w:space="0" w:color="auto"/>
          </w:divBdr>
        </w:div>
        <w:div w:id="486366764">
          <w:marLeft w:val="0"/>
          <w:marRight w:val="0"/>
          <w:marTop w:val="0"/>
          <w:marBottom w:val="0"/>
          <w:divBdr>
            <w:top w:val="none" w:sz="0" w:space="0" w:color="auto"/>
            <w:left w:val="none" w:sz="0" w:space="0" w:color="auto"/>
            <w:bottom w:val="none" w:sz="0" w:space="0" w:color="auto"/>
            <w:right w:val="none" w:sz="0" w:space="0" w:color="auto"/>
          </w:divBdr>
        </w:div>
        <w:div w:id="1877690487">
          <w:marLeft w:val="0"/>
          <w:marRight w:val="0"/>
          <w:marTop w:val="0"/>
          <w:marBottom w:val="0"/>
          <w:divBdr>
            <w:top w:val="none" w:sz="0" w:space="0" w:color="auto"/>
            <w:left w:val="none" w:sz="0" w:space="0" w:color="auto"/>
            <w:bottom w:val="none" w:sz="0" w:space="0" w:color="auto"/>
            <w:right w:val="none" w:sz="0" w:space="0" w:color="auto"/>
          </w:divBdr>
        </w:div>
        <w:div w:id="266236629">
          <w:marLeft w:val="0"/>
          <w:marRight w:val="0"/>
          <w:marTop w:val="0"/>
          <w:marBottom w:val="0"/>
          <w:divBdr>
            <w:top w:val="none" w:sz="0" w:space="0" w:color="auto"/>
            <w:left w:val="none" w:sz="0" w:space="0" w:color="auto"/>
            <w:bottom w:val="none" w:sz="0" w:space="0" w:color="auto"/>
            <w:right w:val="none" w:sz="0" w:space="0" w:color="auto"/>
          </w:divBdr>
        </w:div>
        <w:div w:id="2022076773">
          <w:marLeft w:val="0"/>
          <w:marRight w:val="0"/>
          <w:marTop w:val="0"/>
          <w:marBottom w:val="0"/>
          <w:divBdr>
            <w:top w:val="none" w:sz="0" w:space="0" w:color="auto"/>
            <w:left w:val="none" w:sz="0" w:space="0" w:color="auto"/>
            <w:bottom w:val="none" w:sz="0" w:space="0" w:color="auto"/>
            <w:right w:val="none" w:sz="0" w:space="0" w:color="auto"/>
          </w:divBdr>
        </w:div>
        <w:div w:id="1560508106">
          <w:marLeft w:val="0"/>
          <w:marRight w:val="0"/>
          <w:marTop w:val="0"/>
          <w:marBottom w:val="0"/>
          <w:divBdr>
            <w:top w:val="none" w:sz="0" w:space="0" w:color="auto"/>
            <w:left w:val="none" w:sz="0" w:space="0" w:color="auto"/>
            <w:bottom w:val="none" w:sz="0" w:space="0" w:color="auto"/>
            <w:right w:val="none" w:sz="0" w:space="0" w:color="auto"/>
          </w:divBdr>
        </w:div>
        <w:div w:id="1503811704">
          <w:marLeft w:val="0"/>
          <w:marRight w:val="0"/>
          <w:marTop w:val="0"/>
          <w:marBottom w:val="0"/>
          <w:divBdr>
            <w:top w:val="none" w:sz="0" w:space="0" w:color="auto"/>
            <w:left w:val="none" w:sz="0" w:space="0" w:color="auto"/>
            <w:bottom w:val="none" w:sz="0" w:space="0" w:color="auto"/>
            <w:right w:val="none" w:sz="0" w:space="0" w:color="auto"/>
          </w:divBdr>
        </w:div>
        <w:div w:id="324749445">
          <w:marLeft w:val="0"/>
          <w:marRight w:val="0"/>
          <w:marTop w:val="0"/>
          <w:marBottom w:val="0"/>
          <w:divBdr>
            <w:top w:val="none" w:sz="0" w:space="0" w:color="auto"/>
            <w:left w:val="none" w:sz="0" w:space="0" w:color="auto"/>
            <w:bottom w:val="none" w:sz="0" w:space="0" w:color="auto"/>
            <w:right w:val="none" w:sz="0" w:space="0" w:color="auto"/>
          </w:divBdr>
        </w:div>
        <w:div w:id="8889576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1845</Words>
  <Characters>10517</Characters>
  <Application>Microsoft Office Word</Application>
  <DocSecurity>0</DocSecurity>
  <Lines>87</Lines>
  <Paragraphs>24</Paragraphs>
  <ScaleCrop>false</ScaleCrop>
  <Company/>
  <LinksUpToDate>false</LinksUpToDate>
  <CharactersWithSpaces>12338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Anand</dc:creator>
  <cp:lastModifiedBy>Anand</cp:lastModifiedBy>
  <cp:revision>1</cp:revision>
  <dcterms:created xsi:type="dcterms:W3CDTF">2016-04-29T12:46:00Z</dcterms:created>
  <dcterms:modified xsi:type="dcterms:W3CDTF">2016-04-29T12:47:00Z</dcterms:modified>
</cp:coreProperties>
</file>