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B8" w:rsidRPr="00DA2694" w:rsidRDefault="00AF7B00">
      <w:pPr>
        <w:rPr>
          <w:rFonts w:ascii="Times New Roman" w:hAnsi="Times New Roman" w:cs="Times New Roman"/>
          <w:sz w:val="24"/>
          <w:szCs w:val="24"/>
        </w:rPr>
      </w:pPr>
      <w:r w:rsidRPr="00DA2694">
        <w:rPr>
          <w:rFonts w:ascii="Times New Roman" w:hAnsi="Times New Roman" w:cs="Times New Roman"/>
          <w:b/>
          <w:sz w:val="24"/>
          <w:szCs w:val="24"/>
        </w:rPr>
        <w:t xml:space="preserve">MAJOR </w:t>
      </w:r>
      <w:r w:rsidR="00CB748B" w:rsidRPr="00DA2694">
        <w:rPr>
          <w:rFonts w:ascii="Times New Roman" w:hAnsi="Times New Roman" w:cs="Times New Roman"/>
          <w:b/>
          <w:sz w:val="24"/>
          <w:szCs w:val="24"/>
        </w:rPr>
        <w:t>DIFFERENCES</w:t>
      </w:r>
      <w:r w:rsidRPr="00DA2694">
        <w:rPr>
          <w:rFonts w:ascii="Times New Roman" w:hAnsi="Times New Roman" w:cs="Times New Roman"/>
          <w:b/>
          <w:sz w:val="24"/>
          <w:szCs w:val="24"/>
        </w:rPr>
        <w:t xml:space="preserve"> </w:t>
      </w:r>
      <w:r w:rsidR="00CB748B" w:rsidRPr="00DA2694">
        <w:rPr>
          <w:rFonts w:ascii="Times New Roman" w:hAnsi="Times New Roman" w:cs="Times New Roman"/>
          <w:b/>
          <w:sz w:val="24"/>
          <w:szCs w:val="24"/>
        </w:rPr>
        <w:t>BETWEEN</w:t>
      </w:r>
      <w:r w:rsidRPr="00DA2694">
        <w:rPr>
          <w:rFonts w:ascii="Times New Roman" w:hAnsi="Times New Roman" w:cs="Times New Roman"/>
          <w:b/>
          <w:sz w:val="24"/>
          <w:szCs w:val="24"/>
        </w:rPr>
        <w:t xml:space="preserve"> </w:t>
      </w:r>
      <w:r w:rsidR="00CB748B" w:rsidRPr="00DA2694">
        <w:rPr>
          <w:rFonts w:ascii="Times New Roman" w:hAnsi="Times New Roman" w:cs="Times New Roman"/>
          <w:b/>
          <w:sz w:val="24"/>
          <w:szCs w:val="24"/>
        </w:rPr>
        <w:t xml:space="preserve">INCOME </w:t>
      </w:r>
      <w:r w:rsidRPr="00DA2694">
        <w:rPr>
          <w:rFonts w:ascii="Times New Roman" w:hAnsi="Times New Roman" w:cs="Times New Roman"/>
          <w:b/>
          <w:sz w:val="24"/>
          <w:szCs w:val="24"/>
        </w:rPr>
        <w:t>COMPUTATION A</w:t>
      </w:r>
      <w:r w:rsidR="00CB748B" w:rsidRPr="00DA2694">
        <w:rPr>
          <w:rFonts w:ascii="Times New Roman" w:hAnsi="Times New Roman" w:cs="Times New Roman"/>
          <w:b/>
          <w:sz w:val="24"/>
          <w:szCs w:val="24"/>
        </w:rPr>
        <w:t>ND DISCLOSURE</w:t>
      </w:r>
      <w:r w:rsidRPr="00DA2694">
        <w:rPr>
          <w:rFonts w:ascii="Times New Roman" w:hAnsi="Times New Roman" w:cs="Times New Roman"/>
          <w:b/>
          <w:sz w:val="24"/>
          <w:szCs w:val="24"/>
        </w:rPr>
        <w:t xml:space="preserve"> </w:t>
      </w:r>
      <w:r w:rsidR="00CB748B" w:rsidRPr="00DA2694">
        <w:rPr>
          <w:rFonts w:ascii="Times New Roman" w:hAnsi="Times New Roman" w:cs="Times New Roman"/>
          <w:b/>
          <w:sz w:val="24"/>
          <w:szCs w:val="24"/>
        </w:rPr>
        <w:t>STANDARDS</w:t>
      </w:r>
      <w:r w:rsidR="00CB748B" w:rsidRPr="00DA2694">
        <w:rPr>
          <w:rFonts w:ascii="Times New Roman" w:hAnsi="Times New Roman" w:cs="Times New Roman"/>
          <w:sz w:val="24"/>
          <w:szCs w:val="24"/>
        </w:rPr>
        <w:t>:</w:t>
      </w:r>
    </w:p>
    <w:tbl>
      <w:tblPr>
        <w:tblW w:w="11250"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4155"/>
        <w:gridCol w:w="4335"/>
      </w:tblGrid>
      <w:tr w:rsidR="002742FC" w:rsidRPr="00DA2694" w:rsidTr="002742FC">
        <w:trPr>
          <w:trHeight w:val="915"/>
        </w:trPr>
        <w:tc>
          <w:tcPr>
            <w:tcW w:w="2760" w:type="dxa"/>
          </w:tcPr>
          <w:p w:rsidR="002742FC" w:rsidRPr="00DA2694" w:rsidRDefault="002742FC" w:rsidP="002742FC">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  No.</w:t>
            </w:r>
          </w:p>
        </w:tc>
        <w:tc>
          <w:tcPr>
            <w:tcW w:w="4155" w:type="dxa"/>
          </w:tcPr>
          <w:p w:rsidR="002742FC" w:rsidRPr="00DA2694" w:rsidRDefault="002742FC">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4335" w:type="dxa"/>
          </w:tcPr>
          <w:p w:rsidR="002742FC" w:rsidRPr="00DA2694" w:rsidRDefault="002742FC">
            <w:pPr>
              <w:rPr>
                <w:rFonts w:ascii="Times New Roman" w:hAnsi="Times New Roman" w:cs="Times New Roman"/>
                <w:b/>
                <w:sz w:val="24"/>
                <w:szCs w:val="24"/>
              </w:rPr>
            </w:pPr>
            <w:r w:rsidRPr="00DA2694">
              <w:rPr>
                <w:rFonts w:ascii="Times New Roman" w:hAnsi="Times New Roman" w:cs="Times New Roman"/>
                <w:b/>
                <w:sz w:val="24"/>
                <w:szCs w:val="24"/>
              </w:rPr>
              <w:t>Corresponding  to Accounting  Standard</w:t>
            </w:r>
          </w:p>
        </w:tc>
      </w:tr>
      <w:tr w:rsidR="002742FC" w:rsidRPr="00DA2694" w:rsidTr="00276039">
        <w:trPr>
          <w:trHeight w:val="53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I</w:t>
            </w:r>
          </w:p>
        </w:tc>
        <w:tc>
          <w:tcPr>
            <w:tcW w:w="4155" w:type="dxa"/>
          </w:tcPr>
          <w:p w:rsidR="002742FC" w:rsidRPr="00DA2694" w:rsidRDefault="002742FC">
            <w:pPr>
              <w:rPr>
                <w:rFonts w:ascii="Times New Roman" w:hAnsi="Times New Roman" w:cs="Times New Roman"/>
                <w:sz w:val="24"/>
                <w:szCs w:val="24"/>
              </w:rPr>
            </w:pPr>
            <w:r w:rsidRPr="00DA2694">
              <w:rPr>
                <w:rFonts w:ascii="Times New Roman" w:hAnsi="Times New Roman" w:cs="Times New Roman"/>
                <w:sz w:val="24"/>
                <w:szCs w:val="24"/>
              </w:rPr>
              <w:t>Accounting Policies</w:t>
            </w:r>
          </w:p>
        </w:tc>
        <w:tc>
          <w:tcPr>
            <w:tcW w:w="4335" w:type="dxa"/>
          </w:tcPr>
          <w:p w:rsidR="002742FC" w:rsidRPr="00DA2694" w:rsidRDefault="002742FC">
            <w:pPr>
              <w:rPr>
                <w:rFonts w:ascii="Times New Roman" w:hAnsi="Times New Roman" w:cs="Times New Roman"/>
                <w:sz w:val="24"/>
                <w:szCs w:val="24"/>
              </w:rPr>
            </w:pPr>
            <w:r w:rsidRPr="00DA2694">
              <w:rPr>
                <w:rFonts w:ascii="Times New Roman" w:hAnsi="Times New Roman" w:cs="Times New Roman"/>
                <w:sz w:val="24"/>
                <w:szCs w:val="24"/>
              </w:rPr>
              <w:t>AS - 1</w:t>
            </w:r>
          </w:p>
        </w:tc>
      </w:tr>
      <w:tr w:rsidR="002742FC" w:rsidRPr="00DA2694" w:rsidTr="00276039">
        <w:trPr>
          <w:trHeight w:val="53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II</w:t>
            </w:r>
          </w:p>
        </w:tc>
        <w:tc>
          <w:tcPr>
            <w:tcW w:w="4155" w:type="dxa"/>
          </w:tcPr>
          <w:p w:rsidR="002742FC" w:rsidRPr="00DA2694" w:rsidRDefault="002742FC">
            <w:pPr>
              <w:rPr>
                <w:rFonts w:ascii="Times New Roman" w:hAnsi="Times New Roman" w:cs="Times New Roman"/>
                <w:sz w:val="24"/>
                <w:szCs w:val="24"/>
              </w:rPr>
            </w:pPr>
            <w:r w:rsidRPr="00DA2694">
              <w:rPr>
                <w:rFonts w:ascii="Times New Roman" w:hAnsi="Times New Roman" w:cs="Times New Roman"/>
                <w:sz w:val="24"/>
                <w:szCs w:val="24"/>
              </w:rPr>
              <w:t>Valuation of Inventories</w:t>
            </w:r>
          </w:p>
        </w:tc>
        <w:tc>
          <w:tcPr>
            <w:tcW w:w="4335" w:type="dxa"/>
          </w:tcPr>
          <w:p w:rsidR="002742FC" w:rsidRPr="00DA2694" w:rsidRDefault="002742FC">
            <w:pPr>
              <w:rPr>
                <w:rFonts w:ascii="Times New Roman" w:hAnsi="Times New Roman" w:cs="Times New Roman"/>
                <w:sz w:val="24"/>
                <w:szCs w:val="24"/>
              </w:rPr>
            </w:pPr>
            <w:r w:rsidRPr="00DA2694">
              <w:rPr>
                <w:rFonts w:ascii="Times New Roman" w:hAnsi="Times New Roman" w:cs="Times New Roman"/>
                <w:sz w:val="24"/>
                <w:szCs w:val="24"/>
              </w:rPr>
              <w:t>AS -  2</w:t>
            </w:r>
          </w:p>
        </w:tc>
      </w:tr>
      <w:tr w:rsidR="002742FC" w:rsidRPr="00DA2694" w:rsidTr="00276039">
        <w:trPr>
          <w:trHeight w:val="53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III</w:t>
            </w:r>
          </w:p>
        </w:tc>
        <w:tc>
          <w:tcPr>
            <w:tcW w:w="4155" w:type="dxa"/>
          </w:tcPr>
          <w:p w:rsidR="002742FC" w:rsidRPr="00DA2694" w:rsidRDefault="002742FC">
            <w:pPr>
              <w:rPr>
                <w:rFonts w:ascii="Times New Roman" w:hAnsi="Times New Roman" w:cs="Times New Roman"/>
                <w:sz w:val="24"/>
                <w:szCs w:val="24"/>
              </w:rPr>
            </w:pPr>
            <w:r w:rsidRPr="00DA2694">
              <w:rPr>
                <w:rFonts w:ascii="Times New Roman" w:hAnsi="Times New Roman" w:cs="Times New Roman"/>
                <w:sz w:val="24"/>
                <w:szCs w:val="24"/>
              </w:rPr>
              <w:t>Construction Contracts</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7</w:t>
            </w:r>
          </w:p>
        </w:tc>
      </w:tr>
      <w:tr w:rsidR="002742FC" w:rsidRPr="00DA2694" w:rsidTr="00276039">
        <w:trPr>
          <w:trHeight w:val="53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IV</w:t>
            </w:r>
          </w:p>
        </w:tc>
        <w:tc>
          <w:tcPr>
            <w:tcW w:w="415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Revenue Recognition</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9</w:t>
            </w:r>
          </w:p>
        </w:tc>
      </w:tr>
      <w:tr w:rsidR="002742FC" w:rsidRPr="00DA2694" w:rsidTr="00276039">
        <w:trPr>
          <w:trHeight w:val="53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V</w:t>
            </w:r>
          </w:p>
        </w:tc>
        <w:tc>
          <w:tcPr>
            <w:tcW w:w="415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Tangible Fixed Assets</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10</w:t>
            </w:r>
          </w:p>
        </w:tc>
      </w:tr>
      <w:tr w:rsidR="002742FC" w:rsidRPr="00DA2694" w:rsidTr="00276039">
        <w:trPr>
          <w:trHeight w:val="62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VI</w:t>
            </w:r>
          </w:p>
        </w:tc>
        <w:tc>
          <w:tcPr>
            <w:tcW w:w="415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The Effects of Changes in Foreign Exchange Rates</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11</w:t>
            </w:r>
          </w:p>
        </w:tc>
      </w:tr>
      <w:tr w:rsidR="002742FC" w:rsidRPr="00DA2694" w:rsidTr="00276039">
        <w:trPr>
          <w:trHeight w:val="557"/>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VII</w:t>
            </w:r>
          </w:p>
        </w:tc>
        <w:tc>
          <w:tcPr>
            <w:tcW w:w="415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Government Grants</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12</w:t>
            </w:r>
          </w:p>
        </w:tc>
      </w:tr>
      <w:tr w:rsidR="002742FC" w:rsidRPr="00DA2694" w:rsidTr="00276039">
        <w:trPr>
          <w:trHeight w:val="53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 VIII</w:t>
            </w:r>
          </w:p>
        </w:tc>
        <w:tc>
          <w:tcPr>
            <w:tcW w:w="415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Securities</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13</w:t>
            </w:r>
          </w:p>
        </w:tc>
      </w:tr>
      <w:tr w:rsidR="002742FC" w:rsidRPr="00DA2694" w:rsidTr="00276039">
        <w:trPr>
          <w:trHeight w:val="530"/>
        </w:trPr>
        <w:tc>
          <w:tcPr>
            <w:tcW w:w="2760" w:type="dxa"/>
          </w:tcPr>
          <w:p w:rsidR="002742FC" w:rsidRPr="00DA2694" w:rsidRDefault="002742FC" w:rsidP="002742FC">
            <w:pPr>
              <w:rPr>
                <w:rFonts w:ascii="Times New Roman" w:hAnsi="Times New Roman" w:cs="Times New Roman"/>
                <w:sz w:val="24"/>
                <w:szCs w:val="24"/>
              </w:rPr>
            </w:pPr>
            <w:r w:rsidRPr="00DA2694">
              <w:rPr>
                <w:rFonts w:ascii="Times New Roman" w:hAnsi="Times New Roman" w:cs="Times New Roman"/>
                <w:sz w:val="24"/>
                <w:szCs w:val="24"/>
              </w:rPr>
              <w:t>ICDS</w:t>
            </w:r>
            <w:r w:rsidR="00276039" w:rsidRPr="00DA2694">
              <w:rPr>
                <w:rFonts w:ascii="Times New Roman" w:hAnsi="Times New Roman" w:cs="Times New Roman"/>
                <w:sz w:val="24"/>
                <w:szCs w:val="24"/>
              </w:rPr>
              <w:t xml:space="preserve"> </w:t>
            </w:r>
            <w:r w:rsidRPr="00DA2694">
              <w:rPr>
                <w:rFonts w:ascii="Times New Roman" w:hAnsi="Times New Roman" w:cs="Times New Roman"/>
                <w:sz w:val="24"/>
                <w:szCs w:val="24"/>
              </w:rPr>
              <w:t xml:space="preserve"> IX</w:t>
            </w:r>
          </w:p>
        </w:tc>
        <w:tc>
          <w:tcPr>
            <w:tcW w:w="4155" w:type="dxa"/>
          </w:tcPr>
          <w:p w:rsidR="00276039"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Borrowing Costs</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16</w:t>
            </w:r>
          </w:p>
        </w:tc>
      </w:tr>
      <w:tr w:rsidR="002742FC" w:rsidRPr="00DA2694" w:rsidTr="00276039">
        <w:trPr>
          <w:trHeight w:val="710"/>
        </w:trPr>
        <w:tc>
          <w:tcPr>
            <w:tcW w:w="2760" w:type="dxa"/>
          </w:tcPr>
          <w:p w:rsidR="002742FC" w:rsidRPr="00DA2694" w:rsidRDefault="00276039" w:rsidP="002742FC">
            <w:pPr>
              <w:rPr>
                <w:rFonts w:ascii="Times New Roman" w:hAnsi="Times New Roman" w:cs="Times New Roman"/>
                <w:sz w:val="24"/>
                <w:szCs w:val="24"/>
              </w:rPr>
            </w:pPr>
            <w:r w:rsidRPr="00DA2694">
              <w:rPr>
                <w:rFonts w:ascii="Times New Roman" w:hAnsi="Times New Roman" w:cs="Times New Roman"/>
                <w:sz w:val="24"/>
                <w:szCs w:val="24"/>
              </w:rPr>
              <w:t>ICDS  X</w:t>
            </w:r>
          </w:p>
        </w:tc>
        <w:tc>
          <w:tcPr>
            <w:tcW w:w="415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Provisions, Contingent Liabilities and Contingent Assets</w:t>
            </w:r>
          </w:p>
        </w:tc>
        <w:tc>
          <w:tcPr>
            <w:tcW w:w="4335" w:type="dxa"/>
          </w:tcPr>
          <w:p w:rsidR="002742FC"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t>AS – 29</w:t>
            </w:r>
          </w:p>
        </w:tc>
      </w:tr>
    </w:tbl>
    <w:p w:rsidR="00276039" w:rsidRPr="00DA2694" w:rsidRDefault="00276039">
      <w:pPr>
        <w:rPr>
          <w:rFonts w:ascii="Times New Roman" w:hAnsi="Times New Roman" w:cs="Times New Roman"/>
          <w:sz w:val="24"/>
          <w:szCs w:val="24"/>
        </w:rPr>
      </w:pPr>
    </w:p>
    <w:p w:rsidR="00276039" w:rsidRPr="00DA2694" w:rsidRDefault="00276039">
      <w:pPr>
        <w:rPr>
          <w:rFonts w:ascii="Times New Roman" w:hAnsi="Times New Roman" w:cs="Times New Roman"/>
          <w:sz w:val="24"/>
          <w:szCs w:val="24"/>
        </w:rPr>
      </w:pPr>
      <w:r w:rsidRPr="00DA2694">
        <w:rPr>
          <w:rFonts w:ascii="Times New Roman" w:hAnsi="Times New Roman" w:cs="Times New Roman"/>
          <w:sz w:val="24"/>
          <w:szCs w:val="24"/>
        </w:rPr>
        <w:br w:type="page"/>
      </w:r>
    </w:p>
    <w:p w:rsidR="006B4848" w:rsidRPr="00DA2694" w:rsidRDefault="006B4848" w:rsidP="006B4848">
      <w:pPr>
        <w:rPr>
          <w:rFonts w:ascii="Times New Roman" w:hAnsi="Times New Roman" w:cs="Times New Roman"/>
          <w:sz w:val="24"/>
          <w:szCs w:val="24"/>
        </w:rPr>
      </w:pPr>
    </w:p>
    <w:tbl>
      <w:tblPr>
        <w:tblStyle w:val="TableGrid"/>
        <w:tblW w:w="11430" w:type="dxa"/>
        <w:tblInd w:w="-1062" w:type="dxa"/>
        <w:tblLook w:val="04A0"/>
      </w:tblPr>
      <w:tblGrid>
        <w:gridCol w:w="1890"/>
        <w:gridCol w:w="1890"/>
        <w:gridCol w:w="4860"/>
        <w:gridCol w:w="2790"/>
      </w:tblGrid>
      <w:tr w:rsidR="006B4848" w:rsidRPr="00DA2694" w:rsidTr="00DA2694">
        <w:trPr>
          <w:trHeight w:val="1250"/>
        </w:trPr>
        <w:tc>
          <w:tcPr>
            <w:tcW w:w="1890" w:type="dxa"/>
          </w:tcPr>
          <w:p w:rsidR="006B4848" w:rsidRPr="00DA2694" w:rsidRDefault="006B4848" w:rsidP="00C442F1">
            <w:pPr>
              <w:rPr>
                <w:rFonts w:ascii="Times New Roman" w:hAnsi="Times New Roman" w:cs="Times New Roman"/>
                <w:b/>
                <w:sz w:val="24"/>
                <w:szCs w:val="24"/>
              </w:rPr>
            </w:pPr>
          </w:p>
          <w:p w:rsidR="006B4848" w:rsidRPr="00DA2694" w:rsidRDefault="006B4848" w:rsidP="00C442F1">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890" w:type="dxa"/>
          </w:tcPr>
          <w:p w:rsidR="006B4848" w:rsidRPr="00DA2694" w:rsidRDefault="006B4848" w:rsidP="00C442F1">
            <w:pPr>
              <w:rPr>
                <w:rFonts w:ascii="Times New Roman" w:hAnsi="Times New Roman" w:cs="Times New Roman"/>
                <w:b/>
                <w:sz w:val="24"/>
                <w:szCs w:val="24"/>
              </w:rPr>
            </w:pPr>
          </w:p>
          <w:p w:rsidR="006B4848" w:rsidRPr="00DA2694" w:rsidRDefault="006B4848" w:rsidP="00C442F1">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860" w:type="dxa"/>
          </w:tcPr>
          <w:p w:rsidR="006B4848" w:rsidRPr="00DA2694" w:rsidRDefault="006B4848" w:rsidP="00C442F1">
            <w:pPr>
              <w:rPr>
                <w:rFonts w:ascii="Times New Roman" w:hAnsi="Times New Roman" w:cs="Times New Roman"/>
                <w:b/>
                <w:sz w:val="24"/>
                <w:szCs w:val="24"/>
              </w:rPr>
            </w:pPr>
          </w:p>
          <w:p w:rsidR="006B4848" w:rsidRPr="00DA2694" w:rsidRDefault="006B4848" w:rsidP="00C442F1">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2790" w:type="dxa"/>
          </w:tcPr>
          <w:p w:rsidR="006B4848" w:rsidRPr="00DA2694" w:rsidRDefault="006B4848" w:rsidP="00C442F1">
            <w:pPr>
              <w:rPr>
                <w:rFonts w:ascii="Times New Roman" w:hAnsi="Times New Roman" w:cs="Times New Roman"/>
                <w:b/>
                <w:sz w:val="24"/>
                <w:szCs w:val="24"/>
              </w:rPr>
            </w:pPr>
          </w:p>
          <w:p w:rsidR="006B4848" w:rsidRPr="00DA2694" w:rsidRDefault="006B4848" w:rsidP="00C442F1">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6B4848" w:rsidRPr="00DA2694" w:rsidTr="00DA2694">
        <w:tc>
          <w:tcPr>
            <w:tcW w:w="189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ICDS – 1 – Relating to accounting Policy</w:t>
            </w:r>
          </w:p>
        </w:tc>
        <w:tc>
          <w:tcPr>
            <w:tcW w:w="189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 xml:space="preserve">Disclosure of Accounting Policy  </w:t>
            </w:r>
          </w:p>
        </w:tc>
        <w:tc>
          <w:tcPr>
            <w:tcW w:w="486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The  treatment and presentation of  transactions and events shall be governed by  their substance and not merely by the legal form concept of Prudence and Materiality are no more available</w:t>
            </w:r>
          </w:p>
        </w:tc>
        <w:tc>
          <w:tcPr>
            <w:tcW w:w="279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Major Considerations governing the selection and application of accounting policies are Prudence , substance over form and materiality</w:t>
            </w:r>
          </w:p>
        </w:tc>
      </w:tr>
      <w:tr w:rsidR="006B4848" w:rsidRPr="00DA2694" w:rsidTr="00DA2694">
        <w:tc>
          <w:tcPr>
            <w:tcW w:w="1890" w:type="dxa"/>
          </w:tcPr>
          <w:p w:rsidR="006B4848" w:rsidRPr="00DA2694" w:rsidRDefault="006B4848" w:rsidP="00C442F1">
            <w:pPr>
              <w:rPr>
                <w:rFonts w:ascii="Times New Roman" w:hAnsi="Times New Roman" w:cs="Times New Roman"/>
                <w:sz w:val="24"/>
                <w:szCs w:val="24"/>
              </w:rPr>
            </w:pPr>
          </w:p>
        </w:tc>
        <w:tc>
          <w:tcPr>
            <w:tcW w:w="189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Mark to market losses and expected losses</w:t>
            </w:r>
          </w:p>
        </w:tc>
        <w:tc>
          <w:tcPr>
            <w:tcW w:w="486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There is specific provision that marked to market loss or an expected loss shall not be recognized unless the recognition of such loss is in accordance with the provisions of any other ICDS. However ICDS is silent on the treatment of mark to market unrealized gains</w:t>
            </w:r>
          </w:p>
        </w:tc>
        <w:tc>
          <w:tcPr>
            <w:tcW w:w="279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Mark to market losses will be provided for in view of prudence concept. Expected losses will be provided for in accordance with relevant Indian GAAP standards</w:t>
            </w:r>
          </w:p>
        </w:tc>
      </w:tr>
      <w:tr w:rsidR="006B4848" w:rsidRPr="00DA2694" w:rsidTr="00DA2694">
        <w:tc>
          <w:tcPr>
            <w:tcW w:w="1890" w:type="dxa"/>
          </w:tcPr>
          <w:p w:rsidR="006B4848" w:rsidRPr="00DA2694" w:rsidRDefault="006B4848" w:rsidP="00C442F1">
            <w:pPr>
              <w:rPr>
                <w:rFonts w:ascii="Times New Roman" w:hAnsi="Times New Roman" w:cs="Times New Roman"/>
                <w:sz w:val="24"/>
                <w:szCs w:val="24"/>
              </w:rPr>
            </w:pPr>
          </w:p>
        </w:tc>
        <w:tc>
          <w:tcPr>
            <w:tcW w:w="189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Change in accounting policy</w:t>
            </w:r>
          </w:p>
        </w:tc>
        <w:tc>
          <w:tcPr>
            <w:tcW w:w="486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Only when there is reasonable cause , ICDS has not defined reasonable cause</w:t>
            </w:r>
          </w:p>
        </w:tc>
        <w:tc>
          <w:tcPr>
            <w:tcW w:w="2790" w:type="dxa"/>
          </w:tcPr>
          <w:p w:rsidR="006B4848" w:rsidRPr="00DA2694" w:rsidRDefault="006B4848" w:rsidP="00C442F1">
            <w:pPr>
              <w:rPr>
                <w:rFonts w:ascii="Times New Roman" w:hAnsi="Times New Roman" w:cs="Times New Roman"/>
                <w:sz w:val="24"/>
                <w:szCs w:val="24"/>
              </w:rPr>
            </w:pPr>
            <w:r w:rsidRPr="00DA2694">
              <w:rPr>
                <w:rFonts w:ascii="Times New Roman" w:hAnsi="Times New Roman" w:cs="Times New Roman"/>
                <w:sz w:val="24"/>
                <w:szCs w:val="24"/>
              </w:rPr>
              <w:t xml:space="preserve">Change can be made when required by statue, for compliance with Accounting standard, or for more better presentation in financial statements </w:t>
            </w:r>
          </w:p>
        </w:tc>
      </w:tr>
    </w:tbl>
    <w:p w:rsidR="006B4848" w:rsidRPr="00DA2694" w:rsidRDefault="006B4848" w:rsidP="006B4848">
      <w:pPr>
        <w:rPr>
          <w:rFonts w:ascii="Times New Roman" w:hAnsi="Times New Roman" w:cs="Times New Roman"/>
          <w:sz w:val="24"/>
          <w:szCs w:val="24"/>
        </w:rPr>
      </w:pPr>
      <w:r w:rsidRPr="00DA2694">
        <w:rPr>
          <w:rFonts w:ascii="Times New Roman" w:hAnsi="Times New Roman" w:cs="Times New Roman"/>
          <w:sz w:val="24"/>
          <w:szCs w:val="24"/>
        </w:rPr>
        <w:br w:type="page"/>
      </w:r>
    </w:p>
    <w:tbl>
      <w:tblPr>
        <w:tblStyle w:val="TableGrid"/>
        <w:tblW w:w="11160" w:type="dxa"/>
        <w:tblInd w:w="-792" w:type="dxa"/>
        <w:tblLook w:val="04A0"/>
      </w:tblPr>
      <w:tblGrid>
        <w:gridCol w:w="1710"/>
        <w:gridCol w:w="2142"/>
        <w:gridCol w:w="4722"/>
        <w:gridCol w:w="2586"/>
      </w:tblGrid>
      <w:tr w:rsidR="0040171A" w:rsidRPr="00DA2694" w:rsidTr="00DA2694">
        <w:trPr>
          <w:trHeight w:val="1250"/>
        </w:trPr>
        <w:tc>
          <w:tcPr>
            <w:tcW w:w="1710" w:type="dxa"/>
          </w:tcPr>
          <w:p w:rsidR="006B4848" w:rsidRPr="00DA2694" w:rsidRDefault="006B4848" w:rsidP="002E6989">
            <w:pPr>
              <w:rPr>
                <w:rFonts w:ascii="Times New Roman" w:hAnsi="Times New Roman" w:cs="Times New Roman"/>
                <w:b/>
                <w:sz w:val="24"/>
                <w:szCs w:val="24"/>
              </w:rPr>
            </w:pPr>
          </w:p>
          <w:p w:rsidR="006B4848" w:rsidRPr="00DA2694" w:rsidRDefault="006B4848" w:rsidP="002E6989">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2142" w:type="dxa"/>
          </w:tcPr>
          <w:p w:rsidR="006B4848" w:rsidRPr="00DA2694" w:rsidRDefault="006B4848" w:rsidP="002E6989">
            <w:pPr>
              <w:rPr>
                <w:rFonts w:ascii="Times New Roman" w:hAnsi="Times New Roman" w:cs="Times New Roman"/>
                <w:b/>
                <w:sz w:val="24"/>
                <w:szCs w:val="24"/>
              </w:rPr>
            </w:pPr>
          </w:p>
          <w:p w:rsidR="006B4848" w:rsidRPr="00DA2694" w:rsidRDefault="006B4848" w:rsidP="002E6989">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722" w:type="dxa"/>
          </w:tcPr>
          <w:p w:rsidR="006B4848" w:rsidRPr="00DA2694" w:rsidRDefault="006B4848" w:rsidP="002E6989">
            <w:pPr>
              <w:rPr>
                <w:rFonts w:ascii="Times New Roman" w:hAnsi="Times New Roman" w:cs="Times New Roman"/>
                <w:b/>
                <w:sz w:val="24"/>
                <w:szCs w:val="24"/>
              </w:rPr>
            </w:pPr>
          </w:p>
          <w:p w:rsidR="006B4848" w:rsidRPr="00DA2694" w:rsidRDefault="006B4848" w:rsidP="002E6989">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2586" w:type="dxa"/>
          </w:tcPr>
          <w:p w:rsidR="006B4848" w:rsidRPr="00DA2694" w:rsidRDefault="006B4848" w:rsidP="002E6989">
            <w:pPr>
              <w:rPr>
                <w:rFonts w:ascii="Times New Roman" w:hAnsi="Times New Roman" w:cs="Times New Roman"/>
                <w:b/>
                <w:sz w:val="24"/>
                <w:szCs w:val="24"/>
              </w:rPr>
            </w:pPr>
          </w:p>
          <w:p w:rsidR="006B4848" w:rsidRPr="00DA2694" w:rsidRDefault="006B4848" w:rsidP="002E6989">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40171A" w:rsidRPr="00DA2694" w:rsidTr="00DA2694">
        <w:tc>
          <w:tcPr>
            <w:tcW w:w="1710" w:type="dxa"/>
          </w:tcPr>
          <w:p w:rsidR="006B4848" w:rsidRPr="00DA2694" w:rsidRDefault="006B4848" w:rsidP="002E6989">
            <w:pPr>
              <w:rPr>
                <w:rFonts w:ascii="Times New Roman" w:hAnsi="Times New Roman" w:cs="Times New Roman"/>
                <w:sz w:val="24"/>
                <w:szCs w:val="24"/>
              </w:rPr>
            </w:pPr>
            <w:r w:rsidRPr="00DA2694">
              <w:rPr>
                <w:rFonts w:ascii="Times New Roman" w:hAnsi="Times New Roman" w:cs="Times New Roman"/>
                <w:sz w:val="24"/>
                <w:szCs w:val="24"/>
              </w:rPr>
              <w:t>ICDS – II – Relating to valuation of Inventory</w:t>
            </w:r>
          </w:p>
          <w:p w:rsidR="006B4848" w:rsidRPr="00DA2694" w:rsidRDefault="006B4848" w:rsidP="002E6989">
            <w:pPr>
              <w:rPr>
                <w:rFonts w:ascii="Times New Roman" w:hAnsi="Times New Roman" w:cs="Times New Roman"/>
                <w:sz w:val="24"/>
                <w:szCs w:val="24"/>
              </w:rPr>
            </w:pPr>
          </w:p>
        </w:tc>
        <w:tc>
          <w:tcPr>
            <w:tcW w:w="2142" w:type="dxa"/>
          </w:tcPr>
          <w:p w:rsidR="006B4848" w:rsidRPr="00DA2694" w:rsidRDefault="00930607" w:rsidP="002E6989">
            <w:pPr>
              <w:rPr>
                <w:rFonts w:ascii="Times New Roman" w:hAnsi="Times New Roman" w:cs="Times New Roman"/>
                <w:sz w:val="24"/>
                <w:szCs w:val="24"/>
              </w:rPr>
            </w:pPr>
            <w:r w:rsidRPr="00DA2694">
              <w:rPr>
                <w:rFonts w:ascii="Times New Roman" w:hAnsi="Times New Roman" w:cs="Times New Roman"/>
                <w:sz w:val="24"/>
                <w:szCs w:val="24"/>
              </w:rPr>
              <w:t>Valuation of Inventory – Inventory of Service</w:t>
            </w:r>
          </w:p>
        </w:tc>
        <w:tc>
          <w:tcPr>
            <w:tcW w:w="4722" w:type="dxa"/>
          </w:tcPr>
          <w:p w:rsidR="006B4848" w:rsidRPr="00DA2694" w:rsidRDefault="00930607" w:rsidP="002E6989">
            <w:pPr>
              <w:rPr>
                <w:rFonts w:ascii="Times New Roman" w:hAnsi="Times New Roman" w:cs="Times New Roman"/>
                <w:sz w:val="24"/>
                <w:szCs w:val="24"/>
              </w:rPr>
            </w:pPr>
            <w:r w:rsidRPr="00DA2694">
              <w:rPr>
                <w:rFonts w:ascii="Times New Roman" w:hAnsi="Times New Roman" w:cs="Times New Roman"/>
                <w:sz w:val="24"/>
                <w:szCs w:val="24"/>
              </w:rPr>
              <w:t xml:space="preserve">ICDS requires valuation of inventory of service at cost or net realizable value, whichever is lower . Cost of service shall consist of labour and other cost of personnel directly engaged in providing the service including supervisory personnel and attributable overheads.  </w:t>
            </w:r>
          </w:p>
        </w:tc>
        <w:tc>
          <w:tcPr>
            <w:tcW w:w="2586" w:type="dxa"/>
          </w:tcPr>
          <w:p w:rsidR="006B4848" w:rsidRPr="00DA2694" w:rsidRDefault="00930607" w:rsidP="002E6989">
            <w:pPr>
              <w:rPr>
                <w:rFonts w:ascii="Times New Roman" w:hAnsi="Times New Roman" w:cs="Times New Roman"/>
                <w:sz w:val="24"/>
                <w:szCs w:val="24"/>
              </w:rPr>
            </w:pPr>
            <w:r w:rsidRPr="00DA2694">
              <w:rPr>
                <w:rFonts w:ascii="Times New Roman" w:hAnsi="Times New Roman" w:cs="Times New Roman"/>
                <w:sz w:val="24"/>
                <w:szCs w:val="24"/>
              </w:rPr>
              <w:t>There is no valuation of services in AS - 2</w:t>
            </w:r>
          </w:p>
        </w:tc>
      </w:tr>
      <w:tr w:rsidR="0040171A" w:rsidRPr="00DA2694" w:rsidTr="00DA2694">
        <w:tc>
          <w:tcPr>
            <w:tcW w:w="1710" w:type="dxa"/>
          </w:tcPr>
          <w:p w:rsidR="006B4848" w:rsidRPr="00DA2694" w:rsidRDefault="006B4848" w:rsidP="002E6989">
            <w:pPr>
              <w:rPr>
                <w:rFonts w:ascii="Times New Roman" w:hAnsi="Times New Roman" w:cs="Times New Roman"/>
                <w:sz w:val="24"/>
                <w:szCs w:val="24"/>
              </w:rPr>
            </w:pPr>
          </w:p>
        </w:tc>
        <w:tc>
          <w:tcPr>
            <w:tcW w:w="2142" w:type="dxa"/>
          </w:tcPr>
          <w:p w:rsidR="006B4848" w:rsidRPr="00DA2694" w:rsidRDefault="00930607" w:rsidP="002E6989">
            <w:pPr>
              <w:rPr>
                <w:rFonts w:ascii="Times New Roman" w:hAnsi="Times New Roman" w:cs="Times New Roman"/>
                <w:sz w:val="24"/>
                <w:szCs w:val="24"/>
              </w:rPr>
            </w:pPr>
            <w:r w:rsidRPr="00DA2694">
              <w:rPr>
                <w:rFonts w:ascii="Times New Roman" w:hAnsi="Times New Roman" w:cs="Times New Roman"/>
                <w:sz w:val="24"/>
                <w:szCs w:val="24"/>
              </w:rPr>
              <w:t>Methods for ascertaining cost of Inventory</w:t>
            </w:r>
          </w:p>
        </w:tc>
        <w:tc>
          <w:tcPr>
            <w:tcW w:w="4722" w:type="dxa"/>
          </w:tcPr>
          <w:p w:rsidR="002E6989" w:rsidRPr="00DA2694" w:rsidRDefault="002E6989" w:rsidP="002E6989">
            <w:pPr>
              <w:rPr>
                <w:rFonts w:ascii="Times New Roman" w:hAnsi="Times New Roman" w:cs="Times New Roman"/>
                <w:sz w:val="24"/>
                <w:szCs w:val="24"/>
              </w:rPr>
            </w:pPr>
          </w:p>
          <w:p w:rsidR="006B4848" w:rsidRPr="00DA2694" w:rsidRDefault="00930607" w:rsidP="002E6989">
            <w:pPr>
              <w:rPr>
                <w:rFonts w:ascii="Times New Roman" w:hAnsi="Times New Roman" w:cs="Times New Roman"/>
                <w:sz w:val="24"/>
                <w:szCs w:val="24"/>
              </w:rPr>
            </w:pPr>
            <w:r w:rsidRPr="00DA2694">
              <w:rPr>
                <w:rFonts w:ascii="Times New Roman" w:hAnsi="Times New Roman" w:cs="Times New Roman"/>
                <w:sz w:val="24"/>
                <w:szCs w:val="24"/>
              </w:rPr>
              <w:t>Retail method is now permitted to ascertain the value of inventory if it is impracticable to use ‘FIFO’ or  Weighted Average Cost Formula</w:t>
            </w:r>
          </w:p>
          <w:p w:rsidR="002E6989" w:rsidRPr="00DA2694" w:rsidRDefault="002E6989" w:rsidP="002E6989">
            <w:pPr>
              <w:rPr>
                <w:rFonts w:ascii="Times New Roman" w:hAnsi="Times New Roman" w:cs="Times New Roman"/>
                <w:sz w:val="24"/>
                <w:szCs w:val="24"/>
              </w:rPr>
            </w:pPr>
          </w:p>
          <w:p w:rsidR="002E6989" w:rsidRPr="00DA2694" w:rsidRDefault="002E6989" w:rsidP="002E6989">
            <w:pPr>
              <w:rPr>
                <w:rFonts w:ascii="Times New Roman" w:hAnsi="Times New Roman" w:cs="Times New Roman"/>
                <w:sz w:val="24"/>
                <w:szCs w:val="24"/>
              </w:rPr>
            </w:pPr>
            <w:r w:rsidRPr="00DA2694">
              <w:rPr>
                <w:rFonts w:ascii="Times New Roman" w:hAnsi="Times New Roman" w:cs="Times New Roman"/>
                <w:sz w:val="24"/>
                <w:szCs w:val="24"/>
              </w:rPr>
              <w:t>Standard cost method is not permitted.</w:t>
            </w:r>
          </w:p>
        </w:tc>
        <w:tc>
          <w:tcPr>
            <w:tcW w:w="2586" w:type="dxa"/>
          </w:tcPr>
          <w:p w:rsidR="006B4848" w:rsidRPr="00DA2694" w:rsidRDefault="00930607" w:rsidP="002E6989">
            <w:pPr>
              <w:rPr>
                <w:rFonts w:ascii="Times New Roman" w:hAnsi="Times New Roman" w:cs="Times New Roman"/>
                <w:sz w:val="24"/>
                <w:szCs w:val="24"/>
              </w:rPr>
            </w:pPr>
            <w:r w:rsidRPr="00DA2694">
              <w:rPr>
                <w:rFonts w:ascii="Times New Roman" w:hAnsi="Times New Roman" w:cs="Times New Roman"/>
                <w:sz w:val="24"/>
                <w:szCs w:val="24"/>
              </w:rPr>
              <w:t>Retail method or standard cost can be used as a technique if the results approximate the actual cost</w:t>
            </w:r>
          </w:p>
        </w:tc>
      </w:tr>
      <w:tr w:rsidR="0040171A" w:rsidRPr="00DA2694" w:rsidTr="00DA2694">
        <w:trPr>
          <w:trHeight w:val="3045"/>
        </w:trPr>
        <w:tc>
          <w:tcPr>
            <w:tcW w:w="1710" w:type="dxa"/>
            <w:tcBorders>
              <w:bottom w:val="single" w:sz="4" w:space="0" w:color="auto"/>
              <w:right w:val="single" w:sz="4" w:space="0" w:color="auto"/>
            </w:tcBorders>
          </w:tcPr>
          <w:p w:rsidR="006B4848" w:rsidRPr="00DA2694" w:rsidRDefault="006B4848" w:rsidP="002E6989">
            <w:pPr>
              <w:rPr>
                <w:rFonts w:ascii="Times New Roman" w:hAnsi="Times New Roman" w:cs="Times New Roman"/>
                <w:sz w:val="24"/>
                <w:szCs w:val="24"/>
              </w:rPr>
            </w:pPr>
          </w:p>
        </w:tc>
        <w:tc>
          <w:tcPr>
            <w:tcW w:w="2142" w:type="dxa"/>
            <w:tcBorders>
              <w:left w:val="single" w:sz="4" w:space="0" w:color="auto"/>
              <w:bottom w:val="single" w:sz="4" w:space="0" w:color="auto"/>
              <w:right w:val="single" w:sz="4" w:space="0" w:color="auto"/>
            </w:tcBorders>
          </w:tcPr>
          <w:p w:rsidR="006B4848" w:rsidRPr="00DA2694" w:rsidRDefault="00930607" w:rsidP="002E6989">
            <w:pPr>
              <w:rPr>
                <w:rFonts w:ascii="Times New Roman" w:hAnsi="Times New Roman" w:cs="Times New Roman"/>
                <w:sz w:val="24"/>
                <w:szCs w:val="24"/>
              </w:rPr>
            </w:pPr>
            <w:r w:rsidRPr="00DA2694">
              <w:rPr>
                <w:rFonts w:ascii="Times New Roman" w:hAnsi="Times New Roman" w:cs="Times New Roman"/>
                <w:sz w:val="24"/>
                <w:szCs w:val="24"/>
              </w:rPr>
              <w:t>Value of opening Inventory</w:t>
            </w:r>
          </w:p>
        </w:tc>
        <w:tc>
          <w:tcPr>
            <w:tcW w:w="4722" w:type="dxa"/>
            <w:tcBorders>
              <w:left w:val="single" w:sz="4" w:space="0" w:color="auto"/>
              <w:bottom w:val="single" w:sz="4" w:space="0" w:color="auto"/>
              <w:right w:val="single" w:sz="4" w:space="0" w:color="auto"/>
            </w:tcBorders>
          </w:tcPr>
          <w:p w:rsidR="006B4848" w:rsidRPr="00DA2694" w:rsidRDefault="002E6989" w:rsidP="002E6989">
            <w:pPr>
              <w:rPr>
                <w:rFonts w:ascii="Times New Roman" w:hAnsi="Times New Roman" w:cs="Times New Roman"/>
                <w:sz w:val="24"/>
                <w:szCs w:val="24"/>
              </w:rPr>
            </w:pPr>
            <w:r w:rsidRPr="00DA2694">
              <w:rPr>
                <w:rFonts w:ascii="Times New Roman" w:hAnsi="Times New Roman" w:cs="Times New Roman"/>
                <w:sz w:val="24"/>
                <w:szCs w:val="24"/>
              </w:rPr>
              <w:t>Value of the inventory as on the beginning of the previous year shall be :</w:t>
            </w:r>
          </w:p>
          <w:p w:rsidR="002E6989" w:rsidRPr="00DA2694" w:rsidRDefault="002E6989" w:rsidP="002E6989">
            <w:pPr>
              <w:rPr>
                <w:rFonts w:ascii="Times New Roman" w:hAnsi="Times New Roman" w:cs="Times New Roman"/>
                <w:sz w:val="24"/>
                <w:szCs w:val="24"/>
              </w:rPr>
            </w:pPr>
          </w:p>
          <w:p w:rsidR="002E6989" w:rsidRPr="00DA2694" w:rsidRDefault="002E6989" w:rsidP="002E6989">
            <w:pPr>
              <w:rPr>
                <w:rFonts w:ascii="Times New Roman" w:hAnsi="Times New Roman" w:cs="Times New Roman"/>
                <w:sz w:val="24"/>
                <w:szCs w:val="24"/>
              </w:rPr>
            </w:pPr>
            <w:r w:rsidRPr="00DA2694">
              <w:rPr>
                <w:rFonts w:ascii="Times New Roman" w:hAnsi="Times New Roman" w:cs="Times New Roman"/>
                <w:sz w:val="24"/>
                <w:szCs w:val="24"/>
              </w:rPr>
              <w:t>(i) the cost of inventory available ,if any ,on the day of the commencement of the business when the business has commenced during the previous year ,and</w:t>
            </w:r>
          </w:p>
          <w:p w:rsidR="002E6989" w:rsidRPr="00DA2694" w:rsidRDefault="002E6989" w:rsidP="002E6989">
            <w:pPr>
              <w:rPr>
                <w:rFonts w:ascii="Times New Roman" w:hAnsi="Times New Roman" w:cs="Times New Roman"/>
                <w:sz w:val="24"/>
                <w:szCs w:val="24"/>
              </w:rPr>
            </w:pPr>
          </w:p>
          <w:p w:rsidR="002E6989" w:rsidRPr="00DA2694" w:rsidRDefault="002E6989" w:rsidP="002E6989">
            <w:pPr>
              <w:rPr>
                <w:rFonts w:ascii="Times New Roman" w:hAnsi="Times New Roman" w:cs="Times New Roman"/>
                <w:sz w:val="24"/>
                <w:szCs w:val="24"/>
              </w:rPr>
            </w:pPr>
            <w:r w:rsidRPr="00DA2694">
              <w:rPr>
                <w:rFonts w:ascii="Times New Roman" w:hAnsi="Times New Roman" w:cs="Times New Roman"/>
                <w:sz w:val="24"/>
                <w:szCs w:val="24"/>
              </w:rPr>
              <w:t>(ii) the value of inventory as on the close of the immediately preceding previous year , in any other case</w:t>
            </w:r>
          </w:p>
          <w:p w:rsidR="0040171A" w:rsidRPr="00DA2694" w:rsidRDefault="0040171A" w:rsidP="002E6989">
            <w:pPr>
              <w:rPr>
                <w:rFonts w:ascii="Times New Roman" w:hAnsi="Times New Roman" w:cs="Times New Roman"/>
                <w:sz w:val="24"/>
                <w:szCs w:val="24"/>
              </w:rPr>
            </w:pPr>
          </w:p>
        </w:tc>
        <w:tc>
          <w:tcPr>
            <w:tcW w:w="2586" w:type="dxa"/>
            <w:tcBorders>
              <w:left w:val="single" w:sz="4" w:space="0" w:color="auto"/>
              <w:bottom w:val="single" w:sz="4" w:space="0" w:color="auto"/>
            </w:tcBorders>
          </w:tcPr>
          <w:p w:rsidR="006B4848" w:rsidRPr="00DA2694" w:rsidRDefault="002E6989" w:rsidP="002E6989">
            <w:pPr>
              <w:rPr>
                <w:rFonts w:ascii="Times New Roman" w:hAnsi="Times New Roman" w:cs="Times New Roman"/>
                <w:sz w:val="24"/>
                <w:szCs w:val="24"/>
              </w:rPr>
            </w:pPr>
            <w:r w:rsidRPr="00DA2694">
              <w:rPr>
                <w:rFonts w:ascii="Times New Roman" w:hAnsi="Times New Roman" w:cs="Times New Roman"/>
                <w:sz w:val="24"/>
                <w:szCs w:val="24"/>
              </w:rPr>
              <w:t>There is no such provision in AS - 2</w:t>
            </w:r>
          </w:p>
        </w:tc>
      </w:tr>
      <w:tr w:rsidR="002E6989" w:rsidRPr="00DA2694" w:rsidTr="00DA2694">
        <w:trPr>
          <w:trHeight w:val="1005"/>
        </w:trPr>
        <w:tc>
          <w:tcPr>
            <w:tcW w:w="1710" w:type="dxa"/>
            <w:tcBorders>
              <w:top w:val="single" w:sz="4" w:space="0" w:color="auto"/>
              <w:bottom w:val="single" w:sz="4" w:space="0" w:color="auto"/>
              <w:right w:val="single" w:sz="4" w:space="0" w:color="auto"/>
            </w:tcBorders>
          </w:tcPr>
          <w:p w:rsidR="002E6989" w:rsidRPr="00DA2694" w:rsidRDefault="002E6989" w:rsidP="00C442F1">
            <w:pPr>
              <w:ind w:left="108"/>
              <w:rPr>
                <w:rFonts w:ascii="Times New Roman" w:hAnsi="Times New Roman" w:cs="Times New Roman"/>
                <w:sz w:val="24"/>
                <w:szCs w:val="24"/>
              </w:rPr>
            </w:pPr>
            <w:r w:rsidRPr="00DA2694">
              <w:rPr>
                <w:rFonts w:ascii="Times New Roman" w:hAnsi="Times New Roman" w:cs="Times New Roman"/>
                <w:sz w:val="24"/>
                <w:szCs w:val="24"/>
              </w:rPr>
              <w:br w:type="page"/>
            </w:r>
          </w:p>
        </w:tc>
        <w:tc>
          <w:tcPr>
            <w:tcW w:w="2142" w:type="dxa"/>
            <w:tcBorders>
              <w:top w:val="single" w:sz="4" w:space="0" w:color="auto"/>
              <w:left w:val="single" w:sz="4" w:space="0" w:color="auto"/>
              <w:bottom w:val="single" w:sz="4" w:space="0" w:color="auto"/>
              <w:right w:val="single" w:sz="4" w:space="0" w:color="auto"/>
            </w:tcBorders>
          </w:tcPr>
          <w:p w:rsidR="002E6989" w:rsidRPr="00DA2694" w:rsidRDefault="002E6989" w:rsidP="00C442F1">
            <w:pPr>
              <w:rPr>
                <w:rFonts w:ascii="Times New Roman" w:hAnsi="Times New Roman" w:cs="Times New Roman"/>
                <w:sz w:val="24"/>
                <w:szCs w:val="24"/>
              </w:rPr>
            </w:pPr>
            <w:r w:rsidRPr="00DA2694">
              <w:rPr>
                <w:rFonts w:ascii="Times New Roman" w:hAnsi="Times New Roman" w:cs="Times New Roman"/>
                <w:sz w:val="24"/>
                <w:szCs w:val="24"/>
              </w:rPr>
              <w:t>At the time of dissolution</w:t>
            </w:r>
          </w:p>
        </w:tc>
        <w:tc>
          <w:tcPr>
            <w:tcW w:w="4722" w:type="dxa"/>
            <w:tcBorders>
              <w:top w:val="single" w:sz="4" w:space="0" w:color="auto"/>
              <w:left w:val="single" w:sz="4" w:space="0" w:color="auto"/>
              <w:bottom w:val="single" w:sz="4" w:space="0" w:color="auto"/>
              <w:right w:val="single" w:sz="4" w:space="0" w:color="auto"/>
            </w:tcBorders>
          </w:tcPr>
          <w:p w:rsidR="002E6989" w:rsidRPr="00DA2694" w:rsidRDefault="002E6989" w:rsidP="00C442F1">
            <w:pPr>
              <w:rPr>
                <w:rFonts w:ascii="Times New Roman" w:hAnsi="Times New Roman" w:cs="Times New Roman"/>
                <w:sz w:val="24"/>
                <w:szCs w:val="24"/>
              </w:rPr>
            </w:pPr>
            <w:r w:rsidRPr="00DA2694">
              <w:rPr>
                <w:rFonts w:ascii="Times New Roman" w:hAnsi="Times New Roman" w:cs="Times New Roman"/>
                <w:sz w:val="24"/>
                <w:szCs w:val="24"/>
              </w:rPr>
              <w:t>Inventory should be valued at Net Realizable Value</w:t>
            </w:r>
          </w:p>
        </w:tc>
        <w:tc>
          <w:tcPr>
            <w:tcW w:w="2586" w:type="dxa"/>
            <w:tcBorders>
              <w:top w:val="single" w:sz="4" w:space="0" w:color="auto"/>
              <w:left w:val="single" w:sz="4" w:space="0" w:color="auto"/>
              <w:bottom w:val="single" w:sz="4" w:space="0" w:color="auto"/>
            </w:tcBorders>
          </w:tcPr>
          <w:p w:rsidR="002E6989" w:rsidRPr="00DA2694" w:rsidRDefault="002E6989" w:rsidP="00C442F1">
            <w:pPr>
              <w:rPr>
                <w:rFonts w:ascii="Times New Roman" w:hAnsi="Times New Roman" w:cs="Times New Roman"/>
                <w:sz w:val="24"/>
                <w:szCs w:val="24"/>
              </w:rPr>
            </w:pPr>
            <w:r w:rsidRPr="00DA2694">
              <w:rPr>
                <w:rFonts w:ascii="Times New Roman" w:hAnsi="Times New Roman" w:cs="Times New Roman"/>
                <w:sz w:val="24"/>
                <w:szCs w:val="24"/>
              </w:rPr>
              <w:t>Inventory  should  be valued  at  cost</w:t>
            </w:r>
          </w:p>
        </w:tc>
      </w:tr>
      <w:tr w:rsidR="002E6989" w:rsidRPr="00DA2694" w:rsidTr="00DA2694">
        <w:trPr>
          <w:trHeight w:val="3410"/>
        </w:trPr>
        <w:tc>
          <w:tcPr>
            <w:tcW w:w="1710" w:type="dxa"/>
            <w:tcBorders>
              <w:top w:val="single" w:sz="4" w:space="0" w:color="auto"/>
              <w:right w:val="single" w:sz="4" w:space="0" w:color="auto"/>
            </w:tcBorders>
          </w:tcPr>
          <w:p w:rsidR="002E6989" w:rsidRPr="00DA2694" w:rsidRDefault="002E6989" w:rsidP="00C442F1">
            <w:pPr>
              <w:ind w:left="108"/>
              <w:rPr>
                <w:rFonts w:ascii="Times New Roman" w:hAnsi="Times New Roman" w:cs="Times New Roman"/>
                <w:sz w:val="24"/>
                <w:szCs w:val="24"/>
              </w:rPr>
            </w:pPr>
          </w:p>
        </w:tc>
        <w:tc>
          <w:tcPr>
            <w:tcW w:w="2142" w:type="dxa"/>
            <w:tcBorders>
              <w:top w:val="single" w:sz="4" w:space="0" w:color="auto"/>
              <w:left w:val="single" w:sz="4" w:space="0" w:color="auto"/>
              <w:right w:val="single" w:sz="4" w:space="0" w:color="auto"/>
            </w:tcBorders>
          </w:tcPr>
          <w:p w:rsidR="002E6989" w:rsidRPr="00DA2694" w:rsidRDefault="002E6989" w:rsidP="00C442F1">
            <w:pPr>
              <w:rPr>
                <w:rFonts w:ascii="Times New Roman" w:hAnsi="Times New Roman" w:cs="Times New Roman"/>
                <w:sz w:val="24"/>
                <w:szCs w:val="24"/>
              </w:rPr>
            </w:pPr>
            <w:r w:rsidRPr="00DA2694">
              <w:rPr>
                <w:rFonts w:ascii="Times New Roman" w:hAnsi="Times New Roman" w:cs="Times New Roman"/>
                <w:sz w:val="24"/>
                <w:szCs w:val="24"/>
              </w:rPr>
              <w:t>Cost of Purchase</w:t>
            </w:r>
          </w:p>
        </w:tc>
        <w:tc>
          <w:tcPr>
            <w:tcW w:w="4722" w:type="dxa"/>
            <w:tcBorders>
              <w:top w:val="single" w:sz="4" w:space="0" w:color="auto"/>
              <w:left w:val="single" w:sz="4" w:space="0" w:color="auto"/>
              <w:right w:val="single" w:sz="4" w:space="0" w:color="auto"/>
            </w:tcBorders>
          </w:tcPr>
          <w:p w:rsidR="002E6989" w:rsidRPr="00DA2694" w:rsidRDefault="0040171A" w:rsidP="00C442F1">
            <w:pPr>
              <w:rPr>
                <w:rFonts w:ascii="Times New Roman" w:hAnsi="Times New Roman" w:cs="Times New Roman"/>
                <w:sz w:val="24"/>
                <w:szCs w:val="24"/>
              </w:rPr>
            </w:pPr>
            <w:r w:rsidRPr="00DA2694">
              <w:rPr>
                <w:rFonts w:ascii="Times New Roman" w:hAnsi="Times New Roman" w:cs="Times New Roman"/>
                <w:sz w:val="24"/>
                <w:szCs w:val="24"/>
              </w:rPr>
              <w:t>Cost of  Purchase shall consist of purchase price including all duties and taxes, freight inwards and other expenditure directly attributable to the acquisition.</w:t>
            </w:r>
          </w:p>
        </w:tc>
        <w:tc>
          <w:tcPr>
            <w:tcW w:w="2586" w:type="dxa"/>
            <w:tcBorders>
              <w:top w:val="single" w:sz="4" w:space="0" w:color="auto"/>
              <w:left w:val="single" w:sz="4" w:space="0" w:color="auto"/>
            </w:tcBorders>
          </w:tcPr>
          <w:p w:rsidR="002E6989" w:rsidRPr="00DA2694" w:rsidRDefault="0040171A" w:rsidP="00C442F1">
            <w:pPr>
              <w:rPr>
                <w:rFonts w:ascii="Times New Roman" w:hAnsi="Times New Roman" w:cs="Times New Roman"/>
                <w:sz w:val="24"/>
                <w:szCs w:val="24"/>
              </w:rPr>
            </w:pPr>
            <w:r w:rsidRPr="00DA2694">
              <w:rPr>
                <w:rFonts w:ascii="Times New Roman" w:hAnsi="Times New Roman" w:cs="Times New Roman"/>
                <w:sz w:val="24"/>
                <w:szCs w:val="24"/>
              </w:rPr>
              <w:t>The costs of purchase consist of the purchase price including duties and taxes (other than those subsequently recoverable by the enterprise from the taxing authorities), freight inwards and other expenditure directly attributable to the acquisition</w:t>
            </w:r>
          </w:p>
          <w:p w:rsidR="0040171A" w:rsidRPr="00DA2694" w:rsidRDefault="0040171A" w:rsidP="00C442F1">
            <w:pPr>
              <w:rPr>
                <w:rFonts w:ascii="Times New Roman" w:hAnsi="Times New Roman" w:cs="Times New Roman"/>
                <w:sz w:val="24"/>
                <w:szCs w:val="24"/>
              </w:rPr>
            </w:pPr>
          </w:p>
        </w:tc>
      </w:tr>
      <w:tr w:rsidR="002E6989" w:rsidRPr="00DA2694" w:rsidTr="00DA2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32"/>
        </w:trPr>
        <w:tc>
          <w:tcPr>
            <w:tcW w:w="1710" w:type="dxa"/>
          </w:tcPr>
          <w:p w:rsidR="002E6989" w:rsidRPr="00DA2694" w:rsidRDefault="002E6989" w:rsidP="002E6989">
            <w:pPr>
              <w:ind w:left="108"/>
              <w:rPr>
                <w:rFonts w:ascii="Times New Roman" w:hAnsi="Times New Roman" w:cs="Times New Roman"/>
                <w:sz w:val="24"/>
                <w:szCs w:val="24"/>
              </w:rPr>
            </w:pPr>
          </w:p>
        </w:tc>
        <w:tc>
          <w:tcPr>
            <w:tcW w:w="2142" w:type="dxa"/>
          </w:tcPr>
          <w:p w:rsidR="002E6989" w:rsidRPr="00DA2694" w:rsidRDefault="0040171A" w:rsidP="002E6989">
            <w:pPr>
              <w:rPr>
                <w:rFonts w:ascii="Times New Roman" w:hAnsi="Times New Roman" w:cs="Times New Roman"/>
                <w:sz w:val="24"/>
                <w:szCs w:val="24"/>
              </w:rPr>
            </w:pPr>
            <w:r w:rsidRPr="00DA2694">
              <w:rPr>
                <w:rFonts w:ascii="Times New Roman" w:hAnsi="Times New Roman" w:cs="Times New Roman"/>
                <w:sz w:val="24"/>
                <w:szCs w:val="24"/>
              </w:rPr>
              <w:t>Interest and borrowing Costs</w:t>
            </w:r>
          </w:p>
        </w:tc>
        <w:tc>
          <w:tcPr>
            <w:tcW w:w="4722" w:type="dxa"/>
          </w:tcPr>
          <w:p w:rsidR="0040171A" w:rsidRPr="00DA2694" w:rsidRDefault="0040171A" w:rsidP="002E6989">
            <w:pPr>
              <w:rPr>
                <w:rFonts w:ascii="Times New Roman" w:hAnsi="Times New Roman" w:cs="Times New Roman"/>
                <w:sz w:val="24"/>
                <w:szCs w:val="24"/>
              </w:rPr>
            </w:pPr>
            <w:r w:rsidRPr="00DA2694">
              <w:rPr>
                <w:rFonts w:ascii="Times New Roman" w:hAnsi="Times New Roman" w:cs="Times New Roman"/>
                <w:sz w:val="24"/>
                <w:szCs w:val="24"/>
              </w:rPr>
              <w:t>Interest and other borrowing costs shall not be </w:t>
            </w:r>
          </w:p>
          <w:p w:rsidR="0040171A" w:rsidRPr="00DA2694" w:rsidRDefault="0040171A" w:rsidP="002E6989">
            <w:pPr>
              <w:rPr>
                <w:rFonts w:ascii="Times New Roman" w:hAnsi="Times New Roman" w:cs="Times New Roman"/>
                <w:sz w:val="24"/>
                <w:szCs w:val="24"/>
              </w:rPr>
            </w:pPr>
            <w:r w:rsidRPr="00DA2694">
              <w:rPr>
                <w:rFonts w:ascii="Times New Roman" w:hAnsi="Times New Roman" w:cs="Times New Roman"/>
                <w:sz w:val="24"/>
                <w:szCs w:val="24"/>
              </w:rPr>
              <w:t xml:space="preserve">included in the costs of inventories, unless  they  meet  the  criteria  for recognition  of  interest  as  a  component of the cost as specified in the  Income Computation and Disclosure Standard on </w:t>
            </w:r>
          </w:p>
          <w:p w:rsidR="002E6989" w:rsidRPr="00DA2694" w:rsidRDefault="0040171A" w:rsidP="002E6989">
            <w:pPr>
              <w:rPr>
                <w:rFonts w:ascii="Times New Roman" w:hAnsi="Times New Roman" w:cs="Times New Roman"/>
                <w:sz w:val="24"/>
                <w:szCs w:val="24"/>
              </w:rPr>
            </w:pPr>
            <w:r w:rsidRPr="00DA2694">
              <w:rPr>
                <w:rFonts w:ascii="Times New Roman" w:hAnsi="Times New Roman" w:cs="Times New Roman"/>
                <w:sz w:val="24"/>
                <w:szCs w:val="24"/>
              </w:rPr>
              <w:t>borrowing costs. </w:t>
            </w:r>
          </w:p>
        </w:tc>
        <w:tc>
          <w:tcPr>
            <w:tcW w:w="2586" w:type="dxa"/>
          </w:tcPr>
          <w:p w:rsidR="002E6989" w:rsidRPr="00DA2694" w:rsidRDefault="0040171A" w:rsidP="002E6989">
            <w:pPr>
              <w:rPr>
                <w:rFonts w:ascii="Times New Roman" w:hAnsi="Times New Roman" w:cs="Times New Roman"/>
                <w:sz w:val="24"/>
                <w:szCs w:val="24"/>
              </w:rPr>
            </w:pPr>
            <w:r w:rsidRPr="00DA2694">
              <w:rPr>
                <w:rFonts w:ascii="Times New Roman" w:hAnsi="Times New Roman" w:cs="Times New Roman"/>
                <w:sz w:val="24"/>
                <w:szCs w:val="24"/>
              </w:rPr>
              <w:t>Interest and other borrowing costs are usually considered as not relating to bringing the inventories to their present location and condition and are, therefore, usually not included in the cost of inventories.</w:t>
            </w:r>
          </w:p>
        </w:tc>
      </w:tr>
    </w:tbl>
    <w:p w:rsidR="00DA2694" w:rsidRPr="00DA2694" w:rsidRDefault="00DA2694">
      <w:pPr>
        <w:rPr>
          <w:rFonts w:ascii="Times New Roman" w:hAnsi="Times New Roman" w:cs="Times New Roman"/>
          <w:sz w:val="24"/>
          <w:szCs w:val="24"/>
        </w:rPr>
      </w:pPr>
    </w:p>
    <w:p w:rsidR="00DA2694" w:rsidRDefault="00DA2694">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1160" w:type="dxa"/>
        <w:tblInd w:w="-792" w:type="dxa"/>
        <w:tblLook w:val="04A0"/>
      </w:tblPr>
      <w:tblGrid>
        <w:gridCol w:w="1710"/>
        <w:gridCol w:w="2142"/>
        <w:gridCol w:w="4722"/>
        <w:gridCol w:w="2586"/>
      </w:tblGrid>
      <w:tr w:rsidR="007A5E83" w:rsidRPr="00DA2694" w:rsidTr="00C442F1">
        <w:trPr>
          <w:trHeight w:val="1250"/>
        </w:trPr>
        <w:tc>
          <w:tcPr>
            <w:tcW w:w="1710" w:type="dxa"/>
          </w:tcPr>
          <w:p w:rsidR="00DA2694" w:rsidRPr="00DA2694" w:rsidRDefault="00DA2694" w:rsidP="00C442F1">
            <w:pPr>
              <w:rPr>
                <w:rFonts w:ascii="Times New Roman" w:hAnsi="Times New Roman" w:cs="Times New Roman"/>
                <w:b/>
                <w:sz w:val="24"/>
                <w:szCs w:val="24"/>
              </w:rPr>
            </w:pPr>
          </w:p>
          <w:p w:rsidR="00DA2694" w:rsidRPr="00DA2694" w:rsidRDefault="00DA2694" w:rsidP="00C442F1">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2142" w:type="dxa"/>
          </w:tcPr>
          <w:p w:rsidR="00DA2694" w:rsidRPr="00DA2694" w:rsidRDefault="00DA2694" w:rsidP="00C442F1">
            <w:pPr>
              <w:rPr>
                <w:rFonts w:ascii="Times New Roman" w:hAnsi="Times New Roman" w:cs="Times New Roman"/>
                <w:b/>
                <w:sz w:val="24"/>
                <w:szCs w:val="24"/>
              </w:rPr>
            </w:pPr>
          </w:p>
          <w:p w:rsidR="00DA2694" w:rsidRPr="00DA2694" w:rsidRDefault="00DA2694" w:rsidP="00C442F1">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722" w:type="dxa"/>
          </w:tcPr>
          <w:p w:rsidR="00DA2694" w:rsidRPr="00DA2694" w:rsidRDefault="00DA2694" w:rsidP="00C442F1">
            <w:pPr>
              <w:rPr>
                <w:rFonts w:ascii="Times New Roman" w:hAnsi="Times New Roman" w:cs="Times New Roman"/>
                <w:b/>
                <w:sz w:val="24"/>
                <w:szCs w:val="24"/>
              </w:rPr>
            </w:pPr>
          </w:p>
          <w:p w:rsidR="00DA2694" w:rsidRPr="00DA2694" w:rsidRDefault="00DA2694" w:rsidP="00C442F1">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2586" w:type="dxa"/>
          </w:tcPr>
          <w:p w:rsidR="00DA2694" w:rsidRPr="00DA2694" w:rsidRDefault="00DA2694" w:rsidP="00C442F1">
            <w:pPr>
              <w:rPr>
                <w:rFonts w:ascii="Times New Roman" w:hAnsi="Times New Roman" w:cs="Times New Roman"/>
                <w:b/>
                <w:sz w:val="24"/>
                <w:szCs w:val="24"/>
              </w:rPr>
            </w:pPr>
          </w:p>
          <w:p w:rsidR="00DA2694" w:rsidRPr="00DA2694" w:rsidRDefault="00DA2694" w:rsidP="00C442F1">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7A5E83" w:rsidRPr="00DA2694" w:rsidTr="00C442F1">
        <w:tc>
          <w:tcPr>
            <w:tcW w:w="1710" w:type="dxa"/>
          </w:tcPr>
          <w:p w:rsidR="00DA2694" w:rsidRPr="00DA2694" w:rsidRDefault="00DA2694" w:rsidP="00C442F1">
            <w:pPr>
              <w:rPr>
                <w:rFonts w:ascii="Times New Roman" w:hAnsi="Times New Roman" w:cs="Times New Roman"/>
                <w:sz w:val="24"/>
                <w:szCs w:val="24"/>
              </w:rPr>
            </w:pPr>
            <w:r w:rsidRPr="00DA2694">
              <w:rPr>
                <w:rFonts w:ascii="Times New Roman" w:hAnsi="Times New Roman" w:cs="Times New Roman"/>
                <w:sz w:val="24"/>
                <w:szCs w:val="24"/>
              </w:rPr>
              <w:t>ICDS – II</w:t>
            </w:r>
            <w:r>
              <w:rPr>
                <w:rFonts w:ascii="Times New Roman" w:hAnsi="Times New Roman" w:cs="Times New Roman"/>
                <w:sz w:val="24"/>
                <w:szCs w:val="24"/>
              </w:rPr>
              <w:t>I</w:t>
            </w:r>
            <w:r w:rsidRPr="00DA2694">
              <w:rPr>
                <w:rFonts w:ascii="Times New Roman" w:hAnsi="Times New Roman" w:cs="Times New Roman"/>
                <w:sz w:val="24"/>
                <w:szCs w:val="24"/>
              </w:rPr>
              <w:t xml:space="preserve"> – Relating to </w:t>
            </w:r>
            <w:r>
              <w:rPr>
                <w:rFonts w:ascii="Times New Roman" w:hAnsi="Times New Roman" w:cs="Times New Roman"/>
                <w:sz w:val="24"/>
                <w:szCs w:val="24"/>
              </w:rPr>
              <w:t xml:space="preserve">Construction contracts </w:t>
            </w:r>
          </w:p>
          <w:p w:rsidR="00DA2694" w:rsidRPr="00DA2694" w:rsidRDefault="00DA2694" w:rsidP="00C442F1">
            <w:pPr>
              <w:rPr>
                <w:rFonts w:ascii="Times New Roman" w:hAnsi="Times New Roman" w:cs="Times New Roman"/>
                <w:sz w:val="24"/>
                <w:szCs w:val="24"/>
              </w:rPr>
            </w:pPr>
          </w:p>
        </w:tc>
        <w:tc>
          <w:tcPr>
            <w:tcW w:w="2142" w:type="dxa"/>
          </w:tcPr>
          <w:p w:rsidR="00DA2694" w:rsidRPr="00DA2694" w:rsidRDefault="00F96CEF" w:rsidP="00C442F1">
            <w:pPr>
              <w:rPr>
                <w:rFonts w:ascii="Times New Roman" w:hAnsi="Times New Roman" w:cs="Times New Roman"/>
                <w:sz w:val="24"/>
                <w:szCs w:val="24"/>
              </w:rPr>
            </w:pPr>
            <w:r>
              <w:rPr>
                <w:rFonts w:ascii="Times New Roman" w:hAnsi="Times New Roman" w:cs="Times New Roman"/>
                <w:sz w:val="24"/>
                <w:szCs w:val="24"/>
              </w:rPr>
              <w:t>Method for recognizing cost and revenue</w:t>
            </w:r>
          </w:p>
        </w:tc>
        <w:tc>
          <w:tcPr>
            <w:tcW w:w="4722" w:type="dxa"/>
          </w:tcPr>
          <w:p w:rsidR="00DA2694" w:rsidRPr="007A5E83" w:rsidRDefault="00F96CEF" w:rsidP="00F96CEF">
            <w:pPr>
              <w:rPr>
                <w:rFonts w:ascii="Times New Roman" w:hAnsi="Times New Roman" w:cs="Times New Roman"/>
                <w:sz w:val="24"/>
                <w:szCs w:val="24"/>
              </w:rPr>
            </w:pPr>
            <w:r w:rsidRPr="007A5E83">
              <w:rPr>
                <w:rFonts w:ascii="Times New Roman" w:hAnsi="Times New Roman" w:cs="Times New Roman"/>
                <w:sz w:val="24"/>
                <w:szCs w:val="24"/>
              </w:rPr>
              <w:t>Under ICDS III, percentage of completion method is applicable, except during early stages of a contract when the outcome of the contract cannot be estimated reliably. In this case, revenue is recognised to the extent of costs incurred. This is possible only when up to 25% of the work is completed otherwise proportionate method will apply. Thus, profit recognition has to start compulsorily once 25% stage is completed.</w:t>
            </w:r>
          </w:p>
        </w:tc>
        <w:tc>
          <w:tcPr>
            <w:tcW w:w="2586" w:type="dxa"/>
          </w:tcPr>
          <w:p w:rsidR="00DA2694" w:rsidRPr="007A5E83" w:rsidRDefault="007A5E83" w:rsidP="00C442F1">
            <w:pPr>
              <w:rPr>
                <w:rFonts w:ascii="Times New Roman" w:hAnsi="Times New Roman" w:cs="Times New Roman"/>
                <w:sz w:val="24"/>
                <w:szCs w:val="24"/>
              </w:rPr>
            </w:pPr>
            <w:r w:rsidRPr="007A5E83">
              <w:rPr>
                <w:rFonts w:ascii="Times New Roman" w:hAnsi="Times New Roman" w:cs="Times New Roman"/>
                <w:sz w:val="24"/>
                <w:szCs w:val="24"/>
              </w:rPr>
              <w:t>Under AS 7, contract revenue and contract costs are recognised by reference to the percentage of completion method if the outcome of the contract can be estimated reliably; else, revenue is recognised only to the extent of costs incurred if recovery is probable</w:t>
            </w:r>
          </w:p>
        </w:tc>
      </w:tr>
      <w:tr w:rsidR="007A5E83" w:rsidRPr="00DA2694" w:rsidTr="00C442F1">
        <w:tc>
          <w:tcPr>
            <w:tcW w:w="1710" w:type="dxa"/>
          </w:tcPr>
          <w:p w:rsidR="00DA2694" w:rsidRPr="00DA2694" w:rsidRDefault="00DA2694" w:rsidP="00C442F1">
            <w:pPr>
              <w:rPr>
                <w:rFonts w:ascii="Times New Roman" w:hAnsi="Times New Roman" w:cs="Times New Roman"/>
                <w:sz w:val="24"/>
                <w:szCs w:val="24"/>
              </w:rPr>
            </w:pPr>
          </w:p>
        </w:tc>
        <w:tc>
          <w:tcPr>
            <w:tcW w:w="2142" w:type="dxa"/>
          </w:tcPr>
          <w:p w:rsidR="00DA2694" w:rsidRPr="00DA2694" w:rsidRDefault="007A5E83" w:rsidP="00C442F1">
            <w:pPr>
              <w:rPr>
                <w:rFonts w:ascii="Times New Roman" w:hAnsi="Times New Roman" w:cs="Times New Roman"/>
                <w:sz w:val="24"/>
                <w:szCs w:val="24"/>
              </w:rPr>
            </w:pPr>
            <w:r>
              <w:rPr>
                <w:rFonts w:ascii="Times New Roman" w:hAnsi="Times New Roman" w:cs="Times New Roman"/>
                <w:sz w:val="24"/>
                <w:szCs w:val="24"/>
              </w:rPr>
              <w:t>Loss  During Construction</w:t>
            </w:r>
          </w:p>
        </w:tc>
        <w:tc>
          <w:tcPr>
            <w:tcW w:w="4722" w:type="dxa"/>
          </w:tcPr>
          <w:p w:rsidR="00DA2694" w:rsidRPr="007A5E83" w:rsidRDefault="007A5E83" w:rsidP="00C442F1">
            <w:pPr>
              <w:rPr>
                <w:rFonts w:ascii="Times New Roman" w:hAnsi="Times New Roman" w:cs="Times New Roman"/>
                <w:sz w:val="24"/>
                <w:szCs w:val="24"/>
              </w:rPr>
            </w:pPr>
            <w:r w:rsidRPr="007A5E83">
              <w:rPr>
                <w:rFonts w:ascii="Times New Roman" w:hAnsi="Times New Roman" w:cs="Times New Roman"/>
                <w:color w:val="333333"/>
                <w:sz w:val="24"/>
                <w:szCs w:val="24"/>
                <w:shd w:val="clear" w:color="auto" w:fill="FFFFFF"/>
              </w:rPr>
              <w:t>Losses incurred on a contract shall be allowed only in proportion to the stage of completion</w:t>
            </w:r>
            <w:r w:rsidRPr="007A5E83">
              <w:rPr>
                <w:rFonts w:ascii="Times New Roman" w:hAnsi="Times New Roman" w:cs="Times New Roman"/>
                <w:color w:val="333333"/>
                <w:sz w:val="24"/>
                <w:szCs w:val="24"/>
              </w:rPr>
              <w:br/>
            </w:r>
          </w:p>
        </w:tc>
        <w:tc>
          <w:tcPr>
            <w:tcW w:w="2586" w:type="dxa"/>
          </w:tcPr>
          <w:p w:rsidR="00DA2694" w:rsidRPr="007A5E83" w:rsidRDefault="007A5E83" w:rsidP="00C442F1">
            <w:pPr>
              <w:rPr>
                <w:rFonts w:ascii="Times New Roman" w:hAnsi="Times New Roman" w:cs="Times New Roman"/>
                <w:sz w:val="24"/>
                <w:szCs w:val="24"/>
              </w:rPr>
            </w:pPr>
            <w:r w:rsidRPr="007A5E83">
              <w:rPr>
                <w:rFonts w:ascii="Times New Roman" w:hAnsi="Times New Roman" w:cs="Times New Roman"/>
                <w:color w:val="333333"/>
                <w:sz w:val="24"/>
                <w:szCs w:val="24"/>
                <w:shd w:val="clear" w:color="auto" w:fill="FFFFFF"/>
              </w:rPr>
              <w:t>It requires a provision to be made for the expected losses on onerous construction contract immediately on signing the contract.</w:t>
            </w:r>
            <w:r w:rsidRPr="007A5E83">
              <w:rPr>
                <w:rStyle w:val="apple-converted-space"/>
                <w:rFonts w:ascii="Times New Roman" w:hAnsi="Times New Roman" w:cs="Times New Roman"/>
                <w:color w:val="333333"/>
                <w:sz w:val="24"/>
                <w:szCs w:val="24"/>
                <w:shd w:val="clear" w:color="auto" w:fill="FFFFFF"/>
              </w:rPr>
              <w:t> </w:t>
            </w:r>
            <w:r w:rsidRPr="007A5E83">
              <w:rPr>
                <w:rFonts w:ascii="Times New Roman" w:hAnsi="Times New Roman" w:cs="Times New Roman"/>
                <w:color w:val="333333"/>
                <w:sz w:val="24"/>
                <w:szCs w:val="24"/>
              </w:rPr>
              <w:br/>
            </w:r>
            <w:r w:rsidRPr="007A5E83">
              <w:rPr>
                <w:rFonts w:ascii="Times New Roman" w:hAnsi="Times New Roman" w:cs="Times New Roman"/>
                <w:color w:val="333333"/>
                <w:sz w:val="24"/>
                <w:szCs w:val="24"/>
              </w:rPr>
              <w:br/>
            </w:r>
          </w:p>
        </w:tc>
      </w:tr>
    </w:tbl>
    <w:p w:rsidR="007A5E83" w:rsidRDefault="007A5E83">
      <w:pPr>
        <w:rPr>
          <w:rFonts w:ascii="Times New Roman" w:hAnsi="Times New Roman" w:cs="Times New Roman"/>
          <w:sz w:val="24"/>
          <w:szCs w:val="24"/>
        </w:rPr>
      </w:pPr>
    </w:p>
    <w:p w:rsidR="00F957E0" w:rsidRPr="00DA2694" w:rsidRDefault="00F957E0" w:rsidP="00F957E0">
      <w:pPr>
        <w:rPr>
          <w:rFonts w:ascii="Times New Roman" w:hAnsi="Times New Roman" w:cs="Times New Roman"/>
          <w:sz w:val="24"/>
          <w:szCs w:val="24"/>
        </w:rPr>
      </w:pPr>
    </w:p>
    <w:tbl>
      <w:tblPr>
        <w:tblStyle w:val="TableGrid"/>
        <w:tblW w:w="11430" w:type="dxa"/>
        <w:tblInd w:w="-1062" w:type="dxa"/>
        <w:tblLook w:val="04A0"/>
      </w:tblPr>
      <w:tblGrid>
        <w:gridCol w:w="1890"/>
        <w:gridCol w:w="1890"/>
        <w:gridCol w:w="4860"/>
        <w:gridCol w:w="2790"/>
      </w:tblGrid>
      <w:tr w:rsidR="00F957E0" w:rsidRPr="00DA2694" w:rsidTr="00C442F1">
        <w:trPr>
          <w:trHeight w:val="1250"/>
        </w:trPr>
        <w:tc>
          <w:tcPr>
            <w:tcW w:w="1890" w:type="dxa"/>
          </w:tcPr>
          <w:p w:rsidR="00F957E0" w:rsidRPr="00DA2694" w:rsidRDefault="00F957E0" w:rsidP="00C442F1">
            <w:pPr>
              <w:rPr>
                <w:rFonts w:ascii="Times New Roman" w:hAnsi="Times New Roman" w:cs="Times New Roman"/>
                <w:b/>
                <w:sz w:val="24"/>
                <w:szCs w:val="24"/>
              </w:rPr>
            </w:pPr>
          </w:p>
          <w:p w:rsidR="00F957E0" w:rsidRPr="00DA2694" w:rsidRDefault="00F957E0" w:rsidP="00C442F1">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890" w:type="dxa"/>
          </w:tcPr>
          <w:p w:rsidR="00F957E0" w:rsidRPr="00DA2694" w:rsidRDefault="00F957E0" w:rsidP="00C442F1">
            <w:pPr>
              <w:rPr>
                <w:rFonts w:ascii="Times New Roman" w:hAnsi="Times New Roman" w:cs="Times New Roman"/>
                <w:b/>
                <w:sz w:val="24"/>
                <w:szCs w:val="24"/>
              </w:rPr>
            </w:pPr>
          </w:p>
          <w:p w:rsidR="00F957E0" w:rsidRPr="00DA2694" w:rsidRDefault="00F957E0" w:rsidP="00C442F1">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860" w:type="dxa"/>
          </w:tcPr>
          <w:p w:rsidR="00F957E0" w:rsidRPr="00DA2694" w:rsidRDefault="00F957E0" w:rsidP="00C442F1">
            <w:pPr>
              <w:rPr>
                <w:rFonts w:ascii="Times New Roman" w:hAnsi="Times New Roman" w:cs="Times New Roman"/>
                <w:b/>
                <w:sz w:val="24"/>
                <w:szCs w:val="24"/>
              </w:rPr>
            </w:pPr>
          </w:p>
          <w:p w:rsidR="00F957E0" w:rsidRPr="00DA2694" w:rsidRDefault="00F957E0" w:rsidP="00C442F1">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2790" w:type="dxa"/>
          </w:tcPr>
          <w:p w:rsidR="00F957E0" w:rsidRPr="00DA2694" w:rsidRDefault="00F957E0" w:rsidP="00C442F1">
            <w:pPr>
              <w:rPr>
                <w:rFonts w:ascii="Times New Roman" w:hAnsi="Times New Roman" w:cs="Times New Roman"/>
                <w:b/>
                <w:sz w:val="24"/>
                <w:szCs w:val="24"/>
              </w:rPr>
            </w:pPr>
          </w:p>
          <w:p w:rsidR="00F957E0" w:rsidRPr="00DA2694" w:rsidRDefault="00F957E0" w:rsidP="00C442F1">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F957E0" w:rsidRPr="00DA2694" w:rsidTr="00C442F1">
        <w:tc>
          <w:tcPr>
            <w:tcW w:w="1890" w:type="dxa"/>
          </w:tcPr>
          <w:p w:rsidR="00F957E0" w:rsidRPr="00DA2694" w:rsidRDefault="00F957E0" w:rsidP="00C442F1">
            <w:pPr>
              <w:rPr>
                <w:rFonts w:ascii="Times New Roman" w:hAnsi="Times New Roman" w:cs="Times New Roman"/>
                <w:sz w:val="24"/>
                <w:szCs w:val="24"/>
              </w:rPr>
            </w:pPr>
            <w:r w:rsidRPr="00DA2694">
              <w:rPr>
                <w:rFonts w:ascii="Times New Roman" w:hAnsi="Times New Roman" w:cs="Times New Roman"/>
                <w:sz w:val="24"/>
                <w:szCs w:val="24"/>
              </w:rPr>
              <w:t>ICDS – 1</w:t>
            </w:r>
            <w:r>
              <w:rPr>
                <w:rFonts w:ascii="Times New Roman" w:hAnsi="Times New Roman" w:cs="Times New Roman"/>
                <w:sz w:val="24"/>
                <w:szCs w:val="24"/>
              </w:rPr>
              <w:t>V</w:t>
            </w:r>
            <w:r w:rsidRPr="00DA2694">
              <w:rPr>
                <w:rFonts w:ascii="Times New Roman" w:hAnsi="Times New Roman" w:cs="Times New Roman"/>
                <w:sz w:val="24"/>
                <w:szCs w:val="24"/>
              </w:rPr>
              <w:t xml:space="preserve"> – Relating to </w:t>
            </w:r>
            <w:r>
              <w:rPr>
                <w:rFonts w:ascii="Times New Roman" w:hAnsi="Times New Roman" w:cs="Times New Roman"/>
                <w:sz w:val="24"/>
                <w:szCs w:val="24"/>
              </w:rPr>
              <w:t>Revenue Recognition</w:t>
            </w:r>
          </w:p>
        </w:tc>
        <w:tc>
          <w:tcPr>
            <w:tcW w:w="1890" w:type="dxa"/>
          </w:tcPr>
          <w:p w:rsidR="00F957E0" w:rsidRPr="00DA2694" w:rsidRDefault="00F957E0" w:rsidP="00C442F1">
            <w:pPr>
              <w:rPr>
                <w:rFonts w:ascii="Times New Roman" w:hAnsi="Times New Roman" w:cs="Times New Roman"/>
                <w:sz w:val="24"/>
                <w:szCs w:val="24"/>
              </w:rPr>
            </w:pPr>
            <w:r>
              <w:rPr>
                <w:rFonts w:ascii="Times New Roman" w:hAnsi="Times New Roman" w:cs="Times New Roman"/>
                <w:sz w:val="24"/>
                <w:szCs w:val="24"/>
              </w:rPr>
              <w:t>Method of measuring performance of of  Service</w:t>
            </w:r>
          </w:p>
        </w:tc>
        <w:tc>
          <w:tcPr>
            <w:tcW w:w="4860" w:type="dxa"/>
          </w:tcPr>
          <w:p w:rsidR="00F957E0" w:rsidRPr="00DA2694" w:rsidRDefault="00F957E0" w:rsidP="00C442F1">
            <w:pPr>
              <w:rPr>
                <w:rFonts w:ascii="Times New Roman" w:hAnsi="Times New Roman" w:cs="Times New Roman"/>
                <w:sz w:val="24"/>
                <w:szCs w:val="24"/>
              </w:rPr>
            </w:pPr>
            <w:r>
              <w:rPr>
                <w:rFonts w:ascii="Times New Roman" w:hAnsi="Times New Roman" w:cs="Times New Roman"/>
                <w:sz w:val="24"/>
                <w:szCs w:val="24"/>
              </w:rPr>
              <w:t>Revenue from service transactions shall be recognized by the percentage completion method</w:t>
            </w:r>
          </w:p>
        </w:tc>
        <w:tc>
          <w:tcPr>
            <w:tcW w:w="2790" w:type="dxa"/>
          </w:tcPr>
          <w:p w:rsidR="00F957E0" w:rsidRPr="00DA2694" w:rsidRDefault="00F957E0" w:rsidP="00C442F1">
            <w:pPr>
              <w:rPr>
                <w:rFonts w:ascii="Times New Roman" w:hAnsi="Times New Roman" w:cs="Times New Roman"/>
                <w:sz w:val="24"/>
                <w:szCs w:val="24"/>
              </w:rPr>
            </w:pPr>
            <w:r w:rsidRPr="00745AC9">
              <w:rPr>
                <w:rFonts w:ascii="Times New Roman" w:hAnsi="Times New Roman" w:cs="Times New Roman"/>
                <w:sz w:val="24"/>
                <w:szCs w:val="24"/>
              </w:rPr>
              <w:t>Revenue from service transactions is usually recognized  either by the proportion</w:t>
            </w:r>
            <w:r>
              <w:rPr>
                <w:rFonts w:ascii="Times New Roman" w:hAnsi="Times New Roman" w:cs="Times New Roman"/>
                <w:sz w:val="24"/>
                <w:szCs w:val="24"/>
              </w:rPr>
              <w:t xml:space="preserve">ate completion method or by the </w:t>
            </w:r>
            <w:r w:rsidRPr="00745AC9">
              <w:rPr>
                <w:rFonts w:ascii="Times New Roman" w:hAnsi="Times New Roman" w:cs="Times New Roman"/>
                <w:sz w:val="24"/>
                <w:szCs w:val="24"/>
              </w:rPr>
              <w:t>completed service contract method</w:t>
            </w:r>
            <w:r>
              <w:t>.</w:t>
            </w:r>
          </w:p>
        </w:tc>
      </w:tr>
    </w:tbl>
    <w:p w:rsidR="00F957E0" w:rsidRPr="00DA2694" w:rsidRDefault="00F957E0" w:rsidP="00F957E0">
      <w:pPr>
        <w:rPr>
          <w:rFonts w:ascii="Times New Roman" w:hAnsi="Times New Roman" w:cs="Times New Roman"/>
          <w:sz w:val="24"/>
          <w:szCs w:val="24"/>
        </w:rPr>
      </w:pPr>
    </w:p>
    <w:p w:rsidR="007A5E83" w:rsidRDefault="007A5E8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pPr w:leftFromText="180" w:rightFromText="180" w:vertAnchor="text" w:horzAnchor="margin" w:tblpXSpec="center" w:tblpY="-479"/>
        <w:tblW w:w="11430" w:type="dxa"/>
        <w:tblLook w:val="04A0"/>
      </w:tblPr>
      <w:tblGrid>
        <w:gridCol w:w="1890"/>
        <w:gridCol w:w="1890"/>
        <w:gridCol w:w="4860"/>
        <w:gridCol w:w="2790"/>
      </w:tblGrid>
      <w:tr w:rsidR="00CB319A" w:rsidRPr="00DA2694" w:rsidTr="00CB319A">
        <w:trPr>
          <w:trHeight w:val="1250"/>
        </w:trPr>
        <w:tc>
          <w:tcPr>
            <w:tcW w:w="1890" w:type="dxa"/>
          </w:tcPr>
          <w:p w:rsidR="00CB319A" w:rsidRPr="00DA2694" w:rsidRDefault="00CB319A" w:rsidP="00CB319A">
            <w:pPr>
              <w:rPr>
                <w:rFonts w:ascii="Times New Roman" w:hAnsi="Times New Roman" w:cs="Times New Roman"/>
                <w:b/>
                <w:sz w:val="24"/>
                <w:szCs w:val="24"/>
              </w:rPr>
            </w:pPr>
          </w:p>
          <w:p w:rsidR="00CB319A" w:rsidRPr="00DA2694" w:rsidRDefault="00CB319A" w:rsidP="00CB319A">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890" w:type="dxa"/>
          </w:tcPr>
          <w:p w:rsidR="00CB319A" w:rsidRPr="00DA2694" w:rsidRDefault="00CB319A" w:rsidP="00CB319A">
            <w:pPr>
              <w:rPr>
                <w:rFonts w:ascii="Times New Roman" w:hAnsi="Times New Roman" w:cs="Times New Roman"/>
                <w:b/>
                <w:sz w:val="24"/>
                <w:szCs w:val="24"/>
              </w:rPr>
            </w:pPr>
          </w:p>
          <w:p w:rsidR="00CB319A" w:rsidRPr="00DA2694" w:rsidRDefault="00CB319A" w:rsidP="00CB319A">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860" w:type="dxa"/>
          </w:tcPr>
          <w:p w:rsidR="00CB319A" w:rsidRPr="00DA2694" w:rsidRDefault="00CB319A" w:rsidP="00CB319A">
            <w:pPr>
              <w:rPr>
                <w:rFonts w:ascii="Times New Roman" w:hAnsi="Times New Roman" w:cs="Times New Roman"/>
                <w:b/>
                <w:sz w:val="24"/>
                <w:szCs w:val="24"/>
              </w:rPr>
            </w:pPr>
          </w:p>
          <w:p w:rsidR="00CB319A" w:rsidRPr="00DA2694" w:rsidRDefault="00CB319A" w:rsidP="00CB319A">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2790" w:type="dxa"/>
          </w:tcPr>
          <w:p w:rsidR="00CB319A" w:rsidRPr="00DA2694" w:rsidRDefault="00CB319A" w:rsidP="00CB319A">
            <w:pPr>
              <w:rPr>
                <w:rFonts w:ascii="Times New Roman" w:hAnsi="Times New Roman" w:cs="Times New Roman"/>
                <w:b/>
                <w:sz w:val="24"/>
                <w:szCs w:val="24"/>
              </w:rPr>
            </w:pPr>
          </w:p>
          <w:p w:rsidR="00CB319A" w:rsidRPr="00DA2694" w:rsidRDefault="00CB319A" w:rsidP="00CB319A">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CB319A" w:rsidRPr="00DA2694" w:rsidTr="00CB319A">
        <w:tc>
          <w:tcPr>
            <w:tcW w:w="1890" w:type="dxa"/>
            <w:tcBorders>
              <w:right w:val="single" w:sz="4" w:space="0" w:color="auto"/>
            </w:tcBorders>
          </w:tcPr>
          <w:p w:rsidR="00CB319A" w:rsidRPr="00DA2694" w:rsidRDefault="00CB319A" w:rsidP="00CB319A">
            <w:pPr>
              <w:rPr>
                <w:rFonts w:ascii="Times New Roman" w:hAnsi="Times New Roman" w:cs="Times New Roman"/>
                <w:sz w:val="24"/>
                <w:szCs w:val="24"/>
              </w:rPr>
            </w:pPr>
            <w:r w:rsidRPr="00DA2694">
              <w:rPr>
                <w:rFonts w:ascii="Times New Roman" w:hAnsi="Times New Roman" w:cs="Times New Roman"/>
                <w:sz w:val="24"/>
                <w:szCs w:val="24"/>
              </w:rPr>
              <w:t>ICDS –</w:t>
            </w:r>
            <w:r>
              <w:rPr>
                <w:rFonts w:ascii="Times New Roman" w:hAnsi="Times New Roman" w:cs="Times New Roman"/>
                <w:sz w:val="24"/>
                <w:szCs w:val="24"/>
              </w:rPr>
              <w:t xml:space="preserve"> V</w:t>
            </w:r>
            <w:r w:rsidRPr="00DA2694">
              <w:rPr>
                <w:rFonts w:ascii="Times New Roman" w:hAnsi="Times New Roman" w:cs="Times New Roman"/>
                <w:sz w:val="24"/>
                <w:szCs w:val="24"/>
              </w:rPr>
              <w:t xml:space="preserve"> – Relating to </w:t>
            </w:r>
            <w:r>
              <w:rPr>
                <w:rFonts w:ascii="Times New Roman" w:hAnsi="Times New Roman" w:cs="Times New Roman"/>
                <w:sz w:val="24"/>
                <w:szCs w:val="24"/>
              </w:rPr>
              <w:t>Tangible Fixed Assets</w:t>
            </w:r>
          </w:p>
        </w:tc>
        <w:tc>
          <w:tcPr>
            <w:tcW w:w="1890" w:type="dxa"/>
            <w:tcBorders>
              <w:left w:val="single" w:sz="4" w:space="0" w:color="auto"/>
              <w:right w:val="single" w:sz="4" w:space="0" w:color="auto"/>
            </w:tcBorders>
          </w:tcPr>
          <w:p w:rsidR="00CB319A" w:rsidRPr="00DA2694" w:rsidRDefault="00CB319A" w:rsidP="00CB319A">
            <w:pPr>
              <w:rPr>
                <w:rFonts w:ascii="Times New Roman" w:hAnsi="Times New Roman" w:cs="Times New Roman"/>
                <w:sz w:val="24"/>
                <w:szCs w:val="24"/>
              </w:rPr>
            </w:pPr>
            <w:r>
              <w:rPr>
                <w:rFonts w:ascii="Times New Roman" w:hAnsi="Times New Roman" w:cs="Times New Roman"/>
                <w:sz w:val="24"/>
                <w:szCs w:val="24"/>
              </w:rPr>
              <w:t>Fixed Assets acquired for Non Monetary Consideration</w:t>
            </w:r>
          </w:p>
        </w:tc>
        <w:tc>
          <w:tcPr>
            <w:tcW w:w="4860" w:type="dxa"/>
            <w:tcBorders>
              <w:left w:val="single" w:sz="4" w:space="0" w:color="auto"/>
              <w:right w:val="single" w:sz="4" w:space="0" w:color="auto"/>
            </w:tcBorders>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When a tangible fixed asset is acquired in exchange for another asset, the fair value of the tangible fixed asset so acquired shall be its actual cost.</w:t>
            </w:r>
          </w:p>
        </w:tc>
        <w:tc>
          <w:tcPr>
            <w:tcW w:w="2790" w:type="dxa"/>
            <w:tcBorders>
              <w:left w:val="single" w:sz="4" w:space="0" w:color="auto"/>
            </w:tcBorders>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When a Fixed asset isacquired in exchange for shares or other securities in the enterprise should be recorded at its fair market value, or the fair market value of the securities issued, whichever is more clearly evident.</w:t>
            </w:r>
          </w:p>
        </w:tc>
      </w:tr>
      <w:tr w:rsidR="00CB319A" w:rsidTr="00CB3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85"/>
        </w:trPr>
        <w:tc>
          <w:tcPr>
            <w:tcW w:w="1890" w:type="dxa"/>
          </w:tcPr>
          <w:p w:rsidR="00CB319A" w:rsidRDefault="00CB319A" w:rsidP="00CB319A">
            <w:pPr>
              <w:rPr>
                <w:rFonts w:ascii="Times New Roman" w:hAnsi="Times New Roman" w:cs="Times New Roman"/>
                <w:sz w:val="24"/>
                <w:szCs w:val="24"/>
              </w:rPr>
            </w:pPr>
          </w:p>
        </w:tc>
        <w:tc>
          <w:tcPr>
            <w:tcW w:w="1890" w:type="dxa"/>
          </w:tcPr>
          <w:p w:rsidR="00CB319A" w:rsidRDefault="00CB319A" w:rsidP="00CB319A">
            <w:pPr>
              <w:rPr>
                <w:rFonts w:ascii="Times New Roman" w:hAnsi="Times New Roman" w:cs="Times New Roman"/>
                <w:sz w:val="24"/>
                <w:szCs w:val="24"/>
              </w:rPr>
            </w:pPr>
            <w:r>
              <w:rPr>
                <w:rFonts w:ascii="Times New Roman" w:hAnsi="Times New Roman" w:cs="Times New Roman"/>
                <w:sz w:val="24"/>
                <w:szCs w:val="24"/>
              </w:rPr>
              <w:t>Identification of Tangible Fixed Assets</w:t>
            </w:r>
          </w:p>
        </w:tc>
        <w:tc>
          <w:tcPr>
            <w:tcW w:w="4860" w:type="dxa"/>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Machinery spares which can be used only in connection with a Tangible fixed asset and where use is irregular, have to be capitalised</w:t>
            </w:r>
          </w:p>
        </w:tc>
        <w:tc>
          <w:tcPr>
            <w:tcW w:w="2790" w:type="dxa"/>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Machinery spares are usually charged to profit and loss as and when consumed. However, if such spares can be used only in connection with an item of fixed asset and their use is expected to be irregular, it may be appropriate to allocate total cost on a systematic basis over a period not exceeding the useful life of the principal item.</w:t>
            </w:r>
          </w:p>
        </w:tc>
      </w:tr>
      <w:tr w:rsidR="00CB319A" w:rsidTr="00CB3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10"/>
        </w:trPr>
        <w:tc>
          <w:tcPr>
            <w:tcW w:w="1890" w:type="dxa"/>
          </w:tcPr>
          <w:p w:rsidR="00CB319A" w:rsidRDefault="00CB319A" w:rsidP="00CB319A">
            <w:pPr>
              <w:rPr>
                <w:rFonts w:ascii="Times New Roman" w:hAnsi="Times New Roman" w:cs="Times New Roman"/>
                <w:sz w:val="24"/>
                <w:szCs w:val="24"/>
              </w:rPr>
            </w:pPr>
          </w:p>
        </w:tc>
        <w:tc>
          <w:tcPr>
            <w:tcW w:w="1890" w:type="dxa"/>
          </w:tcPr>
          <w:p w:rsidR="00CB319A" w:rsidRDefault="00CB319A" w:rsidP="00CB319A">
            <w:pPr>
              <w:rPr>
                <w:rFonts w:ascii="Times New Roman" w:hAnsi="Times New Roman" w:cs="Times New Roman"/>
                <w:sz w:val="24"/>
                <w:szCs w:val="24"/>
              </w:rPr>
            </w:pPr>
            <w:r>
              <w:rPr>
                <w:rFonts w:ascii="Times New Roman" w:hAnsi="Times New Roman" w:cs="Times New Roman"/>
                <w:sz w:val="24"/>
                <w:szCs w:val="24"/>
              </w:rPr>
              <w:t>Revaluation of Fixed Assets</w:t>
            </w:r>
          </w:p>
        </w:tc>
        <w:tc>
          <w:tcPr>
            <w:tcW w:w="4860" w:type="dxa"/>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It does not incorporate provisions of revaluation in itself, hence revaluation would not be recognized while computing income</w:t>
            </w:r>
          </w:p>
        </w:tc>
        <w:tc>
          <w:tcPr>
            <w:tcW w:w="2790" w:type="dxa"/>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It recognises the concept of revaluation well while calculating income.</w:t>
            </w:r>
          </w:p>
        </w:tc>
      </w:tr>
      <w:tr w:rsidR="00CB319A" w:rsidTr="00CB3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90"/>
        </w:trPr>
        <w:tc>
          <w:tcPr>
            <w:tcW w:w="1890" w:type="dxa"/>
          </w:tcPr>
          <w:p w:rsidR="00CB319A" w:rsidRDefault="00CB319A" w:rsidP="00CB319A">
            <w:pPr>
              <w:rPr>
                <w:rFonts w:ascii="Times New Roman" w:hAnsi="Times New Roman" w:cs="Times New Roman"/>
                <w:sz w:val="24"/>
                <w:szCs w:val="24"/>
              </w:rPr>
            </w:pPr>
          </w:p>
        </w:tc>
        <w:tc>
          <w:tcPr>
            <w:tcW w:w="1890" w:type="dxa"/>
          </w:tcPr>
          <w:p w:rsidR="00CB319A" w:rsidRDefault="00CB319A" w:rsidP="00CB319A">
            <w:pPr>
              <w:rPr>
                <w:rFonts w:ascii="Times New Roman" w:hAnsi="Times New Roman" w:cs="Times New Roman"/>
                <w:sz w:val="24"/>
                <w:szCs w:val="24"/>
              </w:rPr>
            </w:pPr>
            <w:r>
              <w:rPr>
                <w:rFonts w:ascii="Times New Roman" w:hAnsi="Times New Roman" w:cs="Times New Roman"/>
                <w:sz w:val="24"/>
                <w:szCs w:val="24"/>
              </w:rPr>
              <w:t>Transfer of Fixed Assets</w:t>
            </w:r>
          </w:p>
        </w:tc>
        <w:tc>
          <w:tcPr>
            <w:tcW w:w="4860" w:type="dxa"/>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ICDS, suggests that income arising on transfer of a tangible fixed asset shall be computed in accordance to the provisons of the Act</w:t>
            </w:r>
          </w:p>
        </w:tc>
        <w:tc>
          <w:tcPr>
            <w:tcW w:w="2790" w:type="dxa"/>
          </w:tcPr>
          <w:p w:rsidR="00CB319A" w:rsidRPr="00CB319A" w:rsidRDefault="00CB319A" w:rsidP="00CB319A">
            <w:pPr>
              <w:rPr>
                <w:rFonts w:ascii="Times New Roman" w:hAnsi="Times New Roman" w:cs="Times New Roman"/>
                <w:sz w:val="24"/>
                <w:szCs w:val="24"/>
              </w:rPr>
            </w:pPr>
            <w:r w:rsidRPr="00CB319A">
              <w:rPr>
                <w:rFonts w:ascii="Times New Roman" w:hAnsi="Times New Roman" w:cs="Times New Roman"/>
                <w:sz w:val="24"/>
                <w:szCs w:val="24"/>
              </w:rPr>
              <w:t>Whereas as per AS -10, the gain or loss arising on disposal are generally recognised in the profit and loss statement and in case of loss arising out of revalued asset, an increase which was previously recorded as credit to revaluation reserve and which has not been subsequently reversed or utilised, it is charged directly to that account.</w:t>
            </w:r>
          </w:p>
          <w:p w:rsidR="00CB319A" w:rsidRPr="00CB319A" w:rsidRDefault="00CB319A" w:rsidP="00CB319A">
            <w:pPr>
              <w:rPr>
                <w:rFonts w:ascii="Times New Roman" w:hAnsi="Times New Roman" w:cs="Times New Roman"/>
                <w:sz w:val="24"/>
                <w:szCs w:val="24"/>
              </w:rPr>
            </w:pPr>
          </w:p>
        </w:tc>
      </w:tr>
    </w:tbl>
    <w:p w:rsidR="00302BB2" w:rsidRPr="00DA2694" w:rsidRDefault="00302BB2" w:rsidP="00302BB2">
      <w:pPr>
        <w:rPr>
          <w:rFonts w:ascii="Times New Roman" w:hAnsi="Times New Roman" w:cs="Times New Roman"/>
          <w:sz w:val="24"/>
          <w:szCs w:val="24"/>
        </w:rPr>
      </w:pPr>
    </w:p>
    <w:tbl>
      <w:tblPr>
        <w:tblStyle w:val="TableGrid"/>
        <w:tblW w:w="11430" w:type="dxa"/>
        <w:tblInd w:w="-1062" w:type="dxa"/>
        <w:tblLook w:val="04A0"/>
      </w:tblPr>
      <w:tblGrid>
        <w:gridCol w:w="1890"/>
        <w:gridCol w:w="1890"/>
        <w:gridCol w:w="4860"/>
        <w:gridCol w:w="2790"/>
      </w:tblGrid>
      <w:tr w:rsidR="009932AA" w:rsidRPr="00DA2694" w:rsidTr="00221533">
        <w:trPr>
          <w:trHeight w:val="1250"/>
        </w:trPr>
        <w:tc>
          <w:tcPr>
            <w:tcW w:w="1890" w:type="dxa"/>
          </w:tcPr>
          <w:p w:rsidR="00302BB2" w:rsidRPr="00DA2694" w:rsidRDefault="00302BB2" w:rsidP="00221533">
            <w:pPr>
              <w:rPr>
                <w:rFonts w:ascii="Times New Roman" w:hAnsi="Times New Roman" w:cs="Times New Roman"/>
                <w:b/>
                <w:sz w:val="24"/>
                <w:szCs w:val="24"/>
              </w:rPr>
            </w:pPr>
          </w:p>
          <w:p w:rsidR="00302BB2" w:rsidRPr="00DA2694" w:rsidRDefault="00302BB2" w:rsidP="00221533">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890" w:type="dxa"/>
          </w:tcPr>
          <w:p w:rsidR="00302BB2" w:rsidRPr="00DA2694" w:rsidRDefault="00302BB2" w:rsidP="00221533">
            <w:pPr>
              <w:rPr>
                <w:rFonts w:ascii="Times New Roman" w:hAnsi="Times New Roman" w:cs="Times New Roman"/>
                <w:b/>
                <w:sz w:val="24"/>
                <w:szCs w:val="24"/>
              </w:rPr>
            </w:pPr>
          </w:p>
          <w:p w:rsidR="00302BB2" w:rsidRPr="00DA2694" w:rsidRDefault="00302BB2" w:rsidP="00221533">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860" w:type="dxa"/>
          </w:tcPr>
          <w:p w:rsidR="00302BB2" w:rsidRPr="00DA2694" w:rsidRDefault="00302BB2" w:rsidP="00221533">
            <w:pPr>
              <w:rPr>
                <w:rFonts w:ascii="Times New Roman" w:hAnsi="Times New Roman" w:cs="Times New Roman"/>
                <w:b/>
                <w:sz w:val="24"/>
                <w:szCs w:val="24"/>
              </w:rPr>
            </w:pPr>
          </w:p>
          <w:p w:rsidR="00302BB2" w:rsidRPr="00DA2694" w:rsidRDefault="00302BB2" w:rsidP="00221533">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2790" w:type="dxa"/>
          </w:tcPr>
          <w:p w:rsidR="00302BB2" w:rsidRPr="00DA2694" w:rsidRDefault="00302BB2" w:rsidP="00221533">
            <w:pPr>
              <w:rPr>
                <w:rFonts w:ascii="Times New Roman" w:hAnsi="Times New Roman" w:cs="Times New Roman"/>
                <w:b/>
                <w:sz w:val="24"/>
                <w:szCs w:val="24"/>
              </w:rPr>
            </w:pPr>
          </w:p>
          <w:p w:rsidR="00302BB2" w:rsidRPr="00DA2694" w:rsidRDefault="00302BB2" w:rsidP="00221533">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9932AA" w:rsidRPr="00DA2694" w:rsidTr="00221533">
        <w:tc>
          <w:tcPr>
            <w:tcW w:w="1890" w:type="dxa"/>
          </w:tcPr>
          <w:p w:rsidR="00302BB2" w:rsidRPr="00DA2694" w:rsidRDefault="00302BB2" w:rsidP="00302BB2">
            <w:pPr>
              <w:rPr>
                <w:rFonts w:ascii="Times New Roman" w:hAnsi="Times New Roman" w:cs="Times New Roman"/>
                <w:sz w:val="24"/>
                <w:szCs w:val="24"/>
              </w:rPr>
            </w:pPr>
            <w:r w:rsidRPr="00DA2694">
              <w:rPr>
                <w:rFonts w:ascii="Times New Roman" w:hAnsi="Times New Roman" w:cs="Times New Roman"/>
                <w:sz w:val="24"/>
                <w:szCs w:val="24"/>
              </w:rPr>
              <w:t xml:space="preserve">ICDS – </w:t>
            </w:r>
            <w:r>
              <w:rPr>
                <w:rFonts w:ascii="Times New Roman" w:hAnsi="Times New Roman" w:cs="Times New Roman"/>
                <w:sz w:val="24"/>
                <w:szCs w:val="24"/>
              </w:rPr>
              <w:t>VI</w:t>
            </w:r>
            <w:r w:rsidRPr="00DA2694">
              <w:rPr>
                <w:rFonts w:ascii="Times New Roman" w:hAnsi="Times New Roman" w:cs="Times New Roman"/>
                <w:sz w:val="24"/>
                <w:szCs w:val="24"/>
              </w:rPr>
              <w:t xml:space="preserve"> – </w:t>
            </w:r>
            <w:r>
              <w:rPr>
                <w:rFonts w:ascii="Times New Roman" w:hAnsi="Times New Roman" w:cs="Times New Roman"/>
                <w:sz w:val="24"/>
                <w:szCs w:val="24"/>
              </w:rPr>
              <w:t>The Effect of changes in Foreign Exchange Rate</w:t>
            </w:r>
          </w:p>
        </w:tc>
        <w:tc>
          <w:tcPr>
            <w:tcW w:w="1890" w:type="dxa"/>
          </w:tcPr>
          <w:p w:rsidR="00302BB2" w:rsidRPr="00DA2694" w:rsidRDefault="009F2D00" w:rsidP="00221533">
            <w:pPr>
              <w:rPr>
                <w:rFonts w:ascii="Times New Roman" w:hAnsi="Times New Roman" w:cs="Times New Roman"/>
                <w:sz w:val="24"/>
                <w:szCs w:val="24"/>
              </w:rPr>
            </w:pPr>
            <w:r>
              <w:rPr>
                <w:rFonts w:ascii="Times New Roman" w:hAnsi="Times New Roman" w:cs="Times New Roman"/>
                <w:sz w:val="24"/>
                <w:szCs w:val="24"/>
              </w:rPr>
              <w:t>Regarding Interest Cost</w:t>
            </w:r>
          </w:p>
        </w:tc>
        <w:tc>
          <w:tcPr>
            <w:tcW w:w="4860" w:type="dxa"/>
          </w:tcPr>
          <w:p w:rsidR="00302BB2" w:rsidRPr="009932AA" w:rsidRDefault="009F2D00" w:rsidP="00221533">
            <w:pPr>
              <w:rPr>
                <w:rFonts w:ascii="Times New Roman" w:hAnsi="Times New Roman" w:cs="Times New Roman"/>
                <w:sz w:val="24"/>
                <w:szCs w:val="24"/>
              </w:rPr>
            </w:pPr>
            <w:r w:rsidRPr="009932AA">
              <w:rPr>
                <w:rFonts w:ascii="Times New Roman" w:hAnsi="Times New Roman" w:cs="Times New Roman"/>
                <w:sz w:val="24"/>
                <w:szCs w:val="24"/>
              </w:rPr>
              <w:t>There is no scope exception for exchange differences arising from foreign currency borrowings which may be regarded as an adjustment to interest costs</w:t>
            </w:r>
          </w:p>
        </w:tc>
        <w:tc>
          <w:tcPr>
            <w:tcW w:w="2790" w:type="dxa"/>
          </w:tcPr>
          <w:p w:rsidR="00302BB2" w:rsidRPr="009932AA" w:rsidRDefault="009F2D00" w:rsidP="00221533">
            <w:pPr>
              <w:rPr>
                <w:rFonts w:ascii="Times New Roman" w:hAnsi="Times New Roman" w:cs="Times New Roman"/>
                <w:sz w:val="24"/>
                <w:szCs w:val="24"/>
              </w:rPr>
            </w:pPr>
            <w:r w:rsidRPr="009932AA">
              <w:rPr>
                <w:rFonts w:ascii="Times New Roman" w:hAnsi="Times New Roman" w:cs="Times New Roman"/>
                <w:sz w:val="24"/>
                <w:szCs w:val="24"/>
              </w:rPr>
              <w:t>There is exception for exchange differences arising from foreign currency borrowings to the extent considered as an adjustment to interest costs.</w:t>
            </w:r>
          </w:p>
        </w:tc>
      </w:tr>
      <w:tr w:rsidR="009932AA" w:rsidRPr="00DA2694" w:rsidTr="00221533">
        <w:tc>
          <w:tcPr>
            <w:tcW w:w="1890" w:type="dxa"/>
          </w:tcPr>
          <w:p w:rsidR="00302BB2" w:rsidRPr="00DA2694" w:rsidRDefault="00302BB2" w:rsidP="00221533">
            <w:pPr>
              <w:rPr>
                <w:rFonts w:ascii="Times New Roman" w:hAnsi="Times New Roman" w:cs="Times New Roman"/>
                <w:sz w:val="24"/>
                <w:szCs w:val="24"/>
              </w:rPr>
            </w:pPr>
          </w:p>
        </w:tc>
        <w:tc>
          <w:tcPr>
            <w:tcW w:w="1890" w:type="dxa"/>
          </w:tcPr>
          <w:p w:rsidR="00302BB2" w:rsidRPr="00DA2694" w:rsidRDefault="009F2D00" w:rsidP="00221533">
            <w:pPr>
              <w:rPr>
                <w:rFonts w:ascii="Times New Roman" w:hAnsi="Times New Roman" w:cs="Times New Roman"/>
                <w:sz w:val="24"/>
                <w:szCs w:val="24"/>
              </w:rPr>
            </w:pPr>
            <w:r>
              <w:rPr>
                <w:rFonts w:ascii="Times New Roman" w:hAnsi="Times New Roman" w:cs="Times New Roman"/>
                <w:sz w:val="24"/>
                <w:szCs w:val="24"/>
              </w:rPr>
              <w:t>Recognition of Exchange Difference</w:t>
            </w:r>
            <w:r w:rsidR="009932AA">
              <w:rPr>
                <w:rFonts w:ascii="Times New Roman" w:hAnsi="Times New Roman" w:cs="Times New Roman"/>
                <w:sz w:val="24"/>
                <w:szCs w:val="24"/>
              </w:rPr>
              <w:t xml:space="preserve"> </w:t>
            </w:r>
          </w:p>
        </w:tc>
        <w:tc>
          <w:tcPr>
            <w:tcW w:w="4860" w:type="dxa"/>
          </w:tcPr>
          <w:p w:rsidR="00302BB2" w:rsidRPr="009932AA" w:rsidRDefault="009932AA" w:rsidP="00221533">
            <w:pPr>
              <w:rPr>
                <w:rFonts w:ascii="Times New Roman" w:hAnsi="Times New Roman" w:cs="Times New Roman"/>
                <w:sz w:val="24"/>
                <w:szCs w:val="24"/>
              </w:rPr>
            </w:pPr>
            <w:r w:rsidRPr="009932AA">
              <w:rPr>
                <w:rFonts w:ascii="Times New Roman" w:hAnsi="Times New Roman" w:cs="Times New Roman"/>
                <w:color w:val="333333"/>
                <w:sz w:val="24"/>
                <w:szCs w:val="24"/>
                <w:shd w:val="clear" w:color="auto" w:fill="FFFFFF"/>
              </w:rPr>
              <w:t>Exchange differences on non-integral foreign operations shall also be included in the computation of incom</w:t>
            </w:r>
            <w:r>
              <w:rPr>
                <w:rFonts w:ascii="Times New Roman" w:hAnsi="Times New Roman" w:cs="Times New Roman"/>
                <w:color w:val="333333"/>
                <w:sz w:val="24"/>
                <w:szCs w:val="24"/>
                <w:shd w:val="clear" w:color="auto" w:fill="FFFFFF"/>
              </w:rPr>
              <w:t>e</w:t>
            </w:r>
          </w:p>
        </w:tc>
        <w:tc>
          <w:tcPr>
            <w:tcW w:w="2790" w:type="dxa"/>
          </w:tcPr>
          <w:p w:rsidR="00302BB2" w:rsidRPr="009932AA" w:rsidRDefault="009932AA" w:rsidP="00221533">
            <w:pPr>
              <w:rPr>
                <w:rFonts w:ascii="Times New Roman" w:hAnsi="Times New Roman" w:cs="Times New Roman"/>
                <w:sz w:val="24"/>
                <w:szCs w:val="24"/>
              </w:rPr>
            </w:pPr>
            <w:r w:rsidRPr="009932AA">
              <w:rPr>
                <w:rFonts w:ascii="Times New Roman" w:hAnsi="Times New Roman" w:cs="Times New Roman"/>
                <w:color w:val="333333"/>
                <w:sz w:val="24"/>
                <w:szCs w:val="24"/>
                <w:shd w:val="clear" w:color="auto" w:fill="FFFFFF"/>
              </w:rPr>
              <w:t>Exchange differences on a non-integral foreign operation are not recognized in the P&amp;L, but accumulated in a foreign currency translation reserve. Such a foreign currency translation reserve is recycled to the P&amp;L when the non-integral operation is disposed.</w:t>
            </w:r>
            <w:r w:rsidRPr="009932AA">
              <w:rPr>
                <w:rStyle w:val="apple-converted-space"/>
                <w:rFonts w:ascii="Times New Roman" w:hAnsi="Times New Roman" w:cs="Times New Roman"/>
                <w:color w:val="333333"/>
                <w:sz w:val="24"/>
                <w:szCs w:val="24"/>
                <w:shd w:val="clear" w:color="auto" w:fill="FFFFFF"/>
              </w:rPr>
              <w:t> </w:t>
            </w:r>
            <w:r w:rsidRPr="009932AA">
              <w:rPr>
                <w:rFonts w:ascii="Times New Roman" w:hAnsi="Times New Roman" w:cs="Times New Roman"/>
                <w:color w:val="333333"/>
                <w:sz w:val="24"/>
                <w:szCs w:val="24"/>
              </w:rPr>
              <w:br/>
            </w:r>
          </w:p>
        </w:tc>
      </w:tr>
      <w:tr w:rsidR="009932AA" w:rsidRPr="00DA2694" w:rsidTr="00221533">
        <w:tc>
          <w:tcPr>
            <w:tcW w:w="1890" w:type="dxa"/>
          </w:tcPr>
          <w:p w:rsidR="00302BB2" w:rsidRPr="00DA2694" w:rsidRDefault="00302BB2" w:rsidP="00221533">
            <w:pPr>
              <w:rPr>
                <w:rFonts w:ascii="Times New Roman" w:hAnsi="Times New Roman" w:cs="Times New Roman"/>
                <w:sz w:val="24"/>
                <w:szCs w:val="24"/>
              </w:rPr>
            </w:pPr>
          </w:p>
        </w:tc>
        <w:tc>
          <w:tcPr>
            <w:tcW w:w="1890" w:type="dxa"/>
          </w:tcPr>
          <w:p w:rsidR="00302BB2" w:rsidRPr="00DA2694" w:rsidRDefault="009932AA" w:rsidP="00221533">
            <w:pPr>
              <w:rPr>
                <w:rFonts w:ascii="Times New Roman" w:hAnsi="Times New Roman" w:cs="Times New Roman"/>
                <w:sz w:val="24"/>
                <w:szCs w:val="24"/>
              </w:rPr>
            </w:pPr>
            <w:r>
              <w:rPr>
                <w:rFonts w:ascii="Times New Roman" w:hAnsi="Times New Roman" w:cs="Times New Roman"/>
                <w:sz w:val="24"/>
                <w:szCs w:val="24"/>
              </w:rPr>
              <w:t xml:space="preserve">Recognition of gain/loss </w:t>
            </w:r>
          </w:p>
        </w:tc>
        <w:tc>
          <w:tcPr>
            <w:tcW w:w="4860" w:type="dxa"/>
          </w:tcPr>
          <w:p w:rsidR="00302BB2" w:rsidRPr="009932AA" w:rsidRDefault="009932AA" w:rsidP="00221533">
            <w:pPr>
              <w:rPr>
                <w:rFonts w:ascii="Times New Roman" w:hAnsi="Times New Roman" w:cs="Times New Roman"/>
                <w:sz w:val="24"/>
                <w:szCs w:val="24"/>
              </w:rPr>
            </w:pPr>
            <w:r w:rsidRPr="009932AA">
              <w:rPr>
                <w:rFonts w:ascii="Times New Roman" w:hAnsi="Times New Roman" w:cs="Times New Roman"/>
                <w:color w:val="333333"/>
                <w:sz w:val="24"/>
                <w:szCs w:val="24"/>
                <w:shd w:val="clear" w:color="auto" w:fill="FFFFFF"/>
              </w:rPr>
              <w:t>It requires gains or losses to be recognized in income computation only on settlement</w:t>
            </w:r>
          </w:p>
        </w:tc>
        <w:tc>
          <w:tcPr>
            <w:tcW w:w="2790" w:type="dxa"/>
          </w:tcPr>
          <w:p w:rsidR="00302BB2" w:rsidRPr="009932AA" w:rsidRDefault="009932AA" w:rsidP="00221533">
            <w:pPr>
              <w:rPr>
                <w:rFonts w:ascii="Times New Roman" w:hAnsi="Times New Roman" w:cs="Times New Roman"/>
                <w:sz w:val="24"/>
                <w:szCs w:val="24"/>
              </w:rPr>
            </w:pPr>
            <w:r w:rsidRPr="009932AA">
              <w:rPr>
                <w:rFonts w:ascii="Times New Roman" w:hAnsi="Times New Roman" w:cs="Times New Roman"/>
                <w:color w:val="333333"/>
                <w:sz w:val="24"/>
                <w:szCs w:val="24"/>
                <w:shd w:val="clear" w:color="auto" w:fill="FFFFFF"/>
              </w:rPr>
              <w:t>All mark-to-market gains or losses on forward exchange or similar contracts entered into for trading or speculation contracts shall be recognized in P&amp;L</w:t>
            </w:r>
          </w:p>
        </w:tc>
      </w:tr>
    </w:tbl>
    <w:p w:rsidR="007A5E83" w:rsidRPr="00DA2694" w:rsidRDefault="007A5E83" w:rsidP="007A5E83">
      <w:pPr>
        <w:rPr>
          <w:rFonts w:ascii="Times New Roman" w:hAnsi="Times New Roman" w:cs="Times New Roman"/>
          <w:sz w:val="24"/>
          <w:szCs w:val="24"/>
        </w:rPr>
      </w:pPr>
    </w:p>
    <w:p w:rsidR="00AB3BCF" w:rsidRDefault="00AB3BCF">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1430" w:type="dxa"/>
        <w:tblInd w:w="-1062" w:type="dxa"/>
        <w:tblLook w:val="04A0"/>
      </w:tblPr>
      <w:tblGrid>
        <w:gridCol w:w="1890"/>
        <w:gridCol w:w="1890"/>
        <w:gridCol w:w="4860"/>
        <w:gridCol w:w="2790"/>
      </w:tblGrid>
      <w:tr w:rsidR="00AB3BCF" w:rsidRPr="00DA2694" w:rsidTr="00221533">
        <w:trPr>
          <w:trHeight w:val="1250"/>
        </w:trPr>
        <w:tc>
          <w:tcPr>
            <w:tcW w:w="1890" w:type="dxa"/>
          </w:tcPr>
          <w:p w:rsidR="00AB3BCF" w:rsidRPr="00DA2694" w:rsidRDefault="00AB3BCF" w:rsidP="00221533">
            <w:pPr>
              <w:rPr>
                <w:rFonts w:ascii="Times New Roman" w:hAnsi="Times New Roman" w:cs="Times New Roman"/>
                <w:b/>
                <w:sz w:val="24"/>
                <w:szCs w:val="24"/>
              </w:rPr>
            </w:pPr>
          </w:p>
          <w:p w:rsidR="00AB3BCF" w:rsidRPr="00DA2694" w:rsidRDefault="00AB3BCF" w:rsidP="00221533">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890" w:type="dxa"/>
          </w:tcPr>
          <w:p w:rsidR="00AB3BCF" w:rsidRPr="00DA2694" w:rsidRDefault="00AB3BCF" w:rsidP="00221533">
            <w:pPr>
              <w:rPr>
                <w:rFonts w:ascii="Times New Roman" w:hAnsi="Times New Roman" w:cs="Times New Roman"/>
                <w:b/>
                <w:sz w:val="24"/>
                <w:szCs w:val="24"/>
              </w:rPr>
            </w:pPr>
          </w:p>
          <w:p w:rsidR="00AB3BCF" w:rsidRPr="00DA2694" w:rsidRDefault="00AB3BCF" w:rsidP="00221533">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860" w:type="dxa"/>
          </w:tcPr>
          <w:p w:rsidR="00AB3BCF" w:rsidRPr="00DA2694" w:rsidRDefault="00AB3BCF" w:rsidP="00221533">
            <w:pPr>
              <w:rPr>
                <w:rFonts w:ascii="Times New Roman" w:hAnsi="Times New Roman" w:cs="Times New Roman"/>
                <w:b/>
                <w:sz w:val="24"/>
                <w:szCs w:val="24"/>
              </w:rPr>
            </w:pPr>
          </w:p>
          <w:p w:rsidR="00AB3BCF" w:rsidRPr="00DA2694" w:rsidRDefault="00AB3BCF" w:rsidP="00221533">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2790" w:type="dxa"/>
          </w:tcPr>
          <w:p w:rsidR="00AB3BCF" w:rsidRPr="00DA2694" w:rsidRDefault="00AB3BCF" w:rsidP="00221533">
            <w:pPr>
              <w:rPr>
                <w:rFonts w:ascii="Times New Roman" w:hAnsi="Times New Roman" w:cs="Times New Roman"/>
                <w:b/>
                <w:sz w:val="24"/>
                <w:szCs w:val="24"/>
              </w:rPr>
            </w:pPr>
          </w:p>
          <w:p w:rsidR="00AB3BCF" w:rsidRPr="00DA2694" w:rsidRDefault="00AB3BCF" w:rsidP="00221533">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AB3BCF" w:rsidRPr="009932AA" w:rsidTr="00221533">
        <w:tc>
          <w:tcPr>
            <w:tcW w:w="1890" w:type="dxa"/>
          </w:tcPr>
          <w:p w:rsidR="00AB3BCF" w:rsidRPr="00DA2694" w:rsidRDefault="00AB3BCF" w:rsidP="00221533">
            <w:pPr>
              <w:rPr>
                <w:rFonts w:ascii="Times New Roman" w:hAnsi="Times New Roman" w:cs="Times New Roman"/>
                <w:sz w:val="24"/>
                <w:szCs w:val="24"/>
              </w:rPr>
            </w:pPr>
            <w:r w:rsidRPr="00DA2694">
              <w:rPr>
                <w:rFonts w:ascii="Times New Roman" w:hAnsi="Times New Roman" w:cs="Times New Roman"/>
                <w:sz w:val="24"/>
                <w:szCs w:val="24"/>
              </w:rPr>
              <w:t xml:space="preserve">ICDS – </w:t>
            </w:r>
            <w:r>
              <w:rPr>
                <w:rFonts w:ascii="Times New Roman" w:hAnsi="Times New Roman" w:cs="Times New Roman"/>
                <w:sz w:val="24"/>
                <w:szCs w:val="24"/>
              </w:rPr>
              <w:t>VII</w:t>
            </w:r>
            <w:r w:rsidRPr="00DA2694">
              <w:rPr>
                <w:rFonts w:ascii="Times New Roman" w:hAnsi="Times New Roman" w:cs="Times New Roman"/>
                <w:sz w:val="24"/>
                <w:szCs w:val="24"/>
              </w:rPr>
              <w:t xml:space="preserve"> – </w:t>
            </w:r>
            <w:r>
              <w:rPr>
                <w:rFonts w:ascii="Times New Roman" w:hAnsi="Times New Roman" w:cs="Times New Roman"/>
                <w:sz w:val="24"/>
                <w:szCs w:val="24"/>
              </w:rPr>
              <w:t>Relating to government grant</w:t>
            </w:r>
          </w:p>
        </w:tc>
        <w:tc>
          <w:tcPr>
            <w:tcW w:w="1890" w:type="dxa"/>
          </w:tcPr>
          <w:p w:rsidR="00AB3BCF" w:rsidRPr="00DA2694" w:rsidRDefault="00AB3BCF" w:rsidP="00221533">
            <w:pPr>
              <w:rPr>
                <w:rFonts w:ascii="Times New Roman" w:hAnsi="Times New Roman" w:cs="Times New Roman"/>
                <w:sz w:val="24"/>
                <w:szCs w:val="24"/>
              </w:rPr>
            </w:pPr>
            <w:r>
              <w:rPr>
                <w:rFonts w:ascii="Times New Roman" w:hAnsi="Times New Roman" w:cs="Times New Roman"/>
                <w:sz w:val="24"/>
                <w:szCs w:val="24"/>
              </w:rPr>
              <w:t>Treatment of government grants</w:t>
            </w:r>
          </w:p>
        </w:tc>
        <w:tc>
          <w:tcPr>
            <w:tcW w:w="4860" w:type="dxa"/>
          </w:tcPr>
          <w:p w:rsidR="00AB3BCF" w:rsidRPr="000A2069" w:rsidRDefault="00AB3BCF" w:rsidP="00AB3BCF">
            <w:pPr>
              <w:rPr>
                <w:rFonts w:ascii="Times New Roman" w:hAnsi="Times New Roman" w:cs="Times New Roman"/>
                <w:sz w:val="24"/>
                <w:szCs w:val="24"/>
              </w:rPr>
            </w:pPr>
            <w:r w:rsidRPr="000A2069">
              <w:rPr>
                <w:rFonts w:ascii="Times New Roman" w:hAnsi="Times New Roman" w:cs="Times New Roman"/>
                <w:sz w:val="24"/>
                <w:szCs w:val="24"/>
              </w:rPr>
              <w:t xml:space="preserve">ICDS, does not prescribes the capitalization of government grants i.e. Government grant should either be treated as revenue receipt or should be reduced from the cost of fixed assets based on the purpose for which such grant or subsidy is given. </w:t>
            </w:r>
          </w:p>
        </w:tc>
        <w:tc>
          <w:tcPr>
            <w:tcW w:w="2790" w:type="dxa"/>
          </w:tcPr>
          <w:p w:rsidR="00AB3BCF" w:rsidRPr="000A2069" w:rsidRDefault="00AB3BCF" w:rsidP="00221533">
            <w:pPr>
              <w:rPr>
                <w:rFonts w:ascii="Times New Roman" w:hAnsi="Times New Roman" w:cs="Times New Roman"/>
                <w:sz w:val="24"/>
                <w:szCs w:val="24"/>
              </w:rPr>
            </w:pPr>
            <w:r w:rsidRPr="000A2069">
              <w:rPr>
                <w:rFonts w:ascii="Times New Roman" w:hAnsi="Times New Roman" w:cs="Times New Roman"/>
                <w:color w:val="333333"/>
                <w:sz w:val="24"/>
                <w:szCs w:val="24"/>
                <w:shd w:val="clear" w:color="auto" w:fill="F2F2F2"/>
              </w:rPr>
              <w:t xml:space="preserve">It </w:t>
            </w:r>
            <w:r w:rsidRPr="000A2069">
              <w:rPr>
                <w:rFonts w:ascii="Times New Roman" w:hAnsi="Times New Roman" w:cs="Times New Roman"/>
                <w:sz w:val="24"/>
                <w:szCs w:val="24"/>
              </w:rPr>
              <w:t>prescribes two broad approaches i.e capital approach or the income approach</w:t>
            </w:r>
            <w:r w:rsidRPr="000A2069">
              <w:rPr>
                <w:rFonts w:ascii="Times New Roman" w:hAnsi="Times New Roman" w:cs="Times New Roman"/>
                <w:color w:val="333333"/>
                <w:sz w:val="24"/>
                <w:szCs w:val="24"/>
                <w:shd w:val="clear" w:color="auto" w:fill="F2F2F2"/>
              </w:rPr>
              <w:t xml:space="preserve">  </w:t>
            </w:r>
          </w:p>
        </w:tc>
      </w:tr>
      <w:tr w:rsidR="00AB3BCF" w:rsidRPr="009932AA" w:rsidTr="00221533">
        <w:tc>
          <w:tcPr>
            <w:tcW w:w="1890" w:type="dxa"/>
          </w:tcPr>
          <w:p w:rsidR="00AB3BCF" w:rsidRPr="00DA2694" w:rsidRDefault="00AB3BCF" w:rsidP="00221533">
            <w:pPr>
              <w:rPr>
                <w:rFonts w:ascii="Times New Roman" w:hAnsi="Times New Roman" w:cs="Times New Roman"/>
                <w:sz w:val="24"/>
                <w:szCs w:val="24"/>
              </w:rPr>
            </w:pPr>
          </w:p>
        </w:tc>
        <w:tc>
          <w:tcPr>
            <w:tcW w:w="1890" w:type="dxa"/>
          </w:tcPr>
          <w:p w:rsidR="00AB3BCF" w:rsidRPr="00DA2694" w:rsidRDefault="00AB3BCF" w:rsidP="00221533">
            <w:pPr>
              <w:rPr>
                <w:rFonts w:ascii="Times New Roman" w:hAnsi="Times New Roman" w:cs="Times New Roman"/>
                <w:sz w:val="24"/>
                <w:szCs w:val="24"/>
              </w:rPr>
            </w:pPr>
            <w:r>
              <w:rPr>
                <w:rFonts w:ascii="Times New Roman" w:hAnsi="Times New Roman" w:cs="Times New Roman"/>
                <w:sz w:val="24"/>
                <w:szCs w:val="24"/>
              </w:rPr>
              <w:t>Recognition of government grant</w:t>
            </w:r>
          </w:p>
        </w:tc>
        <w:tc>
          <w:tcPr>
            <w:tcW w:w="4860" w:type="dxa"/>
          </w:tcPr>
          <w:p w:rsidR="00AB3BCF" w:rsidRPr="000A2069" w:rsidRDefault="00AB3BCF" w:rsidP="00221533">
            <w:pPr>
              <w:rPr>
                <w:rFonts w:ascii="Times New Roman" w:hAnsi="Times New Roman" w:cs="Times New Roman"/>
                <w:sz w:val="24"/>
                <w:szCs w:val="24"/>
              </w:rPr>
            </w:pPr>
            <w:r w:rsidRPr="000A2069">
              <w:rPr>
                <w:rFonts w:ascii="Times New Roman" w:hAnsi="Times New Roman" w:cs="Times New Roman"/>
                <w:sz w:val="24"/>
                <w:szCs w:val="24"/>
              </w:rPr>
              <w:t>Recognition of government grants shall not be postponed beyond the date of actual receipt</w:t>
            </w:r>
            <w:r w:rsidRPr="000A2069">
              <w:rPr>
                <w:rFonts w:ascii="Times New Roman" w:hAnsi="Times New Roman" w:cs="Times New Roman"/>
                <w:color w:val="333333"/>
                <w:sz w:val="24"/>
                <w:szCs w:val="24"/>
                <w:shd w:val="clear" w:color="auto" w:fill="F2F2F2"/>
              </w:rPr>
              <w:t>.</w:t>
            </w:r>
          </w:p>
        </w:tc>
        <w:tc>
          <w:tcPr>
            <w:tcW w:w="2790" w:type="dxa"/>
          </w:tcPr>
          <w:p w:rsidR="00AB3BCF" w:rsidRPr="000A2069" w:rsidRDefault="00AB3BCF" w:rsidP="00AB3BCF">
            <w:pPr>
              <w:rPr>
                <w:rFonts w:ascii="Times New Roman" w:hAnsi="Times New Roman" w:cs="Times New Roman"/>
                <w:sz w:val="24"/>
                <w:szCs w:val="24"/>
              </w:rPr>
            </w:pPr>
            <w:r w:rsidRPr="000A2069">
              <w:rPr>
                <w:rFonts w:ascii="Times New Roman" w:hAnsi="Times New Roman" w:cs="Times New Roman"/>
                <w:sz w:val="24"/>
                <w:szCs w:val="24"/>
              </w:rPr>
              <w:t xml:space="preserve">Recognition of government grants can </w:t>
            </w:r>
            <w:r w:rsidR="009664FC" w:rsidRPr="000A2069">
              <w:rPr>
                <w:rFonts w:ascii="Times New Roman" w:hAnsi="Times New Roman" w:cs="Times New Roman"/>
                <w:sz w:val="24"/>
                <w:szCs w:val="24"/>
              </w:rPr>
              <w:t xml:space="preserve">be postponed </w:t>
            </w:r>
            <w:r w:rsidRPr="000A2069">
              <w:rPr>
                <w:rFonts w:ascii="Times New Roman" w:hAnsi="Times New Roman" w:cs="Times New Roman"/>
                <w:color w:val="333333"/>
                <w:sz w:val="24"/>
                <w:szCs w:val="24"/>
                <w:shd w:val="clear" w:color="auto" w:fill="FFFFFF"/>
              </w:rPr>
              <w:t xml:space="preserve"> even beyond the actual date of receipt when it is probable that conditions attached to the grant may not be fulfilled and the grant may have to be refunded to the government.</w:t>
            </w:r>
          </w:p>
        </w:tc>
      </w:tr>
    </w:tbl>
    <w:p w:rsidR="00907E0C" w:rsidRDefault="00907E0C" w:rsidP="00CB319A">
      <w:pPr>
        <w:rPr>
          <w:rFonts w:ascii="Times New Roman" w:hAnsi="Times New Roman" w:cs="Times New Roman"/>
          <w:sz w:val="24"/>
          <w:szCs w:val="24"/>
        </w:rPr>
      </w:pPr>
    </w:p>
    <w:p w:rsidR="00907E0C" w:rsidRDefault="00907E0C">
      <w:pPr>
        <w:rPr>
          <w:rFonts w:ascii="Times New Roman" w:hAnsi="Times New Roman" w:cs="Times New Roman"/>
          <w:sz w:val="24"/>
          <w:szCs w:val="24"/>
        </w:rPr>
      </w:pPr>
      <w:r>
        <w:rPr>
          <w:rFonts w:ascii="Times New Roman" w:hAnsi="Times New Roman" w:cs="Times New Roman"/>
          <w:sz w:val="24"/>
          <w:szCs w:val="24"/>
        </w:rPr>
        <w:br w:type="page"/>
      </w:r>
    </w:p>
    <w:p w:rsidR="00907E0C" w:rsidRPr="00DA2694" w:rsidRDefault="00907E0C" w:rsidP="00907E0C">
      <w:pPr>
        <w:rPr>
          <w:rFonts w:ascii="Times New Roman" w:hAnsi="Times New Roman" w:cs="Times New Roman"/>
          <w:sz w:val="24"/>
          <w:szCs w:val="24"/>
        </w:rPr>
      </w:pPr>
    </w:p>
    <w:tbl>
      <w:tblPr>
        <w:tblStyle w:val="TableGrid"/>
        <w:tblW w:w="11430" w:type="dxa"/>
        <w:tblInd w:w="-1062" w:type="dxa"/>
        <w:tblLook w:val="04A0"/>
      </w:tblPr>
      <w:tblGrid>
        <w:gridCol w:w="1729"/>
        <w:gridCol w:w="10"/>
        <w:gridCol w:w="1501"/>
        <w:gridCol w:w="4140"/>
        <w:gridCol w:w="4050"/>
      </w:tblGrid>
      <w:tr w:rsidR="00021642" w:rsidRPr="00DA2694" w:rsidTr="00862FEE">
        <w:trPr>
          <w:trHeight w:val="1250"/>
        </w:trPr>
        <w:tc>
          <w:tcPr>
            <w:tcW w:w="1729" w:type="dxa"/>
          </w:tcPr>
          <w:p w:rsidR="00907E0C" w:rsidRPr="00DA2694" w:rsidRDefault="00907E0C" w:rsidP="00021642">
            <w:pPr>
              <w:rPr>
                <w:rFonts w:ascii="Times New Roman" w:hAnsi="Times New Roman" w:cs="Times New Roman"/>
                <w:b/>
                <w:sz w:val="24"/>
                <w:szCs w:val="24"/>
              </w:rPr>
            </w:pPr>
          </w:p>
          <w:p w:rsidR="00907E0C" w:rsidRPr="00DA2694" w:rsidRDefault="00907E0C" w:rsidP="00021642">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511" w:type="dxa"/>
            <w:gridSpan w:val="2"/>
          </w:tcPr>
          <w:p w:rsidR="00907E0C" w:rsidRPr="00DA2694" w:rsidRDefault="00907E0C" w:rsidP="00021642">
            <w:pPr>
              <w:rPr>
                <w:rFonts w:ascii="Times New Roman" w:hAnsi="Times New Roman" w:cs="Times New Roman"/>
                <w:b/>
                <w:sz w:val="24"/>
                <w:szCs w:val="24"/>
              </w:rPr>
            </w:pPr>
          </w:p>
          <w:p w:rsidR="00907E0C" w:rsidRPr="00DA2694" w:rsidRDefault="00907E0C" w:rsidP="00021642">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140" w:type="dxa"/>
          </w:tcPr>
          <w:p w:rsidR="00907E0C" w:rsidRPr="00DA2694" w:rsidRDefault="00907E0C" w:rsidP="00021642">
            <w:pPr>
              <w:rPr>
                <w:rFonts w:ascii="Times New Roman" w:hAnsi="Times New Roman" w:cs="Times New Roman"/>
                <w:b/>
                <w:sz w:val="24"/>
                <w:szCs w:val="24"/>
              </w:rPr>
            </w:pPr>
          </w:p>
          <w:p w:rsidR="00907E0C" w:rsidRPr="00DA2694" w:rsidRDefault="00907E0C" w:rsidP="00021642">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4050" w:type="dxa"/>
          </w:tcPr>
          <w:p w:rsidR="00907E0C" w:rsidRPr="00DA2694" w:rsidRDefault="00907E0C" w:rsidP="00021642">
            <w:pPr>
              <w:rPr>
                <w:rFonts w:ascii="Times New Roman" w:hAnsi="Times New Roman" w:cs="Times New Roman"/>
                <w:b/>
                <w:sz w:val="24"/>
                <w:szCs w:val="24"/>
              </w:rPr>
            </w:pPr>
          </w:p>
          <w:p w:rsidR="00907E0C" w:rsidRPr="00DA2694" w:rsidRDefault="00907E0C" w:rsidP="00021642">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021642" w:rsidRPr="00DA2694" w:rsidTr="00862FEE">
        <w:trPr>
          <w:trHeight w:val="1763"/>
        </w:trPr>
        <w:tc>
          <w:tcPr>
            <w:tcW w:w="1729" w:type="dxa"/>
          </w:tcPr>
          <w:p w:rsidR="00907E0C" w:rsidRPr="00DA2694" w:rsidRDefault="00907E0C" w:rsidP="00021642">
            <w:pPr>
              <w:rPr>
                <w:rFonts w:ascii="Times New Roman" w:hAnsi="Times New Roman" w:cs="Times New Roman"/>
                <w:sz w:val="24"/>
                <w:szCs w:val="24"/>
              </w:rPr>
            </w:pPr>
            <w:r w:rsidRPr="00DA2694">
              <w:rPr>
                <w:rFonts w:ascii="Times New Roman" w:hAnsi="Times New Roman" w:cs="Times New Roman"/>
                <w:sz w:val="24"/>
                <w:szCs w:val="24"/>
              </w:rPr>
              <w:t xml:space="preserve">ICDS – </w:t>
            </w:r>
            <w:r>
              <w:rPr>
                <w:rFonts w:ascii="Times New Roman" w:hAnsi="Times New Roman" w:cs="Times New Roman"/>
                <w:sz w:val="24"/>
                <w:szCs w:val="24"/>
              </w:rPr>
              <w:t>VIII</w:t>
            </w:r>
            <w:r w:rsidRPr="00DA2694">
              <w:rPr>
                <w:rFonts w:ascii="Times New Roman" w:hAnsi="Times New Roman" w:cs="Times New Roman"/>
                <w:sz w:val="24"/>
                <w:szCs w:val="24"/>
              </w:rPr>
              <w:t xml:space="preserve"> – </w:t>
            </w:r>
            <w:r>
              <w:rPr>
                <w:rFonts w:ascii="Times New Roman" w:hAnsi="Times New Roman" w:cs="Times New Roman"/>
                <w:sz w:val="24"/>
                <w:szCs w:val="24"/>
              </w:rPr>
              <w:t>Relating to Securities</w:t>
            </w:r>
          </w:p>
        </w:tc>
        <w:tc>
          <w:tcPr>
            <w:tcW w:w="1511" w:type="dxa"/>
            <w:gridSpan w:val="2"/>
          </w:tcPr>
          <w:p w:rsidR="00907E0C" w:rsidRPr="00DA2694" w:rsidRDefault="00021642" w:rsidP="00021642">
            <w:pPr>
              <w:rPr>
                <w:rFonts w:ascii="Times New Roman" w:hAnsi="Times New Roman" w:cs="Times New Roman"/>
                <w:sz w:val="24"/>
                <w:szCs w:val="24"/>
              </w:rPr>
            </w:pPr>
            <w:r>
              <w:rPr>
                <w:rFonts w:ascii="Times New Roman" w:hAnsi="Times New Roman" w:cs="Times New Roman"/>
                <w:sz w:val="24"/>
                <w:szCs w:val="24"/>
              </w:rPr>
              <w:t>Scope</w:t>
            </w:r>
          </w:p>
        </w:tc>
        <w:tc>
          <w:tcPr>
            <w:tcW w:w="4140" w:type="dxa"/>
          </w:tcPr>
          <w:p w:rsidR="00907E0C" w:rsidRPr="00021642" w:rsidRDefault="00021642" w:rsidP="00021642">
            <w:pPr>
              <w:rPr>
                <w:rFonts w:ascii="Times New Roman" w:hAnsi="Times New Roman" w:cs="Times New Roman"/>
                <w:sz w:val="24"/>
                <w:szCs w:val="24"/>
              </w:rPr>
            </w:pPr>
            <w:r w:rsidRPr="00021642">
              <w:rPr>
                <w:rFonts w:ascii="Times New Roman" w:hAnsi="Times New Roman" w:cs="Times New Roman"/>
                <w:sz w:val="24"/>
                <w:szCs w:val="24"/>
              </w:rPr>
              <w:t xml:space="preserve">As ICDS, deals with computation of income under business or other sources heads hence it only deals with securities held as stock – in – trade </w:t>
            </w:r>
          </w:p>
        </w:tc>
        <w:tc>
          <w:tcPr>
            <w:tcW w:w="4050" w:type="dxa"/>
          </w:tcPr>
          <w:p w:rsidR="00907E0C" w:rsidRPr="00021642" w:rsidRDefault="00021642" w:rsidP="00021642">
            <w:pPr>
              <w:rPr>
                <w:rFonts w:ascii="Times New Roman" w:hAnsi="Times New Roman" w:cs="Times New Roman"/>
                <w:sz w:val="24"/>
                <w:szCs w:val="24"/>
              </w:rPr>
            </w:pPr>
            <w:r w:rsidRPr="00021642">
              <w:rPr>
                <w:rFonts w:ascii="Times New Roman" w:hAnsi="Times New Roman" w:cs="Times New Roman"/>
                <w:sz w:val="24"/>
                <w:szCs w:val="24"/>
              </w:rPr>
              <w:t>Whereas under AS – 13, securities held as stock-</w:t>
            </w:r>
            <w:r w:rsidR="00862FEE">
              <w:rPr>
                <w:rFonts w:ascii="Times New Roman" w:hAnsi="Times New Roman" w:cs="Times New Roman"/>
                <w:sz w:val="24"/>
                <w:szCs w:val="24"/>
              </w:rPr>
              <w:t>in-trade are outside the scope,</w:t>
            </w:r>
            <w:r w:rsidRPr="00021642">
              <w:rPr>
                <w:rFonts w:ascii="Times New Roman" w:hAnsi="Times New Roman" w:cs="Times New Roman"/>
                <w:sz w:val="24"/>
                <w:szCs w:val="24"/>
              </w:rPr>
              <w:t>however provision</w:t>
            </w:r>
            <w:r w:rsidR="00862FEE">
              <w:rPr>
                <w:rFonts w:ascii="Times New Roman" w:hAnsi="Times New Roman" w:cs="Times New Roman"/>
                <w:sz w:val="24"/>
                <w:szCs w:val="24"/>
              </w:rPr>
              <w:t xml:space="preserve">s of AS -13 relating to current investments </w:t>
            </w:r>
            <w:r w:rsidRPr="00021642">
              <w:rPr>
                <w:rFonts w:ascii="Times New Roman" w:hAnsi="Times New Roman" w:cs="Times New Roman"/>
                <w:sz w:val="24"/>
                <w:szCs w:val="24"/>
              </w:rPr>
              <w:t xml:space="preserve">are applicable to securities held </w:t>
            </w:r>
            <w:r w:rsidR="00862FEE">
              <w:rPr>
                <w:rFonts w:ascii="Times New Roman" w:hAnsi="Times New Roman" w:cs="Times New Roman"/>
                <w:sz w:val="24"/>
                <w:szCs w:val="24"/>
              </w:rPr>
              <w:t xml:space="preserve">as stock in trade with suitable </w:t>
            </w:r>
            <w:r w:rsidRPr="00021642">
              <w:rPr>
                <w:rFonts w:ascii="Times New Roman" w:hAnsi="Times New Roman" w:cs="Times New Roman"/>
                <w:sz w:val="24"/>
                <w:szCs w:val="24"/>
              </w:rPr>
              <w:t xml:space="preserve">modifications. </w:t>
            </w:r>
          </w:p>
        </w:tc>
      </w:tr>
      <w:tr w:rsidR="00021642" w:rsidRPr="00DA2694" w:rsidTr="00862FEE">
        <w:tc>
          <w:tcPr>
            <w:tcW w:w="1729" w:type="dxa"/>
          </w:tcPr>
          <w:p w:rsidR="00907E0C" w:rsidRPr="00DA2694" w:rsidRDefault="00907E0C" w:rsidP="00021642">
            <w:pPr>
              <w:rPr>
                <w:rFonts w:ascii="Times New Roman" w:hAnsi="Times New Roman" w:cs="Times New Roman"/>
                <w:sz w:val="24"/>
                <w:szCs w:val="24"/>
              </w:rPr>
            </w:pPr>
          </w:p>
        </w:tc>
        <w:tc>
          <w:tcPr>
            <w:tcW w:w="1511" w:type="dxa"/>
            <w:gridSpan w:val="2"/>
          </w:tcPr>
          <w:p w:rsidR="00907E0C" w:rsidRPr="00DA2694" w:rsidRDefault="00021642" w:rsidP="00021642">
            <w:pPr>
              <w:rPr>
                <w:rFonts w:ascii="Times New Roman" w:hAnsi="Times New Roman" w:cs="Times New Roman"/>
                <w:sz w:val="24"/>
                <w:szCs w:val="24"/>
              </w:rPr>
            </w:pPr>
            <w:r>
              <w:rPr>
                <w:rFonts w:ascii="Times New Roman" w:hAnsi="Times New Roman" w:cs="Times New Roman"/>
                <w:sz w:val="24"/>
                <w:szCs w:val="24"/>
              </w:rPr>
              <w:t>Subsequent measurement of securities</w:t>
            </w:r>
          </w:p>
        </w:tc>
        <w:tc>
          <w:tcPr>
            <w:tcW w:w="4140" w:type="dxa"/>
          </w:tcPr>
          <w:p w:rsidR="00907E0C" w:rsidRPr="00021642" w:rsidRDefault="00021642" w:rsidP="00021642">
            <w:pPr>
              <w:rPr>
                <w:rFonts w:ascii="Times New Roman" w:hAnsi="Times New Roman" w:cs="Times New Roman"/>
              </w:rPr>
            </w:pPr>
            <w:r w:rsidRPr="00021642">
              <w:rPr>
                <w:rFonts w:ascii="Times New Roman" w:hAnsi="Times New Roman" w:cs="Times New Roman"/>
                <w:sz w:val="24"/>
              </w:rPr>
              <w:t>ICDS states that the securities should be valued at lower of cost or net realizable value. It further elaborates that the comparison of cost and NRV shall be done category wise and not for each individual security. The major heads of classification are (i) shares (ii) debt securities (iii) convertible securities (iv) any other securities not covered above</w:t>
            </w:r>
          </w:p>
        </w:tc>
        <w:tc>
          <w:tcPr>
            <w:tcW w:w="4050" w:type="dxa"/>
          </w:tcPr>
          <w:p w:rsidR="00907E0C" w:rsidRPr="00021642" w:rsidRDefault="00021642" w:rsidP="00021642">
            <w:pPr>
              <w:rPr>
                <w:rFonts w:ascii="Times New Roman" w:hAnsi="Times New Roman" w:cs="Times New Roman"/>
                <w:sz w:val="24"/>
                <w:szCs w:val="24"/>
              </w:rPr>
            </w:pPr>
            <w:r w:rsidRPr="00021642">
              <w:rPr>
                <w:rFonts w:ascii="Times New Roman" w:hAnsi="Times New Roman" w:cs="Times New Roman"/>
                <w:sz w:val="24"/>
                <w:szCs w:val="24"/>
              </w:rPr>
              <w:t xml:space="preserve">Whereas, AS – 13, values long term and current investments differently, i.e long term investments are valued at cost and current investments are valued at cost or fair value which ever is lower </w:t>
            </w:r>
          </w:p>
        </w:tc>
      </w:tr>
      <w:tr w:rsidR="00021642" w:rsidRPr="00DA2694" w:rsidTr="00862FEE">
        <w:tc>
          <w:tcPr>
            <w:tcW w:w="1729" w:type="dxa"/>
            <w:tcBorders>
              <w:right w:val="single" w:sz="4" w:space="0" w:color="auto"/>
            </w:tcBorders>
          </w:tcPr>
          <w:p w:rsidR="00907E0C" w:rsidRPr="00DA2694" w:rsidRDefault="00907E0C" w:rsidP="00021642">
            <w:pPr>
              <w:rPr>
                <w:rFonts w:ascii="Times New Roman" w:hAnsi="Times New Roman" w:cs="Times New Roman"/>
                <w:sz w:val="24"/>
                <w:szCs w:val="24"/>
              </w:rPr>
            </w:pPr>
          </w:p>
        </w:tc>
        <w:tc>
          <w:tcPr>
            <w:tcW w:w="1511" w:type="dxa"/>
            <w:gridSpan w:val="2"/>
            <w:tcBorders>
              <w:left w:val="single" w:sz="4" w:space="0" w:color="auto"/>
              <w:right w:val="single" w:sz="4" w:space="0" w:color="auto"/>
            </w:tcBorders>
          </w:tcPr>
          <w:p w:rsidR="00907E0C" w:rsidRPr="00DA2694" w:rsidRDefault="00862FEE" w:rsidP="00021642">
            <w:pPr>
              <w:rPr>
                <w:rFonts w:ascii="Times New Roman" w:hAnsi="Times New Roman" w:cs="Times New Roman"/>
                <w:sz w:val="24"/>
                <w:szCs w:val="24"/>
              </w:rPr>
            </w:pPr>
            <w:r>
              <w:rPr>
                <w:rFonts w:ascii="Times New Roman" w:hAnsi="Times New Roman" w:cs="Times New Roman"/>
                <w:sz w:val="24"/>
                <w:szCs w:val="24"/>
              </w:rPr>
              <w:t>Subsequent measurement of securities</w:t>
            </w:r>
          </w:p>
        </w:tc>
        <w:tc>
          <w:tcPr>
            <w:tcW w:w="4140" w:type="dxa"/>
            <w:tcBorders>
              <w:left w:val="single" w:sz="4" w:space="0" w:color="auto"/>
              <w:right w:val="single" w:sz="4" w:space="0" w:color="auto"/>
            </w:tcBorders>
          </w:tcPr>
          <w:p w:rsidR="00907E0C" w:rsidRPr="00862FEE" w:rsidRDefault="00021642" w:rsidP="00862FEE">
            <w:pPr>
              <w:rPr>
                <w:rFonts w:ascii="Times New Roman" w:hAnsi="Times New Roman" w:cs="Times New Roman"/>
                <w:sz w:val="24"/>
                <w:szCs w:val="24"/>
              </w:rPr>
            </w:pPr>
            <w:r w:rsidRPr="00862FEE">
              <w:rPr>
                <w:rFonts w:ascii="Times New Roman" w:hAnsi="Times New Roman" w:cs="Times New Roman"/>
                <w:sz w:val="24"/>
                <w:szCs w:val="24"/>
              </w:rPr>
              <w:t xml:space="preserve">ICDS, prescribes that the securities not listed on a recognised stock exchange; or listed but not quoted on a recognised stock exchange with regularity from time to time, shall be valued at actual cost initially recognised </w:t>
            </w:r>
          </w:p>
        </w:tc>
        <w:tc>
          <w:tcPr>
            <w:tcW w:w="4050" w:type="dxa"/>
            <w:tcBorders>
              <w:left w:val="single" w:sz="4" w:space="0" w:color="auto"/>
            </w:tcBorders>
          </w:tcPr>
          <w:p w:rsidR="00907E0C" w:rsidRPr="00862FEE" w:rsidRDefault="00021642" w:rsidP="00862FEE">
            <w:pPr>
              <w:rPr>
                <w:rFonts w:ascii="Times New Roman" w:hAnsi="Times New Roman" w:cs="Times New Roman"/>
                <w:sz w:val="24"/>
                <w:szCs w:val="24"/>
              </w:rPr>
            </w:pPr>
            <w:r w:rsidRPr="00862FEE">
              <w:rPr>
                <w:rFonts w:ascii="Times New Roman" w:hAnsi="Times New Roman" w:cs="Times New Roman"/>
                <w:sz w:val="24"/>
                <w:szCs w:val="24"/>
              </w:rPr>
              <w:t>AS -13, incorporates in itself no such condition related to recognition of cost of unlisted or listed but not quoted on a recognised stock exchange.</w:t>
            </w:r>
          </w:p>
        </w:tc>
      </w:tr>
      <w:tr w:rsidR="00021642" w:rsidTr="00862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0"/>
        </w:trPr>
        <w:tc>
          <w:tcPr>
            <w:tcW w:w="1739" w:type="dxa"/>
            <w:gridSpan w:val="2"/>
          </w:tcPr>
          <w:p w:rsidR="00021642" w:rsidRDefault="00021642" w:rsidP="00021642">
            <w:pPr>
              <w:rPr>
                <w:rFonts w:ascii="Times New Roman" w:hAnsi="Times New Roman" w:cs="Times New Roman"/>
                <w:sz w:val="24"/>
                <w:szCs w:val="24"/>
              </w:rPr>
            </w:pPr>
          </w:p>
        </w:tc>
        <w:tc>
          <w:tcPr>
            <w:tcW w:w="1501" w:type="dxa"/>
          </w:tcPr>
          <w:p w:rsidR="00021642" w:rsidRDefault="00862FEE" w:rsidP="00021642">
            <w:pPr>
              <w:rPr>
                <w:rFonts w:ascii="Times New Roman" w:hAnsi="Times New Roman" w:cs="Times New Roman"/>
                <w:sz w:val="24"/>
                <w:szCs w:val="24"/>
              </w:rPr>
            </w:pPr>
            <w:r>
              <w:rPr>
                <w:rFonts w:ascii="Times New Roman" w:hAnsi="Times New Roman" w:cs="Times New Roman"/>
                <w:sz w:val="24"/>
                <w:szCs w:val="24"/>
              </w:rPr>
              <w:t>Subsequent measurement of securities</w:t>
            </w:r>
          </w:p>
        </w:tc>
        <w:tc>
          <w:tcPr>
            <w:tcW w:w="4140" w:type="dxa"/>
          </w:tcPr>
          <w:p w:rsidR="00021642" w:rsidRPr="00862FEE" w:rsidRDefault="00021642" w:rsidP="00862FEE">
            <w:pPr>
              <w:rPr>
                <w:rFonts w:ascii="Times New Roman" w:hAnsi="Times New Roman" w:cs="Times New Roman"/>
                <w:sz w:val="24"/>
                <w:szCs w:val="24"/>
              </w:rPr>
            </w:pPr>
            <w:r w:rsidRPr="00862FEE">
              <w:rPr>
                <w:rFonts w:ascii="Times New Roman" w:hAnsi="Times New Roman" w:cs="Times New Roman"/>
                <w:sz w:val="24"/>
                <w:szCs w:val="24"/>
              </w:rPr>
              <w:t xml:space="preserve">ICDS prescribes that where the actual cost initially recognised cannot be ascertained by reference to specific identification, the cost of such security shall be determined on the basis of first-in-first-out method. </w:t>
            </w:r>
          </w:p>
        </w:tc>
        <w:tc>
          <w:tcPr>
            <w:tcW w:w="4050" w:type="dxa"/>
          </w:tcPr>
          <w:p w:rsidR="00021642" w:rsidRPr="00862FEE" w:rsidRDefault="00862FEE" w:rsidP="00862FEE">
            <w:pPr>
              <w:rPr>
                <w:rFonts w:ascii="Times New Roman" w:hAnsi="Times New Roman" w:cs="Times New Roman"/>
                <w:sz w:val="24"/>
                <w:szCs w:val="24"/>
              </w:rPr>
            </w:pPr>
            <w:r w:rsidRPr="00862FEE">
              <w:rPr>
                <w:rFonts w:ascii="Times New Roman" w:hAnsi="Times New Roman" w:cs="Times New Roman"/>
                <w:sz w:val="24"/>
                <w:szCs w:val="24"/>
              </w:rPr>
              <w:t xml:space="preserve">AS – 13, incorporates in itself no such condition of first-in-first-out method. </w:t>
            </w:r>
          </w:p>
        </w:tc>
      </w:tr>
      <w:tr w:rsidR="00862FEE" w:rsidTr="00862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90"/>
        </w:trPr>
        <w:tc>
          <w:tcPr>
            <w:tcW w:w="1739" w:type="dxa"/>
            <w:gridSpan w:val="2"/>
          </w:tcPr>
          <w:p w:rsidR="00862FEE" w:rsidRDefault="00862FEE" w:rsidP="00021642">
            <w:pPr>
              <w:rPr>
                <w:rFonts w:ascii="Times New Roman" w:hAnsi="Times New Roman" w:cs="Times New Roman"/>
                <w:sz w:val="24"/>
                <w:szCs w:val="24"/>
              </w:rPr>
            </w:pPr>
          </w:p>
        </w:tc>
        <w:tc>
          <w:tcPr>
            <w:tcW w:w="1501" w:type="dxa"/>
          </w:tcPr>
          <w:p w:rsidR="00862FEE" w:rsidRDefault="00862FEE" w:rsidP="00021642">
            <w:pPr>
              <w:rPr>
                <w:rFonts w:ascii="Times New Roman" w:hAnsi="Times New Roman" w:cs="Times New Roman"/>
                <w:sz w:val="24"/>
                <w:szCs w:val="24"/>
              </w:rPr>
            </w:pPr>
            <w:r>
              <w:rPr>
                <w:rFonts w:ascii="Times New Roman" w:hAnsi="Times New Roman" w:cs="Times New Roman"/>
                <w:sz w:val="24"/>
                <w:szCs w:val="24"/>
              </w:rPr>
              <w:t>Subsequent measurement of securities</w:t>
            </w:r>
          </w:p>
        </w:tc>
        <w:tc>
          <w:tcPr>
            <w:tcW w:w="4140" w:type="dxa"/>
          </w:tcPr>
          <w:p w:rsidR="00862FEE" w:rsidRPr="00862FEE" w:rsidRDefault="00862FEE" w:rsidP="00862FEE">
            <w:pPr>
              <w:rPr>
                <w:rFonts w:ascii="Times New Roman" w:hAnsi="Times New Roman" w:cs="Times New Roman"/>
                <w:sz w:val="24"/>
                <w:szCs w:val="24"/>
              </w:rPr>
            </w:pPr>
            <w:r w:rsidRPr="00862FEE">
              <w:rPr>
                <w:rFonts w:ascii="Times New Roman" w:hAnsi="Times New Roman" w:cs="Times New Roman"/>
                <w:sz w:val="24"/>
                <w:szCs w:val="24"/>
              </w:rPr>
              <w:t>ICDS, prescribes that when a security is acquired in exchange for other securities or for another asset, the fair value of the security so acquired shall be its actual cost.</w:t>
            </w:r>
          </w:p>
        </w:tc>
        <w:tc>
          <w:tcPr>
            <w:tcW w:w="4050" w:type="dxa"/>
          </w:tcPr>
          <w:p w:rsidR="00862FEE" w:rsidRPr="00862FEE" w:rsidRDefault="00862FEE" w:rsidP="00862FEE">
            <w:pPr>
              <w:rPr>
                <w:rFonts w:ascii="Times New Roman" w:hAnsi="Times New Roman" w:cs="Times New Roman"/>
                <w:sz w:val="24"/>
                <w:szCs w:val="24"/>
              </w:rPr>
            </w:pPr>
            <w:r w:rsidRPr="00862FEE">
              <w:rPr>
                <w:rFonts w:ascii="Times New Roman" w:hAnsi="Times New Roman" w:cs="Times New Roman"/>
                <w:sz w:val="24"/>
                <w:szCs w:val="24"/>
              </w:rPr>
              <w:t>Whereas AS -13, firmly prescribes that in case a security is acquired in exchange for another security, the fair value of the securities issued should be its actual cost. Whereas in case a security is acquired in exchange for another asset, acquistion cost of investment is fair value of the asset given up or fair value of the investment received if it is more clearly evident.</w:t>
            </w:r>
          </w:p>
        </w:tc>
      </w:tr>
    </w:tbl>
    <w:p w:rsidR="00602CBD" w:rsidRDefault="00602CBD" w:rsidP="00CB319A">
      <w:pPr>
        <w:rPr>
          <w:rFonts w:ascii="Times New Roman" w:hAnsi="Times New Roman" w:cs="Times New Roman"/>
          <w:sz w:val="24"/>
          <w:szCs w:val="24"/>
        </w:rPr>
      </w:pPr>
    </w:p>
    <w:tbl>
      <w:tblPr>
        <w:tblStyle w:val="TableGrid"/>
        <w:tblW w:w="11430" w:type="dxa"/>
        <w:tblInd w:w="-1062" w:type="dxa"/>
        <w:tblLook w:val="04A0"/>
      </w:tblPr>
      <w:tblGrid>
        <w:gridCol w:w="1719"/>
        <w:gridCol w:w="10"/>
        <w:gridCol w:w="1789"/>
        <w:gridCol w:w="11"/>
        <w:gridCol w:w="4067"/>
        <w:gridCol w:w="3834"/>
      </w:tblGrid>
      <w:tr w:rsidR="00F22E60" w:rsidRPr="00DA2694" w:rsidTr="005C6B5B">
        <w:trPr>
          <w:trHeight w:val="1250"/>
        </w:trPr>
        <w:tc>
          <w:tcPr>
            <w:tcW w:w="1719" w:type="dxa"/>
          </w:tcPr>
          <w:p w:rsidR="00602CBD" w:rsidRPr="00DA2694" w:rsidRDefault="00602CBD" w:rsidP="00F22E60">
            <w:pPr>
              <w:rPr>
                <w:rFonts w:ascii="Times New Roman" w:hAnsi="Times New Roman" w:cs="Times New Roman"/>
                <w:b/>
                <w:sz w:val="24"/>
                <w:szCs w:val="24"/>
              </w:rPr>
            </w:pPr>
          </w:p>
          <w:p w:rsidR="00602CBD" w:rsidRPr="00DA2694" w:rsidRDefault="00602CBD" w:rsidP="00F22E60">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799" w:type="dxa"/>
            <w:gridSpan w:val="2"/>
          </w:tcPr>
          <w:p w:rsidR="00602CBD" w:rsidRPr="00DA2694" w:rsidRDefault="00602CBD" w:rsidP="00F22E60">
            <w:pPr>
              <w:rPr>
                <w:rFonts w:ascii="Times New Roman" w:hAnsi="Times New Roman" w:cs="Times New Roman"/>
                <w:b/>
                <w:sz w:val="24"/>
                <w:szCs w:val="24"/>
              </w:rPr>
            </w:pPr>
          </w:p>
          <w:p w:rsidR="00602CBD" w:rsidRPr="00DA2694" w:rsidRDefault="00602CBD" w:rsidP="00F22E60">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078" w:type="dxa"/>
            <w:gridSpan w:val="2"/>
          </w:tcPr>
          <w:p w:rsidR="00602CBD" w:rsidRPr="00DA2694" w:rsidRDefault="00602CBD" w:rsidP="00F22E60">
            <w:pPr>
              <w:rPr>
                <w:rFonts w:ascii="Times New Roman" w:hAnsi="Times New Roman" w:cs="Times New Roman"/>
                <w:b/>
                <w:sz w:val="24"/>
                <w:szCs w:val="24"/>
              </w:rPr>
            </w:pPr>
          </w:p>
          <w:p w:rsidR="00602CBD" w:rsidRPr="00DA2694" w:rsidRDefault="00602CBD" w:rsidP="00F22E60">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3834" w:type="dxa"/>
          </w:tcPr>
          <w:p w:rsidR="00602CBD" w:rsidRPr="00DA2694" w:rsidRDefault="00602CBD" w:rsidP="00F22E60">
            <w:pPr>
              <w:rPr>
                <w:rFonts w:ascii="Times New Roman" w:hAnsi="Times New Roman" w:cs="Times New Roman"/>
                <w:b/>
                <w:sz w:val="24"/>
                <w:szCs w:val="24"/>
              </w:rPr>
            </w:pPr>
          </w:p>
          <w:p w:rsidR="00602CBD" w:rsidRPr="00DA2694" w:rsidRDefault="00602CBD" w:rsidP="00F22E60">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F22E60" w:rsidRPr="00DA2694" w:rsidTr="005C6B5B">
        <w:trPr>
          <w:trHeight w:val="1565"/>
        </w:trPr>
        <w:tc>
          <w:tcPr>
            <w:tcW w:w="1719" w:type="dxa"/>
          </w:tcPr>
          <w:p w:rsidR="00602CBD" w:rsidRPr="00DA2694" w:rsidRDefault="00602CBD" w:rsidP="00F22E60">
            <w:pPr>
              <w:rPr>
                <w:rFonts w:ascii="Times New Roman" w:hAnsi="Times New Roman" w:cs="Times New Roman"/>
                <w:sz w:val="24"/>
                <w:szCs w:val="24"/>
              </w:rPr>
            </w:pPr>
            <w:r w:rsidRPr="00DA2694">
              <w:rPr>
                <w:rFonts w:ascii="Times New Roman" w:hAnsi="Times New Roman" w:cs="Times New Roman"/>
                <w:sz w:val="24"/>
                <w:szCs w:val="24"/>
              </w:rPr>
              <w:t xml:space="preserve">ICDS – </w:t>
            </w:r>
            <w:r>
              <w:rPr>
                <w:rFonts w:ascii="Times New Roman" w:hAnsi="Times New Roman" w:cs="Times New Roman"/>
                <w:sz w:val="24"/>
                <w:szCs w:val="24"/>
              </w:rPr>
              <w:t>IX</w:t>
            </w:r>
            <w:r w:rsidRPr="00DA2694">
              <w:rPr>
                <w:rFonts w:ascii="Times New Roman" w:hAnsi="Times New Roman" w:cs="Times New Roman"/>
                <w:sz w:val="24"/>
                <w:szCs w:val="24"/>
              </w:rPr>
              <w:t xml:space="preserve"> – </w:t>
            </w:r>
            <w:r>
              <w:rPr>
                <w:rFonts w:ascii="Times New Roman" w:hAnsi="Times New Roman" w:cs="Times New Roman"/>
                <w:sz w:val="24"/>
                <w:szCs w:val="24"/>
              </w:rPr>
              <w:t>Relating to Borrowing Costs</w:t>
            </w:r>
          </w:p>
        </w:tc>
        <w:tc>
          <w:tcPr>
            <w:tcW w:w="1799" w:type="dxa"/>
            <w:gridSpan w:val="2"/>
          </w:tcPr>
          <w:p w:rsidR="00602CBD" w:rsidRPr="00DA2694" w:rsidRDefault="00A1089B" w:rsidP="00F22E60">
            <w:pPr>
              <w:rPr>
                <w:rFonts w:ascii="Times New Roman" w:hAnsi="Times New Roman" w:cs="Times New Roman"/>
                <w:sz w:val="24"/>
                <w:szCs w:val="24"/>
              </w:rPr>
            </w:pPr>
            <w:r>
              <w:rPr>
                <w:rFonts w:ascii="Times New Roman" w:hAnsi="Times New Roman" w:cs="Times New Roman"/>
                <w:sz w:val="24"/>
                <w:szCs w:val="24"/>
              </w:rPr>
              <w:t>Exchange difference from foreign currency borrowings</w:t>
            </w:r>
          </w:p>
        </w:tc>
        <w:tc>
          <w:tcPr>
            <w:tcW w:w="4078" w:type="dxa"/>
            <w:gridSpan w:val="2"/>
          </w:tcPr>
          <w:p w:rsidR="00602CBD" w:rsidRPr="000A2069" w:rsidRDefault="00A1089B" w:rsidP="00F22E60">
            <w:pPr>
              <w:rPr>
                <w:rFonts w:ascii="Times New Roman" w:hAnsi="Times New Roman" w:cs="Times New Roman"/>
                <w:sz w:val="24"/>
                <w:szCs w:val="24"/>
              </w:rPr>
            </w:pPr>
            <w:r w:rsidRPr="000A2069">
              <w:rPr>
                <w:rFonts w:ascii="Times New Roman" w:hAnsi="Times New Roman" w:cs="Times New Roman"/>
                <w:sz w:val="24"/>
                <w:szCs w:val="24"/>
              </w:rPr>
              <w:t xml:space="preserve">ICDS is similar to AS -16 except that exchange differences arising from foreign currency borrowings to the extent that they are regarded as an adjustment to interest cost are not covered under it. </w:t>
            </w:r>
          </w:p>
        </w:tc>
        <w:tc>
          <w:tcPr>
            <w:tcW w:w="3834" w:type="dxa"/>
          </w:tcPr>
          <w:p w:rsidR="00602CBD" w:rsidRPr="000A2069" w:rsidRDefault="00A1089B" w:rsidP="00F22E60">
            <w:pPr>
              <w:rPr>
                <w:rFonts w:ascii="Times New Roman" w:hAnsi="Times New Roman" w:cs="Times New Roman"/>
                <w:sz w:val="24"/>
                <w:szCs w:val="24"/>
              </w:rPr>
            </w:pPr>
            <w:r w:rsidRPr="000A2069">
              <w:rPr>
                <w:rFonts w:ascii="Times New Roman" w:hAnsi="Times New Roman" w:cs="Times New Roman"/>
                <w:sz w:val="24"/>
                <w:szCs w:val="24"/>
              </w:rPr>
              <w:t>Whereas AS – 16, includes in itself exchange difference arising from foreign currency borrowings to the extent that they are regarded as an adjustment to interest costs</w:t>
            </w:r>
          </w:p>
        </w:tc>
      </w:tr>
      <w:tr w:rsidR="00F22E60" w:rsidRPr="00DA2694" w:rsidTr="005C6B5B">
        <w:tc>
          <w:tcPr>
            <w:tcW w:w="1719" w:type="dxa"/>
          </w:tcPr>
          <w:p w:rsidR="00602CBD" w:rsidRPr="00DA2694" w:rsidRDefault="00602CBD" w:rsidP="00F22E60">
            <w:pPr>
              <w:rPr>
                <w:rFonts w:ascii="Times New Roman" w:hAnsi="Times New Roman" w:cs="Times New Roman"/>
                <w:sz w:val="24"/>
                <w:szCs w:val="24"/>
              </w:rPr>
            </w:pPr>
          </w:p>
        </w:tc>
        <w:tc>
          <w:tcPr>
            <w:tcW w:w="1799" w:type="dxa"/>
            <w:gridSpan w:val="2"/>
          </w:tcPr>
          <w:p w:rsidR="00602CBD" w:rsidRPr="00DA2694" w:rsidRDefault="000A2069" w:rsidP="00F22E60">
            <w:pPr>
              <w:rPr>
                <w:rFonts w:ascii="Times New Roman" w:hAnsi="Times New Roman" w:cs="Times New Roman"/>
                <w:sz w:val="24"/>
                <w:szCs w:val="24"/>
              </w:rPr>
            </w:pPr>
            <w:r>
              <w:rPr>
                <w:rFonts w:ascii="Times New Roman" w:hAnsi="Times New Roman" w:cs="Times New Roman"/>
                <w:sz w:val="24"/>
                <w:szCs w:val="24"/>
              </w:rPr>
              <w:t>Definition of qualifying asset</w:t>
            </w:r>
          </w:p>
        </w:tc>
        <w:tc>
          <w:tcPr>
            <w:tcW w:w="4078" w:type="dxa"/>
            <w:gridSpan w:val="2"/>
          </w:tcPr>
          <w:p w:rsidR="00602CBD" w:rsidRPr="000A2069" w:rsidRDefault="000A2069" w:rsidP="00F22E60">
            <w:pPr>
              <w:rPr>
                <w:rFonts w:ascii="Times New Roman" w:hAnsi="Times New Roman" w:cs="Times New Roman"/>
                <w:sz w:val="24"/>
                <w:szCs w:val="24"/>
              </w:rPr>
            </w:pPr>
            <w:r w:rsidRPr="000A2069">
              <w:rPr>
                <w:rFonts w:ascii="Times New Roman" w:hAnsi="Times New Roman" w:cs="Times New Roman"/>
                <w:sz w:val="24"/>
                <w:szCs w:val="24"/>
              </w:rPr>
              <w:t>All the assets (tangible as well as intangible) other than inventories regardless of time,will be considered for capitalization of borrowing cost</w:t>
            </w:r>
          </w:p>
        </w:tc>
        <w:tc>
          <w:tcPr>
            <w:tcW w:w="3834" w:type="dxa"/>
          </w:tcPr>
          <w:p w:rsidR="00602CBD" w:rsidRPr="000A2069" w:rsidRDefault="000A2069" w:rsidP="00F22E60">
            <w:pPr>
              <w:rPr>
                <w:rFonts w:ascii="Times New Roman" w:hAnsi="Times New Roman" w:cs="Times New Roman"/>
                <w:sz w:val="24"/>
                <w:szCs w:val="24"/>
              </w:rPr>
            </w:pPr>
            <w:r w:rsidRPr="000A2069">
              <w:rPr>
                <w:rFonts w:ascii="Times New Roman" w:hAnsi="Times New Roman" w:cs="Times New Roman"/>
                <w:sz w:val="24"/>
                <w:szCs w:val="24"/>
              </w:rPr>
              <w:t>As per AS – 16 , Qualifying asset means asset which takes substantial period of time to get ready for its intended use or sale.</w:t>
            </w:r>
          </w:p>
        </w:tc>
      </w:tr>
      <w:tr w:rsidR="00F22E60" w:rsidRPr="00DA2694" w:rsidTr="005C6B5B">
        <w:tc>
          <w:tcPr>
            <w:tcW w:w="1719" w:type="dxa"/>
            <w:tcBorders>
              <w:right w:val="single" w:sz="4" w:space="0" w:color="auto"/>
            </w:tcBorders>
          </w:tcPr>
          <w:p w:rsidR="00602CBD" w:rsidRPr="00DA2694" w:rsidRDefault="00602CBD" w:rsidP="00F22E60">
            <w:pPr>
              <w:rPr>
                <w:rFonts w:ascii="Times New Roman" w:hAnsi="Times New Roman" w:cs="Times New Roman"/>
                <w:sz w:val="24"/>
                <w:szCs w:val="24"/>
              </w:rPr>
            </w:pPr>
          </w:p>
        </w:tc>
        <w:tc>
          <w:tcPr>
            <w:tcW w:w="1799" w:type="dxa"/>
            <w:gridSpan w:val="2"/>
            <w:tcBorders>
              <w:left w:val="single" w:sz="4" w:space="0" w:color="auto"/>
              <w:right w:val="single" w:sz="4" w:space="0" w:color="auto"/>
            </w:tcBorders>
          </w:tcPr>
          <w:p w:rsidR="00602CBD" w:rsidRPr="00DA2694" w:rsidRDefault="000A2069" w:rsidP="00F22E60">
            <w:pPr>
              <w:rPr>
                <w:rFonts w:ascii="Times New Roman" w:hAnsi="Times New Roman" w:cs="Times New Roman"/>
                <w:sz w:val="24"/>
                <w:szCs w:val="24"/>
              </w:rPr>
            </w:pPr>
            <w:r>
              <w:rPr>
                <w:rFonts w:ascii="Times New Roman" w:hAnsi="Times New Roman" w:cs="Times New Roman"/>
                <w:sz w:val="24"/>
                <w:szCs w:val="24"/>
              </w:rPr>
              <w:t>Eligibility for capitalization</w:t>
            </w:r>
            <w:r w:rsidR="00F22E60">
              <w:rPr>
                <w:rFonts w:ascii="Times New Roman" w:hAnsi="Times New Roman" w:cs="Times New Roman"/>
                <w:sz w:val="24"/>
                <w:szCs w:val="24"/>
              </w:rPr>
              <w:t xml:space="preserve">  </w:t>
            </w:r>
            <w:r>
              <w:rPr>
                <w:rFonts w:ascii="Times New Roman" w:hAnsi="Times New Roman" w:cs="Times New Roman"/>
                <w:sz w:val="24"/>
                <w:szCs w:val="24"/>
              </w:rPr>
              <w:t>- Specific borrowing</w:t>
            </w:r>
          </w:p>
        </w:tc>
        <w:tc>
          <w:tcPr>
            <w:tcW w:w="4078" w:type="dxa"/>
            <w:gridSpan w:val="2"/>
            <w:tcBorders>
              <w:left w:val="single" w:sz="4" w:space="0" w:color="auto"/>
              <w:right w:val="single" w:sz="4" w:space="0" w:color="auto"/>
            </w:tcBorders>
          </w:tcPr>
          <w:p w:rsidR="00602CBD" w:rsidRPr="00F22E60" w:rsidRDefault="000A2069" w:rsidP="00F22E60">
            <w:pPr>
              <w:rPr>
                <w:rFonts w:ascii="Times New Roman" w:hAnsi="Times New Roman" w:cs="Times New Roman"/>
                <w:sz w:val="24"/>
                <w:szCs w:val="24"/>
              </w:rPr>
            </w:pPr>
            <w:r w:rsidRPr="00F22E60">
              <w:rPr>
                <w:rFonts w:ascii="Times New Roman" w:hAnsi="Times New Roman" w:cs="Times New Roman"/>
                <w:sz w:val="24"/>
                <w:szCs w:val="24"/>
              </w:rPr>
              <w:t>In case of specific borrowing, ICDS does not allows income earned on temporary investment of borrowed amount to be deducted from the actual borrowing cost.</w:t>
            </w:r>
          </w:p>
        </w:tc>
        <w:tc>
          <w:tcPr>
            <w:tcW w:w="3834" w:type="dxa"/>
            <w:tcBorders>
              <w:left w:val="single" w:sz="4" w:space="0" w:color="auto"/>
            </w:tcBorders>
          </w:tcPr>
          <w:p w:rsidR="00602CBD" w:rsidRPr="00F22E60" w:rsidRDefault="000A2069" w:rsidP="00F22E60">
            <w:pPr>
              <w:rPr>
                <w:rFonts w:ascii="Times New Roman" w:hAnsi="Times New Roman" w:cs="Times New Roman"/>
                <w:sz w:val="24"/>
                <w:szCs w:val="24"/>
              </w:rPr>
            </w:pPr>
            <w:r w:rsidRPr="00F22E60">
              <w:rPr>
                <w:rFonts w:ascii="Times New Roman" w:hAnsi="Times New Roman" w:cs="Times New Roman"/>
                <w:sz w:val="24"/>
                <w:szCs w:val="24"/>
              </w:rPr>
              <w:t xml:space="preserve">Whereas, AS -16, prescribes that if funds are borrowed specifically for purchase of qualifying assets, the temporary income earned on those borrowed amount to be deducted from the actual borrowing cost </w:t>
            </w:r>
          </w:p>
        </w:tc>
      </w:tr>
      <w:tr w:rsidR="00BE77B0" w:rsidTr="005C6B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0"/>
        </w:trPr>
        <w:tc>
          <w:tcPr>
            <w:tcW w:w="1729" w:type="dxa"/>
            <w:gridSpan w:val="2"/>
          </w:tcPr>
          <w:p w:rsidR="00602CBD" w:rsidRDefault="00602CBD" w:rsidP="00F22E60">
            <w:pPr>
              <w:rPr>
                <w:rFonts w:ascii="Times New Roman" w:hAnsi="Times New Roman" w:cs="Times New Roman"/>
                <w:sz w:val="24"/>
                <w:szCs w:val="24"/>
              </w:rPr>
            </w:pPr>
          </w:p>
        </w:tc>
        <w:tc>
          <w:tcPr>
            <w:tcW w:w="1789" w:type="dxa"/>
          </w:tcPr>
          <w:p w:rsidR="00602CBD" w:rsidRDefault="000A2069" w:rsidP="00F22E60">
            <w:pPr>
              <w:rPr>
                <w:rFonts w:ascii="Times New Roman" w:hAnsi="Times New Roman" w:cs="Times New Roman"/>
                <w:sz w:val="24"/>
                <w:szCs w:val="24"/>
              </w:rPr>
            </w:pPr>
            <w:r>
              <w:rPr>
                <w:rFonts w:ascii="Times New Roman" w:hAnsi="Times New Roman" w:cs="Times New Roman"/>
                <w:sz w:val="24"/>
                <w:szCs w:val="24"/>
              </w:rPr>
              <w:t>Eligibility for capitalization</w:t>
            </w:r>
            <w:r w:rsidR="00F22E60">
              <w:rPr>
                <w:rFonts w:ascii="Times New Roman" w:hAnsi="Times New Roman" w:cs="Times New Roman"/>
                <w:sz w:val="24"/>
                <w:szCs w:val="24"/>
              </w:rPr>
              <w:t xml:space="preserve"> </w:t>
            </w:r>
            <w:r>
              <w:rPr>
                <w:rFonts w:ascii="Times New Roman" w:hAnsi="Times New Roman" w:cs="Times New Roman"/>
                <w:sz w:val="24"/>
                <w:szCs w:val="24"/>
              </w:rPr>
              <w:t xml:space="preserve">- </w:t>
            </w:r>
            <w:r w:rsidR="00F22E60">
              <w:rPr>
                <w:rFonts w:ascii="Times New Roman" w:hAnsi="Times New Roman" w:cs="Times New Roman"/>
                <w:sz w:val="24"/>
                <w:szCs w:val="24"/>
              </w:rPr>
              <w:t>General</w:t>
            </w:r>
            <w:r>
              <w:rPr>
                <w:rFonts w:ascii="Times New Roman" w:hAnsi="Times New Roman" w:cs="Times New Roman"/>
                <w:sz w:val="24"/>
                <w:szCs w:val="24"/>
              </w:rPr>
              <w:t xml:space="preserve"> borrowing</w:t>
            </w:r>
          </w:p>
        </w:tc>
        <w:tc>
          <w:tcPr>
            <w:tcW w:w="4078" w:type="dxa"/>
            <w:gridSpan w:val="2"/>
          </w:tcPr>
          <w:p w:rsidR="005C6B5B" w:rsidRDefault="00F22E60" w:rsidP="00F22E60">
            <w:pPr>
              <w:rPr>
                <w:rFonts w:ascii="Times New Roman" w:hAnsi="Times New Roman" w:cs="Times New Roman"/>
                <w:sz w:val="24"/>
                <w:szCs w:val="24"/>
              </w:rPr>
            </w:pPr>
            <w:r w:rsidRPr="00F22E60">
              <w:rPr>
                <w:rFonts w:ascii="Times New Roman" w:hAnsi="Times New Roman" w:cs="Times New Roman"/>
                <w:sz w:val="24"/>
                <w:szCs w:val="24"/>
              </w:rPr>
              <w:t>ICDS, prescribes the following method of capitalization of generally borrowed fund. i.e. A * B /</w:t>
            </w:r>
            <w:r w:rsidR="005C6B5B">
              <w:rPr>
                <w:rFonts w:ascii="Times New Roman" w:hAnsi="Times New Roman" w:cs="Times New Roman"/>
                <w:sz w:val="24"/>
                <w:szCs w:val="24"/>
              </w:rPr>
              <w:t xml:space="preserve"> C</w:t>
            </w:r>
          </w:p>
          <w:p w:rsidR="005C6B5B" w:rsidRDefault="005C6B5B" w:rsidP="005C6B5B">
            <w:pPr>
              <w:rPr>
                <w:rFonts w:ascii="Times New Roman" w:hAnsi="Times New Roman" w:cs="Times New Roman"/>
                <w:sz w:val="24"/>
                <w:szCs w:val="24"/>
              </w:rPr>
            </w:pPr>
          </w:p>
          <w:p w:rsidR="005C6B5B" w:rsidRPr="005C6B5B" w:rsidRDefault="005C6B5B" w:rsidP="005C6B5B">
            <w:pPr>
              <w:rPr>
                <w:rFonts w:ascii="Times New Roman" w:hAnsi="Times New Roman" w:cs="Times New Roman"/>
                <w:sz w:val="24"/>
                <w:szCs w:val="24"/>
              </w:rPr>
            </w:pPr>
            <w:r w:rsidRPr="005C6B5B">
              <w:rPr>
                <w:rFonts w:ascii="Times New Roman" w:hAnsi="Times New Roman" w:cs="Times New Roman"/>
                <w:sz w:val="24"/>
                <w:szCs w:val="24"/>
              </w:rPr>
              <w:t>* where A = borrowing costs incurred during the previous year except on borrowings directly relatable to specific purposes;</w:t>
            </w:r>
          </w:p>
          <w:p w:rsidR="005C6B5B" w:rsidRPr="005C6B5B" w:rsidRDefault="005C6B5B" w:rsidP="005C6B5B">
            <w:pPr>
              <w:rPr>
                <w:rFonts w:ascii="Times New Roman" w:hAnsi="Times New Roman" w:cs="Times New Roman"/>
                <w:sz w:val="24"/>
                <w:szCs w:val="24"/>
              </w:rPr>
            </w:pPr>
            <w:r w:rsidRPr="005C6B5B">
              <w:rPr>
                <w:rFonts w:ascii="Times New Roman" w:hAnsi="Times New Roman" w:cs="Times New Roman"/>
                <w:sz w:val="24"/>
                <w:szCs w:val="24"/>
              </w:rPr>
              <w:t>B = (i) the average of costs of qualifying asset as appearing in the balance sheet of a person on the first day and the last day of the previous year</w:t>
            </w:r>
          </w:p>
          <w:p w:rsidR="005C6B5B" w:rsidRPr="005C6B5B" w:rsidRDefault="005C6B5B" w:rsidP="005C6B5B">
            <w:pPr>
              <w:rPr>
                <w:rFonts w:ascii="Times New Roman" w:hAnsi="Times New Roman" w:cs="Times New Roman"/>
                <w:sz w:val="24"/>
                <w:szCs w:val="24"/>
              </w:rPr>
            </w:pPr>
            <w:r w:rsidRPr="005C6B5B">
              <w:rPr>
                <w:rFonts w:ascii="Times New Roman" w:hAnsi="Times New Roman" w:cs="Times New Roman"/>
                <w:sz w:val="24"/>
                <w:szCs w:val="24"/>
              </w:rPr>
              <w:t>(ii) in case the qualifying asset does not appear in the balance sheet of a person on the first day or both on the first day and the last day of previous year, half of the cost of qualifying asset;</w:t>
            </w:r>
          </w:p>
          <w:p w:rsidR="005C6B5B" w:rsidRPr="005C6B5B" w:rsidRDefault="005C6B5B" w:rsidP="005C6B5B">
            <w:pPr>
              <w:rPr>
                <w:rFonts w:ascii="Times New Roman" w:hAnsi="Times New Roman" w:cs="Times New Roman"/>
                <w:sz w:val="24"/>
                <w:szCs w:val="24"/>
              </w:rPr>
            </w:pPr>
            <w:r w:rsidRPr="005C6B5B">
              <w:rPr>
                <w:rFonts w:ascii="Times New Roman" w:hAnsi="Times New Roman" w:cs="Times New Roman"/>
                <w:sz w:val="24"/>
                <w:szCs w:val="24"/>
              </w:rPr>
              <w:t xml:space="preserve">(iii) in case the qualifying asset does not appear in the balance sheet of a person on the last day of previous year, the average of the costs of qualifying asset as appearing in the balance sheet of a person on the first day of the </w:t>
            </w:r>
            <w:r w:rsidRPr="005C6B5B">
              <w:rPr>
                <w:rFonts w:ascii="Times New Roman" w:hAnsi="Times New Roman" w:cs="Times New Roman"/>
                <w:sz w:val="24"/>
                <w:szCs w:val="24"/>
              </w:rPr>
              <w:lastRenderedPageBreak/>
              <w:t>previous year and on the date of put to use or completion, as the case may be other than those qualifying assets which are directly funded out of specific borrowings; or</w:t>
            </w:r>
          </w:p>
          <w:p w:rsidR="00602CBD" w:rsidRPr="005C6B5B" w:rsidRDefault="005C6B5B" w:rsidP="005C6B5B">
            <w:pPr>
              <w:rPr>
                <w:rFonts w:ascii="Times New Roman" w:hAnsi="Times New Roman" w:cs="Times New Roman"/>
                <w:sz w:val="24"/>
                <w:szCs w:val="24"/>
              </w:rPr>
            </w:pPr>
            <w:r w:rsidRPr="005C6B5B">
              <w:rPr>
                <w:rFonts w:ascii="Times New Roman" w:hAnsi="Times New Roman" w:cs="Times New Roman"/>
                <w:sz w:val="24"/>
                <w:szCs w:val="24"/>
              </w:rPr>
              <w:t>C = the average of the amount of total assets as appearing in the balance sheet of a person on the first day and the last day of the previous year, other than those assets which are directly funded out of specific borrowings.</w:t>
            </w:r>
          </w:p>
        </w:tc>
        <w:tc>
          <w:tcPr>
            <w:tcW w:w="3834" w:type="dxa"/>
          </w:tcPr>
          <w:p w:rsidR="00602CBD" w:rsidRPr="00F22E60" w:rsidRDefault="00F22E60" w:rsidP="00F22E60">
            <w:pPr>
              <w:rPr>
                <w:rFonts w:ascii="Times New Roman" w:hAnsi="Times New Roman" w:cs="Times New Roman"/>
                <w:sz w:val="24"/>
                <w:szCs w:val="24"/>
              </w:rPr>
            </w:pPr>
            <w:r w:rsidRPr="00F22E60">
              <w:rPr>
                <w:rFonts w:ascii="Times New Roman" w:hAnsi="Times New Roman" w:cs="Times New Roman"/>
                <w:sz w:val="24"/>
                <w:szCs w:val="24"/>
              </w:rPr>
              <w:lastRenderedPageBreak/>
              <w:t>Under AS – 16, borrowing cost eligible for capitalisation should be determined by applying a capitalisation rate to the expenditure on that asset. i.e. weighted average rate of the borrowing costs applicable to the borrowings of the enterprise that are outstanding during the period other than borrowings made specifically for the purpose of obtaining qualifying asset. Amount of borrowing cost capitalized during a period should not exceed the amount of borrowing cost incurred during that period.</w:t>
            </w:r>
          </w:p>
        </w:tc>
      </w:tr>
      <w:tr w:rsidR="00BE77B0" w:rsidTr="005C6B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0"/>
        </w:trPr>
        <w:tc>
          <w:tcPr>
            <w:tcW w:w="1729" w:type="dxa"/>
            <w:gridSpan w:val="2"/>
          </w:tcPr>
          <w:p w:rsidR="00602CBD" w:rsidRDefault="00602CBD" w:rsidP="00F22E60">
            <w:pPr>
              <w:rPr>
                <w:rFonts w:ascii="Times New Roman" w:hAnsi="Times New Roman" w:cs="Times New Roman"/>
                <w:sz w:val="24"/>
                <w:szCs w:val="24"/>
              </w:rPr>
            </w:pPr>
          </w:p>
        </w:tc>
        <w:tc>
          <w:tcPr>
            <w:tcW w:w="1789" w:type="dxa"/>
          </w:tcPr>
          <w:p w:rsidR="00602CBD" w:rsidRDefault="00F22E60" w:rsidP="00F22E60">
            <w:pPr>
              <w:rPr>
                <w:rFonts w:ascii="Times New Roman" w:hAnsi="Times New Roman" w:cs="Times New Roman"/>
                <w:sz w:val="24"/>
                <w:szCs w:val="24"/>
              </w:rPr>
            </w:pPr>
            <w:r>
              <w:rPr>
                <w:rFonts w:ascii="Times New Roman" w:hAnsi="Times New Roman" w:cs="Times New Roman"/>
                <w:sz w:val="24"/>
                <w:szCs w:val="24"/>
              </w:rPr>
              <w:t>Commencement of capitalization</w:t>
            </w:r>
          </w:p>
        </w:tc>
        <w:tc>
          <w:tcPr>
            <w:tcW w:w="4078" w:type="dxa"/>
            <w:gridSpan w:val="2"/>
          </w:tcPr>
          <w:p w:rsidR="00602CBD" w:rsidRPr="00F22E60" w:rsidRDefault="00F22E60" w:rsidP="00F22E60">
            <w:pPr>
              <w:rPr>
                <w:rFonts w:ascii="Times New Roman" w:hAnsi="Times New Roman" w:cs="Times New Roman"/>
                <w:sz w:val="24"/>
                <w:szCs w:val="24"/>
              </w:rPr>
            </w:pPr>
            <w:r w:rsidRPr="00F22E60">
              <w:rPr>
                <w:rFonts w:ascii="Times New Roman" w:hAnsi="Times New Roman" w:cs="Times New Roman"/>
                <w:sz w:val="24"/>
                <w:szCs w:val="24"/>
              </w:rPr>
              <w:t>ICDS, prescribes that commencement of capitalization should begin as follows: In case of specific borrowings from the date on which funds were borrowed and in case of general borrowings from the date on which funds were utilised</w:t>
            </w:r>
          </w:p>
        </w:tc>
        <w:tc>
          <w:tcPr>
            <w:tcW w:w="3834" w:type="dxa"/>
          </w:tcPr>
          <w:p w:rsidR="00602CBD" w:rsidRPr="00F22E60" w:rsidRDefault="00F22E60" w:rsidP="00F22E60">
            <w:pPr>
              <w:rPr>
                <w:rFonts w:ascii="Times New Roman" w:hAnsi="Times New Roman" w:cs="Times New Roman"/>
                <w:sz w:val="24"/>
                <w:szCs w:val="24"/>
              </w:rPr>
            </w:pPr>
            <w:r w:rsidRPr="00F22E60">
              <w:rPr>
                <w:rFonts w:ascii="Times New Roman" w:hAnsi="Times New Roman" w:cs="Times New Roman"/>
                <w:sz w:val="24"/>
                <w:szCs w:val="24"/>
              </w:rPr>
              <w:t>Whereas AS – 16, prescribes three conditions to be fulfilled in entirety before the commencement of capitalization of borrowing cost. Those are: (i) Activities, which are essential to prepare the asset for its intended use, should be in progress. (ii) Borrowing cost is incurred. (iii) Expenditure for acquisition, construction or production of a qualifying asset is being incurred.</w:t>
            </w:r>
          </w:p>
        </w:tc>
      </w:tr>
      <w:tr w:rsidR="00BE77B0" w:rsidTr="005C6B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610"/>
        </w:trPr>
        <w:tc>
          <w:tcPr>
            <w:tcW w:w="1729" w:type="dxa"/>
            <w:gridSpan w:val="2"/>
          </w:tcPr>
          <w:p w:rsidR="00BE77B0" w:rsidRDefault="00BE77B0" w:rsidP="00F22E60">
            <w:pPr>
              <w:rPr>
                <w:rFonts w:ascii="Times New Roman" w:hAnsi="Times New Roman" w:cs="Times New Roman"/>
                <w:sz w:val="24"/>
                <w:szCs w:val="24"/>
              </w:rPr>
            </w:pPr>
          </w:p>
        </w:tc>
        <w:tc>
          <w:tcPr>
            <w:tcW w:w="1800" w:type="dxa"/>
            <w:gridSpan w:val="2"/>
          </w:tcPr>
          <w:p w:rsidR="00BE77B0" w:rsidRDefault="00BE77B0" w:rsidP="00F22E60">
            <w:pPr>
              <w:rPr>
                <w:rFonts w:ascii="Times New Roman" w:hAnsi="Times New Roman" w:cs="Times New Roman"/>
                <w:sz w:val="24"/>
                <w:szCs w:val="24"/>
              </w:rPr>
            </w:pPr>
            <w:r>
              <w:rPr>
                <w:rFonts w:ascii="Times New Roman" w:hAnsi="Times New Roman" w:cs="Times New Roman"/>
                <w:sz w:val="24"/>
                <w:szCs w:val="24"/>
              </w:rPr>
              <w:t>Suspension of capitalization</w:t>
            </w:r>
          </w:p>
        </w:tc>
        <w:tc>
          <w:tcPr>
            <w:tcW w:w="4067" w:type="dxa"/>
          </w:tcPr>
          <w:p w:rsidR="00BE77B0" w:rsidRPr="00BE77B0" w:rsidRDefault="00BE77B0" w:rsidP="00BE77B0">
            <w:pPr>
              <w:rPr>
                <w:rFonts w:ascii="Times New Roman" w:hAnsi="Times New Roman" w:cs="Times New Roman"/>
                <w:sz w:val="24"/>
              </w:rPr>
            </w:pPr>
            <w:r w:rsidRPr="00BE77B0">
              <w:rPr>
                <w:rFonts w:ascii="Times New Roman" w:hAnsi="Times New Roman" w:cs="Times New Roman"/>
                <w:sz w:val="24"/>
              </w:rPr>
              <w:t>ICDS, contains in itself no condition as to suspension of capitalisation during interruption of active development.</w:t>
            </w:r>
          </w:p>
        </w:tc>
        <w:tc>
          <w:tcPr>
            <w:tcW w:w="3834" w:type="dxa"/>
          </w:tcPr>
          <w:p w:rsidR="00BE77B0" w:rsidRPr="00BE77B0" w:rsidRDefault="00BE77B0" w:rsidP="00BE77B0">
            <w:pPr>
              <w:rPr>
                <w:rFonts w:ascii="Times New Roman" w:hAnsi="Times New Roman" w:cs="Times New Roman"/>
                <w:sz w:val="24"/>
              </w:rPr>
            </w:pPr>
            <w:r w:rsidRPr="00BE77B0">
              <w:rPr>
                <w:rFonts w:ascii="Times New Roman" w:hAnsi="Times New Roman" w:cs="Times New Roman"/>
                <w:sz w:val="24"/>
              </w:rPr>
              <w:t xml:space="preserve">Whereas AS- 16, prescribes that capitalisation of borrowing costs should be suspended during extended periods in which active development is interrupted </w:t>
            </w:r>
          </w:p>
        </w:tc>
      </w:tr>
    </w:tbl>
    <w:p w:rsidR="00B46881" w:rsidRPr="00DA2694" w:rsidRDefault="00602CBD" w:rsidP="00B46881">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1430" w:type="dxa"/>
        <w:tblInd w:w="-1062" w:type="dxa"/>
        <w:tblLook w:val="04A0"/>
      </w:tblPr>
      <w:tblGrid>
        <w:gridCol w:w="1722"/>
        <w:gridCol w:w="10"/>
        <w:gridCol w:w="1736"/>
        <w:gridCol w:w="4024"/>
        <w:gridCol w:w="3938"/>
      </w:tblGrid>
      <w:tr w:rsidR="005C6B5B" w:rsidRPr="00DA2694" w:rsidTr="005C6B5B">
        <w:trPr>
          <w:trHeight w:val="1250"/>
        </w:trPr>
        <w:tc>
          <w:tcPr>
            <w:tcW w:w="1722" w:type="dxa"/>
          </w:tcPr>
          <w:p w:rsidR="00B46881" w:rsidRPr="00DA2694" w:rsidRDefault="00B46881" w:rsidP="00221533">
            <w:pPr>
              <w:rPr>
                <w:rFonts w:ascii="Times New Roman" w:hAnsi="Times New Roman" w:cs="Times New Roman"/>
                <w:b/>
                <w:sz w:val="24"/>
                <w:szCs w:val="24"/>
              </w:rPr>
            </w:pPr>
          </w:p>
          <w:p w:rsidR="00B46881" w:rsidRPr="00DA2694" w:rsidRDefault="00B46881" w:rsidP="00221533">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Standards</w:t>
            </w:r>
          </w:p>
        </w:tc>
        <w:tc>
          <w:tcPr>
            <w:tcW w:w="1746" w:type="dxa"/>
            <w:gridSpan w:val="2"/>
          </w:tcPr>
          <w:p w:rsidR="00B46881" w:rsidRPr="00DA2694" w:rsidRDefault="00B46881" w:rsidP="00221533">
            <w:pPr>
              <w:rPr>
                <w:rFonts w:ascii="Times New Roman" w:hAnsi="Times New Roman" w:cs="Times New Roman"/>
                <w:b/>
                <w:sz w:val="24"/>
                <w:szCs w:val="24"/>
              </w:rPr>
            </w:pPr>
          </w:p>
          <w:p w:rsidR="00B46881" w:rsidRPr="00DA2694" w:rsidRDefault="00B46881" w:rsidP="00221533">
            <w:pPr>
              <w:rPr>
                <w:rFonts w:ascii="Times New Roman" w:hAnsi="Times New Roman" w:cs="Times New Roman"/>
                <w:b/>
                <w:sz w:val="24"/>
                <w:szCs w:val="24"/>
              </w:rPr>
            </w:pPr>
            <w:r w:rsidRPr="00DA2694">
              <w:rPr>
                <w:rFonts w:ascii="Times New Roman" w:hAnsi="Times New Roman" w:cs="Times New Roman"/>
                <w:b/>
                <w:sz w:val="24"/>
                <w:szCs w:val="24"/>
              </w:rPr>
              <w:t>Point of Difference</w:t>
            </w:r>
          </w:p>
        </w:tc>
        <w:tc>
          <w:tcPr>
            <w:tcW w:w="4024" w:type="dxa"/>
          </w:tcPr>
          <w:p w:rsidR="00B46881" w:rsidRPr="00DA2694" w:rsidRDefault="00B46881" w:rsidP="00221533">
            <w:pPr>
              <w:rPr>
                <w:rFonts w:ascii="Times New Roman" w:hAnsi="Times New Roman" w:cs="Times New Roman"/>
                <w:b/>
                <w:sz w:val="24"/>
                <w:szCs w:val="24"/>
              </w:rPr>
            </w:pPr>
          </w:p>
          <w:p w:rsidR="00B46881" w:rsidRPr="00DA2694" w:rsidRDefault="00B46881" w:rsidP="00221533">
            <w:pPr>
              <w:rPr>
                <w:rFonts w:ascii="Times New Roman" w:hAnsi="Times New Roman" w:cs="Times New Roman"/>
                <w:b/>
                <w:sz w:val="24"/>
                <w:szCs w:val="24"/>
              </w:rPr>
            </w:pPr>
            <w:r w:rsidRPr="00DA2694">
              <w:rPr>
                <w:rFonts w:ascii="Times New Roman" w:hAnsi="Times New Roman" w:cs="Times New Roman"/>
                <w:b/>
                <w:sz w:val="24"/>
                <w:szCs w:val="24"/>
              </w:rPr>
              <w:t>Income Computation And Disclosure Standard</w:t>
            </w:r>
          </w:p>
        </w:tc>
        <w:tc>
          <w:tcPr>
            <w:tcW w:w="3938" w:type="dxa"/>
          </w:tcPr>
          <w:p w:rsidR="00B46881" w:rsidRPr="00DA2694" w:rsidRDefault="00B46881" w:rsidP="00221533">
            <w:pPr>
              <w:rPr>
                <w:rFonts w:ascii="Times New Roman" w:hAnsi="Times New Roman" w:cs="Times New Roman"/>
                <w:b/>
                <w:sz w:val="24"/>
                <w:szCs w:val="24"/>
              </w:rPr>
            </w:pPr>
          </w:p>
          <w:p w:rsidR="00B46881" w:rsidRPr="00DA2694" w:rsidRDefault="00B46881" w:rsidP="00221533">
            <w:pPr>
              <w:rPr>
                <w:rFonts w:ascii="Times New Roman" w:hAnsi="Times New Roman" w:cs="Times New Roman"/>
                <w:b/>
                <w:sz w:val="24"/>
                <w:szCs w:val="24"/>
              </w:rPr>
            </w:pPr>
            <w:r w:rsidRPr="00DA2694">
              <w:rPr>
                <w:rFonts w:ascii="Times New Roman" w:hAnsi="Times New Roman" w:cs="Times New Roman"/>
                <w:b/>
                <w:sz w:val="24"/>
                <w:szCs w:val="24"/>
              </w:rPr>
              <w:t>Accounting Standard</w:t>
            </w:r>
          </w:p>
        </w:tc>
      </w:tr>
      <w:tr w:rsidR="005C6B5B" w:rsidRPr="00DA2694" w:rsidTr="005C6B5B">
        <w:trPr>
          <w:trHeight w:val="1763"/>
        </w:trPr>
        <w:tc>
          <w:tcPr>
            <w:tcW w:w="1722" w:type="dxa"/>
          </w:tcPr>
          <w:p w:rsidR="00B46881" w:rsidRPr="00DA2694" w:rsidRDefault="00B46881" w:rsidP="00B46881">
            <w:pPr>
              <w:rPr>
                <w:rFonts w:ascii="Times New Roman" w:hAnsi="Times New Roman" w:cs="Times New Roman"/>
                <w:sz w:val="24"/>
                <w:szCs w:val="24"/>
              </w:rPr>
            </w:pPr>
            <w:r>
              <w:rPr>
                <w:rFonts w:ascii="Times New Roman" w:hAnsi="Times New Roman" w:cs="Times New Roman"/>
                <w:sz w:val="24"/>
                <w:szCs w:val="24"/>
              </w:rPr>
              <w:t xml:space="preserve">ICDS – X </w:t>
            </w:r>
            <w:r w:rsidRPr="00DA2694">
              <w:rPr>
                <w:rFonts w:ascii="Times New Roman" w:hAnsi="Times New Roman" w:cs="Times New Roman"/>
                <w:sz w:val="24"/>
                <w:szCs w:val="24"/>
              </w:rPr>
              <w:t xml:space="preserve"> – </w:t>
            </w:r>
            <w:r>
              <w:rPr>
                <w:rFonts w:ascii="Times New Roman" w:hAnsi="Times New Roman" w:cs="Times New Roman"/>
                <w:sz w:val="24"/>
                <w:szCs w:val="24"/>
              </w:rPr>
              <w:t>Relating to Provisions , Contingent Liabilities , Contingent assets</w:t>
            </w:r>
          </w:p>
        </w:tc>
        <w:tc>
          <w:tcPr>
            <w:tcW w:w="1746" w:type="dxa"/>
            <w:gridSpan w:val="2"/>
          </w:tcPr>
          <w:p w:rsidR="00B46881" w:rsidRPr="00DA2694" w:rsidRDefault="009C2CA6" w:rsidP="00221533">
            <w:pPr>
              <w:rPr>
                <w:rFonts w:ascii="Times New Roman" w:hAnsi="Times New Roman" w:cs="Times New Roman"/>
                <w:sz w:val="24"/>
                <w:szCs w:val="24"/>
              </w:rPr>
            </w:pPr>
            <w:r>
              <w:rPr>
                <w:rFonts w:ascii="Times New Roman" w:hAnsi="Times New Roman" w:cs="Times New Roman"/>
                <w:sz w:val="24"/>
                <w:szCs w:val="24"/>
              </w:rPr>
              <w:t>Recognition of provision</w:t>
            </w:r>
          </w:p>
        </w:tc>
        <w:tc>
          <w:tcPr>
            <w:tcW w:w="4024" w:type="dxa"/>
          </w:tcPr>
          <w:p w:rsidR="00B46881" w:rsidRPr="009C2CA6" w:rsidRDefault="009C2CA6" w:rsidP="009C2CA6">
            <w:pPr>
              <w:rPr>
                <w:rFonts w:ascii="Times New Roman" w:hAnsi="Times New Roman" w:cs="Times New Roman"/>
                <w:sz w:val="24"/>
                <w:szCs w:val="24"/>
              </w:rPr>
            </w:pPr>
            <w:r w:rsidRPr="009C2CA6">
              <w:rPr>
                <w:rFonts w:ascii="Times New Roman" w:hAnsi="Times New Roman" w:cs="Times New Roman"/>
                <w:sz w:val="24"/>
                <w:szCs w:val="24"/>
              </w:rPr>
              <w:t xml:space="preserve">According to ICDS, A provision should be recognised when it is reasonably certain that an outflow of resources embodying economic benefits will be required to settle the obligation - </w:t>
            </w:r>
          </w:p>
        </w:tc>
        <w:tc>
          <w:tcPr>
            <w:tcW w:w="3938" w:type="dxa"/>
          </w:tcPr>
          <w:p w:rsidR="00B46881" w:rsidRPr="009C2CA6" w:rsidRDefault="009C2CA6" w:rsidP="009C2CA6">
            <w:pPr>
              <w:rPr>
                <w:rFonts w:ascii="Times New Roman" w:hAnsi="Times New Roman" w:cs="Times New Roman"/>
                <w:sz w:val="24"/>
                <w:szCs w:val="24"/>
              </w:rPr>
            </w:pPr>
            <w:r w:rsidRPr="009C2CA6">
              <w:rPr>
                <w:rFonts w:ascii="Times New Roman" w:hAnsi="Times New Roman" w:cs="Times New Roman"/>
                <w:sz w:val="24"/>
                <w:szCs w:val="24"/>
              </w:rPr>
              <w:t xml:space="preserve">According to AS – 29, A provision should be recognised when it is probable that an outflow of resources embodying economic benefits will be required to settle the obligation </w:t>
            </w:r>
          </w:p>
        </w:tc>
      </w:tr>
      <w:tr w:rsidR="005C6B5B" w:rsidRPr="00DA2694" w:rsidTr="005C6B5B">
        <w:tc>
          <w:tcPr>
            <w:tcW w:w="1722" w:type="dxa"/>
          </w:tcPr>
          <w:p w:rsidR="00B46881" w:rsidRPr="00DA2694" w:rsidRDefault="00B46881" w:rsidP="00221533">
            <w:pPr>
              <w:rPr>
                <w:rFonts w:ascii="Times New Roman" w:hAnsi="Times New Roman" w:cs="Times New Roman"/>
                <w:sz w:val="24"/>
                <w:szCs w:val="24"/>
              </w:rPr>
            </w:pPr>
          </w:p>
        </w:tc>
        <w:tc>
          <w:tcPr>
            <w:tcW w:w="1746" w:type="dxa"/>
            <w:gridSpan w:val="2"/>
          </w:tcPr>
          <w:p w:rsidR="00B46881" w:rsidRPr="00DA2694" w:rsidRDefault="009C2CA6" w:rsidP="00221533">
            <w:pPr>
              <w:rPr>
                <w:rFonts w:ascii="Times New Roman" w:hAnsi="Times New Roman" w:cs="Times New Roman"/>
                <w:sz w:val="24"/>
                <w:szCs w:val="24"/>
              </w:rPr>
            </w:pPr>
            <w:r>
              <w:rPr>
                <w:rFonts w:ascii="Times New Roman" w:hAnsi="Times New Roman" w:cs="Times New Roman"/>
                <w:sz w:val="24"/>
                <w:szCs w:val="24"/>
              </w:rPr>
              <w:t>Recognition of Contingent Asset</w:t>
            </w:r>
          </w:p>
        </w:tc>
        <w:tc>
          <w:tcPr>
            <w:tcW w:w="4024" w:type="dxa"/>
          </w:tcPr>
          <w:p w:rsidR="00B46881" w:rsidRPr="009C2CA6" w:rsidRDefault="009C2CA6" w:rsidP="009C2CA6">
            <w:pPr>
              <w:rPr>
                <w:rFonts w:ascii="Times New Roman" w:hAnsi="Times New Roman" w:cs="Times New Roman"/>
                <w:sz w:val="24"/>
                <w:szCs w:val="24"/>
              </w:rPr>
            </w:pPr>
            <w:r w:rsidRPr="009C2CA6">
              <w:rPr>
                <w:rFonts w:ascii="Times New Roman" w:hAnsi="Times New Roman" w:cs="Times New Roman"/>
                <w:sz w:val="24"/>
                <w:szCs w:val="24"/>
              </w:rPr>
              <w:t>According to ICDS, contingent assets should be assessed continually and when it becomes reasonably certain that inflow of economic benefit will arise, the asset and related income are recognised in the previous year in which the change occurs.</w:t>
            </w:r>
          </w:p>
        </w:tc>
        <w:tc>
          <w:tcPr>
            <w:tcW w:w="3938" w:type="dxa"/>
          </w:tcPr>
          <w:p w:rsidR="00B46881" w:rsidRPr="009C2CA6" w:rsidRDefault="009C2CA6" w:rsidP="009C2CA6">
            <w:pPr>
              <w:rPr>
                <w:rFonts w:ascii="Times New Roman" w:hAnsi="Times New Roman" w:cs="Times New Roman"/>
                <w:sz w:val="24"/>
                <w:szCs w:val="24"/>
              </w:rPr>
            </w:pPr>
            <w:r w:rsidRPr="009C2CA6">
              <w:rPr>
                <w:rFonts w:ascii="Times New Roman" w:hAnsi="Times New Roman" w:cs="Times New Roman"/>
                <w:sz w:val="24"/>
                <w:szCs w:val="24"/>
              </w:rPr>
              <w:t>According to AS – 29, contingent assets are assesed continually and if it has become virtually certain that an inflow of economic benefits will arise, the asset and the related income are recognised in the financial statements of the period in which the change occurs.</w:t>
            </w:r>
          </w:p>
        </w:tc>
      </w:tr>
      <w:tr w:rsidR="005C6B5B" w:rsidRPr="00DA2694" w:rsidTr="005C6B5B">
        <w:tc>
          <w:tcPr>
            <w:tcW w:w="1722" w:type="dxa"/>
            <w:tcBorders>
              <w:right w:val="single" w:sz="4" w:space="0" w:color="auto"/>
            </w:tcBorders>
          </w:tcPr>
          <w:p w:rsidR="00B46881" w:rsidRPr="00DA2694" w:rsidRDefault="00B46881" w:rsidP="00221533">
            <w:pPr>
              <w:rPr>
                <w:rFonts w:ascii="Times New Roman" w:hAnsi="Times New Roman" w:cs="Times New Roman"/>
                <w:sz w:val="24"/>
                <w:szCs w:val="24"/>
              </w:rPr>
            </w:pPr>
          </w:p>
        </w:tc>
        <w:tc>
          <w:tcPr>
            <w:tcW w:w="1746" w:type="dxa"/>
            <w:gridSpan w:val="2"/>
            <w:tcBorders>
              <w:left w:val="single" w:sz="4" w:space="0" w:color="auto"/>
              <w:right w:val="single" w:sz="4" w:space="0" w:color="auto"/>
            </w:tcBorders>
          </w:tcPr>
          <w:p w:rsidR="00B46881" w:rsidRPr="00DA2694" w:rsidRDefault="005C6B5B" w:rsidP="00221533">
            <w:pPr>
              <w:rPr>
                <w:rFonts w:ascii="Times New Roman" w:hAnsi="Times New Roman" w:cs="Times New Roman"/>
                <w:sz w:val="24"/>
                <w:szCs w:val="24"/>
              </w:rPr>
            </w:pPr>
            <w:r>
              <w:rPr>
                <w:rFonts w:ascii="Times New Roman" w:hAnsi="Times New Roman" w:cs="Times New Roman"/>
                <w:sz w:val="24"/>
                <w:szCs w:val="24"/>
              </w:rPr>
              <w:t xml:space="preserve">Measurement of Contingent Asset </w:t>
            </w:r>
          </w:p>
        </w:tc>
        <w:tc>
          <w:tcPr>
            <w:tcW w:w="4024" w:type="dxa"/>
            <w:tcBorders>
              <w:left w:val="single" w:sz="4" w:space="0" w:color="auto"/>
              <w:right w:val="single" w:sz="4" w:space="0" w:color="auto"/>
            </w:tcBorders>
          </w:tcPr>
          <w:p w:rsidR="00B46881" w:rsidRPr="005C6B5B" w:rsidRDefault="005C6B5B" w:rsidP="00221533">
            <w:pPr>
              <w:rPr>
                <w:rFonts w:ascii="Times New Roman" w:hAnsi="Times New Roman" w:cs="Times New Roman"/>
                <w:sz w:val="24"/>
                <w:szCs w:val="24"/>
              </w:rPr>
            </w:pPr>
            <w:r w:rsidRPr="005C6B5B">
              <w:rPr>
                <w:rFonts w:ascii="Times New Roman" w:hAnsi="Times New Roman" w:cs="Times New Roman"/>
                <w:sz w:val="24"/>
                <w:szCs w:val="24"/>
              </w:rPr>
              <w:t>The amount recognised as asset and related income shall be the best estimate of the value of economic benefit arising at the end of the year. The amount and related income shall not be discounted to its present value. An asset and related income recognised shall be reviewed at the end of each year and adjusted to reflect the current best estimate.</w:t>
            </w:r>
          </w:p>
        </w:tc>
        <w:tc>
          <w:tcPr>
            <w:tcW w:w="3938" w:type="dxa"/>
            <w:tcBorders>
              <w:left w:val="single" w:sz="4" w:space="0" w:color="auto"/>
            </w:tcBorders>
          </w:tcPr>
          <w:p w:rsidR="00B46881" w:rsidRPr="005C6B5B" w:rsidRDefault="005C6B5B" w:rsidP="00221533">
            <w:pPr>
              <w:rPr>
                <w:rFonts w:ascii="Times New Roman" w:hAnsi="Times New Roman" w:cs="Times New Roman"/>
                <w:sz w:val="24"/>
                <w:szCs w:val="24"/>
              </w:rPr>
            </w:pPr>
            <w:r w:rsidRPr="005C6B5B">
              <w:rPr>
                <w:rFonts w:ascii="Times New Roman" w:hAnsi="Times New Roman" w:cs="Times New Roman"/>
                <w:sz w:val="24"/>
                <w:szCs w:val="24"/>
              </w:rPr>
              <w:t>No guidance included</w:t>
            </w:r>
          </w:p>
        </w:tc>
      </w:tr>
      <w:tr w:rsidR="005C6B5B" w:rsidTr="005C6B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0"/>
        </w:trPr>
        <w:tc>
          <w:tcPr>
            <w:tcW w:w="1732" w:type="dxa"/>
            <w:gridSpan w:val="2"/>
          </w:tcPr>
          <w:p w:rsidR="00B46881" w:rsidRDefault="00B46881" w:rsidP="00221533">
            <w:pPr>
              <w:rPr>
                <w:rFonts w:ascii="Times New Roman" w:hAnsi="Times New Roman" w:cs="Times New Roman"/>
                <w:sz w:val="24"/>
                <w:szCs w:val="24"/>
              </w:rPr>
            </w:pPr>
          </w:p>
        </w:tc>
        <w:tc>
          <w:tcPr>
            <w:tcW w:w="1736" w:type="dxa"/>
          </w:tcPr>
          <w:p w:rsidR="00B46881" w:rsidRDefault="005C6B5B" w:rsidP="00221533">
            <w:pPr>
              <w:rPr>
                <w:rFonts w:ascii="Times New Roman" w:hAnsi="Times New Roman" w:cs="Times New Roman"/>
                <w:sz w:val="24"/>
                <w:szCs w:val="24"/>
              </w:rPr>
            </w:pPr>
            <w:r>
              <w:rPr>
                <w:rFonts w:ascii="Times New Roman" w:hAnsi="Times New Roman" w:cs="Times New Roman"/>
                <w:sz w:val="24"/>
                <w:szCs w:val="24"/>
              </w:rPr>
              <w:t>Reimbursement</w:t>
            </w:r>
          </w:p>
        </w:tc>
        <w:tc>
          <w:tcPr>
            <w:tcW w:w="4024" w:type="dxa"/>
          </w:tcPr>
          <w:p w:rsidR="00B46881" w:rsidRPr="005C6B5B" w:rsidRDefault="005C6B5B" w:rsidP="00221533">
            <w:pPr>
              <w:rPr>
                <w:rFonts w:ascii="Times New Roman" w:hAnsi="Times New Roman" w:cs="Times New Roman"/>
                <w:sz w:val="24"/>
                <w:szCs w:val="24"/>
              </w:rPr>
            </w:pPr>
            <w:r w:rsidRPr="005C6B5B">
              <w:rPr>
                <w:rFonts w:ascii="Times New Roman" w:hAnsi="Times New Roman" w:cs="Times New Roman"/>
                <w:sz w:val="24"/>
                <w:szCs w:val="24"/>
              </w:rPr>
              <w:t>Where some or all of the expenditure required to settle a provision is expected to be reimbursed by another party, the reimbursement shall be recognised when it is reasonably certain that reimbursement will be received if the entity settles the obligation.</w:t>
            </w:r>
          </w:p>
        </w:tc>
        <w:tc>
          <w:tcPr>
            <w:tcW w:w="3938" w:type="dxa"/>
          </w:tcPr>
          <w:p w:rsidR="00B46881" w:rsidRPr="005C6B5B" w:rsidRDefault="005C6B5B" w:rsidP="00221533">
            <w:pPr>
              <w:rPr>
                <w:rFonts w:ascii="Times New Roman" w:hAnsi="Times New Roman" w:cs="Times New Roman"/>
                <w:sz w:val="24"/>
                <w:szCs w:val="24"/>
              </w:rPr>
            </w:pPr>
            <w:r w:rsidRPr="005C6B5B">
              <w:rPr>
                <w:rFonts w:ascii="Times New Roman" w:hAnsi="Times New Roman" w:cs="Times New Roman"/>
                <w:sz w:val="24"/>
                <w:szCs w:val="24"/>
              </w:rPr>
              <w:t>Where some or all of the expenditure required to settle a provision is expected to be reimbursed by another party, the reimbursement should be recognised when, and only when, it is virtually certain that reimbursement will be received if the enterprise settles the obligation</w:t>
            </w:r>
          </w:p>
        </w:tc>
      </w:tr>
    </w:tbl>
    <w:p w:rsidR="00B46881" w:rsidRDefault="00B46881" w:rsidP="00B46881">
      <w:pPr>
        <w:rPr>
          <w:rFonts w:ascii="Times New Roman" w:hAnsi="Times New Roman" w:cs="Times New Roman"/>
          <w:sz w:val="24"/>
          <w:szCs w:val="24"/>
        </w:rPr>
      </w:pPr>
    </w:p>
    <w:p w:rsidR="00C2682C" w:rsidRDefault="00C2682C">
      <w:pPr>
        <w:rPr>
          <w:rFonts w:ascii="Times New Roman" w:hAnsi="Times New Roman" w:cs="Times New Roman"/>
          <w:sz w:val="24"/>
          <w:szCs w:val="24"/>
        </w:rPr>
      </w:pPr>
      <w:r>
        <w:rPr>
          <w:rFonts w:ascii="Times New Roman" w:hAnsi="Times New Roman" w:cs="Times New Roman"/>
          <w:sz w:val="24"/>
          <w:szCs w:val="24"/>
        </w:rPr>
        <w:br w:type="page"/>
      </w:r>
    </w:p>
    <w:p w:rsidR="00602CBD" w:rsidRDefault="00C2682C">
      <w:pPr>
        <w:rPr>
          <w:rFonts w:ascii="Times New Roman" w:hAnsi="Times New Roman" w:cs="Times New Roman"/>
          <w:b/>
          <w:sz w:val="56"/>
          <w:szCs w:val="24"/>
        </w:rPr>
      </w:pPr>
      <w:r w:rsidRPr="00C2682C">
        <w:rPr>
          <w:rFonts w:ascii="Times New Roman" w:hAnsi="Times New Roman" w:cs="Times New Roman"/>
          <w:b/>
          <w:sz w:val="56"/>
          <w:szCs w:val="24"/>
        </w:rPr>
        <w:lastRenderedPageBreak/>
        <w:t>Changes due to ICDS in ITR Forms:-</w:t>
      </w:r>
    </w:p>
    <w:p w:rsidR="00C2682C" w:rsidRDefault="00C2682C">
      <w:pPr>
        <w:rPr>
          <w:rFonts w:ascii="Times New Roman" w:hAnsi="Times New Roman" w:cs="Times New Roman"/>
          <w:sz w:val="24"/>
          <w:szCs w:val="24"/>
        </w:rPr>
      </w:pPr>
      <w:r>
        <w:rPr>
          <w:rFonts w:ascii="Times New Roman" w:hAnsi="Times New Roman" w:cs="Times New Roman"/>
          <w:sz w:val="24"/>
          <w:szCs w:val="24"/>
        </w:rPr>
        <w:t>Due to ICDS there are changes in ITR Form no. 4,5,6.</w:t>
      </w:r>
    </w:p>
    <w:p w:rsidR="00C2682C" w:rsidRDefault="00C2682C">
      <w:pPr>
        <w:rPr>
          <w:rFonts w:ascii="Times New Roman" w:hAnsi="Times New Roman" w:cs="Times New Roman"/>
          <w:sz w:val="24"/>
          <w:szCs w:val="24"/>
        </w:rPr>
      </w:pPr>
      <w:r>
        <w:rPr>
          <w:rFonts w:ascii="Times New Roman" w:hAnsi="Times New Roman" w:cs="Times New Roman"/>
          <w:sz w:val="24"/>
          <w:szCs w:val="24"/>
        </w:rPr>
        <w:t xml:space="preserve">Now assessee has to provide for </w:t>
      </w:r>
    </w:p>
    <w:p w:rsidR="00C2682C" w:rsidRDefault="00C2682C">
      <w:pPr>
        <w:rPr>
          <w:rFonts w:ascii="Times New Roman" w:hAnsi="Times New Roman" w:cs="Times New Roman"/>
          <w:sz w:val="24"/>
          <w:szCs w:val="24"/>
        </w:rPr>
      </w:pPr>
      <w:r>
        <w:rPr>
          <w:rFonts w:ascii="Times New Roman" w:hAnsi="Times New Roman" w:cs="Times New Roman"/>
          <w:sz w:val="24"/>
          <w:szCs w:val="24"/>
        </w:rPr>
        <w:t>1. The Effect on the profit because of deviation , if any as per ICDS notified under section 145(2) in column Part A – OI at third no.</w:t>
      </w:r>
    </w:p>
    <w:p w:rsidR="00C2682C" w:rsidRDefault="00C2682C">
      <w:pPr>
        <w:rPr>
          <w:rFonts w:ascii="Times New Roman" w:hAnsi="Times New Roman" w:cs="Times New Roman"/>
          <w:sz w:val="24"/>
          <w:szCs w:val="24"/>
        </w:rPr>
      </w:pPr>
      <w:r>
        <w:rPr>
          <w:rFonts w:ascii="Times New Roman" w:hAnsi="Times New Roman" w:cs="Times New Roman"/>
          <w:sz w:val="24"/>
          <w:szCs w:val="24"/>
        </w:rPr>
        <w:t>2. Now schedule of ICDS will be prepared which shows the Effect of ICDS on profit</w:t>
      </w:r>
      <w:r>
        <w:rPr>
          <w:rFonts w:ascii="Times New Roman" w:hAnsi="Times New Roman" w:cs="Times New Roman"/>
          <w:sz w:val="24"/>
          <w:szCs w:val="24"/>
        </w:rPr>
        <w:tab/>
      </w:r>
    </w:p>
    <w:sectPr w:rsidR="00C2682C" w:rsidSect="00E255B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898" w:rsidRDefault="00224898" w:rsidP="00DA2694">
      <w:pPr>
        <w:spacing w:after="0" w:line="240" w:lineRule="auto"/>
      </w:pPr>
      <w:r>
        <w:separator/>
      </w:r>
    </w:p>
  </w:endnote>
  <w:endnote w:type="continuationSeparator" w:id="1">
    <w:p w:rsidR="00224898" w:rsidRDefault="00224898" w:rsidP="00DA2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898" w:rsidRDefault="00224898" w:rsidP="00DA2694">
      <w:pPr>
        <w:spacing w:after="0" w:line="240" w:lineRule="auto"/>
      </w:pPr>
      <w:r>
        <w:separator/>
      </w:r>
    </w:p>
  </w:footnote>
  <w:footnote w:type="continuationSeparator" w:id="1">
    <w:p w:rsidR="00224898" w:rsidRDefault="00224898" w:rsidP="00DA26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748B"/>
    <w:rsid w:val="00021642"/>
    <w:rsid w:val="000A2069"/>
    <w:rsid w:val="00197497"/>
    <w:rsid w:val="001B666B"/>
    <w:rsid w:val="00224898"/>
    <w:rsid w:val="002742FC"/>
    <w:rsid w:val="00276039"/>
    <w:rsid w:val="002E6989"/>
    <w:rsid w:val="00302BB2"/>
    <w:rsid w:val="003B4343"/>
    <w:rsid w:val="0040171A"/>
    <w:rsid w:val="005B3B98"/>
    <w:rsid w:val="005C6B5B"/>
    <w:rsid w:val="00602CBD"/>
    <w:rsid w:val="006421D8"/>
    <w:rsid w:val="006B4848"/>
    <w:rsid w:val="00707221"/>
    <w:rsid w:val="00745AC9"/>
    <w:rsid w:val="0077453D"/>
    <w:rsid w:val="007A5E83"/>
    <w:rsid w:val="008342F5"/>
    <w:rsid w:val="00862FEE"/>
    <w:rsid w:val="00907E0C"/>
    <w:rsid w:val="00930607"/>
    <w:rsid w:val="009664FC"/>
    <w:rsid w:val="009932AA"/>
    <w:rsid w:val="009C2CA6"/>
    <w:rsid w:val="009F2D00"/>
    <w:rsid w:val="00A1089B"/>
    <w:rsid w:val="00AB3BCF"/>
    <w:rsid w:val="00AD43EA"/>
    <w:rsid w:val="00AF7B00"/>
    <w:rsid w:val="00B46881"/>
    <w:rsid w:val="00BE77B0"/>
    <w:rsid w:val="00C2682C"/>
    <w:rsid w:val="00CB0057"/>
    <w:rsid w:val="00CB319A"/>
    <w:rsid w:val="00CB748B"/>
    <w:rsid w:val="00D966E9"/>
    <w:rsid w:val="00DA2694"/>
    <w:rsid w:val="00E01224"/>
    <w:rsid w:val="00E255B8"/>
    <w:rsid w:val="00E95FC3"/>
    <w:rsid w:val="00F22E60"/>
    <w:rsid w:val="00F957E0"/>
    <w:rsid w:val="00F96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26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694"/>
  </w:style>
  <w:style w:type="paragraph" w:styleId="Footer">
    <w:name w:val="footer"/>
    <w:basedOn w:val="Normal"/>
    <w:link w:val="FooterChar"/>
    <w:uiPriority w:val="99"/>
    <w:semiHidden/>
    <w:unhideWhenUsed/>
    <w:rsid w:val="00DA26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694"/>
  </w:style>
  <w:style w:type="character" w:customStyle="1" w:styleId="apple-converted-space">
    <w:name w:val="apple-converted-space"/>
    <w:basedOn w:val="DefaultParagraphFont"/>
    <w:rsid w:val="007A5E83"/>
  </w:style>
  <w:style w:type="character" w:styleId="Hyperlink">
    <w:name w:val="Hyperlink"/>
    <w:basedOn w:val="DefaultParagraphFont"/>
    <w:uiPriority w:val="99"/>
    <w:semiHidden/>
    <w:unhideWhenUsed/>
    <w:rsid w:val="007A5E83"/>
    <w:rPr>
      <w:color w:val="0000FF"/>
      <w:u w:val="single"/>
    </w:rPr>
  </w:style>
  <w:style w:type="paragraph" w:styleId="NormalWeb">
    <w:name w:val="Normal (Web)"/>
    <w:basedOn w:val="Normal"/>
    <w:uiPriority w:val="99"/>
    <w:semiHidden/>
    <w:unhideWhenUsed/>
    <w:rsid w:val="005C6B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95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13</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dc:creator>
  <cp:lastModifiedBy>Primary</cp:lastModifiedBy>
  <cp:revision>13</cp:revision>
  <dcterms:created xsi:type="dcterms:W3CDTF">2016-04-07T07:58:00Z</dcterms:created>
  <dcterms:modified xsi:type="dcterms:W3CDTF">2016-04-08T08:12:00Z</dcterms:modified>
</cp:coreProperties>
</file>