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E3D" w:rsidRDefault="002B6E3D" w:rsidP="00A10CDF">
      <w:pPr>
        <w:jc w:val="center"/>
        <w:rPr>
          <w:rFonts w:ascii="Verdana" w:hAnsi="Verdana"/>
          <w:color w:val="002060"/>
          <w:sz w:val="20"/>
          <w:szCs w:val="20"/>
        </w:rPr>
      </w:pPr>
      <w:r>
        <w:rPr>
          <w:rFonts w:ascii="Verdana" w:hAnsi="Verdana"/>
          <w:color w:val="002060"/>
          <w:sz w:val="20"/>
          <w:szCs w:val="20"/>
        </w:rPr>
        <w:t>Fund Management</w:t>
      </w:r>
    </w:p>
    <w:p w:rsidR="00A10CDF" w:rsidRPr="0049678A" w:rsidRDefault="00A10CDF" w:rsidP="00A10CDF">
      <w:pPr>
        <w:jc w:val="center"/>
        <w:rPr>
          <w:rFonts w:ascii="Verdana" w:hAnsi="Verdana"/>
          <w:noProof/>
          <w:sz w:val="20"/>
          <w:szCs w:val="20"/>
        </w:rPr>
      </w:pPr>
      <w:r w:rsidRPr="0049678A">
        <w:rPr>
          <w:rFonts w:ascii="Verdana" w:hAnsi="Verdana"/>
          <w:color w:val="002060"/>
          <w:sz w:val="20"/>
          <w:szCs w:val="20"/>
        </w:rPr>
        <w:t>Table of Contents</w:t>
      </w:r>
      <w:r w:rsidR="00402381" w:rsidRPr="00402381">
        <w:rPr>
          <w:rFonts w:ascii="Verdana" w:hAnsi="Verdana"/>
          <w:smallCaps/>
          <w:sz w:val="20"/>
          <w:szCs w:val="20"/>
        </w:rPr>
        <w:fldChar w:fldCharType="begin"/>
      </w:r>
      <w:r w:rsidRPr="0049678A">
        <w:rPr>
          <w:rFonts w:ascii="Verdana" w:hAnsi="Verdana"/>
          <w:smallCaps/>
          <w:sz w:val="20"/>
          <w:szCs w:val="20"/>
        </w:rPr>
        <w:instrText xml:space="preserve"> TOC \o "1-1" \h \z \u </w:instrText>
      </w:r>
      <w:r w:rsidR="00402381" w:rsidRPr="00402381">
        <w:rPr>
          <w:rFonts w:ascii="Verdana" w:hAnsi="Verdana"/>
          <w:smallCaps/>
          <w:sz w:val="20"/>
          <w:szCs w:val="20"/>
        </w:rPr>
        <w:fldChar w:fldCharType="separate"/>
      </w:r>
    </w:p>
    <w:p w:rsidR="00A10CDF" w:rsidRPr="0049678A" w:rsidRDefault="00402381" w:rsidP="00A10CDF">
      <w:pPr>
        <w:pStyle w:val="TOC1"/>
        <w:rPr>
          <w:rFonts w:ascii="Verdana" w:eastAsiaTheme="minorEastAsia" w:hAnsi="Verdana" w:cstheme="minorBidi"/>
          <w:noProof/>
          <w:sz w:val="20"/>
          <w:szCs w:val="20"/>
        </w:rPr>
      </w:pPr>
      <w:hyperlink w:anchor="_Toc293321407" w:history="1">
        <w:r w:rsidR="00A10CDF" w:rsidRPr="0049678A">
          <w:rPr>
            <w:rStyle w:val="Hyperlink"/>
            <w:rFonts w:ascii="Verdana" w:hAnsi="Verdana"/>
            <w:noProof/>
            <w:sz w:val="20"/>
            <w:szCs w:val="20"/>
          </w:rPr>
          <w:t>Version History</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_Toc293321407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2</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08" w:history="1">
        <w:r w:rsidR="00A10CDF" w:rsidRPr="0049678A">
          <w:rPr>
            <w:rStyle w:val="Hyperlink"/>
            <w:rFonts w:ascii="Verdana" w:hAnsi="Verdana"/>
            <w:noProof/>
            <w:sz w:val="20"/>
            <w:szCs w:val="20"/>
          </w:rPr>
          <w:t>Acronym List</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_Toc293321408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5</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09" w:history="1">
        <w:r w:rsidR="00A10CDF" w:rsidRPr="0049678A">
          <w:rPr>
            <w:rStyle w:val="Hyperlink"/>
            <w:rFonts w:ascii="Verdana" w:hAnsi="Verdana"/>
            <w:noProof/>
            <w:sz w:val="20"/>
            <w:szCs w:val="20"/>
          </w:rPr>
          <w:t>Executive Overview</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_Toc293321409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7</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10" w:history="1">
        <w:r w:rsidR="00A10CDF" w:rsidRPr="0049678A">
          <w:rPr>
            <w:rStyle w:val="Hyperlink"/>
            <w:rFonts w:ascii="Verdana" w:hAnsi="Verdana"/>
            <w:noProof/>
            <w:sz w:val="20"/>
            <w:szCs w:val="20"/>
          </w:rPr>
          <w:t>A1 - Department Regular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_Toc293321410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9</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11" w:history="1">
        <w:r w:rsidR="00A10CDF" w:rsidRPr="0049678A">
          <w:rPr>
            <w:rStyle w:val="Hyperlink"/>
            <w:rFonts w:ascii="Verdana" w:hAnsi="Verdana"/>
            <w:noProof/>
            <w:sz w:val="20"/>
            <w:szCs w:val="20"/>
          </w:rPr>
          <w:t>A2 - Department Transfer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_Toc293321411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11</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12" w:history="1">
        <w:r w:rsidR="00A10CDF" w:rsidRPr="0049678A">
          <w:rPr>
            <w:rStyle w:val="Hyperlink"/>
            <w:rFonts w:ascii="Verdana" w:hAnsi="Verdana"/>
            <w:noProof/>
            <w:sz w:val="20"/>
            <w:szCs w:val="20"/>
          </w:rPr>
          <w:t>A3 - Main Account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_Toc293321412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13</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13" w:history="1">
        <w:r w:rsidR="00A10CDF" w:rsidRPr="0049678A">
          <w:rPr>
            <w:rStyle w:val="Hyperlink"/>
            <w:rFonts w:ascii="Verdana" w:hAnsi="Verdana"/>
            <w:noProof/>
            <w:sz w:val="20"/>
            <w:szCs w:val="20"/>
          </w:rPr>
          <w:t>A4 - Sub-Account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_Toc293321413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15</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14" w:history="1">
        <w:r w:rsidR="00A10CDF" w:rsidRPr="0049678A">
          <w:rPr>
            <w:rStyle w:val="Hyperlink"/>
            <w:rFonts w:ascii="Verdana" w:hAnsi="Verdana"/>
            <w:noProof/>
            <w:sz w:val="20"/>
            <w:szCs w:val="20"/>
          </w:rPr>
          <w:t>A5 - Apportionment Category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_Toc293321414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17</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15" w:history="1">
        <w:r w:rsidR="00A10CDF" w:rsidRPr="0049678A">
          <w:rPr>
            <w:rStyle w:val="Hyperlink"/>
            <w:rFonts w:ascii="Verdana" w:hAnsi="Verdana"/>
            <w:noProof/>
            <w:sz w:val="20"/>
            <w:szCs w:val="20"/>
          </w:rPr>
          <w:t>A6 - Receipt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_Toc293321415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19</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16" w:history="1">
        <w:r w:rsidR="00A10CDF" w:rsidRPr="0049678A">
          <w:rPr>
            <w:rStyle w:val="Hyperlink"/>
            <w:rFonts w:ascii="Verdana" w:hAnsi="Verdana"/>
            <w:noProof/>
            <w:sz w:val="20"/>
            <w:szCs w:val="20"/>
          </w:rPr>
          <w:t>A7 - Sub Classification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_Toc293321416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21</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17" w:history="1">
        <w:r w:rsidR="00A10CDF" w:rsidRPr="0049678A">
          <w:rPr>
            <w:rStyle w:val="Hyperlink"/>
            <w:rFonts w:ascii="Verdana" w:hAnsi="Verdana"/>
            <w:noProof/>
            <w:sz w:val="20"/>
            <w:szCs w:val="20"/>
          </w:rPr>
          <w:t>A9 - Reimbursable Flag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_Toc293321417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23</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18" w:history="1">
        <w:r w:rsidR="00A10CDF" w:rsidRPr="0049678A">
          <w:rPr>
            <w:rStyle w:val="Hyperlink"/>
            <w:rFonts w:ascii="Verdana" w:hAnsi="Verdana"/>
            <w:noProof/>
            <w:sz w:val="20"/>
            <w:szCs w:val="20"/>
          </w:rPr>
          <w:t>A10 - Fund Type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_Toc293321418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25</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19" w:history="1">
        <w:r w:rsidR="00A10CDF" w:rsidRPr="0049678A">
          <w:rPr>
            <w:rStyle w:val="Hyperlink"/>
            <w:rFonts w:ascii="Verdana" w:hAnsi="Verdana"/>
            <w:noProof/>
            <w:sz w:val="20"/>
            <w:szCs w:val="20"/>
          </w:rPr>
          <w:t>A11 - Advance Flag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_Toc293321419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27</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20" w:history="1">
        <w:r w:rsidR="00A10CDF" w:rsidRPr="0049678A">
          <w:rPr>
            <w:rStyle w:val="Hyperlink"/>
            <w:rFonts w:ascii="Verdana" w:hAnsi="Verdana"/>
            <w:noProof/>
            <w:sz w:val="20"/>
            <w:szCs w:val="20"/>
          </w:rPr>
          <w:t>A12 - Authority Type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_Toc293321420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29</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21" w:history="1">
        <w:r w:rsidR="00A10CDF" w:rsidRPr="0049678A">
          <w:rPr>
            <w:rStyle w:val="Hyperlink"/>
            <w:rFonts w:ascii="Verdana" w:hAnsi="Verdana"/>
            <w:noProof/>
            <w:sz w:val="20"/>
            <w:szCs w:val="20"/>
          </w:rPr>
          <w:t>A13 - Availability Time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_Toc293321421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31</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22" w:history="1">
        <w:r w:rsidR="00A10CDF" w:rsidRPr="0049678A">
          <w:rPr>
            <w:rStyle w:val="Hyperlink"/>
            <w:rFonts w:ascii="Verdana" w:hAnsi="Verdana"/>
            <w:noProof/>
            <w:sz w:val="20"/>
            <w:szCs w:val="20"/>
          </w:rPr>
          <w:t>A14 - Borrowing Source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_Toc293321422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33</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23" w:history="1">
        <w:r w:rsidR="00A10CDF" w:rsidRPr="0049678A">
          <w:rPr>
            <w:rStyle w:val="Hyperlink"/>
            <w:rFonts w:ascii="Verdana" w:hAnsi="Verdana"/>
            <w:noProof/>
            <w:sz w:val="20"/>
            <w:szCs w:val="20"/>
          </w:rPr>
          <w:t>A15 - Definite Indefinite Flag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_Toc293321423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35</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24" w:history="1">
        <w:r w:rsidR="00A10CDF" w:rsidRPr="0049678A">
          <w:rPr>
            <w:rStyle w:val="Hyperlink"/>
            <w:rFonts w:ascii="Verdana" w:hAnsi="Verdana"/>
            <w:noProof/>
            <w:sz w:val="20"/>
            <w:szCs w:val="20"/>
          </w:rPr>
          <w:t>A17 - Program Report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_Toc293321424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37</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25" w:history="1">
        <w:r w:rsidR="00A10CDF" w:rsidRPr="0049678A">
          <w:rPr>
            <w:rStyle w:val="Hyperlink"/>
            <w:rFonts w:ascii="Verdana" w:hAnsi="Verdana"/>
            <w:noProof/>
            <w:sz w:val="20"/>
            <w:szCs w:val="20"/>
          </w:rPr>
          <w:t>A18 - TAFS Status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_Toc293321425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39</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26" w:history="1">
        <w:r w:rsidR="00A10CDF" w:rsidRPr="0049678A">
          <w:rPr>
            <w:rStyle w:val="Hyperlink"/>
            <w:rFonts w:ascii="Verdana" w:hAnsi="Verdana"/>
            <w:noProof/>
            <w:sz w:val="20"/>
            <w:szCs w:val="20"/>
          </w:rPr>
          <w:t>A19 - Year of Budget Authority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_Toc293321426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41</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27" w:history="1">
        <w:r w:rsidR="00A10CDF" w:rsidRPr="0049678A">
          <w:rPr>
            <w:rStyle w:val="Hyperlink"/>
            <w:rFonts w:ascii="Verdana" w:hAnsi="Verdana"/>
            <w:noProof/>
            <w:sz w:val="20"/>
            <w:szCs w:val="20"/>
          </w:rPr>
          <w:t>A20 - Direct Transfer Agency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_Toc293321427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43</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28" w:history="1">
        <w:r w:rsidR="00A10CDF" w:rsidRPr="0049678A">
          <w:rPr>
            <w:rStyle w:val="Hyperlink"/>
            <w:rFonts w:ascii="Verdana" w:hAnsi="Verdana"/>
            <w:noProof/>
            <w:sz w:val="20"/>
            <w:szCs w:val="20"/>
          </w:rPr>
          <w:t>A21 - Direct Transfer Account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_Toc293321428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45</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29" w:history="1">
        <w:r w:rsidR="00A10CDF" w:rsidRPr="0049678A">
          <w:rPr>
            <w:rStyle w:val="Hyperlink"/>
            <w:rFonts w:ascii="Verdana" w:hAnsi="Verdana"/>
            <w:noProof/>
            <w:sz w:val="20"/>
            <w:szCs w:val="20"/>
          </w:rPr>
          <w:t>A24 - Availability Type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_Toc293321429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47</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30" w:history="1">
        <w:r w:rsidR="00A10CDF" w:rsidRPr="0049678A">
          <w:rPr>
            <w:rStyle w:val="Hyperlink"/>
            <w:rFonts w:ascii="Verdana" w:hAnsi="Verdana"/>
            <w:noProof/>
            <w:sz w:val="20"/>
            <w:szCs w:val="20"/>
          </w:rPr>
          <w:t>A25 - Expiration Flag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_Toc293321430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49</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31" w:history="1">
        <w:r w:rsidR="00A10CDF" w:rsidRPr="0049678A">
          <w:rPr>
            <w:rStyle w:val="Hyperlink"/>
            <w:rFonts w:ascii="Verdana" w:hAnsi="Verdana"/>
            <w:noProof/>
            <w:sz w:val="20"/>
            <w:szCs w:val="20"/>
          </w:rPr>
          <w:t>A26 - Financing Account Indicator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_Toc293321431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51</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32" w:history="1">
        <w:r w:rsidR="00A10CDF" w:rsidRPr="0049678A">
          <w:rPr>
            <w:rStyle w:val="Hyperlink"/>
            <w:rFonts w:ascii="Verdana" w:hAnsi="Verdana"/>
            <w:noProof/>
            <w:sz w:val="20"/>
            <w:szCs w:val="20"/>
          </w:rPr>
          <w:t>A27 - Beginning Period of Availability</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_Toc293321432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53</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33" w:history="1">
        <w:r w:rsidR="00A10CDF" w:rsidRPr="0049678A">
          <w:rPr>
            <w:rStyle w:val="Hyperlink"/>
            <w:rFonts w:ascii="Verdana" w:hAnsi="Verdana"/>
            <w:noProof/>
            <w:sz w:val="20"/>
            <w:szCs w:val="20"/>
          </w:rPr>
          <w:t>A28 - Ending Period of Availability</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_Toc293321433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55</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34" w:history="1">
        <w:r w:rsidR="00A10CDF" w:rsidRPr="0049678A">
          <w:rPr>
            <w:rStyle w:val="Hyperlink"/>
            <w:rFonts w:ascii="Verdana" w:hAnsi="Verdana"/>
            <w:noProof/>
            <w:sz w:val="20"/>
            <w:szCs w:val="20"/>
          </w:rPr>
          <w:t>B1 - Budget Function/Sub-Function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_Toc293321434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57</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35" w:history="1">
        <w:r w:rsidR="00A10CDF" w:rsidRPr="0049678A">
          <w:rPr>
            <w:rStyle w:val="Hyperlink"/>
            <w:rFonts w:ascii="Verdana" w:hAnsi="Verdana"/>
            <w:noProof/>
            <w:sz w:val="20"/>
            <w:szCs w:val="20"/>
          </w:rPr>
          <w:t>B2 - Budget Activity Identifier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_Toc293321435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59</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36" w:history="1">
        <w:r w:rsidR="00A10CDF" w:rsidRPr="0049678A">
          <w:rPr>
            <w:rStyle w:val="Hyperlink"/>
            <w:rFonts w:ascii="Verdana" w:hAnsi="Verdana"/>
            <w:noProof/>
            <w:sz w:val="20"/>
            <w:szCs w:val="20"/>
          </w:rPr>
          <w:t>B3 - Budget Sub Activity Identifier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_Toc293321436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61</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37" w:history="1">
        <w:r w:rsidR="00A10CDF" w:rsidRPr="0049678A">
          <w:rPr>
            <w:rStyle w:val="Hyperlink"/>
            <w:rFonts w:ascii="Verdana" w:hAnsi="Verdana"/>
            <w:noProof/>
            <w:sz w:val="20"/>
            <w:szCs w:val="20"/>
          </w:rPr>
          <w:t>B4 - Budget Line Item Identifier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_Toc293321437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63</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38" w:history="1">
        <w:r w:rsidR="00A10CDF" w:rsidRPr="0049678A">
          <w:rPr>
            <w:rStyle w:val="Hyperlink"/>
            <w:rFonts w:ascii="Verdana" w:hAnsi="Verdana"/>
            <w:noProof/>
            <w:sz w:val="20"/>
            <w:szCs w:val="20"/>
          </w:rPr>
          <w:t>B6 - Object Class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_Toc293321438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65</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39" w:history="1">
        <w:r w:rsidR="00A10CDF" w:rsidRPr="0049678A">
          <w:rPr>
            <w:rStyle w:val="Hyperlink"/>
            <w:rFonts w:ascii="Verdana" w:hAnsi="Verdana"/>
            <w:noProof/>
            <w:sz w:val="20"/>
            <w:szCs w:val="20"/>
          </w:rPr>
          <w:t>B8 - Contingency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_Toc293321439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68</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40" w:history="1">
        <w:r w:rsidR="00A10CDF" w:rsidRPr="0049678A">
          <w:rPr>
            <w:rStyle w:val="Hyperlink"/>
            <w:rFonts w:ascii="Verdana" w:hAnsi="Verdana"/>
            <w:noProof/>
            <w:sz w:val="20"/>
            <w:szCs w:val="20"/>
          </w:rPr>
          <w:t>B9 - BEA Category Indicator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_Toc293321440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70</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41" w:history="1">
        <w:r w:rsidR="00A10CDF" w:rsidRPr="0049678A">
          <w:rPr>
            <w:rStyle w:val="Hyperlink"/>
            <w:rFonts w:ascii="Verdana" w:hAnsi="Verdana"/>
            <w:noProof/>
            <w:sz w:val="20"/>
            <w:szCs w:val="20"/>
          </w:rPr>
          <w:t>CA1 - Funding Center Identifier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_Toc293321441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72</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42" w:history="1">
        <w:r w:rsidR="00A10CDF" w:rsidRPr="0049678A">
          <w:rPr>
            <w:rStyle w:val="Hyperlink"/>
            <w:rFonts w:ascii="Verdana" w:hAnsi="Verdana"/>
            <w:noProof/>
            <w:sz w:val="20"/>
            <w:szCs w:val="20"/>
          </w:rPr>
          <w:t>CA3 - Cost Center Identifier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_Toc293321442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74</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43" w:history="1">
        <w:r w:rsidR="00A10CDF" w:rsidRPr="0049678A">
          <w:rPr>
            <w:rStyle w:val="Hyperlink"/>
            <w:rFonts w:ascii="Verdana" w:hAnsi="Verdana"/>
            <w:noProof/>
            <w:sz w:val="20"/>
            <w:szCs w:val="20"/>
          </w:rPr>
          <w:t>CA4 - Project Identifier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_Toc293321443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76</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44" w:history="1">
        <w:r w:rsidR="00A10CDF" w:rsidRPr="0049678A">
          <w:rPr>
            <w:rStyle w:val="Hyperlink"/>
            <w:rFonts w:ascii="Verdana" w:hAnsi="Verdana"/>
            <w:noProof/>
            <w:sz w:val="20"/>
            <w:szCs w:val="20"/>
          </w:rPr>
          <w:t>CA5 - Activity Identifier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_Toc293321444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78</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45" w:history="1">
        <w:r w:rsidR="00A10CDF" w:rsidRPr="0049678A">
          <w:rPr>
            <w:rStyle w:val="Hyperlink"/>
            <w:rFonts w:ascii="Verdana" w:hAnsi="Verdana"/>
            <w:noProof/>
            <w:sz w:val="20"/>
            <w:szCs w:val="20"/>
          </w:rPr>
          <w:t>CA6 - Cost Element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_Toc293321445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80</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46" w:history="1">
        <w:r w:rsidR="00A10CDF" w:rsidRPr="0049678A">
          <w:rPr>
            <w:rStyle w:val="Hyperlink"/>
            <w:rFonts w:ascii="Verdana" w:hAnsi="Verdana"/>
            <w:noProof/>
            <w:sz w:val="20"/>
            <w:szCs w:val="20"/>
          </w:rPr>
          <w:t>CA7</w:t>
        </w:r>
        <w:r w:rsidR="00A10CDF" w:rsidRPr="0049678A">
          <w:rPr>
            <w:rStyle w:val="Hyperlink"/>
            <w:rFonts w:ascii="Verdana" w:hAnsi="Verdana"/>
            <w:b/>
            <w:noProof/>
            <w:sz w:val="20"/>
            <w:szCs w:val="20"/>
          </w:rPr>
          <w:t xml:space="preserve"> </w:t>
        </w:r>
        <w:r w:rsidR="00A10CDF" w:rsidRPr="0049678A">
          <w:rPr>
            <w:rStyle w:val="Hyperlink"/>
            <w:rFonts w:ascii="Verdana" w:hAnsi="Verdana"/>
            <w:noProof/>
            <w:sz w:val="20"/>
            <w:szCs w:val="20"/>
          </w:rPr>
          <w:t>- Work Order Number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_Toc293321446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82</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47" w:history="1">
        <w:r w:rsidR="00A10CDF" w:rsidRPr="0049678A">
          <w:rPr>
            <w:rStyle w:val="Hyperlink"/>
            <w:rFonts w:ascii="Verdana" w:hAnsi="Verdana"/>
            <w:noProof/>
            <w:sz w:val="20"/>
            <w:szCs w:val="20"/>
          </w:rPr>
          <w:t>CA9 - Transaction Quantity</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_Toc293321447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84</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48" w:history="1">
        <w:r w:rsidR="00A10CDF" w:rsidRPr="0049678A">
          <w:rPr>
            <w:rStyle w:val="Hyperlink"/>
            <w:rFonts w:ascii="Verdana" w:hAnsi="Verdana"/>
            <w:noProof/>
            <w:sz w:val="20"/>
            <w:szCs w:val="20"/>
          </w:rPr>
          <w:t>CA10 - Unit of Measure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_Toc293321448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85</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49" w:history="1">
        <w:r w:rsidR="00A10CDF" w:rsidRPr="0049678A">
          <w:rPr>
            <w:rStyle w:val="Hyperlink"/>
            <w:rFonts w:ascii="Verdana" w:hAnsi="Verdana"/>
            <w:noProof/>
            <w:sz w:val="20"/>
            <w:szCs w:val="20"/>
          </w:rPr>
          <w:t>CA12 - Asset Unique ID</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_Toc293321449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87</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50" w:history="1">
        <w:r w:rsidR="00A10CDF" w:rsidRPr="0049678A">
          <w:rPr>
            <w:rStyle w:val="Hyperlink"/>
            <w:rFonts w:ascii="Verdana" w:hAnsi="Verdana"/>
            <w:noProof/>
            <w:sz w:val="20"/>
            <w:szCs w:val="20"/>
          </w:rPr>
          <w:t>CA14 - MEPR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_Toc293321450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89</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51" w:history="1">
        <w:r w:rsidR="00A10CDF" w:rsidRPr="0049678A">
          <w:rPr>
            <w:rStyle w:val="Hyperlink"/>
            <w:rFonts w:ascii="Verdana" w:hAnsi="Verdana"/>
            <w:noProof/>
            <w:sz w:val="20"/>
            <w:szCs w:val="20"/>
          </w:rPr>
          <w:t>O1 - Organization Unique Identifier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_Toc293321451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91</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52" w:history="1">
        <w:r w:rsidR="00A10CDF" w:rsidRPr="0049678A">
          <w:rPr>
            <w:rStyle w:val="Hyperlink"/>
            <w:rFonts w:ascii="Verdana" w:hAnsi="Verdana"/>
            <w:noProof/>
            <w:sz w:val="20"/>
            <w:szCs w:val="20"/>
          </w:rPr>
          <w:t>O2 - Agency Disbursing Identifier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_Toc293321452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93</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53" w:history="1">
        <w:r w:rsidR="00A10CDF" w:rsidRPr="0049678A">
          <w:rPr>
            <w:rStyle w:val="Hyperlink"/>
            <w:rFonts w:ascii="Verdana" w:hAnsi="Verdana"/>
            <w:noProof/>
            <w:sz w:val="20"/>
            <w:szCs w:val="20"/>
          </w:rPr>
          <w:t>O3 - Agency Accounting Identifier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_Toc293321453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95</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54" w:history="1">
        <w:r w:rsidR="00A10CDF" w:rsidRPr="0049678A">
          <w:rPr>
            <w:rStyle w:val="Hyperlink"/>
            <w:rFonts w:ascii="Verdana" w:hAnsi="Verdana"/>
            <w:noProof/>
            <w:sz w:val="20"/>
            <w:szCs w:val="20"/>
          </w:rPr>
          <w:t>T1 - Transaction Type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_Toc293321454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97</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55" w:history="1">
        <w:r w:rsidR="00A10CDF" w:rsidRPr="0049678A">
          <w:rPr>
            <w:rStyle w:val="Hyperlink"/>
            <w:rFonts w:ascii="Verdana" w:hAnsi="Verdana"/>
            <w:noProof/>
            <w:sz w:val="20"/>
            <w:szCs w:val="20"/>
          </w:rPr>
          <w:t>T2 - USSGL/DoD Account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_Toc293321455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99</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56" w:history="1">
        <w:r w:rsidR="00A10CDF" w:rsidRPr="0049678A">
          <w:rPr>
            <w:rStyle w:val="Hyperlink"/>
            <w:rFonts w:ascii="Verdana" w:hAnsi="Verdana"/>
            <w:noProof/>
            <w:sz w:val="20"/>
            <w:szCs w:val="20"/>
          </w:rPr>
          <w:t>T3 - Debit/Credit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_Toc293321456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101</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57" w:history="1">
        <w:r w:rsidR="00A10CDF" w:rsidRPr="0049678A">
          <w:rPr>
            <w:rStyle w:val="Hyperlink"/>
            <w:rFonts w:ascii="Verdana" w:hAnsi="Verdana"/>
            <w:noProof/>
            <w:sz w:val="20"/>
            <w:szCs w:val="20"/>
          </w:rPr>
          <w:t>T4 - Begin/End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_Toc293321457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103</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58" w:history="1">
        <w:r w:rsidR="00A10CDF" w:rsidRPr="0049678A">
          <w:rPr>
            <w:rStyle w:val="Hyperlink"/>
            <w:rFonts w:ascii="Verdana" w:hAnsi="Verdana"/>
            <w:noProof/>
            <w:sz w:val="20"/>
            <w:szCs w:val="20"/>
          </w:rPr>
          <w:t>T5 - Transaction Effective Date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_Toc293321458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105</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59" w:history="1">
        <w:r w:rsidR="00A10CDF" w:rsidRPr="0049678A">
          <w:rPr>
            <w:rStyle w:val="Hyperlink"/>
            <w:rFonts w:ascii="Verdana" w:hAnsi="Verdana"/>
            <w:noProof/>
            <w:sz w:val="20"/>
            <w:szCs w:val="20"/>
          </w:rPr>
          <w:t>T6 - Transaction Post Date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_Toc293321459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107</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60" w:history="1">
        <w:r w:rsidR="00A10CDF" w:rsidRPr="0049678A">
          <w:rPr>
            <w:rStyle w:val="Hyperlink"/>
            <w:rFonts w:ascii="Verdana" w:hAnsi="Verdana"/>
            <w:noProof/>
            <w:sz w:val="20"/>
            <w:szCs w:val="20"/>
          </w:rPr>
          <w:t>T7 - Transaction Amount</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_Toc293321460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109</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61" w:history="1">
        <w:r w:rsidR="00A10CDF" w:rsidRPr="0049678A">
          <w:rPr>
            <w:rStyle w:val="Hyperlink"/>
            <w:rFonts w:ascii="Verdana" w:hAnsi="Verdana"/>
            <w:noProof/>
            <w:sz w:val="20"/>
            <w:szCs w:val="20"/>
          </w:rPr>
          <w:t>T9 - Exchange/Non-Exchange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_Toc293321461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111</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62" w:history="1">
        <w:r w:rsidR="00A10CDF" w:rsidRPr="0049678A">
          <w:rPr>
            <w:rStyle w:val="Hyperlink"/>
            <w:rFonts w:ascii="Verdana" w:hAnsi="Verdana"/>
            <w:noProof/>
            <w:sz w:val="20"/>
            <w:szCs w:val="20"/>
          </w:rPr>
          <w:t>T10 - Custodial/Non-Custodial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_Toc293321462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113</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63" w:history="1">
        <w:r w:rsidR="00A10CDF" w:rsidRPr="0049678A">
          <w:rPr>
            <w:rStyle w:val="Hyperlink"/>
            <w:rFonts w:ascii="Verdana" w:hAnsi="Verdana"/>
            <w:noProof/>
            <w:sz w:val="20"/>
            <w:szCs w:val="20"/>
          </w:rPr>
          <w:t>T11 - Foreign Currency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_Toc293321463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115</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64" w:history="1">
        <w:r w:rsidR="00A10CDF" w:rsidRPr="0049678A">
          <w:rPr>
            <w:rStyle w:val="Hyperlink"/>
            <w:rFonts w:ascii="Verdana" w:hAnsi="Verdana"/>
            <w:noProof/>
            <w:sz w:val="20"/>
            <w:szCs w:val="20"/>
          </w:rPr>
          <w:t>T12 - Country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_Toc293321464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117</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65" w:history="1">
        <w:r w:rsidR="00A10CDF" w:rsidRPr="0049678A">
          <w:rPr>
            <w:rStyle w:val="Hyperlink"/>
            <w:rFonts w:ascii="Verdana" w:hAnsi="Verdana"/>
            <w:noProof/>
            <w:sz w:val="20"/>
            <w:szCs w:val="20"/>
          </w:rPr>
          <w:t>T13 - Entity/Non-Entity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_Toc293321465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119</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66" w:history="1">
        <w:r w:rsidR="00A10CDF" w:rsidRPr="0049678A">
          <w:rPr>
            <w:rStyle w:val="Hyperlink"/>
            <w:rFonts w:ascii="Verdana" w:hAnsi="Verdana"/>
            <w:noProof/>
            <w:sz w:val="20"/>
            <w:szCs w:val="20"/>
          </w:rPr>
          <w:t>T14 - Covered/Uncovered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_Toc293321466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121</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67" w:history="1">
        <w:r w:rsidR="00A10CDF" w:rsidRPr="0049678A">
          <w:rPr>
            <w:rStyle w:val="Hyperlink"/>
            <w:rFonts w:ascii="Verdana" w:hAnsi="Verdana"/>
            <w:noProof/>
            <w:sz w:val="20"/>
            <w:szCs w:val="20"/>
          </w:rPr>
          <w:t>T15 - Current/Non-current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_Toc293321467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123</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68" w:history="1">
        <w:r w:rsidR="00A10CDF" w:rsidRPr="0049678A">
          <w:rPr>
            <w:rStyle w:val="Hyperlink"/>
            <w:rFonts w:ascii="Verdana" w:hAnsi="Verdana"/>
            <w:noProof/>
            <w:sz w:val="20"/>
            <w:szCs w:val="20"/>
          </w:rPr>
          <w:t>T20 - Business Event Type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_Toc293321468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125</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69" w:history="1">
        <w:r w:rsidR="00A10CDF" w:rsidRPr="0049678A">
          <w:rPr>
            <w:rStyle w:val="Hyperlink"/>
            <w:rFonts w:ascii="Verdana" w:hAnsi="Verdana"/>
            <w:noProof/>
            <w:sz w:val="20"/>
            <w:szCs w:val="20"/>
          </w:rPr>
          <w:t>T21 - FMS Customer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_Toc293321469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126</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70" w:history="1">
        <w:r w:rsidR="00A10CDF" w:rsidRPr="0049678A">
          <w:rPr>
            <w:rStyle w:val="Hyperlink"/>
            <w:rFonts w:ascii="Verdana" w:hAnsi="Verdana"/>
            <w:noProof/>
            <w:sz w:val="20"/>
            <w:szCs w:val="20"/>
          </w:rPr>
          <w:t>T22 - FMS Case Identifier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_Toc293321470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128</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71" w:history="1">
        <w:r w:rsidR="00A10CDF" w:rsidRPr="0049678A">
          <w:rPr>
            <w:rStyle w:val="Hyperlink"/>
            <w:rFonts w:ascii="Verdana" w:hAnsi="Verdana"/>
            <w:noProof/>
            <w:sz w:val="20"/>
            <w:szCs w:val="20"/>
          </w:rPr>
          <w:t>T23 - FMS Case Line Item Identifier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_Toc293321471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130</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72" w:history="1">
        <w:r w:rsidR="00A10CDF" w:rsidRPr="0049678A">
          <w:rPr>
            <w:rStyle w:val="Hyperlink"/>
            <w:rFonts w:ascii="Verdana" w:hAnsi="Verdana"/>
            <w:noProof/>
            <w:sz w:val="20"/>
            <w:szCs w:val="20"/>
          </w:rPr>
          <w:t>TP1 - Federal/Non-Federal Indicator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_Toc293321472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132</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73" w:history="1">
        <w:r w:rsidR="00A10CDF" w:rsidRPr="0049678A">
          <w:rPr>
            <w:rStyle w:val="Hyperlink"/>
            <w:rFonts w:ascii="Verdana" w:hAnsi="Verdana"/>
            <w:noProof/>
            <w:sz w:val="20"/>
            <w:szCs w:val="20"/>
          </w:rPr>
          <w:t>TP2 - Trading Partner Indicator Code</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_Toc293321473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134</w:t>
        </w:r>
        <w:r w:rsidRPr="0049678A">
          <w:rPr>
            <w:rFonts w:ascii="Verdana" w:hAnsi="Verdana"/>
            <w:noProof/>
            <w:webHidden/>
            <w:sz w:val="20"/>
            <w:szCs w:val="20"/>
          </w:rPr>
          <w:fldChar w:fldCharType="end"/>
        </w:r>
      </w:hyperlink>
    </w:p>
    <w:p w:rsidR="00A10CDF" w:rsidRPr="0049678A" w:rsidRDefault="00402381" w:rsidP="00A10CDF">
      <w:pPr>
        <w:pStyle w:val="TOC1"/>
        <w:rPr>
          <w:rFonts w:ascii="Verdana" w:eastAsiaTheme="minorEastAsia" w:hAnsi="Verdana" w:cstheme="minorBidi"/>
          <w:noProof/>
          <w:sz w:val="20"/>
          <w:szCs w:val="20"/>
        </w:rPr>
      </w:pPr>
      <w:hyperlink w:anchor="_Toc293321474" w:history="1">
        <w:r w:rsidR="00A10CDF" w:rsidRPr="0049678A">
          <w:rPr>
            <w:rStyle w:val="Hyperlink"/>
            <w:rFonts w:ascii="Verdana" w:hAnsi="Verdana"/>
            <w:noProof/>
            <w:sz w:val="20"/>
            <w:szCs w:val="20"/>
          </w:rPr>
          <w:t>TP3 - Business Partner Number</w:t>
        </w:r>
        <w:r w:rsidR="00A10CDF" w:rsidRPr="0049678A">
          <w:rPr>
            <w:rFonts w:ascii="Verdana" w:hAnsi="Verdana"/>
            <w:noProof/>
            <w:webHidden/>
            <w:sz w:val="20"/>
            <w:szCs w:val="20"/>
          </w:rPr>
          <w:tab/>
        </w:r>
        <w:r w:rsidRPr="0049678A">
          <w:rPr>
            <w:rFonts w:ascii="Verdana" w:hAnsi="Verdana"/>
            <w:noProof/>
            <w:webHidden/>
            <w:sz w:val="20"/>
            <w:szCs w:val="20"/>
          </w:rPr>
          <w:fldChar w:fldCharType="begin"/>
        </w:r>
        <w:r w:rsidR="00A10CDF" w:rsidRPr="0049678A">
          <w:rPr>
            <w:rFonts w:ascii="Verdana" w:hAnsi="Verdana"/>
            <w:noProof/>
            <w:webHidden/>
            <w:sz w:val="20"/>
            <w:szCs w:val="20"/>
          </w:rPr>
          <w:instrText xml:space="preserve"> PAGEREF _Toc293321474 \h </w:instrText>
        </w:r>
        <w:r w:rsidRPr="0049678A">
          <w:rPr>
            <w:rFonts w:ascii="Verdana" w:hAnsi="Verdana"/>
            <w:noProof/>
            <w:webHidden/>
            <w:sz w:val="20"/>
            <w:szCs w:val="20"/>
          </w:rPr>
        </w:r>
        <w:r w:rsidRPr="0049678A">
          <w:rPr>
            <w:rFonts w:ascii="Verdana" w:hAnsi="Verdana"/>
            <w:noProof/>
            <w:webHidden/>
            <w:sz w:val="20"/>
            <w:szCs w:val="20"/>
          </w:rPr>
          <w:fldChar w:fldCharType="separate"/>
        </w:r>
        <w:r w:rsidR="00A10CDF" w:rsidRPr="0049678A">
          <w:rPr>
            <w:rFonts w:ascii="Verdana" w:hAnsi="Verdana"/>
            <w:noProof/>
            <w:webHidden/>
            <w:sz w:val="20"/>
            <w:szCs w:val="20"/>
          </w:rPr>
          <w:t>136</w:t>
        </w:r>
        <w:r w:rsidRPr="0049678A">
          <w:rPr>
            <w:rFonts w:ascii="Verdana" w:hAnsi="Verdana"/>
            <w:noProof/>
            <w:webHidden/>
            <w:sz w:val="20"/>
            <w:szCs w:val="20"/>
          </w:rPr>
          <w:fldChar w:fldCharType="end"/>
        </w:r>
      </w:hyperlink>
    </w:p>
    <w:p w:rsidR="00A10CDF" w:rsidRPr="0049678A" w:rsidRDefault="00402381" w:rsidP="00A10CDF">
      <w:pPr>
        <w:pStyle w:val="Heading1"/>
        <w:rPr>
          <w:rFonts w:ascii="Verdana" w:hAnsi="Verdana"/>
          <w:noProof/>
          <w:sz w:val="20"/>
          <w:szCs w:val="20"/>
        </w:rPr>
      </w:pPr>
      <w:r w:rsidRPr="0049678A">
        <w:rPr>
          <w:rFonts w:ascii="Verdana" w:hAnsi="Verdana"/>
          <w:sz w:val="20"/>
          <w:szCs w:val="20"/>
        </w:rPr>
        <w:fldChar w:fldCharType="end"/>
      </w:r>
    </w:p>
    <w:p w:rsidR="00A10CDF" w:rsidRPr="0049678A" w:rsidRDefault="00A10CDF" w:rsidP="00A10CDF">
      <w:pPr>
        <w:spacing w:after="0" w:line="240" w:lineRule="auto"/>
        <w:rPr>
          <w:rFonts w:ascii="Verdana" w:hAnsi="Verdana"/>
          <w:noProof/>
          <w:sz w:val="20"/>
          <w:szCs w:val="20"/>
        </w:rPr>
      </w:pPr>
      <w:r w:rsidRPr="0049678A">
        <w:rPr>
          <w:rFonts w:ascii="Verdana" w:hAnsi="Verdana"/>
          <w:noProof/>
          <w:sz w:val="20"/>
          <w:szCs w:val="20"/>
        </w:rPr>
        <w:br w:type="page"/>
      </w:r>
    </w:p>
    <w:p w:rsidR="00A10CDF" w:rsidRPr="0049678A" w:rsidRDefault="00A10CDF" w:rsidP="00A10CDF">
      <w:pPr>
        <w:pStyle w:val="Heading1"/>
        <w:rPr>
          <w:rFonts w:ascii="Verdana" w:hAnsi="Verdana"/>
          <w:sz w:val="20"/>
          <w:szCs w:val="20"/>
        </w:rPr>
      </w:pPr>
      <w:bookmarkStart w:id="0" w:name="_Toc291077311"/>
      <w:bookmarkStart w:id="1" w:name="_Toc293321408"/>
      <w:r w:rsidRPr="0049678A">
        <w:rPr>
          <w:rFonts w:ascii="Verdana" w:hAnsi="Verdana"/>
          <w:sz w:val="20"/>
          <w:szCs w:val="20"/>
        </w:rPr>
        <w:lastRenderedPageBreak/>
        <w:t>Acronym List</w:t>
      </w:r>
      <w:bookmarkEnd w:id="0"/>
      <w:bookmarkEnd w:id="1"/>
      <w:r w:rsidRPr="0049678A">
        <w:rPr>
          <w:rFonts w:ascii="Verdana" w:hAnsi="Verdana"/>
          <w:sz w:val="20"/>
          <w:szCs w:val="20"/>
        </w:rPr>
        <w:t xml:space="preserve"> </w:t>
      </w:r>
    </w:p>
    <w:tbl>
      <w:tblPr>
        <w:tblW w:w="8231" w:type="dxa"/>
        <w:tblInd w:w="94" w:type="dxa"/>
        <w:tblLook w:val="04A0"/>
      </w:tblPr>
      <w:tblGrid>
        <w:gridCol w:w="1240"/>
        <w:gridCol w:w="6800"/>
        <w:gridCol w:w="287"/>
      </w:tblGrid>
      <w:tr w:rsidR="00A10CDF" w:rsidRPr="0049678A" w:rsidTr="004F7F27">
        <w:trPr>
          <w:trHeight w:val="300"/>
        </w:trPr>
        <w:tc>
          <w:tcPr>
            <w:tcW w:w="1160" w:type="dxa"/>
            <w:tcBorders>
              <w:top w:val="nil"/>
              <w:left w:val="nil"/>
              <w:bottom w:val="nil"/>
              <w:right w:val="nil"/>
            </w:tcBorders>
            <w:shd w:val="clear" w:color="000000" w:fill="2E6EBC"/>
            <w:noWrap/>
            <w:vAlign w:val="center"/>
            <w:hideMark/>
          </w:tcPr>
          <w:p w:rsidR="00A10CDF" w:rsidRPr="0049678A" w:rsidRDefault="00A10CDF" w:rsidP="004F7F27">
            <w:pPr>
              <w:spacing w:after="0" w:line="240" w:lineRule="auto"/>
              <w:jc w:val="center"/>
              <w:rPr>
                <w:rFonts w:ascii="Verdana" w:eastAsia="Times New Roman" w:hAnsi="Verdana"/>
                <w:color w:val="FFFFFF"/>
                <w:sz w:val="20"/>
                <w:szCs w:val="20"/>
              </w:rPr>
            </w:pPr>
            <w:r w:rsidRPr="0049678A">
              <w:rPr>
                <w:rFonts w:ascii="Verdana" w:eastAsia="Times New Roman" w:hAnsi="Verdana"/>
                <w:color w:val="FFFFFF"/>
                <w:sz w:val="20"/>
                <w:szCs w:val="20"/>
              </w:rPr>
              <w:t>Term</w:t>
            </w:r>
          </w:p>
        </w:tc>
        <w:tc>
          <w:tcPr>
            <w:tcW w:w="6800" w:type="dxa"/>
            <w:tcBorders>
              <w:top w:val="nil"/>
              <w:left w:val="nil"/>
              <w:bottom w:val="nil"/>
              <w:right w:val="nil"/>
            </w:tcBorders>
            <w:shd w:val="clear" w:color="000000" w:fill="2E6EBC"/>
            <w:noWrap/>
            <w:vAlign w:val="center"/>
            <w:hideMark/>
          </w:tcPr>
          <w:p w:rsidR="00A10CDF" w:rsidRPr="0049678A" w:rsidRDefault="00A10CDF" w:rsidP="004F7F27">
            <w:pPr>
              <w:spacing w:after="0" w:line="240" w:lineRule="auto"/>
              <w:jc w:val="center"/>
              <w:rPr>
                <w:rFonts w:ascii="Verdana" w:eastAsia="Times New Roman" w:hAnsi="Verdana"/>
                <w:color w:val="FFFFFF"/>
                <w:sz w:val="20"/>
                <w:szCs w:val="20"/>
              </w:rPr>
            </w:pPr>
            <w:r w:rsidRPr="0049678A">
              <w:rPr>
                <w:rFonts w:ascii="Verdana" w:eastAsia="Times New Roman" w:hAnsi="Verdana"/>
                <w:color w:val="FFFFFF"/>
                <w:sz w:val="20"/>
                <w:szCs w:val="20"/>
              </w:rPr>
              <w:t>Definition</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135"/>
        </w:trPr>
        <w:tc>
          <w:tcPr>
            <w:tcW w:w="1160" w:type="dxa"/>
            <w:tcBorders>
              <w:top w:val="nil"/>
              <w:left w:val="nil"/>
              <w:bottom w:val="nil"/>
              <w:right w:val="nil"/>
            </w:tcBorders>
            <w:shd w:val="clear" w:color="auto" w:fill="auto"/>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p>
        </w:tc>
        <w:tc>
          <w:tcPr>
            <w:tcW w:w="6800" w:type="dxa"/>
            <w:tcBorders>
              <w:top w:val="nil"/>
              <w:left w:val="nil"/>
              <w:bottom w:val="nil"/>
              <w:right w:val="nil"/>
            </w:tcBorders>
            <w:shd w:val="clear" w:color="auto" w:fill="auto"/>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AP</w:t>
            </w:r>
          </w:p>
        </w:tc>
        <w:tc>
          <w:tcPr>
            <w:tcW w:w="6800" w:type="dxa"/>
            <w:tcBorders>
              <w:top w:val="nil"/>
              <w:left w:val="nil"/>
              <w:bottom w:val="nil"/>
              <w:right w:val="nil"/>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Accounts Payables</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BCS</w:t>
            </w:r>
          </w:p>
        </w:tc>
        <w:tc>
          <w:tcPr>
            <w:tcW w:w="6800" w:type="dxa"/>
            <w:tcBorders>
              <w:top w:val="nil"/>
              <w:left w:val="nil"/>
              <w:bottom w:val="nil"/>
              <w:right w:val="nil"/>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Budget Control System</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BEA</w:t>
            </w:r>
          </w:p>
        </w:tc>
        <w:tc>
          <w:tcPr>
            <w:tcW w:w="6800" w:type="dxa"/>
            <w:tcBorders>
              <w:top w:val="nil"/>
              <w:left w:val="nil"/>
              <w:bottom w:val="nil"/>
              <w:right w:val="nil"/>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xml:space="preserve">Budget Enforcement Act </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noWrap/>
            <w:vAlign w:val="bottom"/>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BEA</w:t>
            </w:r>
          </w:p>
        </w:tc>
        <w:tc>
          <w:tcPr>
            <w:tcW w:w="6800" w:type="dxa"/>
            <w:tcBorders>
              <w:top w:val="nil"/>
              <w:left w:val="nil"/>
              <w:bottom w:val="nil"/>
              <w:right w:val="nil"/>
            </w:tcBorders>
            <w:shd w:val="clear" w:color="auto" w:fill="auto"/>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Business Enterprise Architecture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BETC</w:t>
            </w:r>
          </w:p>
        </w:tc>
        <w:tc>
          <w:tcPr>
            <w:tcW w:w="6800" w:type="dxa"/>
            <w:tcBorders>
              <w:top w:val="nil"/>
              <w:left w:val="nil"/>
              <w:bottom w:val="nil"/>
              <w:right w:val="nil"/>
            </w:tcBorders>
            <w:shd w:val="clear" w:color="000000" w:fill="C3D6FD"/>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xml:space="preserve">Business Event Type Code </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BPN</w:t>
            </w:r>
          </w:p>
        </w:tc>
        <w:tc>
          <w:tcPr>
            <w:tcW w:w="6800" w:type="dxa"/>
            <w:tcBorders>
              <w:top w:val="nil"/>
              <w:left w:val="nil"/>
              <w:bottom w:val="nil"/>
              <w:right w:val="nil"/>
            </w:tcBorders>
            <w:shd w:val="clear" w:color="auto" w:fill="auto"/>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xml:space="preserve">Business Partner Number </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BTA</w:t>
            </w:r>
          </w:p>
        </w:tc>
        <w:tc>
          <w:tcPr>
            <w:tcW w:w="6800" w:type="dxa"/>
            <w:tcBorders>
              <w:top w:val="nil"/>
              <w:left w:val="nil"/>
              <w:bottom w:val="nil"/>
              <w:right w:val="nil"/>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Business Transformation Agency</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CO</w:t>
            </w:r>
          </w:p>
        </w:tc>
        <w:tc>
          <w:tcPr>
            <w:tcW w:w="6800" w:type="dxa"/>
            <w:tcBorders>
              <w:top w:val="nil"/>
              <w:left w:val="nil"/>
              <w:bottom w:val="nil"/>
              <w:right w:val="nil"/>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SAP Controlling Module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COE</w:t>
            </w:r>
          </w:p>
        </w:tc>
        <w:tc>
          <w:tcPr>
            <w:tcW w:w="6800" w:type="dxa"/>
            <w:tcBorders>
              <w:top w:val="nil"/>
              <w:left w:val="nil"/>
              <w:bottom w:val="nil"/>
              <w:right w:val="nil"/>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Center of Excellence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DAI</w:t>
            </w:r>
          </w:p>
        </w:tc>
        <w:tc>
          <w:tcPr>
            <w:tcW w:w="6800" w:type="dxa"/>
            <w:tcBorders>
              <w:top w:val="nil"/>
              <w:left w:val="nil"/>
              <w:bottom w:val="nil"/>
              <w:right w:val="nil"/>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Defense Agencies Initiative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DISA</w:t>
            </w:r>
          </w:p>
        </w:tc>
        <w:tc>
          <w:tcPr>
            <w:tcW w:w="6800" w:type="dxa"/>
            <w:tcBorders>
              <w:top w:val="nil"/>
              <w:left w:val="nil"/>
              <w:bottom w:val="nil"/>
              <w:right w:val="nil"/>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Defense Information Systems Agency</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DIT</w:t>
            </w:r>
          </w:p>
        </w:tc>
        <w:tc>
          <w:tcPr>
            <w:tcW w:w="6800" w:type="dxa"/>
            <w:tcBorders>
              <w:top w:val="nil"/>
              <w:left w:val="nil"/>
              <w:bottom w:val="nil"/>
              <w:right w:val="nil"/>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Disbursements-In-Transit</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proofErr w:type="spellStart"/>
            <w:r w:rsidRPr="0049678A">
              <w:rPr>
                <w:rFonts w:ascii="Verdana" w:eastAsia="Times New Roman" w:hAnsi="Verdana"/>
                <w:color w:val="000000"/>
                <w:sz w:val="20"/>
                <w:szCs w:val="20"/>
              </w:rPr>
              <w:t>DoD</w:t>
            </w:r>
            <w:proofErr w:type="spellEnd"/>
          </w:p>
        </w:tc>
        <w:tc>
          <w:tcPr>
            <w:tcW w:w="6800" w:type="dxa"/>
            <w:tcBorders>
              <w:top w:val="nil"/>
              <w:left w:val="nil"/>
              <w:bottom w:val="nil"/>
              <w:right w:val="nil"/>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Department of Defense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DSSN</w:t>
            </w:r>
          </w:p>
        </w:tc>
        <w:tc>
          <w:tcPr>
            <w:tcW w:w="6800" w:type="dxa"/>
            <w:tcBorders>
              <w:top w:val="nil"/>
              <w:left w:val="nil"/>
              <w:bottom w:val="nil"/>
              <w:right w:val="nil"/>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xml:space="preserve">Agency Disbursing Identifier </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DUNS</w:t>
            </w:r>
          </w:p>
        </w:tc>
        <w:tc>
          <w:tcPr>
            <w:tcW w:w="6800" w:type="dxa"/>
            <w:tcBorders>
              <w:top w:val="nil"/>
              <w:left w:val="nil"/>
              <w:bottom w:val="nil"/>
              <w:right w:val="nil"/>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Data Universal Numbering System</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ECSS</w:t>
            </w:r>
          </w:p>
        </w:tc>
        <w:tc>
          <w:tcPr>
            <w:tcW w:w="6800" w:type="dxa"/>
            <w:tcBorders>
              <w:top w:val="nil"/>
              <w:left w:val="nil"/>
              <w:bottom w:val="nil"/>
              <w:right w:val="nil"/>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Expeditionary Combat Support System (ERP System)</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EI</w:t>
            </w:r>
          </w:p>
        </w:tc>
        <w:tc>
          <w:tcPr>
            <w:tcW w:w="6800" w:type="dxa"/>
            <w:tcBorders>
              <w:top w:val="nil"/>
              <w:left w:val="nil"/>
              <w:bottom w:val="nil"/>
              <w:right w:val="nil"/>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xml:space="preserve">BTA Enterprise Integration </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EP</w:t>
            </w:r>
          </w:p>
        </w:tc>
        <w:tc>
          <w:tcPr>
            <w:tcW w:w="6800" w:type="dxa"/>
            <w:tcBorders>
              <w:top w:val="nil"/>
              <w:left w:val="nil"/>
              <w:bottom w:val="nil"/>
              <w:right w:val="nil"/>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SAP Enterprise Portal</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ERP</w:t>
            </w:r>
          </w:p>
        </w:tc>
        <w:tc>
          <w:tcPr>
            <w:tcW w:w="6800" w:type="dxa"/>
            <w:tcBorders>
              <w:top w:val="nil"/>
              <w:left w:val="nil"/>
              <w:bottom w:val="nil"/>
              <w:right w:val="nil"/>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Enterprise Resource Planning</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FACTS</w:t>
            </w:r>
          </w:p>
        </w:tc>
        <w:tc>
          <w:tcPr>
            <w:tcW w:w="6800" w:type="dxa"/>
            <w:tcBorders>
              <w:top w:val="nil"/>
              <w:left w:val="nil"/>
              <w:bottom w:val="nil"/>
              <w:right w:val="nil"/>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Federal Agencies' Centralized Trial-Balance System</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FBT</w:t>
            </w:r>
          </w:p>
        </w:tc>
        <w:tc>
          <w:tcPr>
            <w:tcW w:w="6800" w:type="dxa"/>
            <w:tcBorders>
              <w:top w:val="nil"/>
              <w:left w:val="nil"/>
              <w:bottom w:val="nil"/>
              <w:right w:val="nil"/>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Funds Balance with Treasury</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FI</w:t>
            </w:r>
          </w:p>
        </w:tc>
        <w:tc>
          <w:tcPr>
            <w:tcW w:w="6800" w:type="dxa"/>
            <w:tcBorders>
              <w:top w:val="nil"/>
              <w:left w:val="nil"/>
              <w:bottom w:val="nil"/>
              <w:right w:val="nil"/>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SAP Finance Module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FM</w:t>
            </w:r>
          </w:p>
        </w:tc>
        <w:tc>
          <w:tcPr>
            <w:tcW w:w="6800" w:type="dxa"/>
            <w:tcBorders>
              <w:top w:val="nil"/>
              <w:left w:val="nil"/>
              <w:bottom w:val="nil"/>
              <w:right w:val="nil"/>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SAP Funds Management Module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FMS</w:t>
            </w:r>
          </w:p>
        </w:tc>
        <w:tc>
          <w:tcPr>
            <w:tcW w:w="6800" w:type="dxa"/>
            <w:tcBorders>
              <w:top w:val="nil"/>
              <w:left w:val="nil"/>
              <w:bottom w:val="nil"/>
              <w:right w:val="nil"/>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Foreign Military Sales</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FY</w:t>
            </w:r>
          </w:p>
        </w:tc>
        <w:tc>
          <w:tcPr>
            <w:tcW w:w="6800" w:type="dxa"/>
            <w:tcBorders>
              <w:top w:val="nil"/>
              <w:left w:val="nil"/>
              <w:bottom w:val="nil"/>
              <w:right w:val="nil"/>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Fiscal Year</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nil"/>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GFEBS</w:t>
            </w:r>
          </w:p>
        </w:tc>
        <w:tc>
          <w:tcPr>
            <w:tcW w:w="6800" w:type="dxa"/>
            <w:tcBorders>
              <w:top w:val="nil"/>
              <w:left w:val="dotted" w:sz="4" w:space="0" w:color="auto"/>
              <w:bottom w:val="nil"/>
              <w:right w:val="nil"/>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General Fund Enterprise Business System (ERP System)</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GL</w:t>
            </w:r>
          </w:p>
        </w:tc>
        <w:tc>
          <w:tcPr>
            <w:tcW w:w="6800" w:type="dxa"/>
            <w:tcBorders>
              <w:top w:val="nil"/>
              <w:left w:val="nil"/>
              <w:bottom w:val="nil"/>
              <w:right w:val="nil"/>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General Ledger</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HTTPS</w:t>
            </w:r>
          </w:p>
        </w:tc>
        <w:tc>
          <w:tcPr>
            <w:tcW w:w="6800" w:type="dxa"/>
            <w:tcBorders>
              <w:top w:val="nil"/>
              <w:left w:val="nil"/>
              <w:bottom w:val="nil"/>
              <w:right w:val="nil"/>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Hypertext Transfer Protocol Secure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ISO</w:t>
            </w:r>
          </w:p>
        </w:tc>
        <w:tc>
          <w:tcPr>
            <w:tcW w:w="6800" w:type="dxa"/>
            <w:tcBorders>
              <w:top w:val="nil"/>
              <w:left w:val="nil"/>
              <w:bottom w:val="nil"/>
              <w:right w:val="nil"/>
            </w:tcBorders>
            <w:shd w:val="clear" w:color="000000" w:fill="C3D6FD"/>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International Organization for Standardization</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MEPR</w:t>
            </w:r>
          </w:p>
        </w:tc>
        <w:tc>
          <w:tcPr>
            <w:tcW w:w="6800" w:type="dxa"/>
            <w:tcBorders>
              <w:top w:val="nil"/>
              <w:left w:val="nil"/>
              <w:bottom w:val="nil"/>
              <w:right w:val="nil"/>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xml:space="preserve">Medical Expense and Performance Reporting </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MILCON</w:t>
            </w:r>
          </w:p>
        </w:tc>
        <w:tc>
          <w:tcPr>
            <w:tcW w:w="6800" w:type="dxa"/>
            <w:tcBorders>
              <w:top w:val="nil"/>
              <w:left w:val="nil"/>
              <w:bottom w:val="nil"/>
              <w:right w:val="nil"/>
            </w:tcBorders>
            <w:shd w:val="clear" w:color="000000" w:fill="C3D6FD"/>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Military Construction</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MILPERS</w:t>
            </w:r>
          </w:p>
        </w:tc>
        <w:tc>
          <w:tcPr>
            <w:tcW w:w="6800" w:type="dxa"/>
            <w:tcBorders>
              <w:top w:val="nil"/>
              <w:left w:val="nil"/>
              <w:bottom w:val="nil"/>
              <w:right w:val="nil"/>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Military Personnel</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MTF</w:t>
            </w:r>
          </w:p>
        </w:tc>
        <w:tc>
          <w:tcPr>
            <w:tcW w:w="6800" w:type="dxa"/>
            <w:tcBorders>
              <w:top w:val="nil"/>
              <w:left w:val="nil"/>
              <w:bottom w:val="nil"/>
              <w:right w:val="nil"/>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Medical Treatment Facility</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O&amp;M</w:t>
            </w:r>
          </w:p>
        </w:tc>
        <w:tc>
          <w:tcPr>
            <w:tcW w:w="6800" w:type="dxa"/>
            <w:tcBorders>
              <w:top w:val="nil"/>
              <w:left w:val="nil"/>
              <w:bottom w:val="nil"/>
              <w:right w:val="nil"/>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Operations &amp; Maintenance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OMB</w:t>
            </w:r>
          </w:p>
        </w:tc>
        <w:tc>
          <w:tcPr>
            <w:tcW w:w="6800" w:type="dxa"/>
            <w:tcBorders>
              <w:top w:val="nil"/>
              <w:left w:val="nil"/>
              <w:bottom w:val="nil"/>
              <w:right w:val="nil"/>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Office of Management and Budget</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OSD</w:t>
            </w:r>
          </w:p>
        </w:tc>
        <w:tc>
          <w:tcPr>
            <w:tcW w:w="6800" w:type="dxa"/>
            <w:tcBorders>
              <w:top w:val="nil"/>
              <w:left w:val="nil"/>
              <w:bottom w:val="nil"/>
              <w:right w:val="nil"/>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Office of the Secretary of Defense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OUID</w:t>
            </w:r>
          </w:p>
        </w:tc>
        <w:tc>
          <w:tcPr>
            <w:tcW w:w="6800" w:type="dxa"/>
            <w:tcBorders>
              <w:top w:val="nil"/>
              <w:left w:val="nil"/>
              <w:bottom w:val="nil"/>
              <w:right w:val="nil"/>
            </w:tcBorders>
            <w:shd w:val="clear" w:color="000000" w:fill="C3D6FD"/>
            <w:noWrap/>
            <w:vAlign w:val="bottom"/>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xml:space="preserve">Organization Unique Identifier </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OUSD</w:t>
            </w:r>
          </w:p>
        </w:tc>
        <w:tc>
          <w:tcPr>
            <w:tcW w:w="6800" w:type="dxa"/>
            <w:tcBorders>
              <w:top w:val="nil"/>
              <w:left w:val="nil"/>
              <w:bottom w:val="nil"/>
              <w:right w:val="nil"/>
            </w:tcBorders>
            <w:shd w:val="clear" w:color="auto" w:fill="auto"/>
            <w:noWrap/>
            <w:vAlign w:val="bottom"/>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xml:space="preserve">Office of the Under Secretary of Defense </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PS</w:t>
            </w:r>
          </w:p>
        </w:tc>
        <w:tc>
          <w:tcPr>
            <w:tcW w:w="6800" w:type="dxa"/>
            <w:tcBorders>
              <w:top w:val="nil"/>
              <w:left w:val="nil"/>
              <w:bottom w:val="nil"/>
              <w:right w:val="nil"/>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SAP Project Systems Module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lastRenderedPageBreak/>
              <w:t>RDT&amp;E</w:t>
            </w:r>
          </w:p>
        </w:tc>
        <w:tc>
          <w:tcPr>
            <w:tcW w:w="6800" w:type="dxa"/>
            <w:tcBorders>
              <w:top w:val="nil"/>
              <w:left w:val="nil"/>
              <w:bottom w:val="nil"/>
              <w:right w:val="nil"/>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Research, Development, Test &amp; Evaluation</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RPUID</w:t>
            </w:r>
          </w:p>
        </w:tc>
        <w:tc>
          <w:tcPr>
            <w:tcW w:w="6800" w:type="dxa"/>
            <w:tcBorders>
              <w:top w:val="nil"/>
              <w:left w:val="nil"/>
              <w:bottom w:val="nil"/>
              <w:right w:val="nil"/>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xml:space="preserve">Real Property Unique Identifier </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SAG</w:t>
            </w:r>
          </w:p>
        </w:tc>
        <w:tc>
          <w:tcPr>
            <w:tcW w:w="6800" w:type="dxa"/>
            <w:tcBorders>
              <w:top w:val="nil"/>
              <w:left w:val="nil"/>
              <w:bottom w:val="nil"/>
              <w:right w:val="nil"/>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Sub Account Group</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Service(s)</w:t>
            </w:r>
          </w:p>
        </w:tc>
        <w:tc>
          <w:tcPr>
            <w:tcW w:w="6800" w:type="dxa"/>
            <w:tcBorders>
              <w:top w:val="nil"/>
              <w:left w:val="nil"/>
              <w:bottom w:val="nil"/>
              <w:right w:val="nil"/>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Service(s) in this document refer to Web Service(s)</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SF</w:t>
            </w:r>
          </w:p>
        </w:tc>
        <w:tc>
          <w:tcPr>
            <w:tcW w:w="6800" w:type="dxa"/>
            <w:tcBorders>
              <w:top w:val="nil"/>
              <w:left w:val="nil"/>
              <w:bottom w:val="nil"/>
              <w:right w:val="nil"/>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Standard Form</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nil"/>
            </w:tcBorders>
            <w:shd w:val="clear" w:color="000000" w:fill="C3D6FD"/>
            <w:noWrap/>
            <w:vAlign w:val="bottom"/>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SFIS</w:t>
            </w:r>
          </w:p>
        </w:tc>
        <w:tc>
          <w:tcPr>
            <w:tcW w:w="6800" w:type="dxa"/>
            <w:tcBorders>
              <w:top w:val="nil"/>
              <w:left w:val="dotted" w:sz="4" w:space="0" w:color="auto"/>
              <w:bottom w:val="nil"/>
              <w:right w:val="nil"/>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Standard Financial Information Structure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auto" w:fill="auto"/>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SGL</w:t>
            </w:r>
          </w:p>
        </w:tc>
        <w:tc>
          <w:tcPr>
            <w:tcW w:w="6800" w:type="dxa"/>
            <w:tcBorders>
              <w:top w:val="nil"/>
              <w:left w:val="nil"/>
              <w:bottom w:val="nil"/>
              <w:right w:val="nil"/>
            </w:tcBorders>
            <w:shd w:val="clear" w:color="auto" w:fill="auto"/>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Standard General Ledger</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dotted" w:sz="4" w:space="0" w:color="auto"/>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SME</w:t>
            </w:r>
          </w:p>
        </w:tc>
        <w:tc>
          <w:tcPr>
            <w:tcW w:w="6800" w:type="dxa"/>
            <w:tcBorders>
              <w:top w:val="nil"/>
              <w:left w:val="nil"/>
              <w:bottom w:val="nil"/>
              <w:right w:val="nil"/>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Subject Matter Expert</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nil"/>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SSL</w:t>
            </w:r>
          </w:p>
        </w:tc>
        <w:tc>
          <w:tcPr>
            <w:tcW w:w="6800" w:type="dxa"/>
            <w:tcBorders>
              <w:top w:val="nil"/>
              <w:left w:val="dotted" w:sz="4" w:space="0" w:color="auto"/>
              <w:bottom w:val="nil"/>
              <w:right w:val="nil"/>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Secure Sockets Layer</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nil"/>
            </w:tcBorders>
            <w:shd w:val="clear" w:color="000000" w:fill="C3D6FD"/>
            <w:noWrap/>
            <w:vAlign w:val="bottom"/>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TAFS</w:t>
            </w:r>
          </w:p>
        </w:tc>
        <w:tc>
          <w:tcPr>
            <w:tcW w:w="6800" w:type="dxa"/>
            <w:tcBorders>
              <w:top w:val="nil"/>
              <w:left w:val="dotted" w:sz="4" w:space="0" w:color="auto"/>
              <w:bottom w:val="nil"/>
              <w:right w:val="nil"/>
            </w:tcBorders>
            <w:shd w:val="clear" w:color="000000" w:fill="C3D6FD"/>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xml:space="preserve">Treasury Appropriation Fund Symbol </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nil"/>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UID</w:t>
            </w:r>
          </w:p>
        </w:tc>
        <w:tc>
          <w:tcPr>
            <w:tcW w:w="6800" w:type="dxa"/>
            <w:tcBorders>
              <w:top w:val="nil"/>
              <w:left w:val="dotted" w:sz="4" w:space="0" w:color="auto"/>
              <w:bottom w:val="nil"/>
              <w:right w:val="nil"/>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xml:space="preserve">Unique Asset ID </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nil"/>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UII</w:t>
            </w:r>
          </w:p>
        </w:tc>
        <w:tc>
          <w:tcPr>
            <w:tcW w:w="6800" w:type="dxa"/>
            <w:tcBorders>
              <w:top w:val="nil"/>
              <w:left w:val="dotted" w:sz="4" w:space="0" w:color="auto"/>
              <w:bottom w:val="nil"/>
              <w:right w:val="nil"/>
            </w:tcBorders>
            <w:shd w:val="clear" w:color="000000" w:fill="C3D6FD"/>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xml:space="preserve">Unique Item Identifier </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nil"/>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USC</w:t>
            </w:r>
          </w:p>
        </w:tc>
        <w:tc>
          <w:tcPr>
            <w:tcW w:w="6800" w:type="dxa"/>
            <w:tcBorders>
              <w:top w:val="nil"/>
              <w:left w:val="dotted" w:sz="4" w:space="0" w:color="auto"/>
              <w:bottom w:val="nil"/>
              <w:right w:val="nil"/>
            </w:tcBorders>
            <w:shd w:val="clear" w:color="auto" w:fill="auto"/>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United States Code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nil"/>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USSGL</w:t>
            </w:r>
          </w:p>
        </w:tc>
        <w:tc>
          <w:tcPr>
            <w:tcW w:w="6800" w:type="dxa"/>
            <w:tcBorders>
              <w:top w:val="nil"/>
              <w:left w:val="dotted" w:sz="4" w:space="0" w:color="auto"/>
              <w:bottom w:val="nil"/>
              <w:right w:val="nil"/>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United States Standard General Ledger</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nil"/>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WBS</w:t>
            </w:r>
          </w:p>
        </w:tc>
        <w:tc>
          <w:tcPr>
            <w:tcW w:w="6800" w:type="dxa"/>
            <w:tcBorders>
              <w:top w:val="nil"/>
              <w:left w:val="dotted" w:sz="4" w:space="0" w:color="auto"/>
              <w:bottom w:val="nil"/>
              <w:right w:val="nil"/>
            </w:tcBorders>
            <w:shd w:val="clear" w:color="auto" w:fill="auto"/>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Work Break Down Structure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nil"/>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WCF</w:t>
            </w:r>
          </w:p>
        </w:tc>
        <w:tc>
          <w:tcPr>
            <w:tcW w:w="6800" w:type="dxa"/>
            <w:tcBorders>
              <w:top w:val="nil"/>
              <w:left w:val="dotted" w:sz="4" w:space="0" w:color="auto"/>
              <w:bottom w:val="nil"/>
              <w:right w:val="nil"/>
            </w:tcBorders>
            <w:shd w:val="clear" w:color="000000" w:fill="C3D6FD"/>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Working Capital Fund</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300"/>
        </w:trPr>
        <w:tc>
          <w:tcPr>
            <w:tcW w:w="1160" w:type="dxa"/>
            <w:tcBorders>
              <w:top w:val="nil"/>
              <w:left w:val="nil"/>
              <w:bottom w:val="nil"/>
              <w:right w:val="nil"/>
            </w:tcBorders>
            <w:shd w:val="clear" w:color="000000" w:fill="FFFFFF"/>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XML</w:t>
            </w:r>
          </w:p>
        </w:tc>
        <w:tc>
          <w:tcPr>
            <w:tcW w:w="6800" w:type="dxa"/>
            <w:tcBorders>
              <w:top w:val="nil"/>
              <w:left w:val="dotted" w:sz="4" w:space="0" w:color="auto"/>
              <w:bottom w:val="nil"/>
              <w:right w:val="nil"/>
            </w:tcBorders>
            <w:shd w:val="clear" w:color="000000" w:fill="FFFFFF"/>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Extensible Markup Language</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r w:rsidR="00A10CDF" w:rsidRPr="0049678A" w:rsidTr="004F7F27">
        <w:trPr>
          <w:trHeight w:val="180"/>
        </w:trPr>
        <w:tc>
          <w:tcPr>
            <w:tcW w:w="1160"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c>
          <w:tcPr>
            <w:tcW w:w="6800"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c>
          <w:tcPr>
            <w:tcW w:w="271" w:type="dxa"/>
            <w:tcBorders>
              <w:top w:val="nil"/>
              <w:left w:val="nil"/>
              <w:bottom w:val="nil"/>
              <w:right w:val="nil"/>
            </w:tcBorders>
            <w:shd w:val="clear" w:color="000000" w:fill="FFFFFF"/>
            <w:noWrap/>
            <w:vAlign w:val="center"/>
            <w:hideMark/>
          </w:tcPr>
          <w:p w:rsidR="00A10CDF" w:rsidRPr="0049678A" w:rsidRDefault="00A10CDF" w:rsidP="004F7F27">
            <w:pPr>
              <w:spacing w:after="0" w:line="240" w:lineRule="auto"/>
              <w:rPr>
                <w:rFonts w:ascii="Verdana" w:eastAsia="Times New Roman" w:hAnsi="Verdana"/>
                <w:color w:val="000000"/>
                <w:sz w:val="20"/>
                <w:szCs w:val="20"/>
              </w:rPr>
            </w:pPr>
            <w:r w:rsidRPr="0049678A">
              <w:rPr>
                <w:rFonts w:ascii="Verdana" w:eastAsia="Times New Roman" w:hAnsi="Verdana"/>
                <w:color w:val="000000"/>
                <w:sz w:val="20"/>
                <w:szCs w:val="20"/>
              </w:rPr>
              <w:t> </w:t>
            </w:r>
          </w:p>
        </w:tc>
      </w:tr>
    </w:tbl>
    <w:p w:rsidR="00A10CDF" w:rsidRPr="0049678A" w:rsidRDefault="00A10CDF" w:rsidP="00A10CDF">
      <w:pPr>
        <w:spacing w:after="0"/>
        <w:rPr>
          <w:rFonts w:ascii="Verdana" w:hAnsi="Verdana"/>
          <w:color w:val="003A63"/>
          <w:sz w:val="20"/>
          <w:szCs w:val="20"/>
        </w:rPr>
      </w:pPr>
    </w:p>
    <w:p w:rsidR="00A10CDF" w:rsidRPr="0049678A" w:rsidRDefault="00A10CDF" w:rsidP="00A10CDF">
      <w:pPr>
        <w:spacing w:after="0" w:line="240" w:lineRule="auto"/>
        <w:rPr>
          <w:rFonts w:ascii="Verdana" w:hAnsi="Verdana"/>
          <w:noProof/>
          <w:spacing w:val="5"/>
          <w:sz w:val="20"/>
          <w:szCs w:val="20"/>
        </w:rPr>
      </w:pPr>
      <w:r w:rsidRPr="0049678A">
        <w:rPr>
          <w:rFonts w:ascii="Verdana" w:hAnsi="Verdana"/>
          <w:noProof/>
          <w:sz w:val="20"/>
          <w:szCs w:val="20"/>
        </w:rPr>
        <w:br w:type="page"/>
      </w:r>
    </w:p>
    <w:p w:rsidR="00A10CDF" w:rsidRPr="0049678A" w:rsidRDefault="00A10CDF" w:rsidP="00A10CDF">
      <w:pPr>
        <w:pStyle w:val="Heading1"/>
        <w:rPr>
          <w:rFonts w:ascii="Verdana" w:hAnsi="Verdana"/>
          <w:smallCaps/>
          <w:color w:val="002060"/>
          <w:sz w:val="20"/>
          <w:szCs w:val="20"/>
        </w:rPr>
      </w:pPr>
      <w:bookmarkStart w:id="2" w:name="_Toc293321409"/>
      <w:r w:rsidRPr="0049678A">
        <w:rPr>
          <w:rFonts w:ascii="Verdana" w:hAnsi="Verdana"/>
          <w:sz w:val="20"/>
          <w:szCs w:val="20"/>
        </w:rPr>
        <w:lastRenderedPageBreak/>
        <w:t>Executive Overview</w:t>
      </w:r>
      <w:bookmarkEnd w:id="2"/>
    </w:p>
    <w:p w:rsidR="00A10CDF" w:rsidRPr="0049678A" w:rsidRDefault="00402381" w:rsidP="00A10CDF">
      <w:pPr>
        <w:rPr>
          <w:rFonts w:ascii="Verdana" w:hAnsi="Verdana"/>
          <w:noProof/>
          <w:sz w:val="20"/>
          <w:szCs w:val="20"/>
        </w:rPr>
      </w:pPr>
      <w:bookmarkStart w:id="3" w:name="_Toc290977224"/>
      <w:r>
        <w:rPr>
          <w:rFonts w:ascii="Verdana" w:hAnsi="Verdana"/>
          <w:noProof/>
          <w:sz w:val="20"/>
          <w:szCs w:val="20"/>
        </w:rPr>
        <w:pict>
          <v:line id="Straight Connector 10" o:spid="_x0000_s1065" style="position:absolute;flip:y;z-index:251700224;visibility:visible" from="-32.65pt,1.7pt" to="495.6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" strokecolor="#ffc000" strokeweight="2.5pt">
            <o:lock v:ext="edit" shapetype="f"/>
          </v:line>
        </w:pict>
      </w:r>
      <w:bookmarkEnd w:id="3"/>
    </w:p>
    <w:p w:rsidR="00A10CDF" w:rsidRPr="0049678A" w:rsidRDefault="00A10CDF" w:rsidP="00A10CDF">
      <w:pPr>
        <w:spacing w:after="0" w:line="240" w:lineRule="auto"/>
        <w:rPr>
          <w:rFonts w:ascii="Verdana" w:hAnsi="Verdana"/>
          <w:noProof/>
          <w:sz w:val="20"/>
          <w:szCs w:val="20"/>
        </w:rPr>
      </w:pPr>
      <w:r w:rsidRPr="0049678A">
        <w:rPr>
          <w:rFonts w:ascii="Verdana" w:hAnsi="Verdana"/>
          <w:noProof/>
          <w:sz w:val="20"/>
          <w:szCs w:val="20"/>
        </w:rPr>
        <w:t>Standard Financial Information Structure (SFIS), commonly pronounced "ess-fis", is a comprehensive "common business language" that supports information and data requirements for budgeting, financial accounting, cost/performance management, and external reporting across the DoD enterprise.  SFIS standardizes financial reporting across the Department of Defense (DoD), thereby reducing the cost of auditability.</w:t>
      </w:r>
    </w:p>
    <w:p w:rsidR="00A10CDF" w:rsidRPr="0049678A" w:rsidRDefault="00A10CDF" w:rsidP="00A10CDF">
      <w:pPr>
        <w:spacing w:after="0" w:line="240" w:lineRule="auto"/>
        <w:rPr>
          <w:rFonts w:ascii="Verdana" w:hAnsi="Verdana"/>
          <w:noProof/>
          <w:sz w:val="20"/>
          <w:szCs w:val="20"/>
        </w:rPr>
      </w:pPr>
    </w:p>
    <w:p w:rsidR="00A10CDF" w:rsidRPr="0049678A" w:rsidRDefault="00A10CDF" w:rsidP="00A10CDF">
      <w:pPr>
        <w:spacing w:after="0" w:line="240" w:lineRule="auto"/>
        <w:rPr>
          <w:rFonts w:ascii="Verdana" w:hAnsi="Verdana"/>
          <w:noProof/>
          <w:sz w:val="20"/>
          <w:szCs w:val="20"/>
        </w:rPr>
      </w:pPr>
      <w:r w:rsidRPr="0049678A">
        <w:rPr>
          <w:rFonts w:ascii="Verdana" w:hAnsi="Verdana"/>
          <w:noProof/>
          <w:sz w:val="20"/>
          <w:szCs w:val="20"/>
        </w:rPr>
        <w:t xml:space="preserve">This document was developed in support of the SFIS directive identified in the BEA 8.0 and provides guidance to system owners and reviewers on what should be implemented in their SAP based system(s) to be compliant with the overall SFIS program guidance for both data and business and required business rules.  </w:t>
      </w:r>
    </w:p>
    <w:p w:rsidR="00A10CDF" w:rsidRPr="0049678A" w:rsidRDefault="00A10CDF" w:rsidP="00A10CDF">
      <w:pPr>
        <w:spacing w:after="0" w:line="240" w:lineRule="auto"/>
        <w:rPr>
          <w:rFonts w:ascii="Verdana" w:hAnsi="Verdana"/>
          <w:noProof/>
          <w:sz w:val="20"/>
          <w:szCs w:val="20"/>
        </w:rPr>
      </w:pPr>
    </w:p>
    <w:p w:rsidR="00A10CDF" w:rsidRPr="0049678A" w:rsidRDefault="00A10CDF" w:rsidP="00A10CDF">
      <w:pPr>
        <w:spacing w:after="0" w:line="240" w:lineRule="auto"/>
        <w:rPr>
          <w:rFonts w:ascii="Verdana" w:hAnsi="Verdana"/>
          <w:noProof/>
          <w:sz w:val="20"/>
          <w:szCs w:val="20"/>
        </w:rPr>
      </w:pPr>
      <w:r w:rsidRPr="0049678A">
        <w:rPr>
          <w:rFonts w:ascii="Verdana" w:hAnsi="Verdana"/>
          <w:noProof/>
          <w:sz w:val="20"/>
          <w:szCs w:val="20"/>
        </w:rPr>
        <w:t>This Guide encompasses directions for configuring the SFIS elements within the SAP ERP family of programs.  The contents and format of the guide will be advantageous to both experienced SAP configurators as well as subject matter experts (SMEs) and auditors whose tasks are more specific.  Users of this guide should at least posses working knowledge of the SAP application and its financial capabilities.  It is highly recommended that the guide be consulted before attempting to configure any SFIS elements.</w:t>
      </w:r>
    </w:p>
    <w:p w:rsidR="00A10CDF" w:rsidRPr="0049678A" w:rsidRDefault="00A10CDF" w:rsidP="00A10CDF">
      <w:pPr>
        <w:spacing w:after="0" w:line="240" w:lineRule="auto"/>
        <w:rPr>
          <w:rFonts w:ascii="Verdana" w:hAnsi="Verdana"/>
          <w:noProof/>
          <w:sz w:val="20"/>
          <w:szCs w:val="20"/>
        </w:rPr>
      </w:pPr>
    </w:p>
    <w:p w:rsidR="00A10CDF" w:rsidRPr="0049678A" w:rsidRDefault="00A10CDF" w:rsidP="00A10CDF">
      <w:pPr>
        <w:spacing w:after="0" w:line="240" w:lineRule="auto"/>
        <w:rPr>
          <w:rFonts w:ascii="Verdana" w:hAnsi="Verdana"/>
          <w:noProof/>
          <w:sz w:val="20"/>
          <w:szCs w:val="20"/>
        </w:rPr>
      </w:pPr>
      <w:r w:rsidRPr="0049678A">
        <w:rPr>
          <w:rFonts w:ascii="Verdana" w:hAnsi="Verdana"/>
          <w:noProof/>
          <w:sz w:val="20"/>
          <w:szCs w:val="20"/>
        </w:rPr>
        <w:t>The configuration settings contained herein provide relevant information for each of the SFIS elements following a consistent sintax structure so that users can easily obtain the necessary information for configuring each of the elements.  Each SFIS element is described as follows:</w:t>
      </w:r>
    </w:p>
    <w:p w:rsidR="00A10CDF" w:rsidRPr="0049678A" w:rsidRDefault="00A10CDF" w:rsidP="00A10CDF">
      <w:pPr>
        <w:spacing w:after="0" w:line="240" w:lineRule="auto"/>
        <w:rPr>
          <w:rFonts w:ascii="Verdana" w:hAnsi="Verdana"/>
          <w:noProof/>
          <w:sz w:val="20"/>
          <w:szCs w:val="20"/>
        </w:rPr>
      </w:pPr>
    </w:p>
    <w:p w:rsidR="00A10CDF" w:rsidRPr="0049678A" w:rsidRDefault="00A10CDF" w:rsidP="00A10CDF">
      <w:pPr>
        <w:pStyle w:val="ListParagraph"/>
        <w:numPr>
          <w:ilvl w:val="0"/>
          <w:numId w:val="43"/>
        </w:numPr>
        <w:spacing w:after="0" w:line="240" w:lineRule="auto"/>
        <w:rPr>
          <w:rFonts w:ascii="Verdana" w:hAnsi="Verdana"/>
          <w:noProof/>
          <w:sz w:val="20"/>
          <w:szCs w:val="20"/>
        </w:rPr>
      </w:pPr>
      <w:r w:rsidRPr="0049678A">
        <w:rPr>
          <w:rFonts w:ascii="Verdana" w:hAnsi="Verdana"/>
          <w:noProof/>
          <w:sz w:val="20"/>
          <w:szCs w:val="20"/>
        </w:rPr>
        <w:t>SFIS Element Details – Element Number, Name and Attributes, SFIS Component, a Description, an Example, Comments and the Authoritative Source.</w:t>
      </w:r>
    </w:p>
    <w:p w:rsidR="00A10CDF" w:rsidRPr="0049678A" w:rsidRDefault="00A10CDF" w:rsidP="00A10CDF">
      <w:pPr>
        <w:pStyle w:val="ListParagraph"/>
        <w:numPr>
          <w:ilvl w:val="0"/>
          <w:numId w:val="43"/>
        </w:numPr>
        <w:spacing w:after="0" w:line="240" w:lineRule="auto"/>
        <w:rPr>
          <w:rFonts w:ascii="Verdana" w:hAnsi="Verdana"/>
          <w:noProof/>
          <w:sz w:val="20"/>
          <w:szCs w:val="20"/>
        </w:rPr>
      </w:pPr>
      <w:r w:rsidRPr="0049678A">
        <w:rPr>
          <w:rFonts w:ascii="Verdana" w:hAnsi="Verdana"/>
          <w:noProof/>
          <w:sz w:val="20"/>
          <w:szCs w:val="20"/>
        </w:rPr>
        <w:t>Associated Business Rules – Business Rule Number and Description.</w:t>
      </w:r>
    </w:p>
    <w:p w:rsidR="00A10CDF" w:rsidRPr="0049678A" w:rsidRDefault="00A10CDF" w:rsidP="00A10CDF">
      <w:pPr>
        <w:pStyle w:val="ListParagraph"/>
        <w:numPr>
          <w:ilvl w:val="0"/>
          <w:numId w:val="43"/>
        </w:numPr>
        <w:spacing w:after="0" w:line="240" w:lineRule="auto"/>
        <w:rPr>
          <w:rFonts w:ascii="Verdana" w:hAnsi="Verdana"/>
          <w:noProof/>
          <w:sz w:val="20"/>
          <w:szCs w:val="20"/>
        </w:rPr>
      </w:pPr>
      <w:r w:rsidRPr="0049678A">
        <w:rPr>
          <w:rFonts w:ascii="Verdana" w:hAnsi="Verdana"/>
          <w:noProof/>
          <w:sz w:val="20"/>
          <w:szCs w:val="20"/>
        </w:rPr>
        <w:t>Design Considerations – Field Types and Characteristics.</w:t>
      </w:r>
    </w:p>
    <w:p w:rsidR="00A10CDF" w:rsidRPr="0049678A" w:rsidRDefault="00A10CDF" w:rsidP="00A10CDF">
      <w:pPr>
        <w:pStyle w:val="ListParagraph"/>
        <w:numPr>
          <w:ilvl w:val="0"/>
          <w:numId w:val="43"/>
        </w:numPr>
        <w:spacing w:after="0" w:line="240" w:lineRule="auto"/>
        <w:rPr>
          <w:rFonts w:ascii="Verdana" w:hAnsi="Verdana"/>
          <w:noProof/>
          <w:sz w:val="20"/>
          <w:szCs w:val="20"/>
        </w:rPr>
      </w:pPr>
      <w:r w:rsidRPr="0049678A">
        <w:rPr>
          <w:rFonts w:ascii="Verdana" w:hAnsi="Verdana"/>
          <w:noProof/>
          <w:sz w:val="20"/>
          <w:szCs w:val="20"/>
        </w:rPr>
        <w:t>Process Walthrough – Module, Navigation, SAP Transaction Code, Form Field Name, Table Name, and Related Transactions.</w:t>
      </w:r>
    </w:p>
    <w:p w:rsidR="00A10CDF" w:rsidRPr="0049678A" w:rsidRDefault="00A10CDF" w:rsidP="00A10CDF">
      <w:pPr>
        <w:pStyle w:val="ListParagraph"/>
        <w:numPr>
          <w:ilvl w:val="0"/>
          <w:numId w:val="43"/>
        </w:numPr>
        <w:spacing w:after="0" w:line="240" w:lineRule="auto"/>
        <w:rPr>
          <w:rFonts w:ascii="Verdana" w:hAnsi="Verdana"/>
          <w:noProof/>
          <w:sz w:val="20"/>
          <w:szCs w:val="20"/>
        </w:rPr>
      </w:pPr>
      <w:r w:rsidRPr="0049678A">
        <w:rPr>
          <w:rFonts w:ascii="Verdana" w:hAnsi="Verdana"/>
          <w:noProof/>
          <w:sz w:val="20"/>
          <w:szCs w:val="20"/>
        </w:rPr>
        <w:t>Screen Captures – Illustrates the relevant windows and fields as appropriate.</w:t>
      </w:r>
    </w:p>
    <w:p w:rsidR="00A10CDF" w:rsidRPr="0049678A" w:rsidRDefault="00A10CDF" w:rsidP="00A10CDF">
      <w:pPr>
        <w:spacing w:after="0" w:line="240" w:lineRule="auto"/>
        <w:rPr>
          <w:rFonts w:ascii="Verdana" w:hAnsi="Verdana"/>
          <w:noProof/>
          <w:sz w:val="20"/>
          <w:szCs w:val="20"/>
        </w:rPr>
      </w:pPr>
    </w:p>
    <w:p w:rsidR="00A10CDF" w:rsidRPr="0049678A" w:rsidRDefault="00A10CDF" w:rsidP="00A10CDF">
      <w:pPr>
        <w:spacing w:after="0" w:line="240" w:lineRule="auto"/>
        <w:rPr>
          <w:rFonts w:ascii="Verdana" w:hAnsi="Verdana"/>
          <w:noProof/>
          <w:sz w:val="20"/>
          <w:szCs w:val="20"/>
        </w:rPr>
      </w:pPr>
      <w:r w:rsidRPr="0049678A">
        <w:rPr>
          <w:rFonts w:ascii="Verdana" w:hAnsi="Verdana"/>
          <w:noProof/>
          <w:sz w:val="20"/>
          <w:szCs w:val="20"/>
        </w:rPr>
        <w:br w:type="page"/>
      </w:r>
    </w:p>
    <w:p w:rsidR="00A10CDF" w:rsidRPr="0049678A" w:rsidRDefault="00A10CDF" w:rsidP="00A10CDF">
      <w:pPr>
        <w:spacing w:after="0" w:line="240" w:lineRule="auto"/>
        <w:rPr>
          <w:rFonts w:ascii="Verdana" w:hAnsi="Verdana"/>
          <w:noProof/>
          <w:sz w:val="20"/>
          <w:szCs w:val="20"/>
        </w:rPr>
      </w:pPr>
      <w:r w:rsidRPr="0049678A">
        <w:rPr>
          <w:rFonts w:ascii="Verdana" w:hAnsi="Verdana"/>
          <w:noProof/>
          <w:sz w:val="20"/>
          <w:szCs w:val="20"/>
        </w:rPr>
        <w:lastRenderedPageBreak/>
        <w:t>The guide presumes that the following characteristics are configured and assigned to appropriate classification.</w:t>
      </w:r>
    </w:p>
    <w:p w:rsidR="00A10CDF" w:rsidRPr="0049678A" w:rsidRDefault="00A10CDF" w:rsidP="00A10CDF">
      <w:pPr>
        <w:spacing w:after="0" w:line="240" w:lineRule="auto"/>
        <w:rPr>
          <w:rFonts w:ascii="Verdana" w:hAnsi="Verdana"/>
          <w:noProof/>
          <w:sz w:val="20"/>
          <w:szCs w:val="20"/>
        </w:rPr>
      </w:pPr>
    </w:p>
    <w:p w:rsidR="00A10CDF" w:rsidRPr="0049678A" w:rsidRDefault="00A10CDF" w:rsidP="00A10CDF">
      <w:pPr>
        <w:rPr>
          <w:rStyle w:val="Heading2Char"/>
          <w:rFonts w:ascii="Verdana" w:hAnsi="Verdana"/>
          <w:sz w:val="20"/>
          <w:szCs w:val="20"/>
        </w:rPr>
      </w:pPr>
      <w:r w:rsidRPr="0049678A">
        <w:rPr>
          <w:rFonts w:ascii="Verdana" w:hAnsi="Verdana"/>
          <w:noProof/>
          <w:sz w:val="20"/>
          <w:szCs w:val="20"/>
        </w:rPr>
        <w:drawing>
          <wp:inline distT="0" distB="0" distL="0" distR="0">
            <wp:extent cx="5943600" cy="3886200"/>
            <wp:effectExtent l="0" t="0" r="0" b="0"/>
            <wp:docPr id="3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886200"/>
                    </a:xfrm>
                    <a:prstGeom prst="rect">
                      <a:avLst/>
                    </a:prstGeom>
                    <a:noFill/>
                    <a:ln>
                      <a:noFill/>
                    </a:ln>
                  </pic:spPr>
                </pic:pic>
              </a:graphicData>
            </a:graphic>
          </wp:inline>
        </w:drawing>
      </w:r>
      <w:r w:rsidRPr="0049678A">
        <w:rPr>
          <w:rFonts w:ascii="Verdana" w:hAnsi="Verdana"/>
          <w:noProof/>
          <w:sz w:val="20"/>
          <w:szCs w:val="20"/>
        </w:rPr>
        <w:br w:type="page"/>
      </w:r>
      <w:bookmarkStart w:id="4" w:name="_Toc293321410"/>
      <w:r w:rsidRPr="0049678A">
        <w:rPr>
          <w:rStyle w:val="Heading1Char"/>
          <w:rFonts w:ascii="Verdana" w:hAnsi="Verdana"/>
          <w:sz w:val="20"/>
          <w:szCs w:val="20"/>
        </w:rPr>
        <w:lastRenderedPageBreak/>
        <w:t>A1 - Department Regular Code</w:t>
      </w:r>
      <w:bookmarkEnd w:id="4"/>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A1 - Department Regular Code</w:t>
            </w:r>
          </w:p>
        </w:tc>
        <w:tc>
          <w:tcPr>
            <w:tcW w:w="1400" w:type="dxa"/>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3</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Department Regular is the U.S. Treasury designated code representing the government agency accountable for one or more fund accounts established and maintained by the Treasury.  The Department Regular element is an integral part of the Treasury Appropriation Fund Symbol (TAFS).  </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Code                 Agency</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097                    </w:t>
            </w:r>
            <w:proofErr w:type="spellStart"/>
            <w:r w:rsidRPr="0049678A">
              <w:rPr>
                <w:rFonts w:ascii="Verdana" w:hAnsi="Verdana"/>
                <w:sz w:val="20"/>
                <w:szCs w:val="20"/>
              </w:rPr>
              <w:t>DoD</w:t>
            </w:r>
            <w:proofErr w:type="spellEnd"/>
            <w:r w:rsidRPr="0049678A">
              <w:rPr>
                <w:rFonts w:ascii="Verdana" w:hAnsi="Verdana"/>
                <w:sz w:val="20"/>
                <w:szCs w:val="20"/>
              </w:rPr>
              <w:t>, Office of the Secretary of Defense</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021                    Department of the Army</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017                    Department of the Navy</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057                    Department of the Air Force</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096                    Corps of Engineers </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Department Regular is a field on the Application of Funds Master Record in SAP.  Application of Funds Master Data is equivalent to “Appropriation” in that the Application of Funds describes a “main account” tied to a particular “beginning and ending FY” and linked to a “department regular” and “department transfer” value if applicable.  Allowed treasury values are inserted in the “Department Regular” field when creating a new “Application of Funds”.  Since Funds are always assigned to an Application of Funds – the Department Regular for the Appropriation will be linked to all financial transactions</w:t>
            </w:r>
            <w:r w:rsidRPr="0049678A">
              <w:rPr>
                <w:rFonts w:ascii="Verdana" w:hAnsi="Verdana" w:cs="Calibri"/>
                <w:color w:val="000000"/>
                <w:sz w:val="20"/>
                <w:szCs w:val="20"/>
              </w:rPr>
              <w:t xml:space="preserve"> in the system.</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5" w:name="_Toc290534764"/>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5"/>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
        <w:gridCol w:w="8716"/>
      </w:tblGrid>
      <w:tr w:rsidR="00A10CDF" w:rsidRPr="0049678A" w:rsidTr="004F7F27">
        <w:tc>
          <w:tcPr>
            <w:tcW w:w="5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716"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Department Regular Code must be 3 numeric characters.  ex. 097 (Note:  Programs may use the two character code and derive the three character version - with a leading zero - at time of reporting if the software system in use has not yet been updated).</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Authoritative source:  http://fms.treas.gov/fastbook/</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Each accounting system must store and maintain Department Regular Code values.</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 Department Regular Code must be established in the accounting classification structure when the appropriation is signed by the President and must be maintained until available funding has been canceled.</w:t>
            </w:r>
          </w:p>
        </w:tc>
      </w:tr>
    </w:tbl>
    <w:p w:rsidR="00A10CDF" w:rsidRPr="0049678A" w:rsidRDefault="00A10CDF" w:rsidP="00A10CDF">
      <w:pPr>
        <w:pStyle w:val="Heading2"/>
        <w:rPr>
          <w:rFonts w:ascii="Verdana" w:hAnsi="Verdana"/>
          <w:sz w:val="20"/>
          <w:szCs w:val="20"/>
        </w:rPr>
      </w:pPr>
      <w:bookmarkStart w:id="6" w:name="_Toc290534765"/>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6"/>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rPr>
          <w:trHeight w:val="64"/>
        </w:trPr>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7" w:name="_Toc290534766"/>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7"/>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137"/>
        <w:gridCol w:w="2093"/>
        <w:gridCol w:w="2718"/>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w:t>
            </w:r>
            <w:r w:rsidRPr="0049678A">
              <w:rPr>
                <w:rFonts w:ascii="Verdana" w:hAnsi="Verdana"/>
                <w:color w:val="000000"/>
                <w:sz w:val="20"/>
                <w:szCs w:val="20"/>
              </w:rPr>
              <w:t>Public Sector Management-Funds Management- Master Data-Account Assignment Element- Fund- Application of Funds-Display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CT04 &amp; FM6S    </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Display Application of Funds</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IFMFUSE </w:t>
            </w:r>
          </w:p>
        </w:tc>
        <w:tc>
          <w:tcPr>
            <w:tcW w:w="20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71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DEPT_REG &amp; ATNAM</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FM6I, CT10</w:t>
            </w:r>
          </w:p>
        </w:tc>
        <w:tc>
          <w:tcPr>
            <w:tcW w:w="2093" w:type="dxa"/>
            <w:shd w:val="clear" w:color="auto" w:fill="EEECE1"/>
          </w:tcPr>
          <w:p w:rsidR="00A10CDF" w:rsidRPr="0049678A" w:rsidRDefault="00A10CDF" w:rsidP="004F7F27">
            <w:pPr>
              <w:spacing w:after="0" w:line="240" w:lineRule="auto"/>
              <w:jc w:val="right"/>
              <w:rPr>
                <w:rFonts w:ascii="Verdana" w:hAnsi="Verdana"/>
                <w:sz w:val="20"/>
                <w:szCs w:val="20"/>
              </w:rPr>
            </w:pPr>
          </w:p>
        </w:tc>
        <w:tc>
          <w:tcPr>
            <w:tcW w:w="2718" w:type="dxa"/>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rPr>
          <w:rFonts w:ascii="Verdana" w:hAnsi="Verdana"/>
          <w:i/>
          <w:iCs/>
          <w:sz w:val="20"/>
          <w:szCs w:val="20"/>
        </w:rPr>
      </w:pPr>
    </w:p>
    <w:p w:rsidR="00A10CDF" w:rsidRPr="0049678A" w:rsidRDefault="00A10CDF" w:rsidP="00A10CDF">
      <w:pPr>
        <w:pStyle w:val="Heading2"/>
        <w:rPr>
          <w:rFonts w:ascii="Verdana" w:hAnsi="Verdana"/>
          <w:color w:val="auto"/>
          <w:sz w:val="20"/>
          <w:szCs w:val="20"/>
        </w:rPr>
      </w:pPr>
      <w:bookmarkStart w:id="8" w:name="_Toc290534767"/>
      <w:bookmarkStart w:id="9" w:name="_Toc290534907"/>
      <w:r w:rsidRPr="0049678A">
        <w:rPr>
          <w:rFonts w:ascii="Verdana" w:hAnsi="Verdana"/>
          <w:sz w:val="20"/>
          <w:szCs w:val="20"/>
        </w:rPr>
        <w:t xml:space="preserve">Screenshot:  </w:t>
      </w:r>
      <w:r w:rsidRPr="0049678A">
        <w:rPr>
          <w:rFonts w:ascii="Verdana" w:hAnsi="Verdana"/>
          <w:color w:val="auto"/>
          <w:sz w:val="20"/>
          <w:szCs w:val="20"/>
        </w:rPr>
        <w:t xml:space="preserve">Location of “Department Regular” Field on Field on Display Characteristics </w:t>
      </w:r>
      <w:bookmarkEnd w:id="8"/>
      <w:bookmarkEnd w:id="9"/>
    </w:p>
    <w:p w:rsidR="00A10CDF" w:rsidRPr="0049678A" w:rsidRDefault="00A10CDF" w:rsidP="00A10CDF">
      <w:pPr>
        <w:spacing w:after="0" w:line="240" w:lineRule="auto"/>
        <w:rPr>
          <w:rFonts w:ascii="Verdana" w:hAnsi="Verdana"/>
          <w:color w:val="002060"/>
          <w:sz w:val="20"/>
          <w:szCs w:val="20"/>
        </w:rPr>
      </w:pPr>
    </w:p>
    <w:p w:rsidR="00A10CDF" w:rsidRPr="0049678A" w:rsidRDefault="00A10CDF" w:rsidP="00A10CDF">
      <w:pPr>
        <w:rPr>
          <w:rFonts w:ascii="Verdana" w:hAnsi="Verdana"/>
          <w:sz w:val="20"/>
          <w:szCs w:val="20"/>
        </w:rPr>
      </w:pPr>
      <w:r w:rsidRPr="0049678A">
        <w:rPr>
          <w:rFonts w:ascii="Verdana" w:hAnsi="Verdana"/>
          <w:noProof/>
          <w:sz w:val="20"/>
          <w:szCs w:val="20"/>
        </w:rPr>
        <w:drawing>
          <wp:inline distT="0" distB="0" distL="0" distR="0">
            <wp:extent cx="5940709" cy="271462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5943600" cy="2715946"/>
                    </a:xfrm>
                    <a:prstGeom prst="rect">
                      <a:avLst/>
                    </a:prstGeom>
                  </pic:spPr>
                </pic:pic>
              </a:graphicData>
            </a:graphic>
          </wp:inline>
        </w:drawing>
      </w:r>
    </w:p>
    <w:p w:rsidR="00A10CDF" w:rsidRPr="0049678A" w:rsidRDefault="00402381" w:rsidP="00A10CDF">
      <w:pPr>
        <w:rPr>
          <w:rFonts w:ascii="Verdana" w:hAnsi="Verdana"/>
          <w:sz w:val="20"/>
          <w:szCs w:val="20"/>
        </w:rPr>
      </w:pPr>
      <w:r>
        <w:rPr>
          <w:rFonts w:ascii="Verdana" w:hAnsi="Verdana"/>
          <w:noProof/>
          <w:sz w:val="20"/>
          <w:szCs w:val="20"/>
        </w:rPr>
        <w:pict>
          <v:oval id="Oval 2" o:spid="_x0000_s1026" style="position:absolute;margin-left:0;margin-top:86.7pt;width:299.25pt;height: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" strokecolor="red" strokeweight="1.5pt">
            <v:fill opacity="13107f"/>
          </v:oval>
        </w:pict>
      </w:r>
      <w:r w:rsidR="00A10CDF" w:rsidRPr="0049678A">
        <w:rPr>
          <w:rFonts w:ascii="Verdana" w:hAnsi="Verdana"/>
          <w:noProof/>
          <w:sz w:val="20"/>
          <w:szCs w:val="20"/>
        </w:rPr>
        <w:drawing>
          <wp:inline distT="0" distB="0" distL="0" distR="0">
            <wp:extent cx="5943600" cy="1666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943600" cy="1666875"/>
                    </a:xfrm>
                    <a:prstGeom prst="rect">
                      <a:avLst/>
                    </a:prstGeom>
                  </pic:spPr>
                </pic:pic>
              </a:graphicData>
            </a:graphic>
          </wp:inline>
        </w:drawing>
      </w:r>
    </w:p>
    <w:p w:rsidR="00A10CDF" w:rsidRPr="0049678A" w:rsidRDefault="00A10CDF" w:rsidP="00A10CDF">
      <w:pPr>
        <w:pStyle w:val="Heading2"/>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mallCaps/>
          <w:sz w:val="20"/>
          <w:szCs w:val="20"/>
        </w:rPr>
      </w:pPr>
      <w:bookmarkStart w:id="10" w:name="_Toc293321411"/>
      <w:r w:rsidRPr="0049678A">
        <w:rPr>
          <w:rFonts w:ascii="Verdana" w:hAnsi="Verdana"/>
          <w:sz w:val="20"/>
          <w:szCs w:val="20"/>
        </w:rPr>
        <w:lastRenderedPageBreak/>
        <w:t>A2 - Department Transfer Code</w:t>
      </w:r>
      <w:bookmarkEnd w:id="10"/>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A2 - Department Transfer Code</w:t>
            </w:r>
          </w:p>
        </w:tc>
        <w:tc>
          <w:tcPr>
            <w:tcW w:w="1400" w:type="dxa"/>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3</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The Department Transfer Code identifies the federal agency of obligation authority to the </w:t>
            </w:r>
            <w:proofErr w:type="spellStart"/>
            <w:r w:rsidRPr="0049678A">
              <w:rPr>
                <w:rFonts w:ascii="Verdana" w:hAnsi="Verdana"/>
                <w:sz w:val="20"/>
                <w:szCs w:val="20"/>
              </w:rPr>
              <w:t>DoD</w:t>
            </w:r>
            <w:proofErr w:type="spellEnd"/>
            <w:r w:rsidRPr="0049678A">
              <w:rPr>
                <w:rFonts w:ascii="Verdana" w:hAnsi="Verdana"/>
                <w:sz w:val="20"/>
                <w:szCs w:val="20"/>
              </w:rPr>
              <w:t xml:space="preserve"> or one of its components.   For the transfer of obligation authority, the transfer agency retains responsibility for the fund account and the recipient agency charges against the fund account of the transfer agency.</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Department Transfer No.089 - In this example, the Department Transfer Value "089"indicates transfer of obligation authority from Dept of Energy.  </w:t>
            </w:r>
          </w:p>
          <w:p w:rsidR="00A10CDF" w:rsidRPr="0049678A" w:rsidRDefault="00A10CDF" w:rsidP="004F7F27">
            <w:pPr>
              <w:spacing w:after="0" w:line="240" w:lineRule="auto"/>
              <w:rPr>
                <w:rFonts w:ascii="Verdana" w:hAnsi="Verdana"/>
                <w:b/>
                <w:sz w:val="20"/>
                <w:szCs w:val="20"/>
              </w:rPr>
            </w:pPr>
            <w:r w:rsidRPr="0049678A">
              <w:rPr>
                <w:rFonts w:ascii="Verdana" w:hAnsi="Verdana"/>
                <w:b/>
                <w:sz w:val="20"/>
                <w:szCs w:val="20"/>
              </w:rPr>
              <w:t>The field is left blank if no transfer is involved.</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Department Transfer is a field on the Application of Funds Master Record in SAP.  Application of Funds Master Data is equivalent to “Appropriation” in that the Application of Funds describes a “main account” tied to a particular “beginning and ending FY” and linked to a “department regular” and “department transfer” value if applicable.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
        <w:gridCol w:w="8716"/>
      </w:tblGrid>
      <w:tr w:rsidR="00A10CDF" w:rsidRPr="0049678A" w:rsidTr="004F7F27">
        <w:tc>
          <w:tcPr>
            <w:tcW w:w="5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716"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w:t>
            </w:r>
          </w:p>
        </w:tc>
        <w:tc>
          <w:tcPr>
            <w:tcW w:w="8716"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Department Transfer Code must be 3 numeric characters.  ex. 097 (Note:  Programs may use the two character code and derive the three character version - with a leading zero - at time of reporting if the software system in use has not yet been updated).</w:t>
            </w:r>
          </w:p>
          <w:p w:rsidR="00A10CDF" w:rsidRPr="0049678A" w:rsidRDefault="00A10CDF" w:rsidP="004F7F27">
            <w:pPr>
              <w:spacing w:after="0" w:line="240" w:lineRule="auto"/>
              <w:rPr>
                <w:rFonts w:ascii="Verdana" w:hAnsi="Verdana"/>
                <w:sz w:val="20"/>
                <w:szCs w:val="20"/>
              </w:rPr>
            </w:pPr>
            <w:r w:rsidRPr="0049678A">
              <w:rPr>
                <w:rFonts w:ascii="Verdana" w:hAnsi="Verdana" w:cs="Arial"/>
                <w:bCs/>
                <w:color w:val="000000"/>
                <w:sz w:val="20"/>
                <w:szCs w:val="20"/>
              </w:rPr>
              <w:t>Authoritative source:  http://fms.treas.gov/fastbook/</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Department Transfer Code must be used for accounting classification, general ledger posting, financial reporting, budgetary control, and funds control.  </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Each accounting system must store and maintain Department Transfer Code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FFFFFF"/>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FFFFFF"/>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r>
    </w:tbl>
    <w:p w:rsidR="00A10CDF" w:rsidRPr="0049678A" w:rsidRDefault="00A10CDF" w:rsidP="00A10CDF">
      <w:pPr>
        <w:pStyle w:val="Heading2"/>
        <w:rPr>
          <w:rFonts w:ascii="Verdana" w:hAnsi="Verdana"/>
          <w:sz w:val="20"/>
          <w:szCs w:val="20"/>
        </w:rPr>
      </w:pPr>
      <w:bookmarkStart w:id="11" w:name="_Toc290534768"/>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11"/>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137"/>
        <w:gridCol w:w="2405"/>
        <w:gridCol w:w="2406"/>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w:t>
            </w:r>
            <w:r w:rsidRPr="0049678A">
              <w:rPr>
                <w:rFonts w:ascii="Verdana" w:hAnsi="Verdana"/>
                <w:color w:val="000000"/>
                <w:sz w:val="20"/>
                <w:szCs w:val="20"/>
              </w:rPr>
              <w:t>Public Sector Management-Funds Management- Master Data-Account Assignment Element- Fund- Application of Funds-Display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CT04 &amp; FM6S  </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Display Application of Funds</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IFMFUSE</w:t>
            </w:r>
          </w:p>
        </w:tc>
        <w:tc>
          <w:tcPr>
            <w:tcW w:w="240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40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DEPT_TRAN</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FM6I, CT10</w:t>
            </w:r>
          </w:p>
        </w:tc>
        <w:tc>
          <w:tcPr>
            <w:tcW w:w="2405" w:type="dxa"/>
            <w:shd w:val="clear" w:color="auto" w:fill="EEECE1"/>
          </w:tcPr>
          <w:p w:rsidR="00A10CDF" w:rsidRPr="0049678A" w:rsidRDefault="00A10CDF" w:rsidP="004F7F27">
            <w:pPr>
              <w:spacing w:after="0" w:line="240" w:lineRule="auto"/>
              <w:jc w:val="right"/>
              <w:rPr>
                <w:rFonts w:ascii="Verdana" w:hAnsi="Verdana"/>
                <w:sz w:val="20"/>
                <w:szCs w:val="20"/>
              </w:rPr>
            </w:pPr>
          </w:p>
        </w:tc>
        <w:tc>
          <w:tcPr>
            <w:tcW w:w="2406" w:type="dxa"/>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rPr>
          <w:rFonts w:ascii="Verdana" w:hAnsi="Verdana"/>
          <w:i/>
          <w:iCs/>
          <w:color w:val="002060"/>
          <w:sz w:val="20"/>
          <w:szCs w:val="20"/>
        </w:rPr>
      </w:pPr>
    </w:p>
    <w:p w:rsidR="00A10CDF" w:rsidRPr="0049678A" w:rsidRDefault="00A10CDF" w:rsidP="00A10CDF">
      <w:pPr>
        <w:pStyle w:val="Heading2"/>
        <w:rPr>
          <w:rStyle w:val="Heading3Char"/>
          <w:rFonts w:ascii="Verdana" w:hAnsi="Verdana"/>
          <w:iCs w:val="0"/>
          <w:smallCaps w:val="0"/>
          <w:color w:val="auto"/>
          <w:spacing w:val="0"/>
          <w:sz w:val="20"/>
          <w:szCs w:val="20"/>
        </w:rPr>
      </w:pPr>
      <w:bookmarkStart w:id="12" w:name="_Toc290534769"/>
      <w:r w:rsidRPr="0049678A">
        <w:rPr>
          <w:rFonts w:ascii="Verdana" w:hAnsi="Verdana"/>
          <w:sz w:val="20"/>
          <w:szCs w:val="20"/>
        </w:rPr>
        <w:lastRenderedPageBreak/>
        <w:t xml:space="preserve">Screenshot:  </w:t>
      </w:r>
      <w:r w:rsidRPr="0049678A">
        <w:rPr>
          <w:rFonts w:ascii="Verdana" w:hAnsi="Verdana"/>
          <w:color w:val="auto"/>
          <w:sz w:val="20"/>
          <w:szCs w:val="20"/>
        </w:rPr>
        <w:t xml:space="preserve">Location of “Department Transfer” Field on </w:t>
      </w:r>
      <w:bookmarkEnd w:id="12"/>
      <w:r w:rsidRPr="0049678A">
        <w:rPr>
          <w:rStyle w:val="Heading3Char"/>
          <w:rFonts w:ascii="Verdana" w:hAnsi="Verdana"/>
          <w:iCs w:val="0"/>
          <w:smallCaps w:val="0"/>
          <w:color w:val="auto"/>
          <w:spacing w:val="0"/>
          <w:sz w:val="20"/>
          <w:szCs w:val="20"/>
        </w:rPr>
        <w:t>Display Characteristics</w:t>
      </w:r>
    </w:p>
    <w:p w:rsidR="00A10CDF" w:rsidRPr="0049678A" w:rsidRDefault="00A10CDF" w:rsidP="00A10CDF">
      <w:pPr>
        <w:spacing w:after="0" w:line="240" w:lineRule="auto"/>
        <w:rPr>
          <w:rFonts w:ascii="Verdana" w:hAnsi="Verdana"/>
          <w:color w:val="002060"/>
          <w:sz w:val="20"/>
          <w:szCs w:val="20"/>
        </w:rPr>
      </w:pPr>
    </w:p>
    <w:p w:rsidR="00A10CDF" w:rsidRPr="0049678A" w:rsidRDefault="00A10CDF" w:rsidP="00A10CDF">
      <w:pPr>
        <w:rPr>
          <w:rFonts w:ascii="Verdana" w:hAnsi="Verdana"/>
          <w:sz w:val="20"/>
          <w:szCs w:val="20"/>
        </w:rPr>
      </w:pPr>
      <w:r w:rsidRPr="0049678A">
        <w:rPr>
          <w:rFonts w:ascii="Verdana" w:hAnsi="Verdana"/>
          <w:noProof/>
          <w:sz w:val="20"/>
          <w:szCs w:val="20"/>
        </w:rPr>
        <w:drawing>
          <wp:inline distT="0" distB="0" distL="0" distR="0">
            <wp:extent cx="5943600" cy="2533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943600" cy="2533650"/>
                    </a:xfrm>
                    <a:prstGeom prst="rect">
                      <a:avLst/>
                    </a:prstGeom>
                  </pic:spPr>
                </pic:pic>
              </a:graphicData>
            </a:graphic>
          </wp:inline>
        </w:drawing>
      </w:r>
    </w:p>
    <w:p w:rsidR="00A10CDF" w:rsidRPr="0049678A" w:rsidRDefault="00402381" w:rsidP="00A10CDF">
      <w:pPr>
        <w:rPr>
          <w:rFonts w:ascii="Verdana" w:hAnsi="Verdana"/>
          <w:sz w:val="20"/>
          <w:szCs w:val="20"/>
        </w:rPr>
      </w:pPr>
      <w:r>
        <w:rPr>
          <w:rFonts w:ascii="Verdana" w:hAnsi="Verdana"/>
          <w:noProof/>
          <w:sz w:val="20"/>
          <w:szCs w:val="20"/>
        </w:rPr>
        <w:pict>
          <v:oval id="Oval 8" o:spid="_x0000_s1027" style="position:absolute;margin-left:0;margin-top:113.7pt;width:323.25pt;height:4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" strokecolor="red" strokeweight="1.5pt">
            <v:fill opacity="13107f"/>
          </v:oval>
        </w:pict>
      </w:r>
      <w:r w:rsidR="00A10CDF" w:rsidRPr="0049678A">
        <w:rPr>
          <w:rFonts w:ascii="Verdana" w:hAnsi="Verdana"/>
          <w:noProof/>
          <w:sz w:val="20"/>
          <w:szCs w:val="20"/>
        </w:rPr>
        <w:drawing>
          <wp:inline distT="0" distB="0" distL="0" distR="0">
            <wp:extent cx="5943600" cy="2057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943600" cy="2057400"/>
                    </a:xfrm>
                    <a:prstGeom prst="rect">
                      <a:avLst/>
                    </a:prstGeom>
                  </pic:spPr>
                </pic:pic>
              </a:graphicData>
            </a:graphic>
          </wp:inline>
        </w:drawing>
      </w:r>
    </w:p>
    <w:p w:rsidR="00A10CDF" w:rsidRPr="0049678A" w:rsidRDefault="00A10CDF" w:rsidP="00A10CDF">
      <w:pPr>
        <w:rPr>
          <w:rFonts w:ascii="Verdana" w:hAnsi="Verdana"/>
          <w:color w:val="002060"/>
          <w:sz w:val="20"/>
          <w:szCs w:val="20"/>
        </w:rPr>
      </w:pPr>
      <w:bookmarkStart w:id="13" w:name="_Toc290534770"/>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color w:val="002060"/>
          <w:sz w:val="20"/>
          <w:szCs w:val="20"/>
        </w:rPr>
      </w:pPr>
      <w:bookmarkStart w:id="14" w:name="_Toc293321412"/>
      <w:r w:rsidRPr="0049678A">
        <w:rPr>
          <w:rFonts w:ascii="Verdana" w:hAnsi="Verdana"/>
          <w:sz w:val="20"/>
          <w:szCs w:val="20"/>
        </w:rPr>
        <w:lastRenderedPageBreak/>
        <w:t>A3 - Main Account Code</w:t>
      </w:r>
      <w:bookmarkEnd w:id="13"/>
      <w:bookmarkEnd w:id="14"/>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A3 - Main Account Code</w:t>
            </w:r>
          </w:p>
        </w:tc>
        <w:tc>
          <w:tcPr>
            <w:tcW w:w="1400" w:type="dxa"/>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4</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The main account is identified by a four digit numeric data element representing a specific appropriation or fund account established by the US Treasury for expenditure or receipt authority issued by the US Congress. </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Main Account    </w:t>
            </w:r>
            <w:proofErr w:type="spellStart"/>
            <w:r w:rsidRPr="0049678A">
              <w:rPr>
                <w:rFonts w:ascii="Verdana" w:hAnsi="Verdana"/>
                <w:sz w:val="20"/>
                <w:szCs w:val="20"/>
              </w:rPr>
              <w:t>Account</w:t>
            </w:r>
            <w:proofErr w:type="spellEnd"/>
            <w:r w:rsidRPr="0049678A">
              <w:rPr>
                <w:rFonts w:ascii="Verdana" w:hAnsi="Verdana"/>
                <w:sz w:val="20"/>
                <w:szCs w:val="20"/>
              </w:rPr>
              <w:t xml:space="preserve"> Name</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0740                  Family Housing Construction, Air Force</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2020                  Operation &amp; Maintenance, Army</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2040                  Research, Development, Test &amp; </w:t>
            </w:r>
            <w:proofErr w:type="spellStart"/>
            <w:r w:rsidRPr="0049678A">
              <w:rPr>
                <w:rFonts w:ascii="Verdana" w:hAnsi="Verdana"/>
                <w:sz w:val="20"/>
                <w:szCs w:val="20"/>
              </w:rPr>
              <w:t>Eval</w:t>
            </w:r>
            <w:proofErr w:type="spellEnd"/>
            <w:r w:rsidRPr="0049678A">
              <w:rPr>
                <w:rFonts w:ascii="Verdana" w:hAnsi="Verdana"/>
                <w:sz w:val="20"/>
                <w:szCs w:val="20"/>
              </w:rPr>
              <w:t>, Army</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2050                  Military Construction, Army </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4557                  Revolving Fund, National Defense Sealift</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5095                  Wildlife Conservation, Military Reservations</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8097                  Military Retirement Fund, </w:t>
            </w:r>
            <w:proofErr w:type="spellStart"/>
            <w:r w:rsidRPr="0049678A">
              <w:rPr>
                <w:rFonts w:ascii="Verdana" w:hAnsi="Verdana"/>
                <w:sz w:val="20"/>
                <w:szCs w:val="20"/>
              </w:rPr>
              <w:t>Defen</w:t>
            </w:r>
            <w:proofErr w:type="spellEnd"/>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The main account is identified by a four digit numeric data element representing a specific appropriation or fund account established by the US Treasury for expenditure or receipt authority issued by the US Congress</w:t>
            </w:r>
            <w:r w:rsidRPr="0049678A">
              <w:rPr>
                <w:rFonts w:ascii="Verdana" w:hAnsi="Verdana" w:cs="Arial"/>
                <w:sz w:val="20"/>
                <w:szCs w:val="20"/>
              </w:rPr>
              <w:t xml:space="preserve">.  </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15" w:name="_Toc290534771"/>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15"/>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
        <w:gridCol w:w="8716"/>
      </w:tblGrid>
      <w:tr w:rsidR="00A10CDF" w:rsidRPr="0049678A" w:rsidTr="004F7F27">
        <w:tc>
          <w:tcPr>
            <w:tcW w:w="5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716"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A3</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cs="Arial"/>
                <w:bCs/>
                <w:color w:val="000000"/>
                <w:sz w:val="20"/>
                <w:szCs w:val="20"/>
              </w:rPr>
              <w:t>Each Main Account Code must be associated with only one Fund Type Code.</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A3</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Each Main Account Code must be associated with only one Budget Function/Sub-Function Code.</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A3</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Main Account Code must be 4 numeric characters.  ex. 0740</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Authoritative source:  http://fms.treas.gov/fastbook/</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A3</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Main Account Code must be used for accounting classification, general ledger posting, financial reporting, budgetary control, and funds control.</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A3</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Each accounting system must store and maintain Main Account Code values.</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A3</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 Main Account Code must be established in the accounting classification structure when the appropriation is signed by the President and will be maintained until available funding has been canceled.</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bookmarkStart w:id="16" w:name="OLE_LINK2"/>
            <w:r w:rsidRPr="0049678A">
              <w:rPr>
                <w:rFonts w:ascii="Verdana" w:hAnsi="Verdana"/>
                <w:sz w:val="20"/>
                <w:szCs w:val="20"/>
              </w:rPr>
              <w:t>FACTS I &amp; II</w:t>
            </w:r>
            <w:bookmarkEnd w:id="16"/>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FFFFFF"/>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r>
    </w:tbl>
    <w:p w:rsidR="00A10CDF" w:rsidRPr="0049678A" w:rsidRDefault="00A10CDF" w:rsidP="00A10CDF">
      <w:pPr>
        <w:pStyle w:val="Heading2"/>
        <w:rPr>
          <w:rFonts w:ascii="Verdana" w:hAnsi="Verdana"/>
          <w:sz w:val="20"/>
          <w:szCs w:val="20"/>
        </w:rPr>
      </w:pPr>
      <w:bookmarkStart w:id="17" w:name="_Toc290534772"/>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17"/>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137"/>
        <w:gridCol w:w="2405"/>
        <w:gridCol w:w="2406"/>
      </w:tblGrid>
      <w:tr w:rsidR="00A10CDF" w:rsidRPr="0049678A" w:rsidTr="004F7F27">
        <w:trPr>
          <w:trHeight w:val="247"/>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rPr>
          <w:trHeight w:val="740"/>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w:t>
            </w:r>
            <w:r w:rsidRPr="0049678A">
              <w:rPr>
                <w:rFonts w:ascii="Verdana" w:hAnsi="Verdana"/>
                <w:color w:val="000000"/>
                <w:sz w:val="20"/>
                <w:szCs w:val="20"/>
              </w:rPr>
              <w:t>Public Sector Management-Funds Management- Master Data-Account Assignment Element- Fund- Application of Funds-Display</w:t>
            </w:r>
          </w:p>
        </w:tc>
      </w:tr>
      <w:tr w:rsidR="00A10CDF" w:rsidRPr="0049678A" w:rsidTr="004F7F27">
        <w:trPr>
          <w:trHeight w:val="233"/>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FM6S  </w:t>
            </w:r>
          </w:p>
        </w:tc>
      </w:tr>
      <w:tr w:rsidR="00A10CDF" w:rsidRPr="0049678A" w:rsidTr="004F7F27">
        <w:trPr>
          <w:trHeight w:val="247"/>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Display Application of Funds</w:t>
            </w:r>
          </w:p>
        </w:tc>
      </w:tr>
      <w:tr w:rsidR="00A10CDF" w:rsidRPr="0049678A" w:rsidTr="004F7F27">
        <w:trPr>
          <w:trHeight w:val="247"/>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IFMFUSE</w:t>
            </w:r>
          </w:p>
        </w:tc>
        <w:tc>
          <w:tcPr>
            <w:tcW w:w="240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40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DEPT_TRAN</w:t>
            </w:r>
          </w:p>
        </w:tc>
      </w:tr>
      <w:tr w:rsidR="00A10CDF" w:rsidRPr="0049678A" w:rsidTr="004F7F27">
        <w:trPr>
          <w:trHeight w:val="247"/>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FM6I, FM6U</w:t>
            </w:r>
          </w:p>
        </w:tc>
        <w:tc>
          <w:tcPr>
            <w:tcW w:w="2405" w:type="dxa"/>
            <w:shd w:val="clear" w:color="auto" w:fill="EEECE1"/>
          </w:tcPr>
          <w:p w:rsidR="00A10CDF" w:rsidRPr="0049678A" w:rsidRDefault="00A10CDF" w:rsidP="004F7F27">
            <w:pPr>
              <w:spacing w:after="0" w:line="240" w:lineRule="auto"/>
              <w:jc w:val="center"/>
              <w:rPr>
                <w:rFonts w:ascii="Verdana" w:hAnsi="Verdana"/>
                <w:sz w:val="20"/>
                <w:szCs w:val="20"/>
              </w:rPr>
            </w:pPr>
          </w:p>
        </w:tc>
        <w:tc>
          <w:tcPr>
            <w:tcW w:w="2406" w:type="dxa"/>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rPr>
          <w:rFonts w:ascii="Verdana" w:hAnsi="Verdana"/>
          <w:iCs/>
          <w:sz w:val="20"/>
          <w:szCs w:val="20"/>
        </w:rPr>
      </w:pPr>
    </w:p>
    <w:p w:rsidR="00A10CDF" w:rsidRPr="0049678A" w:rsidRDefault="00A10CDF" w:rsidP="00A10CDF">
      <w:pPr>
        <w:pStyle w:val="Heading2"/>
        <w:rPr>
          <w:rFonts w:ascii="Verdana" w:hAnsi="Verdana"/>
          <w:color w:val="auto"/>
          <w:sz w:val="20"/>
          <w:szCs w:val="20"/>
        </w:rPr>
      </w:pPr>
      <w:bookmarkStart w:id="18" w:name="_Toc290534773"/>
      <w:r w:rsidRPr="0049678A">
        <w:rPr>
          <w:rFonts w:ascii="Verdana" w:hAnsi="Verdana"/>
          <w:sz w:val="20"/>
          <w:szCs w:val="20"/>
        </w:rPr>
        <w:t xml:space="preserve">Screenshot:  </w:t>
      </w:r>
      <w:r w:rsidRPr="0049678A">
        <w:rPr>
          <w:rFonts w:ascii="Verdana" w:hAnsi="Verdana"/>
          <w:color w:val="auto"/>
          <w:sz w:val="20"/>
          <w:szCs w:val="20"/>
        </w:rPr>
        <w:t>Location of “Main Account” Field on Application of Funds Master Record</w:t>
      </w:r>
      <w:bookmarkEnd w:id="18"/>
      <w:r w:rsidRPr="0049678A">
        <w:rPr>
          <w:rFonts w:ascii="Verdana" w:hAnsi="Verdana"/>
          <w:color w:val="auto"/>
          <w:sz w:val="20"/>
          <w:szCs w:val="20"/>
        </w:rPr>
        <w:t xml:space="preserve"> </w:t>
      </w:r>
    </w:p>
    <w:p w:rsidR="00A10CDF" w:rsidRPr="0049678A" w:rsidRDefault="00A10CDF" w:rsidP="00A10CDF">
      <w:pPr>
        <w:spacing w:after="0" w:line="240" w:lineRule="auto"/>
        <w:rPr>
          <w:rFonts w:ascii="Verdana" w:hAnsi="Verdana"/>
          <w:color w:val="002060"/>
          <w:sz w:val="20"/>
          <w:szCs w:val="20"/>
        </w:rPr>
      </w:pPr>
    </w:p>
    <w:p w:rsidR="00A10CDF" w:rsidRPr="0049678A" w:rsidRDefault="00402381" w:rsidP="00A10CDF">
      <w:pPr>
        <w:rPr>
          <w:rFonts w:ascii="Verdana" w:hAnsi="Verdana"/>
          <w:i/>
          <w:iCs/>
          <w:sz w:val="20"/>
          <w:szCs w:val="20"/>
        </w:rPr>
      </w:pPr>
      <w:r w:rsidRPr="00402381">
        <w:rPr>
          <w:rFonts w:ascii="Verdana" w:hAnsi="Verdana"/>
          <w:noProof/>
          <w:sz w:val="20"/>
          <w:szCs w:val="20"/>
        </w:rPr>
        <w:pict>
          <v:oval id="Oval 10" o:spid="_x0000_s1028" style="position:absolute;margin-left:118.5pt;margin-top:202.5pt;width:93pt;height:1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" strokecolor="red" strokeweight="1.5pt">
            <v:fill opacity="13107f"/>
          </v:oval>
        </w:pict>
      </w:r>
      <w:r w:rsidR="00A10CDF" w:rsidRPr="0049678A">
        <w:rPr>
          <w:rFonts w:ascii="Verdana" w:hAnsi="Verdana"/>
          <w:i/>
          <w:noProof/>
          <w:sz w:val="20"/>
          <w:szCs w:val="20"/>
        </w:rPr>
        <w:drawing>
          <wp:inline distT="0" distB="0" distL="0" distR="0">
            <wp:extent cx="5829300" cy="3695700"/>
            <wp:effectExtent l="0" t="0" r="0" b="0"/>
            <wp:docPr id="3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9300" cy="3695700"/>
                    </a:xfrm>
                    <a:prstGeom prst="rect">
                      <a:avLst/>
                    </a:prstGeom>
                    <a:noFill/>
                    <a:ln>
                      <a:noFill/>
                    </a:ln>
                  </pic:spPr>
                </pic:pic>
              </a:graphicData>
            </a:graphic>
          </wp:inline>
        </w:drawing>
      </w:r>
    </w:p>
    <w:p w:rsidR="00A10CDF" w:rsidRPr="0049678A" w:rsidRDefault="00A10CDF" w:rsidP="00A10CDF">
      <w:pPr>
        <w:pStyle w:val="Heading1"/>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mallCaps/>
          <w:sz w:val="20"/>
          <w:szCs w:val="20"/>
        </w:rPr>
      </w:pPr>
      <w:bookmarkStart w:id="19" w:name="_Toc293321413"/>
      <w:r w:rsidRPr="0049678A">
        <w:rPr>
          <w:rFonts w:ascii="Verdana" w:hAnsi="Verdana"/>
          <w:sz w:val="20"/>
          <w:szCs w:val="20"/>
        </w:rPr>
        <w:lastRenderedPageBreak/>
        <w:t>A4 - Sub-Account Code</w:t>
      </w:r>
      <w:bookmarkEnd w:id="19"/>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A4 - Sub-Account Code</w:t>
            </w:r>
          </w:p>
        </w:tc>
        <w:tc>
          <w:tcPr>
            <w:tcW w:w="1400" w:type="dxa"/>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hemeFill="accent1" w:themeFillTint="99"/>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3</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Sub-Account Code is a field on the Application of Funds Master Record in SAP.  Application of Funds Master Data is equivalent to “Appropriation” in that the Application of Funds describes a “main account” and “sub-account” tied to a particular “beginning and ending FY” and linked to a “department regular” and “department transfer” value if applicable.  Allowed treasury values are inserted in the “Main Account” and “Sub-Account” field when creating a new “Application of Funds”.  Since Funds are always assigned to an Application of Funds – the Sub-Account will be linked to all financial transactions in the system. </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The following Sub-Accounts have been established specifically for the purpose of subdividing the </w:t>
            </w:r>
            <w:proofErr w:type="spellStart"/>
            <w:r w:rsidRPr="0049678A">
              <w:rPr>
                <w:rFonts w:ascii="Verdana" w:hAnsi="Verdana"/>
                <w:sz w:val="20"/>
                <w:szCs w:val="20"/>
              </w:rPr>
              <w:t>DoD</w:t>
            </w:r>
            <w:proofErr w:type="spellEnd"/>
            <w:r w:rsidRPr="0049678A">
              <w:rPr>
                <w:rFonts w:ascii="Verdana" w:hAnsi="Verdana"/>
                <w:sz w:val="20"/>
                <w:szCs w:val="20"/>
              </w:rPr>
              <w:t xml:space="preserve"> Defense Wide Working Capital Fund Account 4930, as follows:  </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97X4930.001   Defense Working Capital Fund, Army 31USC1535 </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97X4930.002   Defense Working Capital Fund, Navy 31USC1535</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The Sub-Account might indicate a series of subsidiary level receipt accounts or represent special subsidiary level accounts requested for use by an agency and approved by the US Treasury.</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ind w:firstLine="720"/>
        <w:rPr>
          <w:rFonts w:ascii="Verdana" w:hAnsi="Verdana"/>
          <w:b/>
          <w:color w:val="002060"/>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
        <w:gridCol w:w="8716"/>
      </w:tblGrid>
      <w:tr w:rsidR="00A10CDF" w:rsidRPr="0049678A" w:rsidTr="004F7F27">
        <w:tc>
          <w:tcPr>
            <w:tcW w:w="5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716"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A4</w:t>
            </w:r>
          </w:p>
        </w:tc>
        <w:tc>
          <w:tcPr>
            <w:tcW w:w="8716"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Every financial transaction processed must have a valid Sub-Account Code.</w:t>
            </w:r>
          </w:p>
        </w:tc>
      </w:tr>
      <w:tr w:rsidR="00A10CDF" w:rsidRPr="0049678A" w:rsidTr="004F7F27">
        <w:trPr>
          <w:trHeight w:val="305"/>
        </w:trPr>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A4</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cs="Arial"/>
                <w:bCs/>
                <w:color w:val="000000"/>
                <w:sz w:val="20"/>
                <w:szCs w:val="20"/>
              </w:rPr>
              <w:t>The Sub-Account Code must be defaulted to “000” when one of the Treasury Sub-Account Code conditions does not apply.</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A4</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Sub-Account Code must be 3 numeric characters.  ex. 97X4930.001 (last 3 positions following period)</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 Authoritative source:  http://fms.treas.gov/fastbook/</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A4</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Sub-Account Code must be used for accounting classification, general ledger posting, financial reporting, budgetary control, and funds control.  </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A4</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Each accounting system must store and maintain Sub-Account Code values.  </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FFFFFF"/>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137"/>
        <w:gridCol w:w="2405"/>
        <w:gridCol w:w="2406"/>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w:t>
            </w:r>
            <w:r w:rsidRPr="0049678A">
              <w:rPr>
                <w:rFonts w:ascii="Verdana" w:hAnsi="Verdana"/>
                <w:color w:val="000000"/>
                <w:sz w:val="20"/>
                <w:szCs w:val="20"/>
              </w:rPr>
              <w:t xml:space="preserve">Public Sector Management-Funds Management- </w:t>
            </w:r>
            <w:r w:rsidRPr="0049678A">
              <w:rPr>
                <w:rFonts w:ascii="Verdana" w:hAnsi="Verdana"/>
                <w:color w:val="000000"/>
                <w:sz w:val="20"/>
                <w:szCs w:val="20"/>
              </w:rPr>
              <w:lastRenderedPageBreak/>
              <w:t>Master Data-Account Assignment Element- Fund- Application of Funds-Display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FM5S  </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Display Application of Funds</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IFMFUSE</w:t>
            </w:r>
          </w:p>
        </w:tc>
        <w:tc>
          <w:tcPr>
            <w:tcW w:w="240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40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DEPT_TRAN</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FM5I. FM5U</w:t>
            </w:r>
          </w:p>
        </w:tc>
        <w:tc>
          <w:tcPr>
            <w:tcW w:w="2405" w:type="dxa"/>
            <w:shd w:val="clear" w:color="auto" w:fill="EEECE1"/>
          </w:tcPr>
          <w:p w:rsidR="00A10CDF" w:rsidRPr="0049678A" w:rsidRDefault="00A10CDF" w:rsidP="004F7F27">
            <w:pPr>
              <w:spacing w:after="0" w:line="240" w:lineRule="auto"/>
              <w:jc w:val="right"/>
              <w:rPr>
                <w:rFonts w:ascii="Verdana" w:hAnsi="Verdana"/>
                <w:sz w:val="20"/>
                <w:szCs w:val="20"/>
              </w:rPr>
            </w:pPr>
          </w:p>
        </w:tc>
        <w:tc>
          <w:tcPr>
            <w:tcW w:w="2406" w:type="dxa"/>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spacing w:after="0" w:line="240" w:lineRule="auto"/>
        <w:rPr>
          <w:rFonts w:ascii="Verdana" w:hAnsi="Verdana"/>
          <w:iCs/>
          <w:sz w:val="20"/>
          <w:szCs w:val="20"/>
        </w:rPr>
      </w:pPr>
    </w:p>
    <w:p w:rsidR="00A10CDF" w:rsidRPr="0049678A" w:rsidRDefault="00A10CDF" w:rsidP="00A10CDF">
      <w:pPr>
        <w:pStyle w:val="Heading2"/>
        <w:rPr>
          <w:rFonts w:ascii="Verdana" w:hAnsi="Verdana"/>
          <w:color w:val="auto"/>
          <w:sz w:val="20"/>
          <w:szCs w:val="20"/>
        </w:rPr>
      </w:pPr>
      <w:bookmarkStart w:id="20" w:name="_Toc290534774"/>
      <w:r w:rsidRPr="0049678A">
        <w:rPr>
          <w:rFonts w:ascii="Verdana" w:hAnsi="Verdana"/>
          <w:sz w:val="20"/>
          <w:szCs w:val="20"/>
        </w:rPr>
        <w:t xml:space="preserve">Screenshot:  </w:t>
      </w:r>
      <w:r w:rsidRPr="0049678A">
        <w:rPr>
          <w:rFonts w:ascii="Verdana" w:hAnsi="Verdana"/>
          <w:color w:val="auto"/>
          <w:sz w:val="20"/>
          <w:szCs w:val="20"/>
        </w:rPr>
        <w:t>Location of “Sub-Account” Field on Application of Funds Master Record</w:t>
      </w:r>
      <w:bookmarkEnd w:id="20"/>
      <w:r w:rsidRPr="0049678A">
        <w:rPr>
          <w:rFonts w:ascii="Verdana" w:hAnsi="Verdana"/>
          <w:color w:val="auto"/>
          <w:sz w:val="20"/>
          <w:szCs w:val="20"/>
        </w:rPr>
        <w:t xml:space="preserve"> </w:t>
      </w:r>
    </w:p>
    <w:p w:rsidR="00A10CDF" w:rsidRPr="0049678A" w:rsidRDefault="00A10CDF" w:rsidP="00A10CDF">
      <w:pPr>
        <w:spacing w:after="0" w:line="240" w:lineRule="auto"/>
        <w:rPr>
          <w:rFonts w:ascii="Verdana" w:hAnsi="Verdana"/>
          <w:color w:val="002060"/>
          <w:sz w:val="20"/>
          <w:szCs w:val="20"/>
        </w:rPr>
      </w:pPr>
    </w:p>
    <w:p w:rsidR="00A10CDF" w:rsidRPr="0049678A" w:rsidRDefault="00A10CDF" w:rsidP="00A10CDF">
      <w:pPr>
        <w:rPr>
          <w:rStyle w:val="Heading1Char"/>
          <w:rFonts w:ascii="Verdana" w:hAnsi="Verdana"/>
          <w:sz w:val="20"/>
          <w:szCs w:val="20"/>
        </w:rPr>
      </w:pPr>
      <w:r w:rsidRPr="0049678A">
        <w:rPr>
          <w:rFonts w:ascii="Verdana" w:hAnsi="Verdana"/>
          <w:noProof/>
          <w:sz w:val="20"/>
          <w:szCs w:val="20"/>
        </w:rPr>
        <w:drawing>
          <wp:inline distT="0" distB="0" distL="0" distR="0">
            <wp:extent cx="5829300" cy="3695700"/>
            <wp:effectExtent l="0" t="0" r="0" b="0"/>
            <wp:docPr id="3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9300" cy="3695700"/>
                    </a:xfrm>
                    <a:prstGeom prst="rect">
                      <a:avLst/>
                    </a:prstGeom>
                    <a:noFill/>
                    <a:ln>
                      <a:noFill/>
                    </a:ln>
                  </pic:spPr>
                </pic:pic>
              </a:graphicData>
            </a:graphic>
          </wp:inline>
        </w:drawing>
      </w:r>
      <w:r w:rsidR="00402381" w:rsidRPr="00402381">
        <w:rPr>
          <w:rFonts w:ascii="Verdana" w:hAnsi="Verdana"/>
          <w:noProof/>
          <w:sz w:val="20"/>
          <w:szCs w:val="20"/>
        </w:rPr>
        <w:pict>
          <v:oval id="Oval 11" o:spid="_x0000_s1029" style="position:absolute;margin-left:118.5pt;margin-top:220.5pt;width:93pt;height:18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" strokecolor="red" strokeweight="1.5pt">
            <v:fill opacity="13107f"/>
          </v:oval>
        </w:pict>
      </w:r>
      <w:r w:rsidRPr="0049678A">
        <w:rPr>
          <w:rFonts w:ascii="Verdana" w:hAnsi="Verdana"/>
          <w:sz w:val="20"/>
          <w:szCs w:val="20"/>
        </w:rPr>
        <w:br w:type="page"/>
      </w:r>
      <w:bookmarkStart w:id="21" w:name="_Toc293321414"/>
      <w:r w:rsidRPr="0049678A">
        <w:rPr>
          <w:rStyle w:val="Heading1Char"/>
          <w:rFonts w:ascii="Verdana" w:hAnsi="Verdana"/>
          <w:sz w:val="20"/>
          <w:szCs w:val="20"/>
        </w:rPr>
        <w:lastRenderedPageBreak/>
        <w:t>A5 - Apportionment Category Code</w:t>
      </w:r>
      <w:bookmarkEnd w:id="21"/>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A5 - Apportionment Category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cs="Arial"/>
                <w:sz w:val="20"/>
                <w:szCs w:val="20"/>
              </w:rPr>
              <w:t xml:space="preserve">An OMB distribution of budgetary resources, using Standard Form (SF) 132, Apportionment and Re-apportionment Schedule, to distribute budget or </w:t>
            </w:r>
            <w:proofErr w:type="spellStart"/>
            <w:r w:rsidRPr="0049678A">
              <w:rPr>
                <w:rFonts w:ascii="Verdana" w:hAnsi="Verdana" w:cs="Arial"/>
                <w:sz w:val="20"/>
                <w:szCs w:val="20"/>
              </w:rPr>
              <w:t>obligational</w:t>
            </w:r>
            <w:proofErr w:type="spellEnd"/>
            <w:r w:rsidRPr="0049678A">
              <w:rPr>
                <w:rFonts w:ascii="Verdana" w:hAnsi="Verdana" w:cs="Arial"/>
                <w:sz w:val="20"/>
                <w:szCs w:val="20"/>
              </w:rPr>
              <w:t xml:space="preserve"> authority by calendar quarter (category A) or by other specified time periods, or programs, activities, projects, or combinations thereof (category B). The category code indicates whether amounts distributed are category A or B apportionments, or not subject to apportionment (category C).  The apportionment distribution represents that portion of the appropriation authorized for the obligation and expenditure of funds.</w:t>
            </w:r>
            <w:r w:rsidRPr="0049678A">
              <w:rPr>
                <w:rFonts w:ascii="Verdana" w:hAnsi="Verdana"/>
                <w:sz w:val="20"/>
                <w:szCs w:val="20"/>
              </w:rPr>
              <w:t xml:space="preserve"> </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Examples of Apportionment Categories A, B and C </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Category A - Period Apportionments </w:t>
            </w:r>
          </w:p>
          <w:p w:rsidR="00A10CDF" w:rsidRPr="0049678A" w:rsidRDefault="00A10CDF" w:rsidP="004F7F27">
            <w:pPr>
              <w:pStyle w:val="ListParagraph"/>
              <w:numPr>
                <w:ilvl w:val="0"/>
                <w:numId w:val="41"/>
              </w:numPr>
              <w:spacing w:after="0" w:line="240" w:lineRule="auto"/>
              <w:ind w:left="160" w:hanging="160"/>
              <w:rPr>
                <w:rFonts w:ascii="Verdana" w:hAnsi="Verdana"/>
                <w:sz w:val="20"/>
                <w:szCs w:val="20"/>
              </w:rPr>
            </w:pPr>
            <w:r w:rsidRPr="0049678A">
              <w:rPr>
                <w:rFonts w:ascii="Verdana" w:hAnsi="Verdana"/>
                <w:sz w:val="20"/>
                <w:szCs w:val="20"/>
              </w:rPr>
              <w:t>1st quarter amount, 2nd Quarter amount, 3rd Quarter Amount and 4th Quarter Amount.</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Category B Examples- Apportionments for Specific Purposes, e.g.,:  </w:t>
            </w:r>
          </w:p>
          <w:p w:rsidR="00A10CDF" w:rsidRPr="0049678A" w:rsidRDefault="00A10CDF" w:rsidP="004F7F27">
            <w:pPr>
              <w:pStyle w:val="ListParagraph"/>
              <w:numPr>
                <w:ilvl w:val="0"/>
                <w:numId w:val="41"/>
              </w:numPr>
              <w:spacing w:after="0" w:line="240" w:lineRule="auto"/>
              <w:ind w:left="160" w:hanging="160"/>
              <w:rPr>
                <w:rFonts w:ascii="Verdana" w:hAnsi="Verdana"/>
                <w:sz w:val="20"/>
                <w:szCs w:val="20"/>
              </w:rPr>
            </w:pPr>
            <w:r w:rsidRPr="0049678A">
              <w:rPr>
                <w:rFonts w:ascii="Verdana" w:hAnsi="Verdana"/>
                <w:sz w:val="20"/>
                <w:szCs w:val="20"/>
              </w:rPr>
              <w:t xml:space="preserve">Tri-annual Apportionment-Research, Development of Product XYZ, </w:t>
            </w:r>
          </w:p>
          <w:p w:rsidR="00A10CDF" w:rsidRPr="0049678A" w:rsidRDefault="00A10CDF" w:rsidP="004F7F27">
            <w:pPr>
              <w:pStyle w:val="ListParagraph"/>
              <w:numPr>
                <w:ilvl w:val="0"/>
                <w:numId w:val="41"/>
              </w:numPr>
              <w:spacing w:after="0" w:line="240" w:lineRule="auto"/>
              <w:ind w:left="160" w:hanging="160"/>
              <w:rPr>
                <w:rFonts w:ascii="Verdana" w:hAnsi="Verdana"/>
                <w:sz w:val="20"/>
                <w:szCs w:val="20"/>
              </w:rPr>
            </w:pPr>
            <w:r w:rsidRPr="0049678A">
              <w:rPr>
                <w:rFonts w:ascii="Verdana" w:hAnsi="Verdana"/>
                <w:sz w:val="20"/>
                <w:szCs w:val="20"/>
              </w:rPr>
              <w:t>Terrorist Defense Education (Special purpose)</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Category C - Accounts Exempted from SF 132 Apportionment Requirements; Example for a no-year or multi-year account: </w:t>
            </w:r>
          </w:p>
          <w:p w:rsidR="00A10CDF" w:rsidRPr="0049678A" w:rsidRDefault="00A10CDF" w:rsidP="004F7F27">
            <w:pPr>
              <w:pStyle w:val="ListParagraph"/>
              <w:numPr>
                <w:ilvl w:val="0"/>
                <w:numId w:val="42"/>
              </w:numPr>
              <w:spacing w:after="0" w:line="240" w:lineRule="auto"/>
              <w:ind w:left="160" w:hanging="160"/>
              <w:rPr>
                <w:rFonts w:ascii="Verdana" w:hAnsi="Verdana"/>
                <w:sz w:val="20"/>
                <w:szCs w:val="20"/>
              </w:rPr>
            </w:pPr>
            <w:r w:rsidRPr="0049678A">
              <w:rPr>
                <w:rFonts w:ascii="Verdana" w:hAnsi="Verdana"/>
                <w:sz w:val="20"/>
                <w:szCs w:val="20"/>
              </w:rPr>
              <w:t xml:space="preserve">Other Category C uses include: Non-expenditure transfers to other accounts; Expired accounts; Accounts that are fully obligated (expended) at the beginning of a fiscal period; </w:t>
            </w:r>
            <w:proofErr w:type="gramStart"/>
            <w:r w:rsidRPr="0049678A">
              <w:rPr>
                <w:rFonts w:ascii="Verdana" w:hAnsi="Verdana"/>
                <w:sz w:val="20"/>
                <w:szCs w:val="20"/>
              </w:rPr>
              <w:t>Foreign</w:t>
            </w:r>
            <w:proofErr w:type="gramEnd"/>
            <w:r w:rsidRPr="0049678A">
              <w:rPr>
                <w:rFonts w:ascii="Verdana" w:hAnsi="Verdana"/>
                <w:sz w:val="20"/>
                <w:szCs w:val="20"/>
              </w:rPr>
              <w:t xml:space="preserve"> currency accounts.</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ind w:left="-20"/>
              <w:rPr>
                <w:rFonts w:ascii="Verdana" w:hAnsi="Verdana"/>
                <w:sz w:val="20"/>
                <w:szCs w:val="20"/>
              </w:rPr>
            </w:pPr>
            <w:r w:rsidRPr="0049678A">
              <w:rPr>
                <w:rFonts w:ascii="Verdana" w:hAnsi="Verdana"/>
                <w:sz w:val="20"/>
                <w:szCs w:val="20"/>
              </w:rPr>
              <w:t>The apportionment distribution represents that portion of the appropriation authorized for the obligation and expenditure of funds.</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spacing w:after="0" w:line="240" w:lineRule="auto"/>
        <w:rPr>
          <w:rFonts w:ascii="Verdana" w:hAnsi="Verdana"/>
          <w:b/>
          <w:color w:val="002060"/>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
        <w:gridCol w:w="8716"/>
      </w:tblGrid>
      <w:tr w:rsidR="00A10CDF" w:rsidRPr="0049678A" w:rsidTr="004F7F27">
        <w:tc>
          <w:tcPr>
            <w:tcW w:w="5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716"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A5</w:t>
            </w:r>
          </w:p>
        </w:tc>
        <w:tc>
          <w:tcPr>
            <w:tcW w:w="8716"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Apportionment Category Code must be 1 alpha character.  </w:t>
            </w:r>
            <w:proofErr w:type="gramStart"/>
            <w:r w:rsidRPr="0049678A">
              <w:rPr>
                <w:rFonts w:ascii="Verdana" w:hAnsi="Verdana" w:cs="Arial"/>
                <w:bCs/>
                <w:color w:val="000000"/>
                <w:sz w:val="20"/>
                <w:szCs w:val="20"/>
              </w:rPr>
              <w:t>ex</w:t>
            </w:r>
            <w:proofErr w:type="gramEnd"/>
            <w:r w:rsidRPr="0049678A">
              <w:rPr>
                <w:rFonts w:ascii="Verdana" w:hAnsi="Verdana" w:cs="Arial"/>
                <w:bCs/>
                <w:color w:val="000000"/>
                <w:sz w:val="20"/>
                <w:szCs w:val="20"/>
              </w:rPr>
              <w:t>. A</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Data values:  A - Category A</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B - Category B</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C - Not subject to apportionment</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A5</w:t>
            </w:r>
          </w:p>
        </w:tc>
        <w:tc>
          <w:tcPr>
            <w:tcW w:w="8716"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Apportionment Category Code must be used for accounting classification, general ledger posting, financial reporting, budgetary control, and funds control.   </w:t>
            </w:r>
          </w:p>
        </w:tc>
      </w:tr>
      <w:tr w:rsidR="00A10CDF" w:rsidRPr="0049678A" w:rsidTr="004F7F27">
        <w:trPr>
          <w:trHeight w:val="305"/>
        </w:trPr>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A5</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cs="Arial"/>
                <w:bCs/>
                <w:color w:val="000000"/>
                <w:sz w:val="20"/>
                <w:szCs w:val="20"/>
              </w:rPr>
              <w:t>Each accounting system must store and maintain Apportionment Category Code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FFFFFF"/>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137"/>
        <w:gridCol w:w="2405"/>
        <w:gridCol w:w="2406"/>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w:t>
            </w:r>
            <w:r w:rsidRPr="0049678A">
              <w:rPr>
                <w:rFonts w:ascii="Verdana" w:hAnsi="Verdana"/>
                <w:color w:val="000000"/>
                <w:sz w:val="20"/>
                <w:szCs w:val="20"/>
              </w:rPr>
              <w:t xml:space="preserve">Public Sector Management-Funds Management- </w:t>
            </w:r>
            <w:r w:rsidRPr="0049678A">
              <w:rPr>
                <w:rFonts w:ascii="Verdana" w:hAnsi="Verdana"/>
                <w:color w:val="000000"/>
                <w:sz w:val="20"/>
                <w:szCs w:val="20"/>
              </w:rPr>
              <w:lastRenderedPageBreak/>
              <w:t>Master Data-Account Assignment Element- Fund- Application of Funds-Display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FACTS I &amp; II Derivation of Attributes</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IUSFGFDERIVE</w:t>
            </w:r>
          </w:p>
        </w:tc>
        <w:tc>
          <w:tcPr>
            <w:tcW w:w="240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40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FLG_APPORT</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c>
          <w:tcPr>
            <w:tcW w:w="2405" w:type="dxa"/>
            <w:shd w:val="clear" w:color="auto" w:fill="EEECE1"/>
          </w:tcPr>
          <w:p w:rsidR="00A10CDF" w:rsidRPr="0049678A" w:rsidRDefault="00A10CDF" w:rsidP="004F7F27">
            <w:pPr>
              <w:spacing w:after="0" w:line="240" w:lineRule="auto"/>
              <w:jc w:val="right"/>
              <w:rPr>
                <w:rFonts w:ascii="Verdana" w:hAnsi="Verdana"/>
                <w:sz w:val="20"/>
                <w:szCs w:val="20"/>
              </w:rPr>
            </w:pPr>
          </w:p>
        </w:tc>
        <w:tc>
          <w:tcPr>
            <w:tcW w:w="2406" w:type="dxa"/>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rPr>
          <w:rFonts w:ascii="Verdana" w:hAnsi="Verdana"/>
          <w:i/>
          <w:iCs/>
          <w:sz w:val="20"/>
          <w:szCs w:val="20"/>
        </w:rPr>
      </w:pPr>
    </w:p>
    <w:p w:rsidR="00A10CDF" w:rsidRPr="0049678A" w:rsidRDefault="00A10CDF" w:rsidP="00A10CDF">
      <w:pPr>
        <w:pStyle w:val="Heading2"/>
        <w:rPr>
          <w:rFonts w:ascii="Verdana" w:hAnsi="Verdana"/>
          <w:color w:val="auto"/>
          <w:sz w:val="20"/>
          <w:szCs w:val="20"/>
        </w:rPr>
      </w:pPr>
      <w:bookmarkStart w:id="22" w:name="_Toc290534775"/>
      <w:r w:rsidRPr="0049678A">
        <w:rPr>
          <w:rFonts w:ascii="Verdana" w:hAnsi="Verdana"/>
          <w:sz w:val="20"/>
          <w:szCs w:val="20"/>
        </w:rPr>
        <w:t xml:space="preserve">Screenshot:  </w:t>
      </w:r>
      <w:r w:rsidRPr="0049678A">
        <w:rPr>
          <w:rFonts w:ascii="Verdana" w:hAnsi="Verdana"/>
          <w:color w:val="auto"/>
          <w:sz w:val="20"/>
          <w:szCs w:val="20"/>
        </w:rPr>
        <w:t xml:space="preserve">Location of “Apportionment Category” Field on </w:t>
      </w:r>
      <w:bookmarkEnd w:id="22"/>
      <w:r w:rsidRPr="0049678A">
        <w:rPr>
          <w:rFonts w:ascii="Verdana" w:hAnsi="Verdana"/>
          <w:color w:val="auto"/>
          <w:sz w:val="20"/>
          <w:szCs w:val="20"/>
        </w:rPr>
        <w:t xml:space="preserve">FACTS I &amp; II Derivation of Attributes </w:t>
      </w:r>
    </w:p>
    <w:p w:rsidR="00A10CDF" w:rsidRPr="0049678A" w:rsidRDefault="00A10CDF" w:rsidP="00A10CDF">
      <w:pPr>
        <w:tabs>
          <w:tab w:val="left" w:pos="6912"/>
        </w:tabs>
        <w:spacing w:after="0" w:line="240" w:lineRule="auto"/>
        <w:rPr>
          <w:rFonts w:ascii="Verdana" w:hAnsi="Verdana"/>
          <w:sz w:val="20"/>
          <w:szCs w:val="20"/>
        </w:rPr>
      </w:pPr>
      <w:r w:rsidRPr="0049678A">
        <w:rPr>
          <w:rFonts w:ascii="Verdana" w:hAnsi="Verdana"/>
          <w:sz w:val="20"/>
          <w:szCs w:val="20"/>
        </w:rPr>
        <w:tab/>
      </w:r>
    </w:p>
    <w:p w:rsidR="00A10CDF" w:rsidRPr="0049678A" w:rsidRDefault="00A10CDF" w:rsidP="00A10CDF">
      <w:pPr>
        <w:rPr>
          <w:rFonts w:ascii="Verdana" w:hAnsi="Verdana"/>
          <w:noProof/>
          <w:sz w:val="20"/>
          <w:szCs w:val="20"/>
        </w:rPr>
      </w:pPr>
      <w:r w:rsidRPr="0049678A">
        <w:rPr>
          <w:rFonts w:ascii="Verdana" w:hAnsi="Verdana"/>
          <w:noProof/>
          <w:sz w:val="20"/>
          <w:szCs w:val="20"/>
        </w:rPr>
        <w:drawing>
          <wp:inline distT="0" distB="0" distL="0" distR="0">
            <wp:extent cx="5238750" cy="419100"/>
            <wp:effectExtent l="0" t="0" r="0" b="0"/>
            <wp:docPr id="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8750" cy="419100"/>
                    </a:xfrm>
                    <a:prstGeom prst="rect">
                      <a:avLst/>
                    </a:prstGeom>
                    <a:noFill/>
                    <a:ln>
                      <a:noFill/>
                    </a:ln>
                  </pic:spPr>
                </pic:pic>
              </a:graphicData>
            </a:graphic>
          </wp:inline>
        </w:drawing>
      </w:r>
    </w:p>
    <w:p w:rsidR="00A10CDF" w:rsidRPr="0049678A" w:rsidRDefault="00A10CDF" w:rsidP="00A10CDF">
      <w:pPr>
        <w:rPr>
          <w:rFonts w:ascii="Verdana" w:hAnsi="Verdana"/>
          <w:noProof/>
          <w:sz w:val="20"/>
          <w:szCs w:val="20"/>
        </w:rPr>
      </w:pPr>
      <w:r w:rsidRPr="0049678A">
        <w:rPr>
          <w:rFonts w:ascii="Verdana" w:hAnsi="Verdana"/>
          <w:noProof/>
          <w:sz w:val="20"/>
          <w:szCs w:val="20"/>
        </w:rPr>
        <w:drawing>
          <wp:inline distT="0" distB="0" distL="0" distR="0">
            <wp:extent cx="5343525" cy="2400300"/>
            <wp:effectExtent l="0" t="0" r="9525" b="0"/>
            <wp:docPr id="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43525" cy="2400300"/>
                    </a:xfrm>
                    <a:prstGeom prst="rect">
                      <a:avLst/>
                    </a:prstGeom>
                    <a:noFill/>
                    <a:ln>
                      <a:noFill/>
                    </a:ln>
                  </pic:spPr>
                </pic:pic>
              </a:graphicData>
            </a:graphic>
          </wp:inline>
        </w:drawing>
      </w:r>
    </w:p>
    <w:p w:rsidR="00A10CDF" w:rsidRPr="0049678A" w:rsidRDefault="00402381" w:rsidP="00A10CDF">
      <w:pPr>
        <w:rPr>
          <w:rFonts w:ascii="Verdana" w:hAnsi="Verdana"/>
          <w:sz w:val="20"/>
          <w:szCs w:val="20"/>
        </w:rPr>
      </w:pPr>
      <w:r>
        <w:rPr>
          <w:rFonts w:ascii="Verdana" w:hAnsi="Verdana"/>
          <w:noProof/>
          <w:sz w:val="20"/>
          <w:szCs w:val="20"/>
        </w:rPr>
        <w:pict>
          <v:oval id="Oval 116" o:spid="_x0000_s1060" style="position:absolute;margin-left:313.5pt;margin-top:-.35pt;width:87.75pt;height:58.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" strokecolor="red" strokeweight="1.5pt">
            <v:fill opacity="7967f"/>
          </v:oval>
        </w:pict>
      </w:r>
      <w:r w:rsidR="00A10CDF" w:rsidRPr="0049678A">
        <w:rPr>
          <w:rFonts w:ascii="Verdana" w:hAnsi="Verdana"/>
          <w:noProof/>
          <w:sz w:val="20"/>
          <w:szCs w:val="20"/>
        </w:rPr>
        <w:drawing>
          <wp:inline distT="0" distB="0" distL="0" distR="0">
            <wp:extent cx="5943600" cy="742950"/>
            <wp:effectExtent l="0" t="0" r="0" b="0"/>
            <wp:docPr id="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742950"/>
                    </a:xfrm>
                    <a:prstGeom prst="rect">
                      <a:avLst/>
                    </a:prstGeom>
                    <a:noFill/>
                    <a:ln>
                      <a:noFill/>
                    </a:ln>
                  </pic:spPr>
                </pic:pic>
              </a:graphicData>
            </a:graphic>
          </wp:inline>
        </w:drawing>
      </w:r>
    </w:p>
    <w:p w:rsidR="00A10CDF" w:rsidRPr="0049678A" w:rsidRDefault="00A10CDF" w:rsidP="00A10CDF">
      <w:pPr>
        <w:pStyle w:val="Heading1"/>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mallCaps/>
          <w:sz w:val="20"/>
          <w:szCs w:val="20"/>
        </w:rPr>
      </w:pPr>
      <w:bookmarkStart w:id="23" w:name="_Toc293321415"/>
      <w:r w:rsidRPr="0049678A">
        <w:rPr>
          <w:rFonts w:ascii="Verdana" w:hAnsi="Verdana"/>
          <w:sz w:val="20"/>
          <w:szCs w:val="20"/>
        </w:rPr>
        <w:lastRenderedPageBreak/>
        <w:t>A6 - Receipt Indicator</w:t>
      </w:r>
      <w:bookmarkEnd w:id="23"/>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A6 - Receipt Indicator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color w:val="000000"/>
                <w:sz w:val="20"/>
                <w:szCs w:val="20"/>
              </w:rPr>
              <w:t xml:space="preserve">The Receipt Indicator identifies a main account balance, or main account/subaccount combination, as either receipt or expenditure.  </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Not Applicable - This is a simple Yes or No field.  </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
        <w:gridCol w:w="8716"/>
      </w:tblGrid>
      <w:tr w:rsidR="00A10CDF" w:rsidRPr="0049678A" w:rsidTr="004F7F27">
        <w:tc>
          <w:tcPr>
            <w:tcW w:w="500" w:type="dxa"/>
            <w:shd w:val="clear" w:color="auto" w:fill="EEECE1"/>
          </w:tcPr>
          <w:p w:rsidR="00A10CDF" w:rsidRPr="0049678A" w:rsidRDefault="00A10CDF" w:rsidP="004F7F27">
            <w:pPr>
              <w:spacing w:after="0" w:line="240" w:lineRule="auto"/>
              <w:ind w:left="360" w:hanging="360"/>
              <w:jc w:val="center"/>
              <w:rPr>
                <w:rFonts w:ascii="Verdana" w:hAnsi="Verdana"/>
                <w:sz w:val="20"/>
                <w:szCs w:val="20"/>
              </w:rPr>
            </w:pPr>
            <w:r w:rsidRPr="0049678A">
              <w:rPr>
                <w:rFonts w:ascii="Verdana" w:hAnsi="Verdana"/>
                <w:sz w:val="20"/>
                <w:szCs w:val="20"/>
              </w:rPr>
              <w:t>#</w:t>
            </w:r>
          </w:p>
        </w:tc>
        <w:tc>
          <w:tcPr>
            <w:tcW w:w="8716" w:type="dxa"/>
            <w:shd w:val="clear" w:color="auto" w:fill="EEECE1"/>
          </w:tcPr>
          <w:p w:rsidR="00A10CDF" w:rsidRPr="0049678A" w:rsidRDefault="00A10CDF" w:rsidP="004F7F27">
            <w:pPr>
              <w:spacing w:after="0" w:line="240" w:lineRule="auto"/>
              <w:ind w:left="360"/>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00"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A6</w:t>
            </w:r>
          </w:p>
        </w:tc>
        <w:tc>
          <w:tcPr>
            <w:tcW w:w="8716"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Receipt Indicator must be 1 alpha character.  ex. Y</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Data values:  Y - Yes</w:t>
            </w:r>
          </w:p>
          <w:p w:rsidR="00A10CDF" w:rsidRPr="0049678A" w:rsidRDefault="00A10CDF" w:rsidP="004F7F27">
            <w:pPr>
              <w:spacing w:after="0" w:line="240" w:lineRule="auto"/>
              <w:ind w:left="360"/>
              <w:rPr>
                <w:rFonts w:ascii="Verdana" w:hAnsi="Verdana" w:cs="Arial"/>
                <w:bCs/>
                <w:color w:val="000000"/>
                <w:sz w:val="20"/>
                <w:szCs w:val="20"/>
              </w:rPr>
            </w:pPr>
            <w:r w:rsidRPr="0049678A">
              <w:rPr>
                <w:rFonts w:ascii="Verdana" w:hAnsi="Verdana" w:cs="Arial"/>
                <w:bCs/>
                <w:color w:val="000000"/>
                <w:sz w:val="20"/>
                <w:szCs w:val="20"/>
              </w:rPr>
              <w:t xml:space="preserve">               N </w:t>
            </w:r>
            <w:r w:rsidR="00A64AA7">
              <w:rPr>
                <w:rFonts w:ascii="Verdana" w:hAnsi="Verdana" w:cs="Arial"/>
                <w:bCs/>
                <w:color w:val="000000"/>
                <w:sz w:val="20"/>
                <w:szCs w:val="20"/>
              </w:rPr>
              <w:t>–</w:t>
            </w:r>
            <w:r w:rsidRPr="0049678A">
              <w:rPr>
                <w:rFonts w:ascii="Verdana" w:hAnsi="Verdana" w:cs="Arial"/>
                <w:bCs/>
                <w:color w:val="000000"/>
                <w:sz w:val="20"/>
                <w:szCs w:val="20"/>
              </w:rPr>
              <w:t xml:space="preserve"> No</w:t>
            </w:r>
          </w:p>
        </w:tc>
      </w:tr>
      <w:tr w:rsidR="00A10CDF" w:rsidRPr="0049678A" w:rsidTr="004F7F27">
        <w:tc>
          <w:tcPr>
            <w:tcW w:w="500"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A6</w:t>
            </w:r>
          </w:p>
        </w:tc>
        <w:tc>
          <w:tcPr>
            <w:tcW w:w="8716" w:type="dxa"/>
          </w:tcPr>
          <w:p w:rsidR="00A10CDF" w:rsidRPr="0049678A" w:rsidRDefault="00A10CDF" w:rsidP="004F7F27">
            <w:pPr>
              <w:spacing w:after="0" w:line="240" w:lineRule="auto"/>
              <w:ind w:left="40"/>
              <w:rPr>
                <w:rFonts w:ascii="Verdana" w:hAnsi="Verdana" w:cs="Arial"/>
                <w:bCs/>
                <w:color w:val="000000"/>
                <w:sz w:val="20"/>
                <w:szCs w:val="20"/>
              </w:rPr>
            </w:pPr>
            <w:r w:rsidRPr="0049678A">
              <w:rPr>
                <w:rFonts w:ascii="Verdana" w:hAnsi="Verdana" w:cs="Arial"/>
                <w:bCs/>
                <w:color w:val="000000"/>
                <w:sz w:val="20"/>
                <w:szCs w:val="20"/>
              </w:rPr>
              <w:t xml:space="preserve">Receipt Indicator must be used for accounting classification and financial reporting.  </w:t>
            </w:r>
          </w:p>
        </w:tc>
      </w:tr>
      <w:tr w:rsidR="00A10CDF" w:rsidRPr="0049678A" w:rsidTr="004F7F27">
        <w:trPr>
          <w:trHeight w:val="305"/>
        </w:trPr>
        <w:tc>
          <w:tcPr>
            <w:tcW w:w="500"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A6</w:t>
            </w:r>
          </w:p>
        </w:tc>
        <w:tc>
          <w:tcPr>
            <w:tcW w:w="8716" w:type="dxa"/>
          </w:tcPr>
          <w:p w:rsidR="00A10CDF" w:rsidRPr="0049678A" w:rsidRDefault="00A10CDF" w:rsidP="004F7F27">
            <w:pPr>
              <w:spacing w:after="0" w:line="240" w:lineRule="auto"/>
              <w:ind w:left="40"/>
              <w:rPr>
                <w:rFonts w:ascii="Verdana" w:hAnsi="Verdana"/>
                <w:sz w:val="20"/>
                <w:szCs w:val="20"/>
              </w:rPr>
            </w:pPr>
            <w:r w:rsidRPr="0049678A">
              <w:rPr>
                <w:rFonts w:ascii="Verdana" w:hAnsi="Verdana" w:cs="Arial"/>
                <w:bCs/>
                <w:color w:val="000000"/>
                <w:sz w:val="20"/>
                <w:szCs w:val="20"/>
              </w:rPr>
              <w:t>Each accounting system must identify and be able to report accounts or portions of accounts used for receipt purposes.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FFFFFF"/>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137"/>
        <w:gridCol w:w="2405"/>
        <w:gridCol w:w="2406"/>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ind w:left="360"/>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w:t>
            </w:r>
            <w:r w:rsidRPr="0049678A">
              <w:rPr>
                <w:rFonts w:ascii="Verdana" w:hAnsi="Verdana"/>
                <w:color w:val="000000"/>
                <w:sz w:val="20"/>
                <w:szCs w:val="20"/>
              </w:rPr>
              <w:t>Public Sector Management-Funds Management- Master Data-Account Assignment Element- Fund- Application of Funds-Display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FM5S  </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IFMFUSE</w:t>
            </w:r>
          </w:p>
        </w:tc>
        <w:tc>
          <w:tcPr>
            <w:tcW w:w="2405" w:type="dxa"/>
            <w:shd w:val="clear" w:color="auto" w:fill="EEECE1"/>
          </w:tcPr>
          <w:p w:rsidR="00A10CDF" w:rsidRPr="0049678A" w:rsidRDefault="00A10CDF" w:rsidP="004F7F27">
            <w:pPr>
              <w:spacing w:after="0" w:line="240" w:lineRule="auto"/>
              <w:ind w:left="5"/>
              <w:jc w:val="center"/>
              <w:rPr>
                <w:rFonts w:ascii="Verdana" w:hAnsi="Verdana"/>
                <w:sz w:val="20"/>
                <w:szCs w:val="20"/>
              </w:rPr>
            </w:pPr>
            <w:r w:rsidRPr="0049678A">
              <w:rPr>
                <w:rFonts w:ascii="Verdana" w:hAnsi="Verdana"/>
                <w:sz w:val="20"/>
                <w:szCs w:val="20"/>
              </w:rPr>
              <w:t>Field Name:</w:t>
            </w:r>
          </w:p>
        </w:tc>
        <w:tc>
          <w:tcPr>
            <w:tcW w:w="2406" w:type="dxa"/>
          </w:tcPr>
          <w:p w:rsidR="00A10CDF" w:rsidRPr="0049678A" w:rsidRDefault="00A10CDF" w:rsidP="004F7F27">
            <w:pPr>
              <w:spacing w:after="0" w:line="240" w:lineRule="auto"/>
              <w:ind w:left="360"/>
              <w:rPr>
                <w:rFonts w:ascii="Verdana" w:hAnsi="Verdana"/>
                <w:sz w:val="20"/>
                <w:szCs w:val="20"/>
              </w:rPr>
            </w:pPr>
            <w:r w:rsidRPr="0049678A">
              <w:rPr>
                <w:rFonts w:ascii="Verdana" w:hAnsi="Verdana"/>
                <w:sz w:val="20"/>
                <w:szCs w:val="20"/>
              </w:rPr>
              <w:t>Receipt Indicator</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c>
          <w:tcPr>
            <w:tcW w:w="2405" w:type="dxa"/>
            <w:shd w:val="clear" w:color="auto" w:fill="EEECE1"/>
          </w:tcPr>
          <w:p w:rsidR="00A10CDF" w:rsidRPr="0049678A" w:rsidRDefault="00A10CDF" w:rsidP="004F7F27">
            <w:pPr>
              <w:spacing w:after="0" w:line="240" w:lineRule="auto"/>
              <w:ind w:left="360"/>
              <w:jc w:val="right"/>
              <w:rPr>
                <w:rFonts w:ascii="Verdana" w:hAnsi="Verdana"/>
                <w:sz w:val="20"/>
                <w:szCs w:val="20"/>
              </w:rPr>
            </w:pPr>
          </w:p>
        </w:tc>
        <w:tc>
          <w:tcPr>
            <w:tcW w:w="2406" w:type="dxa"/>
          </w:tcPr>
          <w:p w:rsidR="00A10CDF" w:rsidRPr="0049678A" w:rsidRDefault="00A10CDF" w:rsidP="004F7F27">
            <w:pPr>
              <w:spacing w:after="0" w:line="240" w:lineRule="auto"/>
              <w:ind w:left="360"/>
              <w:rPr>
                <w:rFonts w:ascii="Verdana" w:hAnsi="Verdana"/>
                <w:sz w:val="20"/>
                <w:szCs w:val="20"/>
              </w:rPr>
            </w:pPr>
          </w:p>
        </w:tc>
      </w:tr>
    </w:tbl>
    <w:p w:rsidR="00A10CDF" w:rsidRPr="0049678A" w:rsidRDefault="00A10CDF" w:rsidP="00A10CDF">
      <w:pPr>
        <w:rPr>
          <w:rFonts w:ascii="Verdana" w:hAnsi="Verdana"/>
          <w:i/>
          <w:iCs/>
          <w:sz w:val="20"/>
          <w:szCs w:val="20"/>
        </w:rPr>
      </w:pPr>
    </w:p>
    <w:p w:rsidR="00A10CDF" w:rsidRPr="0049678A" w:rsidRDefault="00A10CDF" w:rsidP="00A10CDF">
      <w:pPr>
        <w:rPr>
          <w:rFonts w:ascii="Verdana" w:hAnsi="Verdana"/>
          <w:i/>
          <w:iCs/>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Style w:val="Heading3Char"/>
          <w:rFonts w:ascii="Verdana" w:hAnsi="Verdana"/>
          <w:iCs w:val="0"/>
          <w:smallCaps w:val="0"/>
          <w:spacing w:val="0"/>
          <w:sz w:val="20"/>
          <w:szCs w:val="20"/>
        </w:rPr>
      </w:pPr>
    </w:p>
    <w:p w:rsidR="00A10CDF" w:rsidRPr="0049678A" w:rsidRDefault="00A10CDF" w:rsidP="00A10CDF">
      <w:pPr>
        <w:pStyle w:val="Heading2"/>
        <w:rPr>
          <w:rStyle w:val="Heading3Char"/>
          <w:rFonts w:ascii="Verdana" w:hAnsi="Verdana"/>
          <w:iCs w:val="0"/>
          <w:smallCaps w:val="0"/>
          <w:spacing w:val="0"/>
          <w:sz w:val="20"/>
          <w:szCs w:val="20"/>
        </w:rPr>
      </w:pPr>
    </w:p>
    <w:p w:rsidR="00A10CDF" w:rsidRPr="0049678A" w:rsidRDefault="00A10CDF" w:rsidP="00A10CDF">
      <w:pPr>
        <w:pStyle w:val="Heading2"/>
        <w:rPr>
          <w:rStyle w:val="Heading3Char"/>
          <w:rFonts w:ascii="Verdana" w:hAnsi="Verdana"/>
          <w:iCs w:val="0"/>
          <w:smallCaps w:val="0"/>
          <w:spacing w:val="0"/>
          <w:sz w:val="20"/>
          <w:szCs w:val="20"/>
        </w:rPr>
      </w:pPr>
    </w:p>
    <w:p w:rsidR="00A10CDF" w:rsidRPr="0049678A" w:rsidRDefault="00A10CDF" w:rsidP="00A10CDF">
      <w:pPr>
        <w:pStyle w:val="Heading2"/>
        <w:rPr>
          <w:rStyle w:val="Heading3Char"/>
          <w:rFonts w:ascii="Verdana" w:hAnsi="Verdana"/>
          <w:b/>
          <w:iCs w:val="0"/>
          <w:smallCaps w:val="0"/>
          <w:spacing w:val="0"/>
          <w:sz w:val="20"/>
          <w:szCs w:val="20"/>
        </w:rPr>
      </w:pPr>
    </w:p>
    <w:p w:rsidR="00A10CDF" w:rsidRPr="0049678A" w:rsidRDefault="00A10CDF" w:rsidP="00A10CDF">
      <w:pPr>
        <w:pStyle w:val="Heading2"/>
        <w:rPr>
          <w:rFonts w:ascii="Verdana" w:hAnsi="Verdana"/>
          <w:sz w:val="20"/>
          <w:szCs w:val="20"/>
        </w:rPr>
      </w:pPr>
      <w:r w:rsidRPr="0049678A">
        <w:rPr>
          <w:rStyle w:val="Heading3Char"/>
          <w:rFonts w:ascii="Verdana" w:hAnsi="Verdana"/>
          <w:iCs w:val="0"/>
          <w:smallCaps w:val="0"/>
          <w:spacing w:val="0"/>
          <w:sz w:val="20"/>
          <w:szCs w:val="20"/>
        </w:rPr>
        <w:t xml:space="preserve">Screenshot:  </w:t>
      </w:r>
      <w:r w:rsidRPr="0049678A">
        <w:rPr>
          <w:rStyle w:val="Heading3Char"/>
          <w:rFonts w:ascii="Verdana" w:hAnsi="Verdana"/>
          <w:iCs w:val="0"/>
          <w:smallCaps w:val="0"/>
          <w:color w:val="auto"/>
          <w:spacing w:val="0"/>
          <w:sz w:val="20"/>
          <w:szCs w:val="20"/>
        </w:rPr>
        <w:t>Location of “Receipt Indicator” Field on Display Characteristics</w:t>
      </w:r>
      <w:r w:rsidRPr="0049678A">
        <w:rPr>
          <w:rFonts w:ascii="Verdana" w:hAnsi="Verdana"/>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rPr>
          <w:rFonts w:ascii="Verdana" w:hAnsi="Verdana"/>
          <w:i/>
          <w:iCs/>
          <w:sz w:val="20"/>
          <w:szCs w:val="20"/>
        </w:rPr>
      </w:pPr>
      <w:r w:rsidRPr="0049678A">
        <w:rPr>
          <w:rFonts w:ascii="Verdana" w:hAnsi="Verdana"/>
          <w:noProof/>
          <w:sz w:val="20"/>
          <w:szCs w:val="20"/>
        </w:rPr>
        <w:lastRenderedPageBreak/>
        <w:drawing>
          <wp:inline distT="0" distB="0" distL="0" distR="0">
            <wp:extent cx="5943600" cy="3162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943600" cy="3162300"/>
                    </a:xfrm>
                    <a:prstGeom prst="rect">
                      <a:avLst/>
                    </a:prstGeom>
                  </pic:spPr>
                </pic:pic>
              </a:graphicData>
            </a:graphic>
          </wp:inline>
        </w:drawing>
      </w:r>
    </w:p>
    <w:p w:rsidR="00A10CDF" w:rsidRPr="0049678A" w:rsidRDefault="00402381" w:rsidP="00A10CDF">
      <w:pPr>
        <w:rPr>
          <w:rFonts w:ascii="Verdana" w:hAnsi="Verdana"/>
          <w:i/>
          <w:iCs/>
          <w:sz w:val="20"/>
          <w:szCs w:val="20"/>
        </w:rPr>
      </w:pPr>
      <w:r w:rsidRPr="00402381">
        <w:rPr>
          <w:rFonts w:ascii="Verdana" w:hAnsi="Verdana"/>
          <w:noProof/>
          <w:sz w:val="20"/>
          <w:szCs w:val="20"/>
        </w:rPr>
        <w:pict>
          <v:oval id="Oval 14" o:spid="_x0000_s1030" style="position:absolute;margin-left:6.75pt;margin-top:125.95pt;width:37.5pt;height:51.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" strokecolor="red" strokeweight="1.5pt">
            <v:fill opacity="13107f"/>
            <o:lock v:ext="edit" aspectratio="t"/>
          </v:oval>
        </w:pict>
      </w:r>
      <w:r w:rsidR="00A10CDF" w:rsidRPr="0049678A">
        <w:rPr>
          <w:rFonts w:ascii="Verdana" w:hAnsi="Verdana"/>
          <w:noProof/>
          <w:sz w:val="20"/>
          <w:szCs w:val="20"/>
        </w:rPr>
        <w:drawing>
          <wp:inline distT="0" distB="0" distL="0" distR="0">
            <wp:extent cx="5943600" cy="22085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943600" cy="2208530"/>
                    </a:xfrm>
                    <a:prstGeom prst="rect">
                      <a:avLst/>
                    </a:prstGeom>
                  </pic:spPr>
                </pic:pic>
              </a:graphicData>
            </a:graphic>
          </wp:inline>
        </w:drawing>
      </w:r>
    </w:p>
    <w:p w:rsidR="00A10CDF" w:rsidRPr="0049678A" w:rsidRDefault="00A10CDF" w:rsidP="00A10CDF">
      <w:pPr>
        <w:rPr>
          <w:rFonts w:ascii="Verdana" w:hAnsi="Verdana"/>
          <w:i/>
          <w:iCs/>
          <w:sz w:val="20"/>
          <w:szCs w:val="20"/>
        </w:rPr>
      </w:pPr>
    </w:p>
    <w:p w:rsidR="00A10CDF" w:rsidRPr="0049678A" w:rsidRDefault="00A10CDF" w:rsidP="00A10CDF">
      <w:pPr>
        <w:rPr>
          <w:rFonts w:ascii="Verdana" w:hAnsi="Verdana"/>
          <w:i/>
          <w:iCs/>
          <w:sz w:val="20"/>
          <w:szCs w:val="20"/>
        </w:rPr>
      </w:pPr>
    </w:p>
    <w:p w:rsidR="00A10CDF" w:rsidRPr="0049678A" w:rsidRDefault="00A10CDF" w:rsidP="00A10CDF">
      <w:pPr>
        <w:rPr>
          <w:rFonts w:ascii="Verdana" w:hAnsi="Verdana"/>
          <w:i/>
          <w:iCs/>
          <w:sz w:val="20"/>
          <w:szCs w:val="20"/>
        </w:rPr>
      </w:pPr>
    </w:p>
    <w:p w:rsidR="00A10CDF" w:rsidRPr="0049678A" w:rsidRDefault="00A10CDF" w:rsidP="00A10CDF">
      <w:pPr>
        <w:rPr>
          <w:rFonts w:ascii="Verdana" w:hAnsi="Verdana"/>
          <w:i/>
          <w:iCs/>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i/>
          <w:iCs/>
          <w:sz w:val="20"/>
          <w:szCs w:val="20"/>
        </w:rPr>
      </w:pPr>
      <w:bookmarkStart w:id="24" w:name="_Toc293321416"/>
      <w:r w:rsidRPr="0049678A">
        <w:rPr>
          <w:rFonts w:ascii="Verdana" w:hAnsi="Verdana"/>
          <w:sz w:val="20"/>
          <w:szCs w:val="20"/>
        </w:rPr>
        <w:lastRenderedPageBreak/>
        <w:t>A7 - Sub Classification Code</w:t>
      </w:r>
      <w:bookmarkEnd w:id="24"/>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A7 - Sub Classification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2</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Sub-Classification Codes are assigned in certain cases for grouping designated disbursement and/or receipt transactions below the level of appropriation or fund account represented by the main account, (reference Item A3, Main Account) for an Appropriation, Fund, or Receipt Account.  Separate sub-class identification codes are assigned to agencies by the Treasury to be used as parenthetical prefixes to the main account when preparing Disbursing Officer Reports.  </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Examples of Federal Wide Sub-Class values representing special transaction sets identified by Treasury are:</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46 Payments from Current Appropriations for Obligations of Closed Accounts</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72 Unamortized Discount on Investments</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85 Repayment of Borrowing from U.S. Treasury</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98 Redemption (Sale) of U.S. Public Debt Securities</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25" w:name="_Toc290534776"/>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25"/>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
        <w:gridCol w:w="8716"/>
      </w:tblGrid>
      <w:tr w:rsidR="00A10CDF" w:rsidRPr="0049678A" w:rsidTr="004F7F27">
        <w:tc>
          <w:tcPr>
            <w:tcW w:w="5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716"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A7</w:t>
            </w:r>
          </w:p>
        </w:tc>
        <w:tc>
          <w:tcPr>
            <w:tcW w:w="8716"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Sub-Class must be 2 numeric characters.  ex. 46</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Authoritative source:  http://fms.treas.gov/tfm/index.html</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A7</w:t>
            </w:r>
          </w:p>
        </w:tc>
        <w:tc>
          <w:tcPr>
            <w:tcW w:w="8716"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Sub Class Code must be used for accounting classification and financial reporting.  </w:t>
            </w:r>
          </w:p>
        </w:tc>
      </w:tr>
      <w:tr w:rsidR="00A10CDF" w:rsidRPr="0049678A" w:rsidTr="004F7F27">
        <w:trPr>
          <w:trHeight w:val="305"/>
        </w:trPr>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A7</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cs="Arial"/>
                <w:bCs/>
                <w:color w:val="000000"/>
                <w:sz w:val="20"/>
                <w:szCs w:val="20"/>
              </w:rPr>
              <w:t>Each accounting system must store and maintain Sub Class Code values.</w:t>
            </w:r>
          </w:p>
        </w:tc>
      </w:tr>
    </w:tbl>
    <w:p w:rsidR="00A10CDF" w:rsidRPr="0049678A" w:rsidRDefault="00A10CDF" w:rsidP="00A10CDF">
      <w:pPr>
        <w:pStyle w:val="Heading2"/>
        <w:rPr>
          <w:rFonts w:ascii="Verdana" w:hAnsi="Verdana"/>
          <w:sz w:val="20"/>
          <w:szCs w:val="20"/>
        </w:rPr>
      </w:pPr>
      <w:bookmarkStart w:id="26" w:name="_Toc290534777"/>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26"/>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FFFFFF"/>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27" w:name="_Toc290534778"/>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27"/>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137"/>
        <w:gridCol w:w="2405"/>
        <w:gridCol w:w="2406"/>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w:t>
            </w:r>
            <w:r w:rsidRPr="0049678A">
              <w:rPr>
                <w:rFonts w:ascii="Verdana" w:hAnsi="Verdana"/>
                <w:color w:val="000000"/>
                <w:sz w:val="20"/>
                <w:szCs w:val="20"/>
              </w:rPr>
              <w:t>Public Sector Management-Funds Management- Master Data-Account Assignment Element- Fund- Application of Funds-Display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FM5S </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Display Fund</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IFMFUSE</w:t>
            </w:r>
          </w:p>
        </w:tc>
        <w:tc>
          <w:tcPr>
            <w:tcW w:w="240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406" w:type="dxa"/>
          </w:tcPr>
          <w:p w:rsidR="00A10CDF" w:rsidRPr="0049678A" w:rsidRDefault="00A10CDF" w:rsidP="004F7F27">
            <w:pPr>
              <w:spacing w:after="0" w:line="240" w:lineRule="auto"/>
              <w:jc w:val="both"/>
              <w:rPr>
                <w:rFonts w:ascii="Verdana" w:hAnsi="Verdana"/>
                <w:sz w:val="20"/>
                <w:szCs w:val="20"/>
              </w:rPr>
            </w:pPr>
            <w:r w:rsidRPr="0049678A">
              <w:rPr>
                <w:rFonts w:ascii="Verdana" w:hAnsi="Verdana"/>
                <w:sz w:val="20"/>
                <w:szCs w:val="20"/>
              </w:rPr>
              <w:t>Sub Classification Cod</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bl>
    <w:p w:rsidR="00A10CDF" w:rsidRPr="0049678A" w:rsidRDefault="00A10CDF" w:rsidP="00A10CDF">
      <w:pPr>
        <w:pStyle w:val="Heading3"/>
        <w:rPr>
          <w:rFonts w:ascii="Verdana" w:hAnsi="Verdana"/>
          <w:sz w:val="20"/>
          <w:szCs w:val="20"/>
        </w:rPr>
      </w:pPr>
      <w:bookmarkStart w:id="28" w:name="_Toc290534779"/>
    </w:p>
    <w:p w:rsidR="00A10CDF" w:rsidRPr="0049678A" w:rsidRDefault="00A10CDF" w:rsidP="00A10CDF">
      <w:pPr>
        <w:rPr>
          <w:rFonts w:ascii="Verdana" w:hAnsi="Verdana"/>
          <w:sz w:val="20"/>
          <w:szCs w:val="20"/>
        </w:rPr>
      </w:pPr>
    </w:p>
    <w:p w:rsidR="00A10CDF" w:rsidRPr="0049678A" w:rsidRDefault="00A10CDF" w:rsidP="00A10CDF">
      <w:pPr>
        <w:pStyle w:val="Heading2"/>
        <w:rPr>
          <w:rStyle w:val="Heading3Char"/>
          <w:rFonts w:ascii="Verdana" w:hAnsi="Verdana"/>
          <w:iCs w:val="0"/>
          <w:smallCaps w:val="0"/>
          <w:spacing w:val="0"/>
          <w:sz w:val="20"/>
          <w:szCs w:val="20"/>
        </w:rPr>
      </w:pPr>
      <w:r w:rsidRPr="0049678A">
        <w:rPr>
          <w:rFonts w:ascii="Verdana" w:hAnsi="Verdana"/>
          <w:sz w:val="20"/>
          <w:szCs w:val="20"/>
        </w:rPr>
        <w:lastRenderedPageBreak/>
        <w:t xml:space="preserve">Screenshot:  </w:t>
      </w:r>
      <w:r w:rsidRPr="0049678A">
        <w:rPr>
          <w:rFonts w:ascii="Verdana" w:hAnsi="Verdana"/>
          <w:color w:val="auto"/>
          <w:sz w:val="20"/>
          <w:szCs w:val="20"/>
        </w:rPr>
        <w:t xml:space="preserve">Location of “Sub Classification” </w:t>
      </w:r>
      <w:bookmarkEnd w:id="28"/>
      <w:r w:rsidRPr="0049678A">
        <w:rPr>
          <w:rStyle w:val="Heading3Char"/>
          <w:rFonts w:ascii="Verdana" w:hAnsi="Verdana"/>
          <w:iCs w:val="0"/>
          <w:smallCaps w:val="0"/>
          <w:color w:val="auto"/>
          <w:spacing w:val="0"/>
          <w:sz w:val="20"/>
          <w:szCs w:val="20"/>
        </w:rPr>
        <w:t>Field on Display Characteristics</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spacing w:line="240" w:lineRule="auto"/>
        <w:rPr>
          <w:rFonts w:ascii="Verdana" w:hAnsi="Verdana"/>
          <w:i/>
          <w:iCs/>
          <w:sz w:val="20"/>
          <w:szCs w:val="20"/>
        </w:rPr>
      </w:pPr>
      <w:r w:rsidRPr="0049678A">
        <w:rPr>
          <w:rFonts w:ascii="Verdana" w:hAnsi="Verdana"/>
          <w:noProof/>
          <w:sz w:val="20"/>
          <w:szCs w:val="20"/>
        </w:rPr>
        <w:drawing>
          <wp:inline distT="0" distB="0" distL="0" distR="0">
            <wp:extent cx="5937839" cy="295275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943600" cy="2955615"/>
                    </a:xfrm>
                    <a:prstGeom prst="rect">
                      <a:avLst/>
                    </a:prstGeom>
                  </pic:spPr>
                </pic:pic>
              </a:graphicData>
            </a:graphic>
          </wp:inline>
        </w:drawing>
      </w:r>
    </w:p>
    <w:p w:rsidR="00A10CDF" w:rsidRPr="0049678A" w:rsidRDefault="00402381" w:rsidP="00A10CDF">
      <w:pPr>
        <w:spacing w:line="240" w:lineRule="auto"/>
        <w:rPr>
          <w:rFonts w:ascii="Verdana" w:hAnsi="Verdana"/>
          <w:i/>
          <w:iCs/>
          <w:sz w:val="20"/>
          <w:szCs w:val="20"/>
        </w:rPr>
      </w:pPr>
      <w:r w:rsidRPr="00402381">
        <w:rPr>
          <w:rFonts w:ascii="Verdana" w:hAnsi="Verdana"/>
          <w:noProof/>
          <w:sz w:val="20"/>
          <w:szCs w:val="20"/>
        </w:rPr>
        <w:pict>
          <v:oval id="Oval 15" o:spid="_x0000_s1031" style="position:absolute;margin-left:2.25pt;margin-top:141.3pt;width:48pt;height:60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" strokecolor="red" strokeweight="1.5pt">
            <v:fill opacity="13107f"/>
          </v:oval>
        </w:pict>
      </w:r>
      <w:r w:rsidR="00A10CDF" w:rsidRPr="0049678A">
        <w:rPr>
          <w:rFonts w:ascii="Verdana" w:hAnsi="Verdana"/>
          <w:noProof/>
          <w:sz w:val="20"/>
          <w:szCs w:val="20"/>
        </w:rPr>
        <w:drawing>
          <wp:inline distT="0" distB="0" distL="0" distR="0">
            <wp:extent cx="5943600" cy="243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943600" cy="2438400"/>
                    </a:xfrm>
                    <a:prstGeom prst="rect">
                      <a:avLst/>
                    </a:prstGeom>
                  </pic:spPr>
                </pic:pic>
              </a:graphicData>
            </a:graphic>
          </wp:inline>
        </w:drawing>
      </w: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mallCaps/>
          <w:sz w:val="20"/>
          <w:szCs w:val="20"/>
        </w:rPr>
      </w:pPr>
      <w:bookmarkStart w:id="29" w:name="_Toc293321417"/>
      <w:r w:rsidRPr="0049678A">
        <w:rPr>
          <w:rFonts w:ascii="Verdana" w:hAnsi="Verdana"/>
          <w:sz w:val="20"/>
          <w:szCs w:val="20"/>
        </w:rPr>
        <w:lastRenderedPageBreak/>
        <w:t>A9 - Reimbursable Flag Indicator</w:t>
      </w:r>
      <w:bookmarkEnd w:id="29"/>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A9 - Reimbursable Flag Indicator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The Reimbursable Indicator is used to flag those expenditures incurred for a designated TAFS account that are considered reimbursable to the account.</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Sample: An “R" affiliated with the items posted to the 4 digit main account of a TAFS indicates those recoverable expenditures associated with the following:</w:t>
            </w:r>
          </w:p>
          <w:p w:rsidR="00A10CDF" w:rsidRPr="0049678A" w:rsidRDefault="00A10CDF" w:rsidP="004F7F27">
            <w:pPr>
              <w:pStyle w:val="ListParagraph"/>
              <w:numPr>
                <w:ilvl w:val="0"/>
                <w:numId w:val="40"/>
              </w:numPr>
              <w:spacing w:after="0" w:line="240" w:lineRule="auto"/>
              <w:rPr>
                <w:rFonts w:ascii="Verdana" w:hAnsi="Verdana"/>
                <w:sz w:val="20"/>
                <w:szCs w:val="20"/>
              </w:rPr>
            </w:pPr>
            <w:r w:rsidRPr="0049678A">
              <w:rPr>
                <w:rFonts w:ascii="Verdana" w:hAnsi="Verdana"/>
                <w:sz w:val="20"/>
                <w:szCs w:val="20"/>
              </w:rPr>
              <w:t>Reimbursements for Sale of Material, e.g., Sale of Inventory Material, Replacement of Like-Items, and Free Assets, i.e., assets disposed of not requiring replacement</w:t>
            </w:r>
          </w:p>
          <w:p w:rsidR="00A10CDF" w:rsidRPr="0049678A" w:rsidRDefault="00A10CDF" w:rsidP="004F7F27">
            <w:pPr>
              <w:pStyle w:val="ListParagraph"/>
              <w:numPr>
                <w:ilvl w:val="0"/>
                <w:numId w:val="40"/>
              </w:numPr>
              <w:spacing w:after="0" w:line="240" w:lineRule="auto"/>
              <w:rPr>
                <w:rFonts w:ascii="Verdana" w:hAnsi="Verdana"/>
                <w:sz w:val="20"/>
                <w:szCs w:val="20"/>
              </w:rPr>
            </w:pPr>
            <w:r w:rsidRPr="0049678A">
              <w:rPr>
                <w:rFonts w:ascii="Verdana" w:hAnsi="Verdana"/>
                <w:sz w:val="20"/>
                <w:szCs w:val="20"/>
              </w:rPr>
              <w:t>Reimbursable Expenditures From General Funds Based on Customer Orders</w:t>
            </w:r>
          </w:p>
          <w:p w:rsidR="00A10CDF" w:rsidRPr="0049678A" w:rsidRDefault="00A10CDF" w:rsidP="004F7F27">
            <w:pPr>
              <w:pStyle w:val="ListParagraph"/>
              <w:numPr>
                <w:ilvl w:val="0"/>
                <w:numId w:val="40"/>
              </w:numPr>
              <w:spacing w:after="0" w:line="240" w:lineRule="auto"/>
              <w:rPr>
                <w:rFonts w:ascii="Verdana" w:hAnsi="Verdana"/>
                <w:sz w:val="20"/>
                <w:szCs w:val="20"/>
              </w:rPr>
            </w:pPr>
            <w:r w:rsidRPr="0049678A">
              <w:rPr>
                <w:rFonts w:ascii="Verdana" w:hAnsi="Verdana"/>
                <w:sz w:val="20"/>
                <w:szCs w:val="20"/>
              </w:rPr>
              <w:t>Defense Working Capital Funds- To indicate the expenditure items to be recovered through full recovery pricing, including the full (direct and indirect) actual costs incurred, including Reserve Material, Military Personnel, Operations and Maintenance, Base Support, RDT&amp;E, Design/Development, Construction, Unplanned Losses, and other recoverable costs.</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shd w:val="clear" w:color="auto" w:fill="FFFFFF"/>
              </w:rPr>
            </w:pPr>
            <w:r w:rsidRPr="0049678A">
              <w:rPr>
                <w:rFonts w:ascii="Verdana" w:hAnsi="Verdana"/>
                <w:sz w:val="20"/>
                <w:szCs w:val="20"/>
              </w:rPr>
              <w:t>Comment:</w:t>
            </w:r>
          </w:p>
        </w:tc>
        <w:tc>
          <w:tcPr>
            <w:tcW w:w="7220" w:type="dxa"/>
            <w:gridSpan w:val="3"/>
            <w:shd w:val="clear" w:color="auto" w:fill="FFFFFF"/>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30" w:name="_Toc290534784"/>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30"/>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
        <w:gridCol w:w="8716"/>
      </w:tblGrid>
      <w:tr w:rsidR="00A10CDF" w:rsidRPr="0049678A" w:rsidTr="004F7F27">
        <w:tc>
          <w:tcPr>
            <w:tcW w:w="5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716"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A9</w:t>
            </w:r>
          </w:p>
        </w:tc>
        <w:tc>
          <w:tcPr>
            <w:tcW w:w="8716"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When the funding source is a direct appropriation, the value must be “D”</w:t>
            </w:r>
            <w:proofErr w:type="gramStart"/>
            <w:r w:rsidRPr="0049678A">
              <w:rPr>
                <w:rFonts w:ascii="Verdana" w:hAnsi="Verdana" w:cs="Arial"/>
                <w:bCs/>
                <w:color w:val="000000"/>
                <w:sz w:val="20"/>
                <w:szCs w:val="20"/>
              </w:rPr>
              <w:t>,</w:t>
            </w:r>
            <w:proofErr w:type="gramEnd"/>
            <w:r w:rsidRPr="0049678A">
              <w:rPr>
                <w:rFonts w:ascii="Verdana" w:hAnsi="Verdana" w:cs="Arial"/>
                <w:bCs/>
                <w:color w:val="000000"/>
                <w:sz w:val="20"/>
                <w:szCs w:val="20"/>
              </w:rPr>
              <w:t xml:space="preserve"> otherwise the value is “R”.</w:t>
            </w:r>
          </w:p>
        </w:tc>
      </w:tr>
      <w:tr w:rsidR="00A10CDF" w:rsidRPr="0049678A" w:rsidTr="004F7F27">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A9</w:t>
            </w:r>
          </w:p>
        </w:tc>
        <w:tc>
          <w:tcPr>
            <w:tcW w:w="8716"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Reimbursable Flag Indicator must be 1 alpha character.  ex. R</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Data values:  R - Reimbursable</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D </w:t>
            </w:r>
            <w:r w:rsidR="00A64AA7">
              <w:rPr>
                <w:rFonts w:ascii="Verdana" w:hAnsi="Verdana" w:cs="Arial"/>
                <w:bCs/>
                <w:color w:val="000000"/>
                <w:sz w:val="20"/>
                <w:szCs w:val="20"/>
              </w:rPr>
              <w:t>–</w:t>
            </w:r>
            <w:r w:rsidRPr="0049678A">
              <w:rPr>
                <w:rFonts w:ascii="Verdana" w:hAnsi="Verdana" w:cs="Arial"/>
                <w:bCs/>
                <w:color w:val="000000"/>
                <w:sz w:val="20"/>
                <w:szCs w:val="20"/>
              </w:rPr>
              <w:t xml:space="preserve"> Direct</w:t>
            </w:r>
          </w:p>
        </w:tc>
      </w:tr>
      <w:tr w:rsidR="00A10CDF" w:rsidRPr="0049678A" w:rsidTr="004F7F27">
        <w:trPr>
          <w:trHeight w:val="359"/>
        </w:trPr>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A9</w:t>
            </w:r>
          </w:p>
        </w:tc>
        <w:tc>
          <w:tcPr>
            <w:tcW w:w="8716" w:type="dxa"/>
          </w:tcPr>
          <w:p w:rsidR="00A10CDF" w:rsidRPr="0049678A" w:rsidRDefault="00A10CDF" w:rsidP="004F7F27">
            <w:pPr>
              <w:spacing w:after="0" w:line="240" w:lineRule="auto"/>
              <w:rPr>
                <w:rFonts w:ascii="Verdana" w:hAnsi="Verdana"/>
                <w:sz w:val="20"/>
                <w:szCs w:val="20"/>
              </w:rPr>
            </w:pPr>
            <w:r w:rsidRPr="0049678A">
              <w:rPr>
                <w:rFonts w:ascii="Verdana" w:hAnsi="Verdana" w:cs="Arial"/>
                <w:bCs/>
                <w:color w:val="000000"/>
                <w:sz w:val="20"/>
                <w:szCs w:val="20"/>
              </w:rPr>
              <w:t>Reimbursable Flag Indicator must be used for financial reporting and budgetary funds.</w:t>
            </w:r>
          </w:p>
        </w:tc>
      </w:tr>
      <w:tr w:rsidR="00A10CDF" w:rsidRPr="0049678A" w:rsidTr="004F7F27">
        <w:trPr>
          <w:trHeight w:val="359"/>
        </w:trPr>
        <w:tc>
          <w:tcPr>
            <w:tcW w:w="500"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A9</w:t>
            </w:r>
          </w:p>
        </w:tc>
        <w:tc>
          <w:tcPr>
            <w:tcW w:w="8716"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maintain Reimbursable Flag Indicator values.</w:t>
            </w:r>
          </w:p>
        </w:tc>
      </w:tr>
    </w:tbl>
    <w:p w:rsidR="00A10CDF" w:rsidRPr="0049678A" w:rsidRDefault="00A10CDF" w:rsidP="00A10CDF">
      <w:pPr>
        <w:pStyle w:val="Heading2"/>
        <w:rPr>
          <w:rFonts w:ascii="Verdana" w:hAnsi="Verdana"/>
          <w:sz w:val="20"/>
          <w:szCs w:val="20"/>
        </w:rPr>
      </w:pPr>
      <w:bookmarkStart w:id="31" w:name="_Toc290534785"/>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31"/>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32" w:name="_Toc290534786"/>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32"/>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137"/>
        <w:gridCol w:w="1823"/>
        <w:gridCol w:w="2988"/>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w:t>
            </w:r>
            <w:r w:rsidRPr="0049678A">
              <w:rPr>
                <w:rFonts w:ascii="Verdana" w:hAnsi="Verdana"/>
                <w:color w:val="000000"/>
                <w:sz w:val="20"/>
                <w:szCs w:val="20"/>
              </w:rPr>
              <w:t xml:space="preserve">Public Sector Management-Funds Management- </w:t>
            </w:r>
            <w:r w:rsidRPr="0049678A">
              <w:rPr>
                <w:rFonts w:ascii="Verdana" w:hAnsi="Verdana"/>
                <w:color w:val="000000"/>
                <w:sz w:val="20"/>
                <w:szCs w:val="20"/>
              </w:rPr>
              <w:lastRenderedPageBreak/>
              <w:t>Master Data-Account Assignment Element- Fund- Application of Funds-Display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 USG Derivation</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Display Fund</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IFMFUSE</w:t>
            </w:r>
          </w:p>
        </w:tc>
        <w:tc>
          <w:tcPr>
            <w:tcW w:w="182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98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Reimbursable Flag Indicator</w:t>
            </w:r>
          </w:p>
        </w:tc>
      </w:tr>
      <w:tr w:rsidR="00A10CDF" w:rsidRPr="0049678A" w:rsidTr="004F7F27">
        <w:trPr>
          <w:trHeight w:val="260"/>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Related Transactions:</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bl>
    <w:p w:rsidR="00A10CDF" w:rsidRPr="0049678A" w:rsidRDefault="00A10CDF" w:rsidP="00A10CDF">
      <w:pPr>
        <w:spacing w:after="0" w:line="240" w:lineRule="auto"/>
        <w:rPr>
          <w:rFonts w:ascii="Verdana" w:hAnsi="Verdana"/>
          <w:b/>
          <w:color w:val="17365D" w:themeColor="text2" w:themeShade="BF"/>
          <w:sz w:val="20"/>
          <w:szCs w:val="20"/>
        </w:rPr>
      </w:pPr>
      <w:bookmarkStart w:id="33" w:name="_Toc290534787"/>
    </w:p>
    <w:p w:rsidR="00A10CDF" w:rsidRPr="0049678A" w:rsidRDefault="00A10CDF" w:rsidP="00A10CDF">
      <w:pPr>
        <w:spacing w:after="0" w:line="240" w:lineRule="auto"/>
        <w:rPr>
          <w:rFonts w:ascii="Verdana" w:hAnsi="Verdana"/>
          <w:sz w:val="20"/>
          <w:szCs w:val="20"/>
        </w:rPr>
      </w:pPr>
      <w:r w:rsidRPr="0049678A">
        <w:rPr>
          <w:rFonts w:ascii="Verdana" w:hAnsi="Verdana"/>
          <w:color w:val="002060"/>
          <w:sz w:val="20"/>
          <w:szCs w:val="20"/>
        </w:rPr>
        <w:t xml:space="preserve">Screenshot:  </w:t>
      </w:r>
      <w:r w:rsidRPr="0049678A">
        <w:rPr>
          <w:rFonts w:ascii="Verdana" w:hAnsi="Verdana"/>
          <w:sz w:val="20"/>
          <w:szCs w:val="20"/>
        </w:rPr>
        <w:t xml:space="preserve">Location of “Reimbursable Flag Indicator” </w:t>
      </w:r>
      <w:bookmarkEnd w:id="33"/>
      <w:r w:rsidRPr="0049678A">
        <w:rPr>
          <w:rFonts w:ascii="Verdana" w:hAnsi="Verdana"/>
          <w:sz w:val="20"/>
          <w:szCs w:val="20"/>
        </w:rPr>
        <w:t>Field on FACTS I &amp; II Derivation of Attributes</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rPr>
          <w:rFonts w:ascii="Verdana" w:hAnsi="Verdana"/>
          <w:sz w:val="20"/>
          <w:szCs w:val="20"/>
        </w:rPr>
      </w:pPr>
      <w:r w:rsidRPr="0049678A">
        <w:rPr>
          <w:rFonts w:ascii="Verdana" w:hAnsi="Verdana"/>
          <w:noProof/>
          <w:sz w:val="20"/>
          <w:szCs w:val="20"/>
        </w:rPr>
        <w:drawing>
          <wp:inline distT="0" distB="0" distL="0" distR="0">
            <wp:extent cx="5943600" cy="7829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5943600" cy="782955"/>
                    </a:xfrm>
                    <a:prstGeom prst="rect">
                      <a:avLst/>
                    </a:prstGeom>
                  </pic:spPr>
                </pic:pic>
              </a:graphicData>
            </a:graphic>
          </wp:inline>
        </w:drawing>
      </w:r>
    </w:p>
    <w:p w:rsidR="00A10CDF" w:rsidRPr="0049678A" w:rsidRDefault="00402381" w:rsidP="00A10CDF">
      <w:pPr>
        <w:rPr>
          <w:rFonts w:ascii="Verdana" w:hAnsi="Verdana"/>
          <w:sz w:val="20"/>
          <w:szCs w:val="20"/>
        </w:rPr>
      </w:pPr>
      <w:r>
        <w:rPr>
          <w:rFonts w:ascii="Verdana" w:hAnsi="Verdana"/>
          <w:noProof/>
          <w:sz w:val="20"/>
          <w:szCs w:val="20"/>
        </w:rPr>
        <w:pict>
          <v:oval id="Oval 19" o:spid="_x0000_s1032" style="position:absolute;margin-left:348.75pt;margin-top:53.8pt;width:54.75pt;height:10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" strokecolor="red" strokeweight="1.5pt">
            <v:fill opacity="3855f"/>
          </v:oval>
        </w:pict>
      </w:r>
      <w:r w:rsidR="00A10CDF" w:rsidRPr="0049678A">
        <w:rPr>
          <w:rFonts w:ascii="Verdana" w:hAnsi="Verdana"/>
          <w:noProof/>
          <w:sz w:val="20"/>
          <w:szCs w:val="20"/>
        </w:rPr>
        <w:drawing>
          <wp:inline distT="0" distB="0" distL="0" distR="0">
            <wp:extent cx="59436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5942859" cy="1828572"/>
                    </a:xfrm>
                    <a:prstGeom prst="rect">
                      <a:avLst/>
                    </a:prstGeom>
                  </pic:spPr>
                </pic:pic>
              </a:graphicData>
            </a:graphic>
          </wp:inline>
        </w:drawing>
      </w: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mallCaps/>
          <w:sz w:val="20"/>
          <w:szCs w:val="20"/>
        </w:rPr>
      </w:pPr>
      <w:bookmarkStart w:id="34" w:name="_Toc293321418"/>
      <w:r w:rsidRPr="0049678A">
        <w:rPr>
          <w:rFonts w:ascii="Verdana" w:hAnsi="Verdana"/>
          <w:sz w:val="20"/>
          <w:szCs w:val="20"/>
        </w:rPr>
        <w:lastRenderedPageBreak/>
        <w:t>A10 - Fund Type Code</w:t>
      </w:r>
      <w:bookmarkEnd w:id="34"/>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A10 - Fund Type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2</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 xml:space="preserve">The fund type is used as a basis in establishing the classification of the account symbol.  It denotes and categorizes the account symbols (Main Account) with a standard numbering scheme for each particular type (e.g. general fund, special fund, trust fund and etc.) of fund.  OMB and the Department of the Treasury will assign identification codes based on the type of fund involved and other characteristics of a proposed new main account.    </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01 - General Fund, </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02 - Special Fund,   </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07 - Trust (non-revolving) Fund,    </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08 - Trust Revolving Fund</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shd w:val="clear" w:color="auto" w:fill="FFFFFF"/>
              </w:rPr>
            </w:pPr>
            <w:r w:rsidRPr="0049678A">
              <w:rPr>
                <w:rFonts w:ascii="Verdana" w:hAnsi="Verdana"/>
                <w:sz w:val="20"/>
                <w:szCs w:val="20"/>
              </w:rPr>
              <w:t>Comment:</w:t>
            </w:r>
          </w:p>
        </w:tc>
        <w:tc>
          <w:tcPr>
            <w:tcW w:w="7220" w:type="dxa"/>
            <w:gridSpan w:val="3"/>
            <w:shd w:val="clear" w:color="auto" w:fill="FFFFFF"/>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35" w:name="_Toc290534788"/>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35"/>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A10</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Fund Type Code must be 2 numeric characters.  ex. 01</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Authoritative source: http://fms.treas.gov/ussgl/selection_page.html</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Data values:     01 - General Fund</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02 - Special Fund</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03 - Public Enterprise Fund </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04 - Intra-governmental Revolving or Management Fund </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07 - Trust (non-revolving) Fund  </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08 - Trust Revolving Fund</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A10</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Fund Type Code must be used for general ledger posting, financial reporting, budgetary control, and funds control.  </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A10</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be able to report the Fund Type Code value assigned by Treasury.</w:t>
            </w:r>
          </w:p>
        </w:tc>
      </w:tr>
    </w:tbl>
    <w:p w:rsidR="00A10CDF" w:rsidRPr="0049678A" w:rsidRDefault="00A10CDF" w:rsidP="00A10CDF">
      <w:pPr>
        <w:pStyle w:val="Heading2"/>
        <w:rPr>
          <w:rFonts w:ascii="Verdana" w:hAnsi="Verdana"/>
          <w:sz w:val="20"/>
          <w:szCs w:val="20"/>
        </w:rPr>
      </w:pPr>
      <w:bookmarkStart w:id="36" w:name="_Toc290534789"/>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36"/>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37" w:name="_Toc290534790"/>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37"/>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137"/>
        <w:gridCol w:w="2405"/>
        <w:gridCol w:w="2406"/>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w:t>
            </w:r>
            <w:r w:rsidRPr="0049678A">
              <w:rPr>
                <w:rFonts w:ascii="Verdana" w:hAnsi="Verdana"/>
                <w:color w:val="000000"/>
                <w:sz w:val="20"/>
                <w:szCs w:val="20"/>
              </w:rPr>
              <w:t>Public Sector Management-Funds Management- Master Data-Account Assignment Element- Fund</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FM5S</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Display Fund</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IFMFUSE</w:t>
            </w:r>
          </w:p>
        </w:tc>
        <w:tc>
          <w:tcPr>
            <w:tcW w:w="240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40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Fund Type Code</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13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c>
          <w:tcPr>
            <w:tcW w:w="2405" w:type="dxa"/>
            <w:shd w:val="clear" w:color="auto" w:fill="EEECE1"/>
          </w:tcPr>
          <w:p w:rsidR="00A10CDF" w:rsidRPr="0049678A" w:rsidRDefault="00A10CDF" w:rsidP="004F7F27">
            <w:pPr>
              <w:spacing w:after="0" w:line="240" w:lineRule="auto"/>
              <w:jc w:val="right"/>
              <w:rPr>
                <w:rFonts w:ascii="Verdana" w:hAnsi="Verdana"/>
                <w:sz w:val="20"/>
                <w:szCs w:val="20"/>
              </w:rPr>
            </w:pPr>
          </w:p>
        </w:tc>
        <w:tc>
          <w:tcPr>
            <w:tcW w:w="2406" w:type="dxa"/>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 xml:space="preserve">Screenshot:  </w:t>
      </w:r>
      <w:r w:rsidRPr="0049678A">
        <w:rPr>
          <w:rFonts w:ascii="Verdana" w:hAnsi="Verdana"/>
          <w:color w:val="auto"/>
          <w:sz w:val="20"/>
          <w:szCs w:val="20"/>
        </w:rPr>
        <w:t xml:space="preserve">Location of “Fund Type Code” </w:t>
      </w:r>
      <w:r w:rsidRPr="0049678A">
        <w:rPr>
          <w:rStyle w:val="Heading3Char"/>
          <w:rFonts w:ascii="Verdana" w:hAnsi="Verdana"/>
          <w:iCs w:val="0"/>
          <w:smallCaps w:val="0"/>
          <w:color w:val="auto"/>
          <w:spacing w:val="0"/>
          <w:sz w:val="20"/>
          <w:szCs w:val="20"/>
        </w:rPr>
        <w:t>Field on Display Characteristics</w:t>
      </w:r>
      <w:r w:rsidRPr="0049678A">
        <w:rPr>
          <w:rFonts w:ascii="Verdana" w:hAnsi="Verdana"/>
          <w:sz w:val="20"/>
          <w:szCs w:val="20"/>
        </w:rPr>
        <w:t xml:space="preserve"> </w:t>
      </w:r>
    </w:p>
    <w:p w:rsidR="00A10CDF" w:rsidRPr="0049678A" w:rsidRDefault="00A10CDF" w:rsidP="00A10CDF">
      <w:pPr>
        <w:spacing w:after="0" w:line="240" w:lineRule="auto"/>
        <w:rPr>
          <w:rFonts w:ascii="Verdana" w:hAnsi="Verdana"/>
          <w:color w:val="002060"/>
          <w:sz w:val="20"/>
          <w:szCs w:val="20"/>
        </w:rPr>
      </w:pPr>
    </w:p>
    <w:p w:rsidR="00A10CDF" w:rsidRPr="0049678A" w:rsidRDefault="00A10CDF" w:rsidP="00A10CDF">
      <w:pPr>
        <w:rPr>
          <w:rFonts w:ascii="Verdana" w:hAnsi="Verdana"/>
          <w:sz w:val="20"/>
          <w:szCs w:val="20"/>
        </w:rPr>
      </w:pPr>
      <w:r w:rsidRPr="0049678A">
        <w:rPr>
          <w:rFonts w:ascii="Verdana" w:hAnsi="Verdana"/>
          <w:noProof/>
          <w:sz w:val="20"/>
          <w:szCs w:val="20"/>
        </w:rPr>
        <w:drawing>
          <wp:inline distT="0" distB="0" distL="0" distR="0">
            <wp:extent cx="5943600" cy="3152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5943600" cy="3152775"/>
                    </a:xfrm>
                    <a:prstGeom prst="rect">
                      <a:avLst/>
                    </a:prstGeom>
                  </pic:spPr>
                </pic:pic>
              </a:graphicData>
            </a:graphic>
          </wp:inline>
        </w:drawing>
      </w:r>
    </w:p>
    <w:p w:rsidR="00A10CDF" w:rsidRPr="0049678A" w:rsidRDefault="00402381" w:rsidP="00A10CDF">
      <w:pPr>
        <w:rPr>
          <w:rFonts w:ascii="Verdana" w:hAnsi="Verdana"/>
          <w:sz w:val="20"/>
          <w:szCs w:val="20"/>
        </w:rPr>
      </w:pPr>
      <w:r>
        <w:rPr>
          <w:rFonts w:ascii="Verdana" w:hAnsi="Verdana"/>
          <w:noProof/>
          <w:sz w:val="20"/>
          <w:szCs w:val="20"/>
        </w:rPr>
        <w:pict>
          <v:oval id="Oval 20" o:spid="_x0000_s1033" style="position:absolute;margin-left:0;margin-top:111pt;width:254.25pt;height:42.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" strokecolor="red" strokeweight="1.5pt">
            <v:fill opacity="3855f"/>
          </v:oval>
        </w:pict>
      </w:r>
      <w:r w:rsidR="00A10CDF" w:rsidRPr="0049678A">
        <w:rPr>
          <w:rFonts w:ascii="Verdana" w:hAnsi="Verdana"/>
          <w:noProof/>
          <w:sz w:val="20"/>
          <w:szCs w:val="20"/>
        </w:rPr>
        <w:drawing>
          <wp:inline distT="0" distB="0" distL="0" distR="0">
            <wp:extent cx="5943600" cy="2209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943600" cy="2209800"/>
                    </a:xfrm>
                    <a:prstGeom prst="rect">
                      <a:avLst/>
                    </a:prstGeom>
                  </pic:spPr>
                </pic:pic>
              </a:graphicData>
            </a:graphic>
          </wp:inline>
        </w:drawing>
      </w: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mallCaps/>
          <w:color w:val="002060"/>
          <w:sz w:val="20"/>
          <w:szCs w:val="20"/>
        </w:rPr>
      </w:pPr>
      <w:bookmarkStart w:id="38" w:name="_Toc293321419"/>
      <w:r w:rsidRPr="0049678A">
        <w:rPr>
          <w:rFonts w:ascii="Verdana" w:hAnsi="Verdana"/>
          <w:sz w:val="20"/>
          <w:szCs w:val="20"/>
        </w:rPr>
        <w:lastRenderedPageBreak/>
        <w:t>A11 - Advance Flag Code</w:t>
      </w:r>
      <w:bookmarkEnd w:id="38"/>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A11 - Advance Flag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The value of the Advance Flag identifies new budget authority made available in the current year based on an appropriation act intending future year funding.  For instance, an appropriation passed in one year, may include funds that are not available for use until two years into the future.  In the future year of availability, these funds are considered 'advanced from a prior year' appropriation act.  In the case of budget authority made available close to the end of the current year for current fiscal year obligations that are liquidated in the following fiscal year; the authority is considered to be "advance funded". The values of the Advance Flag are more accurately associated with a code, rather than a flag.  Flag is only used to correspond with the U.S. Treasury's representation of the data element for external reporting.</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"P"= An appropriation was passed in FY 2004. It included funds not available until FY 2006. In FY2006 the Advance Flag "P" would be used to indicate these funds were advanced from a prior year appropriation. </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 If budget authority made available at the end of FY 2005 for FY2005 obligations to be liquidated in FY2006, then the Advance Flag would be "F", Advance from Future Year.</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"X" = If new budget authority is made available in the current fiscal year based on an appropriation act intending current fiscal year use, then this flag is not applicable.</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shd w:val="clear" w:color="auto" w:fill="FFFFFF"/>
              </w:rPr>
            </w:pPr>
            <w:r w:rsidRPr="0049678A">
              <w:rPr>
                <w:rFonts w:ascii="Verdana" w:hAnsi="Verdana"/>
                <w:sz w:val="20"/>
                <w:szCs w:val="20"/>
              </w:rPr>
              <w:t>Comment:</w:t>
            </w:r>
          </w:p>
        </w:tc>
        <w:tc>
          <w:tcPr>
            <w:tcW w:w="7220" w:type="dxa"/>
            <w:gridSpan w:val="3"/>
            <w:shd w:val="clear" w:color="auto" w:fill="FFFFFF"/>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39" w:name="_Toc290534795"/>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39"/>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A11</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any part of an appropriation for new budget authority becomes available one or more fiscal years beyond the current fiscal year for which the appropriation is passed, then the Advanced Flag value must be “P”.</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A11</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budget authority is provided in an appropriation act to cover obligations incurred late in the fiscal year to be liquidated in following the fiscal year for which the appropriation act is passed, then the Advanced Flag value must be “F”.</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A11</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there is not an advancement of an appropriation for budget authority, then the Advanced Flag value must be “X”.</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A11</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Advance Flag Code must be 1 alpha character.  ex. P</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Data values:       P - Advanced in Prior Year</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F - Advanced from Future Year</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X - Not applicable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A11</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Advance Flag Code must be used for general ledger posting, financial reporting, and budgetary control.   </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A11</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be able to store and report funds that were either advanced in prior years or advanced from future years.</w:t>
            </w:r>
          </w:p>
        </w:tc>
      </w:tr>
    </w:tbl>
    <w:p w:rsidR="00A10CDF" w:rsidRPr="0049678A" w:rsidRDefault="00A10CDF" w:rsidP="00A10CDF">
      <w:pPr>
        <w:pStyle w:val="Heading2"/>
        <w:rPr>
          <w:rFonts w:ascii="Verdana" w:hAnsi="Verdana"/>
          <w:sz w:val="20"/>
          <w:szCs w:val="20"/>
        </w:rPr>
      </w:pPr>
      <w:bookmarkStart w:id="40" w:name="_Toc290534796"/>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40"/>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w:t>
            </w:r>
            <w:r w:rsidRPr="0049678A">
              <w:rPr>
                <w:rFonts w:ascii="Verdana" w:hAnsi="Verdana"/>
                <w:sz w:val="20"/>
                <w:szCs w:val="20"/>
              </w:rPr>
              <w:lastRenderedPageBreak/>
              <w:t>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Derive</w:t>
            </w:r>
            <w:r w:rsidRPr="0049678A">
              <w:rPr>
                <w:rFonts w:ascii="Verdana" w:hAnsi="Verdana"/>
                <w:sz w:val="20"/>
                <w:szCs w:val="20"/>
              </w:rPr>
              <w:lastRenderedPageBreak/>
              <w:t>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41" w:name="_Toc290534797"/>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41"/>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8"/>
        <w:gridCol w:w="2047"/>
        <w:gridCol w:w="2405"/>
        <w:gridCol w:w="2406"/>
      </w:tblGrid>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85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FACT I &amp; II Derivation of Attributes</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IUSFGFDERIVE</w:t>
            </w:r>
          </w:p>
        </w:tc>
        <w:tc>
          <w:tcPr>
            <w:tcW w:w="240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40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FLG_ADVANCE_9</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c>
          <w:tcPr>
            <w:tcW w:w="2405" w:type="dxa"/>
            <w:shd w:val="clear" w:color="auto" w:fill="EEECE1"/>
          </w:tcPr>
          <w:p w:rsidR="00A10CDF" w:rsidRPr="0049678A" w:rsidRDefault="00A10CDF" w:rsidP="004F7F27">
            <w:pPr>
              <w:spacing w:after="0" w:line="240" w:lineRule="auto"/>
              <w:jc w:val="right"/>
              <w:rPr>
                <w:rFonts w:ascii="Verdana" w:hAnsi="Verdana"/>
                <w:sz w:val="20"/>
                <w:szCs w:val="20"/>
              </w:rPr>
            </w:pPr>
          </w:p>
        </w:tc>
        <w:tc>
          <w:tcPr>
            <w:tcW w:w="2406" w:type="dxa"/>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spacing w:line="240" w:lineRule="auto"/>
        <w:rPr>
          <w:rFonts w:ascii="Verdana" w:hAnsi="Verdana"/>
          <w:i/>
          <w:iCs/>
          <w:sz w:val="20"/>
          <w:szCs w:val="20"/>
        </w:rPr>
      </w:pPr>
    </w:p>
    <w:p w:rsidR="00A10CDF" w:rsidRPr="0049678A" w:rsidRDefault="00A10CDF" w:rsidP="00A10CDF">
      <w:pPr>
        <w:pStyle w:val="Heading2"/>
        <w:rPr>
          <w:rFonts w:ascii="Verdana" w:hAnsi="Verdana"/>
          <w:color w:val="auto"/>
          <w:sz w:val="20"/>
          <w:szCs w:val="20"/>
        </w:rPr>
      </w:pPr>
      <w:bookmarkStart w:id="42" w:name="_Toc290534798"/>
      <w:r w:rsidRPr="0049678A">
        <w:rPr>
          <w:rFonts w:ascii="Verdana" w:hAnsi="Verdana"/>
          <w:sz w:val="20"/>
          <w:szCs w:val="20"/>
        </w:rPr>
        <w:t xml:space="preserve">Screenshot:  </w:t>
      </w:r>
      <w:r w:rsidRPr="0049678A">
        <w:rPr>
          <w:rFonts w:ascii="Verdana" w:hAnsi="Verdana"/>
          <w:color w:val="auto"/>
          <w:sz w:val="20"/>
          <w:szCs w:val="20"/>
        </w:rPr>
        <w:t xml:space="preserve">Location of “Advance Flag Code” </w:t>
      </w:r>
      <w:bookmarkEnd w:id="42"/>
      <w:r w:rsidRPr="0049678A">
        <w:rPr>
          <w:rFonts w:ascii="Verdana" w:hAnsi="Verdana"/>
          <w:color w:val="auto"/>
          <w:sz w:val="20"/>
          <w:szCs w:val="20"/>
        </w:rPr>
        <w:t xml:space="preserve">Field on FACT I &amp; II Derivation of Attributes </w:t>
      </w:r>
    </w:p>
    <w:p w:rsidR="00A10CDF" w:rsidRPr="0049678A" w:rsidRDefault="00A10CDF" w:rsidP="00A10CDF">
      <w:pPr>
        <w:spacing w:after="0" w:line="240" w:lineRule="auto"/>
        <w:rPr>
          <w:rFonts w:ascii="Verdana" w:hAnsi="Verdana"/>
          <w:color w:val="002060"/>
          <w:sz w:val="20"/>
          <w:szCs w:val="20"/>
        </w:rPr>
      </w:pPr>
    </w:p>
    <w:p w:rsidR="00A10CDF" w:rsidRPr="0049678A" w:rsidRDefault="00A10CDF" w:rsidP="00A10CDF">
      <w:pPr>
        <w:spacing w:line="240" w:lineRule="auto"/>
        <w:rPr>
          <w:rFonts w:ascii="Verdana" w:hAnsi="Verdana"/>
          <w:noProof/>
          <w:sz w:val="20"/>
          <w:szCs w:val="20"/>
        </w:rPr>
      </w:pPr>
      <w:r w:rsidRPr="0049678A">
        <w:rPr>
          <w:rFonts w:ascii="Verdana" w:hAnsi="Verdana"/>
          <w:noProof/>
          <w:sz w:val="20"/>
          <w:szCs w:val="20"/>
        </w:rPr>
        <w:t xml:space="preserve"> </w:t>
      </w:r>
      <w:r w:rsidRPr="0049678A">
        <w:rPr>
          <w:rFonts w:ascii="Verdana" w:hAnsi="Verdana"/>
          <w:noProof/>
          <w:sz w:val="20"/>
          <w:szCs w:val="20"/>
        </w:rPr>
        <w:drawing>
          <wp:inline distT="0" distB="0" distL="0" distR="0">
            <wp:extent cx="5572125" cy="1314450"/>
            <wp:effectExtent l="0" t="0" r="9525" b="0"/>
            <wp:docPr id="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2125" cy="1314450"/>
                    </a:xfrm>
                    <a:prstGeom prst="rect">
                      <a:avLst/>
                    </a:prstGeom>
                    <a:noFill/>
                    <a:ln>
                      <a:noFill/>
                    </a:ln>
                  </pic:spPr>
                </pic:pic>
              </a:graphicData>
            </a:graphic>
          </wp:inline>
        </w:drawing>
      </w:r>
    </w:p>
    <w:p w:rsidR="00A10CDF" w:rsidRPr="0049678A" w:rsidRDefault="00402381" w:rsidP="00A10CDF">
      <w:pPr>
        <w:spacing w:line="240" w:lineRule="auto"/>
        <w:rPr>
          <w:rFonts w:ascii="Verdana" w:hAnsi="Verdana"/>
          <w:noProof/>
          <w:sz w:val="20"/>
          <w:szCs w:val="20"/>
        </w:rPr>
      </w:pPr>
      <w:r>
        <w:rPr>
          <w:rFonts w:ascii="Verdana" w:hAnsi="Verdana"/>
          <w:noProof/>
          <w:sz w:val="20"/>
          <w:szCs w:val="20"/>
        </w:rPr>
        <w:pict>
          <v:oval id="Oval 30" o:spid="_x0000_s1036" style="position:absolute;margin-left:0;margin-top:58.9pt;width:383.25pt;height:32.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" strokecolor="red" strokeweight="1.5pt">
            <v:fill opacity="7196f"/>
          </v:oval>
        </w:pict>
      </w:r>
      <w:r w:rsidR="00A10CDF" w:rsidRPr="0049678A">
        <w:rPr>
          <w:rFonts w:ascii="Verdana" w:hAnsi="Verdana"/>
          <w:noProof/>
          <w:sz w:val="20"/>
          <w:szCs w:val="20"/>
        </w:rPr>
        <w:drawing>
          <wp:inline distT="0" distB="0" distL="0" distR="0">
            <wp:extent cx="5667375" cy="981075"/>
            <wp:effectExtent l="0" t="0" r="9525" b="9525"/>
            <wp:docPr id="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67375" cy="981075"/>
                    </a:xfrm>
                    <a:prstGeom prst="rect">
                      <a:avLst/>
                    </a:prstGeom>
                    <a:noFill/>
                    <a:ln>
                      <a:noFill/>
                    </a:ln>
                  </pic:spPr>
                </pic:pic>
              </a:graphicData>
            </a:graphic>
          </wp:inline>
        </w:drawing>
      </w: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noProof/>
          <w:sz w:val="20"/>
          <w:szCs w:val="20"/>
        </w:rPr>
      </w:pPr>
      <w:bookmarkStart w:id="43" w:name="_Toc293321420"/>
      <w:r w:rsidRPr="0049678A">
        <w:rPr>
          <w:rFonts w:ascii="Verdana" w:hAnsi="Verdana"/>
          <w:sz w:val="20"/>
          <w:szCs w:val="20"/>
        </w:rPr>
        <w:lastRenderedPageBreak/>
        <w:t>A12 - Authority Type Code</w:t>
      </w:r>
      <w:bookmarkEnd w:id="43"/>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A12 - Authority Type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 xml:space="preserve">The Authority Type identifies various types of budget or </w:t>
            </w:r>
            <w:proofErr w:type="spellStart"/>
            <w:r w:rsidRPr="0049678A">
              <w:rPr>
                <w:rFonts w:ascii="Verdana" w:hAnsi="Verdana"/>
                <w:color w:val="000000"/>
                <w:sz w:val="20"/>
                <w:szCs w:val="20"/>
              </w:rPr>
              <w:t>obligational</w:t>
            </w:r>
            <w:proofErr w:type="spellEnd"/>
            <w:r w:rsidRPr="0049678A">
              <w:rPr>
                <w:rFonts w:ascii="Verdana" w:hAnsi="Verdana"/>
                <w:color w:val="000000"/>
                <w:sz w:val="20"/>
                <w:szCs w:val="20"/>
              </w:rPr>
              <w:t xml:space="preserve"> authority authorized.  Each type of authority includes specific legislative requirements and must be identified separately.  Where unique identification is not possible through the accounts contained in the United States Government Standard General Ledger (USSGL), Authority Type codes have been applied.  For example, the USSGL rescission accounts (USSGL accounts 4392 and 4393) do not distinguish between rescissions of appropriations or contract authority.</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 "P" type indicator coded in an accounting transaction to post to USSGL rescission account 4392 would indicate rescission of an appropriation specified by an associated TAFS.  A "C" authority type indicator included in a transaction posting to an SF132 line item would indicate Contract Authority.</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44" w:name="_Toc290534799"/>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44"/>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A12</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Borrowing Source Code must be used when Authority Type Code value is “B”.</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A12</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Authority Type Code must be 1 alpha character.  ex. P</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Data values: P - Appropriation</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D - Advance Appropriation</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B - Borrowing Authority</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C - Contract Authority</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R - Re-appropriation</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S - Spending Authority From Offsetting Collections</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A12</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Authority Type Code must be used for accounting classification, general ledger posting, financial reporting, budgetary control, and funds control.   </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A12</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be able to report Authority Type Code values when applicable to an account.</w:t>
            </w:r>
          </w:p>
        </w:tc>
      </w:tr>
    </w:tbl>
    <w:p w:rsidR="00A10CDF" w:rsidRPr="0049678A" w:rsidRDefault="00A10CDF" w:rsidP="00A10CDF">
      <w:pPr>
        <w:pStyle w:val="Heading2"/>
        <w:rPr>
          <w:rFonts w:ascii="Verdana" w:hAnsi="Verdana"/>
          <w:sz w:val="20"/>
          <w:szCs w:val="20"/>
        </w:rPr>
      </w:pPr>
      <w:bookmarkStart w:id="45" w:name="_Toc290534800"/>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45"/>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46" w:name="_Toc290534801"/>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46"/>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8"/>
        <w:gridCol w:w="2047"/>
        <w:gridCol w:w="2405"/>
        <w:gridCol w:w="2406"/>
      </w:tblGrid>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SAP Trans Code: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FACT I &amp; II Derivation of Attributes</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IUSFGFDERIVE</w:t>
            </w:r>
          </w:p>
        </w:tc>
        <w:tc>
          <w:tcPr>
            <w:tcW w:w="240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40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FLG_AUTHOR</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Related Transaction:</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c>
          <w:tcPr>
            <w:tcW w:w="2405" w:type="dxa"/>
            <w:shd w:val="clear" w:color="auto" w:fill="EEECE1"/>
          </w:tcPr>
          <w:p w:rsidR="00A10CDF" w:rsidRPr="0049678A" w:rsidRDefault="00A10CDF" w:rsidP="004F7F27">
            <w:pPr>
              <w:spacing w:after="0" w:line="240" w:lineRule="auto"/>
              <w:jc w:val="right"/>
              <w:rPr>
                <w:rFonts w:ascii="Verdana" w:hAnsi="Verdana"/>
                <w:sz w:val="20"/>
                <w:szCs w:val="20"/>
              </w:rPr>
            </w:pPr>
          </w:p>
        </w:tc>
        <w:tc>
          <w:tcPr>
            <w:tcW w:w="2406" w:type="dxa"/>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47" w:name="_Toc290534802"/>
    </w:p>
    <w:p w:rsidR="00A10CDF" w:rsidRPr="0049678A" w:rsidRDefault="00A10CDF" w:rsidP="00A10CDF">
      <w:pPr>
        <w:pStyle w:val="Heading2"/>
        <w:rPr>
          <w:rFonts w:ascii="Verdana" w:hAnsi="Verdana"/>
          <w:noProof/>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 xml:space="preserve">Location of “Authority Type Code” </w:t>
      </w:r>
      <w:bookmarkEnd w:id="47"/>
      <w:r w:rsidRPr="0049678A">
        <w:rPr>
          <w:rFonts w:ascii="Verdana" w:hAnsi="Verdana"/>
          <w:color w:val="auto"/>
          <w:sz w:val="20"/>
          <w:szCs w:val="20"/>
        </w:rPr>
        <w:t xml:space="preserve">Field on FACT I &amp; II Derivation of Attributes </w:t>
      </w:r>
      <w:r w:rsidRPr="0049678A">
        <w:rPr>
          <w:rFonts w:ascii="Verdana" w:hAnsi="Verdana"/>
          <w:noProof/>
          <w:color w:val="auto"/>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noProof/>
          <w:sz w:val="20"/>
          <w:szCs w:val="20"/>
        </w:rPr>
        <w:drawing>
          <wp:inline distT="0" distB="0" distL="0" distR="0">
            <wp:extent cx="5944428" cy="1725433"/>
            <wp:effectExtent l="19050" t="0" r="0" b="0"/>
            <wp:docPr id="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269"/>
                    <a:stretch>
                      <a:fillRect/>
                    </a:stretch>
                  </pic:blipFill>
                  <pic:spPr bwMode="auto">
                    <a:xfrm>
                      <a:off x="0" y="0"/>
                      <a:ext cx="5944428" cy="1725433"/>
                    </a:xfrm>
                    <a:prstGeom prst="rect">
                      <a:avLst/>
                    </a:prstGeom>
                    <a:noFill/>
                    <a:ln>
                      <a:noFill/>
                    </a:ln>
                  </pic:spPr>
                </pic:pic>
              </a:graphicData>
            </a:graphic>
          </wp:inline>
        </w:drawing>
      </w:r>
    </w:p>
    <w:p w:rsidR="00A10CDF" w:rsidRPr="0049678A" w:rsidRDefault="00A10CDF" w:rsidP="00A10CDF">
      <w:pPr>
        <w:rPr>
          <w:rFonts w:ascii="Verdana" w:hAnsi="Verdana"/>
          <w:sz w:val="20"/>
          <w:szCs w:val="20"/>
        </w:rPr>
      </w:pPr>
    </w:p>
    <w:p w:rsidR="00A10CDF" w:rsidRPr="0049678A" w:rsidRDefault="00402381" w:rsidP="00A10CDF">
      <w:pPr>
        <w:spacing w:line="240" w:lineRule="auto"/>
        <w:rPr>
          <w:rFonts w:ascii="Verdana" w:hAnsi="Verdana"/>
          <w:noProof/>
          <w:sz w:val="20"/>
          <w:szCs w:val="20"/>
        </w:rPr>
      </w:pPr>
      <w:r>
        <w:rPr>
          <w:rFonts w:ascii="Verdana" w:hAnsi="Verdana"/>
          <w:noProof/>
          <w:sz w:val="20"/>
          <w:szCs w:val="20"/>
        </w:rPr>
        <w:pict>
          <v:oval id="Oval 28" o:spid="_x0000_s1035" style="position:absolute;margin-left:-3.75pt;margin-top:65.8pt;width:399.75pt;height:23.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" strokecolor="red" strokeweight="1.5pt">
            <v:fill opacity="7196f"/>
          </v:oval>
        </w:pict>
      </w:r>
      <w:r w:rsidR="00A10CDF" w:rsidRPr="0049678A">
        <w:rPr>
          <w:rFonts w:ascii="Verdana" w:hAnsi="Verdana"/>
          <w:noProof/>
          <w:sz w:val="20"/>
          <w:szCs w:val="20"/>
        </w:rPr>
        <w:drawing>
          <wp:inline distT="0" distB="0" distL="0" distR="0">
            <wp:extent cx="5829300" cy="1057275"/>
            <wp:effectExtent l="0" t="0" r="0" b="9525"/>
            <wp:docPr id="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9300" cy="1057275"/>
                    </a:xfrm>
                    <a:prstGeom prst="rect">
                      <a:avLst/>
                    </a:prstGeom>
                    <a:noFill/>
                    <a:ln>
                      <a:noFill/>
                    </a:ln>
                  </pic:spPr>
                </pic:pic>
              </a:graphicData>
            </a:graphic>
          </wp:inline>
        </w:drawing>
      </w:r>
    </w:p>
    <w:p w:rsidR="00A10CDF" w:rsidRPr="0049678A" w:rsidRDefault="00A10CDF" w:rsidP="00A10CDF">
      <w:pPr>
        <w:spacing w:line="240" w:lineRule="auto"/>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mallCaps/>
          <w:sz w:val="20"/>
          <w:szCs w:val="20"/>
        </w:rPr>
      </w:pPr>
      <w:bookmarkStart w:id="48" w:name="_Toc293321421"/>
      <w:r w:rsidRPr="0049678A">
        <w:rPr>
          <w:rFonts w:ascii="Verdana" w:hAnsi="Verdana"/>
          <w:sz w:val="20"/>
          <w:szCs w:val="20"/>
        </w:rPr>
        <w:lastRenderedPageBreak/>
        <w:t>A13 - Availability Time Indicator</w:t>
      </w:r>
      <w:bookmarkEnd w:id="48"/>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A13 - Availability Time Indicator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 xml:space="preserve">The Availability Time value indicates whether a specific amount of funding is available for execution in the current reporting period (i.e., month, quarter, year), or in a subsequent reporting period.  Note that a subsequent reporting period may be in the current fiscal year, or a subsequent fiscal year.  </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$1M is Appropriated for a one year period. $250,000 is apportioned each quarter. $250,000 is apportioned in the first quarter which would be classified as "A," available in the current reporting period. This funding is available for execution. The remaining $750,000 would be classified as "S," funding available in a subsequent period. All funds with an "S" status cannot be obligated against. </w:t>
            </w:r>
          </w:p>
          <w:p w:rsidR="00A10CDF" w:rsidRPr="0049678A" w:rsidRDefault="00A10CDF" w:rsidP="004F7F27">
            <w:pPr>
              <w:pStyle w:val="NoSpacing"/>
              <w:rPr>
                <w:rFonts w:ascii="Verdana" w:hAnsi="Verdana"/>
                <w:sz w:val="20"/>
                <w:szCs w:val="20"/>
              </w:rPr>
            </w:pPr>
            <w:r w:rsidRPr="0049678A">
              <w:rPr>
                <w:rFonts w:ascii="Verdana" w:hAnsi="Verdana"/>
                <w:sz w:val="20"/>
                <w:szCs w:val="20"/>
              </w:rPr>
              <w:t>In the second quarter another $250,000 is apportioned. If none of the funds that were allocated in the first quarter were spent there would be $500,000 classified as "A", in the current reporting period and $500,000 classified as "S", available in a subsequent reporting period.</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shd w:val="clear" w:color="auto" w:fill="FFFFFF"/>
              </w:rPr>
            </w:pPr>
            <w:r w:rsidRPr="0049678A">
              <w:rPr>
                <w:rFonts w:ascii="Verdana" w:hAnsi="Verdana"/>
                <w:sz w:val="20"/>
                <w:szCs w:val="20"/>
              </w:rPr>
              <w:t>Comment:</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This indicator specifies whether a budgetary resource:</w:t>
            </w:r>
          </w:p>
          <w:p w:rsidR="00A10CDF" w:rsidRPr="0049678A" w:rsidRDefault="00A10CDF" w:rsidP="004F7F27">
            <w:pPr>
              <w:pStyle w:val="NoSpacing"/>
              <w:numPr>
                <w:ilvl w:val="0"/>
                <w:numId w:val="39"/>
              </w:numPr>
              <w:ind w:left="430" w:hanging="270"/>
              <w:rPr>
                <w:rFonts w:ascii="Verdana" w:hAnsi="Verdana"/>
                <w:sz w:val="20"/>
                <w:szCs w:val="20"/>
              </w:rPr>
            </w:pPr>
            <w:r w:rsidRPr="0049678A">
              <w:rPr>
                <w:rFonts w:ascii="Verdana" w:hAnsi="Verdana"/>
                <w:sz w:val="20"/>
                <w:szCs w:val="20"/>
              </w:rPr>
              <w:t xml:space="preserve">Is available for obligation in the current period (A), </w:t>
            </w:r>
          </w:p>
          <w:p w:rsidR="00A10CDF" w:rsidRPr="0049678A" w:rsidRDefault="00A10CDF" w:rsidP="004F7F27">
            <w:pPr>
              <w:pStyle w:val="NoSpacing"/>
              <w:numPr>
                <w:ilvl w:val="0"/>
                <w:numId w:val="39"/>
              </w:numPr>
              <w:ind w:left="430" w:hanging="270"/>
              <w:rPr>
                <w:rFonts w:ascii="Verdana" w:hAnsi="Verdana"/>
                <w:sz w:val="20"/>
                <w:szCs w:val="20"/>
              </w:rPr>
            </w:pPr>
            <w:r w:rsidRPr="0049678A">
              <w:rPr>
                <w:rFonts w:ascii="Verdana" w:hAnsi="Verdana"/>
                <w:sz w:val="20"/>
                <w:szCs w:val="20"/>
              </w:rPr>
              <w:t xml:space="preserve">Will be available in a subsequent period (S) </w:t>
            </w:r>
          </w:p>
          <w:p w:rsidR="00A10CDF" w:rsidRPr="0049678A" w:rsidRDefault="00A10CDF" w:rsidP="004F7F27">
            <w:pPr>
              <w:pStyle w:val="NoSpacing"/>
              <w:numPr>
                <w:ilvl w:val="0"/>
                <w:numId w:val="39"/>
              </w:numPr>
              <w:ind w:left="430" w:hanging="270"/>
              <w:rPr>
                <w:rFonts w:ascii="Verdana" w:hAnsi="Verdana"/>
                <w:i/>
                <w:sz w:val="20"/>
                <w:szCs w:val="20"/>
              </w:rPr>
            </w:pPr>
            <w:r w:rsidRPr="0049678A">
              <w:rPr>
                <w:rFonts w:ascii="Verdana" w:hAnsi="Verdana"/>
                <w:sz w:val="20"/>
                <w:szCs w:val="20"/>
              </w:rPr>
              <w:t>Is unavailable (blank).</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49" w:name="_Toc290534803"/>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49"/>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A13</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Availability Time Indicator must be 1 alpha character.  </w:t>
            </w:r>
            <w:proofErr w:type="gramStart"/>
            <w:r w:rsidRPr="0049678A">
              <w:rPr>
                <w:rFonts w:ascii="Verdana" w:hAnsi="Verdana" w:cs="Arial"/>
                <w:bCs/>
                <w:color w:val="000000"/>
                <w:sz w:val="20"/>
                <w:szCs w:val="20"/>
              </w:rPr>
              <w:t>ex</w:t>
            </w:r>
            <w:proofErr w:type="gramEnd"/>
            <w:r w:rsidRPr="0049678A">
              <w:rPr>
                <w:rFonts w:ascii="Verdana" w:hAnsi="Verdana" w:cs="Arial"/>
                <w:bCs/>
                <w:color w:val="000000"/>
                <w:sz w:val="20"/>
                <w:szCs w:val="20"/>
              </w:rPr>
              <w:t>. A</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Data values:  A - Available in current period</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S - Available in subsequent period</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A13</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Availability Time Indicator must be used for financial reporting and budgetary control.  </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A13</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Derivation of Availability Time Indicator based on an examination of the Period of Availability Fiscal Year Date associated with an appropriation against the current accounting period is an acceptable practice within each accounting system.</w:t>
            </w:r>
          </w:p>
        </w:tc>
      </w:tr>
    </w:tbl>
    <w:p w:rsidR="00A10CDF" w:rsidRPr="0049678A" w:rsidRDefault="00A10CDF" w:rsidP="00A10CDF">
      <w:pPr>
        <w:pStyle w:val="Heading2"/>
        <w:rPr>
          <w:rFonts w:ascii="Verdana" w:hAnsi="Verdana"/>
          <w:sz w:val="20"/>
          <w:szCs w:val="20"/>
        </w:rPr>
      </w:pPr>
      <w:bookmarkStart w:id="50" w:name="_Toc290534804"/>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50"/>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8"/>
        <w:gridCol w:w="2047"/>
        <w:gridCol w:w="2003"/>
        <w:gridCol w:w="2808"/>
      </w:tblGrid>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Module: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None </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FACT I &amp; II Derivation of Attributes</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IUSFGFDERIVE</w:t>
            </w:r>
          </w:p>
        </w:tc>
        <w:tc>
          <w:tcPr>
            <w:tcW w:w="200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80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Availability Time Indicator</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c>
          <w:tcPr>
            <w:tcW w:w="2003" w:type="dxa"/>
            <w:shd w:val="clear" w:color="auto" w:fill="EEECE1"/>
          </w:tcPr>
          <w:p w:rsidR="00A10CDF" w:rsidRPr="0049678A" w:rsidRDefault="00A10CDF" w:rsidP="004F7F27">
            <w:pPr>
              <w:spacing w:after="0" w:line="240" w:lineRule="auto"/>
              <w:jc w:val="right"/>
              <w:rPr>
                <w:rFonts w:ascii="Verdana" w:hAnsi="Verdana"/>
                <w:sz w:val="20"/>
                <w:szCs w:val="20"/>
              </w:rPr>
            </w:pPr>
          </w:p>
        </w:tc>
        <w:tc>
          <w:tcPr>
            <w:tcW w:w="2808" w:type="dxa"/>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spacing w:line="240" w:lineRule="auto"/>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w:t>
      </w:r>
      <w:r w:rsidRPr="0049678A">
        <w:rPr>
          <w:rFonts w:ascii="Verdana" w:hAnsi="Verdana" w:cs="Arial"/>
          <w:color w:val="auto"/>
          <w:sz w:val="20"/>
          <w:szCs w:val="20"/>
        </w:rPr>
        <w:t>Availability Time Indicator</w:t>
      </w:r>
      <w:r w:rsidRPr="0049678A">
        <w:rPr>
          <w:rFonts w:ascii="Verdana" w:hAnsi="Verdana"/>
          <w:color w:val="auto"/>
          <w:sz w:val="20"/>
          <w:szCs w:val="20"/>
        </w:rPr>
        <w:t>” Field on FACT I &amp; II Derivation of Attributes</w:t>
      </w:r>
    </w:p>
    <w:p w:rsidR="00A10CDF" w:rsidRPr="0049678A" w:rsidRDefault="00A10CDF" w:rsidP="00A10CDF">
      <w:pPr>
        <w:pStyle w:val="Heading3"/>
        <w:rPr>
          <w:rFonts w:ascii="Verdana" w:hAnsi="Verdana"/>
          <w:noProof/>
          <w:sz w:val="20"/>
          <w:szCs w:val="20"/>
        </w:rPr>
      </w:pPr>
      <w:bookmarkStart w:id="51" w:name="_Toc290977285"/>
      <w:r w:rsidRPr="0049678A">
        <w:rPr>
          <w:rFonts w:ascii="Verdana" w:hAnsi="Verdana"/>
          <w:noProof/>
          <w:sz w:val="20"/>
          <w:szCs w:val="20"/>
        </w:rPr>
        <w:drawing>
          <wp:inline distT="0" distB="0" distL="0" distR="0">
            <wp:extent cx="5943600" cy="1371600"/>
            <wp:effectExtent l="0" t="0" r="0" b="0"/>
            <wp:docPr id="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371600"/>
                    </a:xfrm>
                    <a:prstGeom prst="rect">
                      <a:avLst/>
                    </a:prstGeom>
                    <a:noFill/>
                    <a:ln>
                      <a:noFill/>
                    </a:ln>
                  </pic:spPr>
                </pic:pic>
              </a:graphicData>
            </a:graphic>
          </wp:inline>
        </w:drawing>
      </w:r>
      <w:bookmarkEnd w:id="51"/>
    </w:p>
    <w:p w:rsidR="00A10CDF" w:rsidRPr="0049678A" w:rsidRDefault="00A10CDF" w:rsidP="00A10CDF">
      <w:pPr>
        <w:rPr>
          <w:rFonts w:ascii="Verdana" w:hAnsi="Verdana"/>
          <w:sz w:val="20"/>
          <w:szCs w:val="20"/>
        </w:rPr>
      </w:pPr>
    </w:p>
    <w:p w:rsidR="00A10CDF" w:rsidRPr="0049678A" w:rsidRDefault="00402381" w:rsidP="00A10CDF">
      <w:pPr>
        <w:spacing w:line="240" w:lineRule="auto"/>
        <w:rPr>
          <w:rFonts w:ascii="Verdana" w:hAnsi="Verdana"/>
          <w:sz w:val="20"/>
          <w:szCs w:val="20"/>
        </w:rPr>
      </w:pPr>
      <w:r>
        <w:rPr>
          <w:rFonts w:ascii="Verdana" w:hAnsi="Verdana"/>
          <w:noProof/>
          <w:sz w:val="20"/>
          <w:szCs w:val="20"/>
        </w:rPr>
        <w:pict>
          <v:oval id="Oval 27" o:spid="_x0000_s1034" style="position:absolute;margin-left:.75pt;margin-top:41pt;width:471pt;height:40.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" strokecolor="red" strokeweight="1.5pt">
            <v:fill opacity="7196f"/>
          </v:oval>
        </w:pict>
      </w:r>
      <w:r w:rsidR="00A10CDF" w:rsidRPr="0049678A">
        <w:rPr>
          <w:rFonts w:ascii="Verdana" w:hAnsi="Verdana"/>
          <w:noProof/>
          <w:sz w:val="20"/>
          <w:szCs w:val="20"/>
        </w:rPr>
        <w:drawing>
          <wp:inline distT="0" distB="0" distL="0" distR="0">
            <wp:extent cx="5943600" cy="942975"/>
            <wp:effectExtent l="0" t="0" r="0" b="9525"/>
            <wp:docPr id="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942975"/>
                    </a:xfrm>
                    <a:prstGeom prst="rect">
                      <a:avLst/>
                    </a:prstGeom>
                    <a:noFill/>
                    <a:ln>
                      <a:noFill/>
                    </a:ln>
                  </pic:spPr>
                </pic:pic>
              </a:graphicData>
            </a:graphic>
          </wp:inline>
        </w:drawing>
      </w: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52" w:name="_Toc293321422"/>
      <w:r w:rsidRPr="0049678A">
        <w:rPr>
          <w:rFonts w:ascii="Verdana" w:hAnsi="Verdana"/>
          <w:sz w:val="20"/>
          <w:szCs w:val="20"/>
        </w:rPr>
        <w:lastRenderedPageBreak/>
        <w:t>A14 - Borrowing Source Code</w:t>
      </w:r>
      <w:bookmarkEnd w:id="52"/>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A14 - Borrowing Source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The Borrowing Source identifies the source of funds borrowed under congressionally authorized borrowing authority.</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proofErr w:type="spellStart"/>
            <w:r w:rsidRPr="0049678A">
              <w:rPr>
                <w:rFonts w:ascii="Verdana" w:hAnsi="Verdana"/>
                <w:sz w:val="20"/>
                <w:szCs w:val="20"/>
              </w:rPr>
              <w:t>DoD</w:t>
            </w:r>
            <w:proofErr w:type="spellEnd"/>
            <w:r w:rsidRPr="0049678A">
              <w:rPr>
                <w:rFonts w:ascii="Verdana" w:hAnsi="Verdana"/>
                <w:sz w:val="20"/>
                <w:szCs w:val="20"/>
              </w:rPr>
              <w:t xml:space="preserve"> borrowed funds under congressionally authorized borrowing authority from the Department of the Treasury; therefore the Borrowing Source value will be "T".</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shd w:val="clear" w:color="auto" w:fill="FFFFFF"/>
              </w:rPr>
            </w:pPr>
            <w:r w:rsidRPr="0049678A">
              <w:rPr>
                <w:rFonts w:ascii="Verdana" w:hAnsi="Verdana"/>
                <w:sz w:val="20"/>
                <w:szCs w:val="20"/>
              </w:rPr>
              <w:t>Comment:</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53" w:name="_Toc290534805"/>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53"/>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60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1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60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A14</w:t>
            </w:r>
          </w:p>
        </w:tc>
        <w:tc>
          <w:tcPr>
            <w:tcW w:w="8612"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Borrowing Source Code must be used when the funding source is from Borrowing Authority.</w:t>
            </w:r>
          </w:p>
        </w:tc>
      </w:tr>
      <w:tr w:rsidR="00A10CDF" w:rsidRPr="0049678A" w:rsidTr="004F7F27">
        <w:tc>
          <w:tcPr>
            <w:tcW w:w="60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A14</w:t>
            </w:r>
          </w:p>
        </w:tc>
        <w:tc>
          <w:tcPr>
            <w:tcW w:w="8612"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Borrowing Source Code must be 1 alpha character.  ex. T</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Data values:  T - Treasury</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P - Public</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F - Federal Financing Bank</w:t>
            </w:r>
          </w:p>
        </w:tc>
      </w:tr>
      <w:tr w:rsidR="00A10CDF" w:rsidRPr="0049678A" w:rsidTr="004F7F27">
        <w:tc>
          <w:tcPr>
            <w:tcW w:w="60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A14</w:t>
            </w:r>
          </w:p>
        </w:tc>
        <w:tc>
          <w:tcPr>
            <w:tcW w:w="8612"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Borrowing Source Code must be used for general ledger posting, financial reporting, and budgetary control.  </w:t>
            </w:r>
          </w:p>
        </w:tc>
      </w:tr>
      <w:tr w:rsidR="00A10CDF" w:rsidRPr="0049678A" w:rsidTr="004F7F27">
        <w:tc>
          <w:tcPr>
            <w:tcW w:w="60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A14</w:t>
            </w:r>
          </w:p>
        </w:tc>
        <w:tc>
          <w:tcPr>
            <w:tcW w:w="8612"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be able to report Borrowing Source Code values when applicable.</w:t>
            </w:r>
          </w:p>
        </w:tc>
      </w:tr>
    </w:tbl>
    <w:p w:rsidR="00A10CDF" w:rsidRPr="0049678A" w:rsidRDefault="00A10CDF" w:rsidP="00A10CDF">
      <w:pPr>
        <w:pStyle w:val="Heading2"/>
        <w:rPr>
          <w:rFonts w:ascii="Verdana" w:hAnsi="Verdana"/>
          <w:sz w:val="20"/>
          <w:szCs w:val="20"/>
        </w:rPr>
      </w:pPr>
      <w:bookmarkStart w:id="54" w:name="_Toc290534806"/>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54"/>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55" w:name="_Toc290534807"/>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55"/>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8"/>
        <w:gridCol w:w="2047"/>
        <w:gridCol w:w="2405"/>
        <w:gridCol w:w="2406"/>
      </w:tblGrid>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None </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FACT I &amp; II Derivation of Attributes</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IUSFGFDERIVE</w:t>
            </w:r>
          </w:p>
        </w:tc>
        <w:tc>
          <w:tcPr>
            <w:tcW w:w="240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40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FLG_AVAIL</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c>
          <w:tcPr>
            <w:tcW w:w="2405" w:type="dxa"/>
            <w:shd w:val="clear" w:color="auto" w:fill="EEECE1"/>
          </w:tcPr>
          <w:p w:rsidR="00A10CDF" w:rsidRPr="0049678A" w:rsidRDefault="00A10CDF" w:rsidP="004F7F27">
            <w:pPr>
              <w:spacing w:after="0" w:line="240" w:lineRule="auto"/>
              <w:jc w:val="right"/>
              <w:rPr>
                <w:rFonts w:ascii="Verdana" w:hAnsi="Verdana"/>
                <w:sz w:val="20"/>
                <w:szCs w:val="20"/>
              </w:rPr>
            </w:pPr>
          </w:p>
        </w:tc>
        <w:tc>
          <w:tcPr>
            <w:tcW w:w="2406" w:type="dxa"/>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pStyle w:val="Heading3"/>
        <w:rPr>
          <w:rFonts w:ascii="Verdana" w:hAnsi="Verdana"/>
          <w:sz w:val="20"/>
          <w:szCs w:val="20"/>
        </w:rPr>
      </w:pPr>
      <w:bookmarkStart w:id="56" w:name="_Toc290534808"/>
    </w:p>
    <w:p w:rsidR="00A10CDF" w:rsidRPr="0049678A" w:rsidRDefault="00A10CDF" w:rsidP="00A10CDF">
      <w:pPr>
        <w:rPr>
          <w:rFonts w:ascii="Verdana" w:hAnsi="Verdana"/>
          <w:sz w:val="20"/>
          <w:szCs w:val="20"/>
        </w:rPr>
      </w:pPr>
    </w:p>
    <w:p w:rsidR="00A10CDF" w:rsidRPr="0049678A" w:rsidRDefault="00A10CDF" w:rsidP="00A10CDF">
      <w:pPr>
        <w:pStyle w:val="Heading3"/>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noProof/>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 xml:space="preserve">Location of “Borrowing Source Code” </w:t>
      </w:r>
      <w:bookmarkEnd w:id="56"/>
      <w:r w:rsidRPr="0049678A">
        <w:rPr>
          <w:rFonts w:ascii="Verdana" w:hAnsi="Verdana"/>
          <w:color w:val="auto"/>
          <w:sz w:val="20"/>
          <w:szCs w:val="20"/>
        </w:rPr>
        <w:t xml:space="preserve">Field on FACT I &amp; II Derivation of Attributes </w:t>
      </w:r>
      <w:r w:rsidRPr="0049678A">
        <w:rPr>
          <w:rFonts w:ascii="Verdana" w:hAnsi="Verdana"/>
          <w:noProof/>
          <w:color w:val="auto"/>
          <w:sz w:val="20"/>
          <w:szCs w:val="20"/>
        </w:rPr>
        <w:t xml:space="preserve"> </w:t>
      </w:r>
    </w:p>
    <w:p w:rsidR="00A10CDF" w:rsidRPr="0049678A" w:rsidRDefault="00A10CDF" w:rsidP="00A10CDF">
      <w:pPr>
        <w:pStyle w:val="Heading3"/>
        <w:rPr>
          <w:rFonts w:ascii="Verdana" w:hAnsi="Verdana"/>
          <w:noProof/>
          <w:sz w:val="20"/>
          <w:szCs w:val="20"/>
        </w:rPr>
      </w:pPr>
      <w:r w:rsidRPr="0049678A">
        <w:rPr>
          <w:rFonts w:ascii="Verdana" w:hAnsi="Verdana"/>
          <w:noProof/>
          <w:sz w:val="20"/>
          <w:szCs w:val="20"/>
        </w:rPr>
        <w:lastRenderedPageBreak/>
        <w:drawing>
          <wp:inline distT="0" distB="0" distL="0" distR="0">
            <wp:extent cx="5947576" cy="1757239"/>
            <wp:effectExtent l="19050" t="0" r="0" b="0"/>
            <wp:docPr id="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070"/>
                    <a:stretch>
                      <a:fillRect/>
                    </a:stretch>
                  </pic:blipFill>
                  <pic:spPr bwMode="auto">
                    <a:xfrm>
                      <a:off x="0" y="0"/>
                      <a:ext cx="5944428" cy="1757238"/>
                    </a:xfrm>
                    <a:prstGeom prst="rect">
                      <a:avLst/>
                    </a:prstGeom>
                    <a:noFill/>
                    <a:ln>
                      <a:noFill/>
                    </a:ln>
                  </pic:spPr>
                </pic:pic>
              </a:graphicData>
            </a:graphic>
          </wp:inline>
        </w:drawing>
      </w:r>
    </w:p>
    <w:p w:rsidR="00A10CDF" w:rsidRPr="0049678A" w:rsidRDefault="00A10CDF" w:rsidP="00A10CDF">
      <w:pPr>
        <w:rPr>
          <w:rFonts w:ascii="Verdana" w:hAnsi="Verdana"/>
          <w:sz w:val="20"/>
          <w:szCs w:val="20"/>
        </w:rPr>
      </w:pPr>
    </w:p>
    <w:p w:rsidR="00A10CDF" w:rsidRPr="0049678A" w:rsidRDefault="00A10CDF" w:rsidP="00A10CDF">
      <w:pPr>
        <w:spacing w:line="240" w:lineRule="auto"/>
        <w:rPr>
          <w:rFonts w:ascii="Verdana" w:hAnsi="Verdana"/>
          <w:sz w:val="20"/>
          <w:szCs w:val="20"/>
        </w:rPr>
      </w:pPr>
      <w:r w:rsidRPr="0049678A">
        <w:rPr>
          <w:rFonts w:ascii="Verdana" w:hAnsi="Verdana"/>
          <w:noProof/>
          <w:sz w:val="20"/>
          <w:szCs w:val="20"/>
        </w:rPr>
        <w:drawing>
          <wp:inline distT="0" distB="0" distL="0" distR="0">
            <wp:extent cx="5943600" cy="2057400"/>
            <wp:effectExtent l="0" t="0" r="0" b="0"/>
            <wp:docPr id="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057400"/>
                    </a:xfrm>
                    <a:prstGeom prst="rect">
                      <a:avLst/>
                    </a:prstGeom>
                    <a:noFill/>
                    <a:ln>
                      <a:noFill/>
                    </a:ln>
                  </pic:spPr>
                </pic:pic>
              </a:graphicData>
            </a:graphic>
          </wp:inline>
        </w:drawing>
      </w:r>
    </w:p>
    <w:p w:rsidR="00A10CDF" w:rsidRPr="0049678A" w:rsidRDefault="00A10CDF" w:rsidP="00A10CDF">
      <w:pPr>
        <w:spacing w:line="240" w:lineRule="auto"/>
        <w:rPr>
          <w:rFonts w:ascii="Verdana" w:hAnsi="Verdana"/>
          <w:sz w:val="20"/>
          <w:szCs w:val="20"/>
        </w:rPr>
      </w:pPr>
    </w:p>
    <w:p w:rsidR="00A10CDF" w:rsidRPr="0049678A" w:rsidRDefault="00402381" w:rsidP="00A10CDF">
      <w:pPr>
        <w:pStyle w:val="Heading1"/>
        <w:rPr>
          <w:rFonts w:ascii="Verdana" w:hAnsi="Verdana"/>
          <w:sz w:val="20"/>
          <w:szCs w:val="20"/>
        </w:rPr>
      </w:pPr>
      <w:r>
        <w:rPr>
          <w:rFonts w:ascii="Verdana" w:hAnsi="Verdana"/>
          <w:noProof/>
          <w:sz w:val="20"/>
          <w:szCs w:val="20"/>
        </w:rPr>
        <w:pict>
          <v:oval id="Oval 32" o:spid="_x0000_s1037" style="position:absolute;margin-left:8.25pt;margin-top:58.75pt;width:399.75pt;height:28.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" strokecolor="red" strokeweight="1.5pt">
            <v:fill opacity="7196f"/>
          </v:oval>
        </w:pict>
      </w:r>
      <w:r w:rsidR="00A10CDF" w:rsidRPr="0049678A">
        <w:rPr>
          <w:rFonts w:ascii="Verdana" w:hAnsi="Verdana"/>
          <w:noProof/>
          <w:sz w:val="20"/>
          <w:szCs w:val="20"/>
        </w:rPr>
        <w:drawing>
          <wp:inline distT="0" distB="0" distL="0" distR="0">
            <wp:extent cx="5533334" cy="138095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5533334" cy="1380952"/>
                    </a:xfrm>
                    <a:prstGeom prst="rect">
                      <a:avLst/>
                    </a:prstGeom>
                  </pic:spPr>
                </pic:pic>
              </a:graphicData>
            </a:graphic>
          </wp:inline>
        </w:drawing>
      </w:r>
      <w:r w:rsidR="00A10CDF" w:rsidRPr="0049678A">
        <w:rPr>
          <w:rFonts w:ascii="Verdana" w:hAnsi="Verdana"/>
          <w:sz w:val="20"/>
          <w:szCs w:val="20"/>
        </w:rPr>
        <w:br w:type="page"/>
      </w:r>
      <w:bookmarkStart w:id="57" w:name="_Toc293321423"/>
      <w:r w:rsidR="00A10CDF" w:rsidRPr="0049678A">
        <w:rPr>
          <w:rFonts w:ascii="Verdana" w:hAnsi="Verdana"/>
          <w:sz w:val="20"/>
          <w:szCs w:val="20"/>
        </w:rPr>
        <w:lastRenderedPageBreak/>
        <w:t>A15 - Definite Indefinite Flag Indicator</w:t>
      </w:r>
      <w:bookmarkEnd w:id="57"/>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A15 - Definite Indefinite Flag Indicator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The Definite/ Indefinite Flag indicates whether the amount of budget authority is definite (a specified amount, or a "not to exceed" amount specified) or indefinite (determined by other factors).</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color w:val="000000"/>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"D"=If the amount of the budget authority is a specified amount or has a "not to exceed" amount associated with it, </w:t>
            </w:r>
            <w:proofErr w:type="gramStart"/>
            <w:r w:rsidRPr="0049678A">
              <w:rPr>
                <w:rFonts w:ascii="Verdana" w:hAnsi="Verdana"/>
                <w:sz w:val="20"/>
                <w:szCs w:val="20"/>
              </w:rPr>
              <w:t>then</w:t>
            </w:r>
            <w:proofErr w:type="gramEnd"/>
            <w:r w:rsidRPr="0049678A">
              <w:rPr>
                <w:rFonts w:ascii="Verdana" w:hAnsi="Verdana"/>
                <w:sz w:val="20"/>
                <w:szCs w:val="20"/>
              </w:rPr>
              <w:t xml:space="preserve"> the "D" value will be used.</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58" w:name="_Toc290534809"/>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58"/>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A15</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the funding source is appropriated for a specific time or purpose, then the value must be “D”, otherwise the value is “I”.</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A15</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Definite Indefinite Flag Indicator must be 1 alpha character.  ex. D</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Data values:  D - Definite</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I - Indefinite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A15</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Definite Indefinite Flag Indicator must be used for general ledger posting and financial reporting.</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A15</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be able to report Definite Indefinite Flag Indicator values according to whether the public law specifically identifies a funding amount for a budgetary line or program.</w:t>
            </w:r>
          </w:p>
        </w:tc>
      </w:tr>
    </w:tbl>
    <w:p w:rsidR="00A10CDF" w:rsidRPr="0049678A" w:rsidRDefault="00A10CDF" w:rsidP="00A10CDF">
      <w:pPr>
        <w:pStyle w:val="Heading2"/>
        <w:rPr>
          <w:rFonts w:ascii="Verdana" w:hAnsi="Verdana"/>
          <w:sz w:val="20"/>
          <w:szCs w:val="20"/>
        </w:rPr>
      </w:pPr>
      <w:bookmarkStart w:id="59" w:name="_Toc290534810"/>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59"/>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60" w:name="_Toc290534811"/>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60"/>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8"/>
        <w:gridCol w:w="2047"/>
        <w:gridCol w:w="1373"/>
        <w:gridCol w:w="3438"/>
      </w:tblGrid>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None </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FACT I &amp; II Derivation of Attributes</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IUSFGFDERIVE</w:t>
            </w:r>
          </w:p>
        </w:tc>
        <w:tc>
          <w:tcPr>
            <w:tcW w:w="137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343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Definite Indefinite Flag Indicator</w:t>
            </w:r>
          </w:p>
        </w:tc>
      </w:tr>
      <w:tr w:rsidR="00A10CDF" w:rsidRPr="0049678A" w:rsidTr="004F7F27">
        <w:trPr>
          <w:trHeight w:val="242"/>
        </w:trPr>
        <w:tc>
          <w:tcPr>
            <w:tcW w:w="2358" w:type="dxa"/>
            <w:shd w:val="clear" w:color="auto" w:fill="EEECE1"/>
          </w:tcPr>
          <w:p w:rsidR="00A10CDF" w:rsidRPr="0049678A" w:rsidRDefault="00A10CDF" w:rsidP="004F7F27">
            <w:pPr>
              <w:spacing w:after="0" w:line="240" w:lineRule="auto"/>
              <w:jc w:val="center"/>
              <w:rPr>
                <w:rFonts w:ascii="Verdana" w:hAnsi="Verdana"/>
                <w:bCs/>
                <w:sz w:val="20"/>
                <w:szCs w:val="20"/>
              </w:rPr>
            </w:pPr>
            <w:r w:rsidRPr="0049678A">
              <w:rPr>
                <w:rFonts w:ascii="Verdana" w:hAnsi="Verdana"/>
                <w:bCs/>
                <w:sz w:val="20"/>
                <w:szCs w:val="20"/>
              </w:rPr>
              <w:t>Related Transactions:</w:t>
            </w:r>
          </w:p>
        </w:tc>
        <w:tc>
          <w:tcPr>
            <w:tcW w:w="6858" w:type="dxa"/>
            <w:gridSpan w:val="3"/>
          </w:tcPr>
          <w:p w:rsidR="00A10CDF" w:rsidRPr="0049678A" w:rsidRDefault="00A10CDF" w:rsidP="004F7F27">
            <w:pPr>
              <w:spacing w:after="0" w:line="240" w:lineRule="auto"/>
              <w:rPr>
                <w:rFonts w:ascii="Verdana" w:hAnsi="Verdana"/>
                <w:b/>
                <w:bCs/>
                <w:sz w:val="20"/>
                <w:szCs w:val="20"/>
                <w:u w:val="single"/>
              </w:rPr>
            </w:pPr>
            <w:r w:rsidRPr="0049678A">
              <w:rPr>
                <w:rFonts w:ascii="Verdana" w:hAnsi="Verdana"/>
                <w:sz w:val="20"/>
                <w:szCs w:val="20"/>
              </w:rPr>
              <w:t>None</w:t>
            </w:r>
          </w:p>
        </w:tc>
      </w:tr>
    </w:tbl>
    <w:p w:rsidR="00A10CDF" w:rsidRPr="0049678A" w:rsidRDefault="00A10CDF" w:rsidP="00A10CDF">
      <w:pPr>
        <w:spacing w:after="0" w:line="240" w:lineRule="auto"/>
        <w:rPr>
          <w:rFonts w:ascii="Verdana" w:hAnsi="Verdana"/>
          <w:i/>
          <w:iCs/>
          <w:sz w:val="20"/>
          <w:szCs w:val="20"/>
        </w:rPr>
      </w:pPr>
    </w:p>
    <w:p w:rsidR="00A10CDF" w:rsidRPr="0049678A" w:rsidRDefault="00A10CDF" w:rsidP="00A10CDF">
      <w:pPr>
        <w:pStyle w:val="Heading3"/>
        <w:rPr>
          <w:rFonts w:ascii="Verdana" w:hAnsi="Verdana"/>
          <w:sz w:val="20"/>
          <w:szCs w:val="20"/>
        </w:rPr>
      </w:pPr>
      <w:bookmarkStart w:id="61" w:name="_Toc290534812"/>
    </w:p>
    <w:p w:rsidR="00A10CDF" w:rsidRPr="0049678A" w:rsidRDefault="00A10CDF" w:rsidP="00A10CDF">
      <w:pPr>
        <w:pStyle w:val="Heading3"/>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noProof/>
          <w:sz w:val="20"/>
          <w:szCs w:val="20"/>
        </w:rPr>
      </w:pPr>
      <w:r w:rsidRPr="0049678A">
        <w:rPr>
          <w:rFonts w:ascii="Verdana" w:hAnsi="Verdana"/>
          <w:sz w:val="20"/>
          <w:szCs w:val="20"/>
        </w:rPr>
        <w:lastRenderedPageBreak/>
        <w:t xml:space="preserve">Screenshot:  </w:t>
      </w:r>
      <w:r w:rsidRPr="0049678A">
        <w:rPr>
          <w:rFonts w:ascii="Verdana" w:hAnsi="Verdana"/>
          <w:color w:val="auto"/>
          <w:sz w:val="20"/>
          <w:szCs w:val="20"/>
        </w:rPr>
        <w:t>Location of “Definite Indefinite Flag Indicator” Field on FACT I &amp; II Derivation of Attributes</w:t>
      </w:r>
      <w:bookmarkEnd w:id="61"/>
      <w:r w:rsidRPr="0049678A">
        <w:rPr>
          <w:rFonts w:ascii="Verdana" w:hAnsi="Verdana"/>
          <w:sz w:val="20"/>
          <w:szCs w:val="20"/>
        </w:rPr>
        <w:t xml:space="preserve"> </w:t>
      </w:r>
      <w:r w:rsidRPr="0049678A">
        <w:rPr>
          <w:rFonts w:ascii="Verdana" w:hAnsi="Verdana"/>
          <w:noProof/>
          <w:sz w:val="20"/>
          <w:szCs w:val="20"/>
        </w:rPr>
        <w:t xml:space="preserve"> </w:t>
      </w:r>
    </w:p>
    <w:p w:rsidR="00A10CDF" w:rsidRPr="0049678A" w:rsidRDefault="00A10CDF" w:rsidP="00A10CDF">
      <w:pPr>
        <w:spacing w:after="0" w:line="240" w:lineRule="auto"/>
        <w:rPr>
          <w:rFonts w:ascii="Verdana" w:hAnsi="Verdana"/>
          <w:color w:val="002060"/>
          <w:sz w:val="20"/>
          <w:szCs w:val="20"/>
        </w:rPr>
      </w:pPr>
    </w:p>
    <w:p w:rsidR="00A10CDF" w:rsidRPr="0049678A" w:rsidRDefault="00402381" w:rsidP="00A10CDF">
      <w:pPr>
        <w:spacing w:line="240" w:lineRule="auto"/>
        <w:rPr>
          <w:rFonts w:ascii="Verdana" w:hAnsi="Verdana"/>
          <w:noProof/>
          <w:sz w:val="20"/>
          <w:szCs w:val="20"/>
        </w:rPr>
      </w:pPr>
      <w:r>
        <w:rPr>
          <w:rFonts w:ascii="Verdana" w:hAnsi="Verdana"/>
          <w:noProof/>
          <w:sz w:val="20"/>
          <w:szCs w:val="20"/>
        </w:rPr>
        <w:pict>
          <v:oval id="Oval 34" o:spid="_x0000_s1039" style="position:absolute;margin-left:2.25pt;margin-top:116.35pt;width:402.75pt;height:28.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" strokecolor="red" strokeweight="1.5pt">
            <v:fill opacity="7196f"/>
          </v:oval>
        </w:pict>
      </w:r>
      <w:r w:rsidR="00A10CDF" w:rsidRPr="0049678A">
        <w:rPr>
          <w:rFonts w:ascii="Verdana" w:hAnsi="Verdana"/>
          <w:noProof/>
          <w:sz w:val="20"/>
          <w:szCs w:val="20"/>
        </w:rPr>
        <w:drawing>
          <wp:inline distT="0" distB="0" distL="0" distR="0">
            <wp:extent cx="5943600" cy="1781175"/>
            <wp:effectExtent l="0" t="0" r="0" b="9525"/>
            <wp:docPr id="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781175"/>
                    </a:xfrm>
                    <a:prstGeom prst="rect">
                      <a:avLst/>
                    </a:prstGeom>
                    <a:noFill/>
                    <a:ln>
                      <a:noFill/>
                    </a:ln>
                  </pic:spPr>
                </pic:pic>
              </a:graphicData>
            </a:graphic>
          </wp:inline>
        </w:drawing>
      </w:r>
    </w:p>
    <w:p w:rsidR="00A10CDF" w:rsidRPr="0049678A" w:rsidRDefault="00A10CDF" w:rsidP="00A10CDF">
      <w:pPr>
        <w:spacing w:line="240" w:lineRule="auto"/>
        <w:rPr>
          <w:rFonts w:ascii="Verdana" w:hAnsi="Verdana"/>
          <w:noProof/>
          <w:sz w:val="20"/>
          <w:szCs w:val="20"/>
        </w:rPr>
      </w:pPr>
    </w:p>
    <w:p w:rsidR="00A10CDF" w:rsidRPr="0049678A" w:rsidRDefault="00402381" w:rsidP="00A10CDF">
      <w:pPr>
        <w:spacing w:line="240" w:lineRule="auto"/>
        <w:rPr>
          <w:rFonts w:ascii="Verdana" w:hAnsi="Verdana"/>
          <w:noProof/>
          <w:sz w:val="20"/>
          <w:szCs w:val="20"/>
        </w:rPr>
      </w:pPr>
      <w:r>
        <w:rPr>
          <w:rFonts w:ascii="Verdana" w:hAnsi="Verdana"/>
          <w:noProof/>
          <w:sz w:val="20"/>
          <w:szCs w:val="20"/>
        </w:rPr>
        <w:pict>
          <v:oval id="Oval 33" o:spid="_x0000_s1038" style="position:absolute;margin-left:-3pt;margin-top:120.6pt;width:460.5pt;height:24.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" strokecolor="red" strokeweight="1.5pt">
            <v:fill opacity="3855f"/>
          </v:oval>
        </w:pict>
      </w:r>
      <w:r w:rsidR="00A10CDF" w:rsidRPr="0049678A">
        <w:rPr>
          <w:rFonts w:ascii="Verdana" w:hAnsi="Verdana"/>
          <w:noProof/>
          <w:sz w:val="20"/>
          <w:szCs w:val="20"/>
        </w:rPr>
        <w:drawing>
          <wp:inline distT="0" distB="0" distL="0" distR="0">
            <wp:extent cx="5943600" cy="1819275"/>
            <wp:effectExtent l="0" t="0" r="0" b="9525"/>
            <wp:docPr id="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819275"/>
                    </a:xfrm>
                    <a:prstGeom prst="rect">
                      <a:avLst/>
                    </a:prstGeom>
                    <a:noFill/>
                    <a:ln>
                      <a:noFill/>
                    </a:ln>
                  </pic:spPr>
                </pic:pic>
              </a:graphicData>
            </a:graphic>
          </wp:inline>
        </w:drawing>
      </w:r>
    </w:p>
    <w:p w:rsidR="00A10CDF" w:rsidRPr="0049678A" w:rsidRDefault="00A10CDF" w:rsidP="00A10CDF">
      <w:pPr>
        <w:spacing w:after="0" w:line="240" w:lineRule="auto"/>
        <w:rPr>
          <w:rFonts w:ascii="Verdana" w:hAnsi="Verdana"/>
          <w:spacing w:val="5"/>
          <w:sz w:val="20"/>
          <w:szCs w:val="20"/>
        </w:rPr>
      </w:pPr>
      <w:bookmarkStart w:id="62" w:name="_Toc290534817"/>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63" w:name="_Toc293321424"/>
      <w:r w:rsidRPr="0049678A">
        <w:rPr>
          <w:rFonts w:ascii="Verdana" w:hAnsi="Verdana"/>
          <w:sz w:val="20"/>
          <w:szCs w:val="20"/>
        </w:rPr>
        <w:lastRenderedPageBreak/>
        <w:t>A17 - Program Report Code</w:t>
      </w:r>
      <w:bookmarkEnd w:id="62"/>
      <w:bookmarkEnd w:id="63"/>
      <w:r w:rsidRPr="0049678A">
        <w:rPr>
          <w:rFonts w:ascii="Verdana" w:hAnsi="Verdana"/>
          <w:color w:val="000000"/>
          <w:sz w:val="20"/>
          <w:szCs w:val="20"/>
        </w:rPr>
        <w:t xml:space="preserve">   </w:t>
      </w:r>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A17- Program Report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3</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right"/>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 xml:space="preserve">The Program Report Code identifies meaningful program reporting categories during the apportionment tracking process.  The program report codes and associated amounts are reported as attachments to the Standard Form 132, Apportionment and Re-apportionment Schedule.   </w:t>
            </w:r>
            <w:proofErr w:type="spellStart"/>
            <w:r w:rsidRPr="0049678A">
              <w:rPr>
                <w:rFonts w:ascii="Verdana" w:hAnsi="Verdana"/>
                <w:color w:val="000000"/>
                <w:sz w:val="20"/>
                <w:szCs w:val="20"/>
              </w:rPr>
              <w:t>DoD</w:t>
            </w:r>
            <w:proofErr w:type="spellEnd"/>
            <w:r w:rsidRPr="0049678A">
              <w:rPr>
                <w:rFonts w:ascii="Verdana" w:hAnsi="Verdana"/>
                <w:color w:val="000000"/>
                <w:sz w:val="20"/>
                <w:szCs w:val="20"/>
              </w:rPr>
              <w:t xml:space="preserve"> agencies (i.e. Navy, Army, Air Force, Marines, &amp; other Treasury defined agencies) use the program report codes to group and track designated obligations on the SF133 Reports on Budget Execution and Budgetary Resources.  For example, rather than reporting a single number for its obligations, a Department of the Navy account may separately show obligations for: maintaining land resources; performing major constructions; and performing base support.  Program reporting categories are not used to apportion funds, are not subject to the Anti-deficiency Act, and are not shown on the actual SF132 apportionment or letter apportionment forms, but are included as attachments to these forms.  </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Sample Program Report Codes (for a Navy Housing, Main Account):</w:t>
            </w:r>
          </w:p>
          <w:p w:rsidR="00A10CDF" w:rsidRPr="0049678A" w:rsidRDefault="00A10CDF" w:rsidP="004F7F27">
            <w:pPr>
              <w:pStyle w:val="NoSpacing"/>
              <w:rPr>
                <w:rFonts w:ascii="Verdana" w:hAnsi="Verdana"/>
                <w:sz w:val="20"/>
                <w:szCs w:val="20"/>
              </w:rPr>
            </w:pPr>
            <w:r w:rsidRPr="0049678A">
              <w:rPr>
                <w:rFonts w:ascii="Verdana" w:hAnsi="Verdana"/>
                <w:sz w:val="20"/>
                <w:szCs w:val="20"/>
              </w:rPr>
              <w:t>Report Code    Description</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001                   Major Construction Housing               </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002                   Improvements                                                   </w:t>
            </w:r>
          </w:p>
          <w:p w:rsidR="00A10CDF" w:rsidRPr="0049678A" w:rsidRDefault="00A10CDF" w:rsidP="004F7F27">
            <w:pPr>
              <w:pStyle w:val="NoSpacing"/>
              <w:rPr>
                <w:rFonts w:ascii="Verdana" w:hAnsi="Verdana"/>
                <w:sz w:val="20"/>
                <w:szCs w:val="20"/>
              </w:rPr>
            </w:pPr>
            <w:r w:rsidRPr="0049678A">
              <w:rPr>
                <w:rFonts w:ascii="Verdana" w:hAnsi="Verdana"/>
                <w:sz w:val="20"/>
                <w:szCs w:val="20"/>
              </w:rPr>
              <w:t>003                   Planning and Design</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Currently this element is only used in Military Construction, Family Housing.</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64" w:name="_Toc290534818"/>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64"/>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60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1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60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A17</w:t>
            </w:r>
          </w:p>
        </w:tc>
        <w:tc>
          <w:tcPr>
            <w:tcW w:w="8612"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Program Report Code must be 3 numeric characters.  ex. 001</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Authoritative source:  http://www.whitehouse.gov/omb/circulars_a11_current_year_a11_toc/</w:t>
            </w:r>
          </w:p>
        </w:tc>
      </w:tr>
      <w:tr w:rsidR="00A10CDF" w:rsidRPr="0049678A" w:rsidTr="004F7F27">
        <w:tc>
          <w:tcPr>
            <w:tcW w:w="60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A17</w:t>
            </w:r>
          </w:p>
        </w:tc>
        <w:tc>
          <w:tcPr>
            <w:tcW w:w="8612"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Program Report Code must be used for general ledger posting, and financial reporting</w:t>
            </w:r>
          </w:p>
        </w:tc>
      </w:tr>
      <w:tr w:rsidR="00A10CDF" w:rsidRPr="0049678A" w:rsidTr="004F7F27">
        <w:tc>
          <w:tcPr>
            <w:tcW w:w="60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A17</w:t>
            </w:r>
          </w:p>
        </w:tc>
        <w:tc>
          <w:tcPr>
            <w:tcW w:w="8612"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maintain Program Report Code values.</w:t>
            </w:r>
          </w:p>
        </w:tc>
      </w:tr>
    </w:tbl>
    <w:p w:rsidR="00A10CDF" w:rsidRPr="0049678A" w:rsidRDefault="00A10CDF" w:rsidP="00A10CDF">
      <w:pPr>
        <w:pStyle w:val="Heading2"/>
        <w:rPr>
          <w:rFonts w:ascii="Verdana" w:hAnsi="Verdana"/>
          <w:sz w:val="20"/>
          <w:szCs w:val="20"/>
        </w:rPr>
      </w:pPr>
      <w:bookmarkStart w:id="65" w:name="_Toc290534819"/>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65"/>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66" w:name="_Toc290534820"/>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66"/>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8"/>
        <w:gridCol w:w="2047"/>
        <w:gridCol w:w="2405"/>
        <w:gridCol w:w="2406"/>
      </w:tblGrid>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Module: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FACT I &amp; II Derivation of Attributes</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IUSFGFDERIVE</w:t>
            </w:r>
          </w:p>
        </w:tc>
        <w:tc>
          <w:tcPr>
            <w:tcW w:w="240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40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Program Report Code</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c>
          <w:tcPr>
            <w:tcW w:w="2405" w:type="dxa"/>
            <w:shd w:val="clear" w:color="auto" w:fill="EEECE1"/>
          </w:tcPr>
          <w:p w:rsidR="00A10CDF" w:rsidRPr="0049678A" w:rsidRDefault="00A10CDF" w:rsidP="004F7F27">
            <w:pPr>
              <w:spacing w:after="0" w:line="240" w:lineRule="auto"/>
              <w:jc w:val="right"/>
              <w:rPr>
                <w:rFonts w:ascii="Verdana" w:hAnsi="Verdana"/>
                <w:sz w:val="20"/>
                <w:szCs w:val="20"/>
              </w:rPr>
            </w:pPr>
          </w:p>
        </w:tc>
        <w:tc>
          <w:tcPr>
            <w:tcW w:w="2406" w:type="dxa"/>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spacing w:line="240" w:lineRule="auto"/>
        <w:rPr>
          <w:rFonts w:ascii="Verdana" w:hAnsi="Verdana"/>
          <w:i/>
          <w:iCs/>
          <w:sz w:val="20"/>
          <w:szCs w:val="20"/>
        </w:rPr>
      </w:pPr>
    </w:p>
    <w:p w:rsidR="00A10CDF" w:rsidRPr="0049678A" w:rsidRDefault="00A10CDF" w:rsidP="00A10CDF">
      <w:pPr>
        <w:pStyle w:val="Heading2"/>
        <w:rPr>
          <w:rFonts w:ascii="Verdana" w:hAnsi="Verdana"/>
          <w:color w:val="auto"/>
          <w:sz w:val="20"/>
          <w:szCs w:val="20"/>
        </w:rPr>
      </w:pPr>
      <w:bookmarkStart w:id="67" w:name="_Toc290534821"/>
      <w:r w:rsidRPr="0049678A">
        <w:rPr>
          <w:rFonts w:ascii="Verdana" w:hAnsi="Verdana"/>
          <w:sz w:val="20"/>
          <w:szCs w:val="20"/>
        </w:rPr>
        <w:t xml:space="preserve">Screenshot:  </w:t>
      </w:r>
      <w:r w:rsidRPr="0049678A">
        <w:rPr>
          <w:rFonts w:ascii="Verdana" w:hAnsi="Verdana"/>
          <w:color w:val="auto"/>
          <w:sz w:val="20"/>
          <w:szCs w:val="20"/>
        </w:rPr>
        <w:t>Location of “Program Report Code” Field on FACT I &amp; II Derivation of Attributes</w:t>
      </w:r>
      <w:bookmarkEnd w:id="67"/>
      <w:r w:rsidRPr="0049678A">
        <w:rPr>
          <w:rFonts w:ascii="Verdana" w:hAnsi="Verdana"/>
          <w:color w:val="auto"/>
          <w:sz w:val="20"/>
          <w:szCs w:val="20"/>
        </w:rPr>
        <w:t xml:space="preserve"> </w:t>
      </w:r>
    </w:p>
    <w:p w:rsidR="00A10CDF" w:rsidRPr="0049678A" w:rsidRDefault="00A10CDF" w:rsidP="00A10CDF">
      <w:pPr>
        <w:spacing w:after="0" w:line="240" w:lineRule="auto"/>
        <w:rPr>
          <w:rFonts w:ascii="Verdana" w:hAnsi="Verdana"/>
          <w:color w:val="002060"/>
          <w:sz w:val="20"/>
          <w:szCs w:val="20"/>
        </w:rPr>
      </w:pPr>
    </w:p>
    <w:p w:rsidR="00A10CDF" w:rsidRPr="0049678A" w:rsidRDefault="00A10CDF" w:rsidP="00A10CDF">
      <w:pPr>
        <w:spacing w:line="240" w:lineRule="auto"/>
        <w:rPr>
          <w:rFonts w:ascii="Verdana" w:hAnsi="Verdana"/>
          <w:noProof/>
          <w:sz w:val="20"/>
          <w:szCs w:val="20"/>
        </w:rPr>
      </w:pPr>
      <w:r w:rsidRPr="0049678A">
        <w:rPr>
          <w:rFonts w:ascii="Verdana" w:hAnsi="Verdana"/>
          <w:noProof/>
          <w:sz w:val="20"/>
          <w:szCs w:val="20"/>
        </w:rPr>
        <w:drawing>
          <wp:inline distT="0" distB="0" distL="0" distR="0">
            <wp:extent cx="5943600" cy="2705100"/>
            <wp:effectExtent l="0" t="0" r="0" b="0"/>
            <wp:docPr id="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705100"/>
                    </a:xfrm>
                    <a:prstGeom prst="rect">
                      <a:avLst/>
                    </a:prstGeom>
                    <a:noFill/>
                    <a:ln>
                      <a:noFill/>
                    </a:ln>
                  </pic:spPr>
                </pic:pic>
              </a:graphicData>
            </a:graphic>
          </wp:inline>
        </w:drawing>
      </w:r>
    </w:p>
    <w:p w:rsidR="00A10CDF" w:rsidRPr="0049678A" w:rsidRDefault="00402381" w:rsidP="00A10CDF">
      <w:pPr>
        <w:spacing w:line="240" w:lineRule="auto"/>
        <w:rPr>
          <w:rFonts w:ascii="Verdana" w:hAnsi="Verdana"/>
          <w:noProof/>
          <w:sz w:val="20"/>
          <w:szCs w:val="20"/>
        </w:rPr>
      </w:pPr>
      <w:r>
        <w:rPr>
          <w:rFonts w:ascii="Verdana" w:hAnsi="Verdana"/>
          <w:noProof/>
          <w:sz w:val="20"/>
          <w:szCs w:val="20"/>
        </w:rPr>
        <w:pict>
          <v:oval id="Oval 40" o:spid="_x0000_s1040" style="position:absolute;margin-left:-5.85pt;margin-top:61.6pt;width:473.85pt;height:38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" strokecolor="red" strokeweight="1.5pt">
            <v:fill opacity="4626f"/>
          </v:oval>
        </w:pict>
      </w:r>
      <w:r w:rsidR="00A10CDF" w:rsidRPr="0049678A">
        <w:rPr>
          <w:rFonts w:ascii="Verdana" w:hAnsi="Verdana"/>
          <w:noProof/>
          <w:sz w:val="20"/>
          <w:szCs w:val="20"/>
        </w:rPr>
        <w:drawing>
          <wp:inline distT="0" distB="0" distL="0" distR="0">
            <wp:extent cx="5943600" cy="11483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5943600" cy="1148316"/>
                    </a:xfrm>
                    <a:prstGeom prst="rect">
                      <a:avLst/>
                    </a:prstGeom>
                  </pic:spPr>
                </pic:pic>
              </a:graphicData>
            </a:graphic>
          </wp:inline>
        </w:drawing>
      </w:r>
    </w:p>
    <w:p w:rsidR="00A10CDF" w:rsidRPr="0049678A" w:rsidRDefault="00A10CDF" w:rsidP="00A10CDF">
      <w:pPr>
        <w:spacing w:after="0" w:line="240" w:lineRule="auto"/>
        <w:rPr>
          <w:rFonts w:ascii="Verdana" w:hAnsi="Verdana"/>
          <w:spacing w:val="5"/>
          <w:sz w:val="20"/>
          <w:szCs w:val="20"/>
        </w:rPr>
      </w:pPr>
      <w:bookmarkStart w:id="68" w:name="_Toc290534822"/>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69" w:name="_Toc293321425"/>
      <w:r w:rsidRPr="0049678A">
        <w:rPr>
          <w:rFonts w:ascii="Verdana" w:hAnsi="Verdana"/>
          <w:sz w:val="20"/>
          <w:szCs w:val="20"/>
        </w:rPr>
        <w:lastRenderedPageBreak/>
        <w:t>A18 - TAFS Status Indicator</w:t>
      </w:r>
      <w:bookmarkEnd w:id="68"/>
      <w:bookmarkEnd w:id="69"/>
      <w:r w:rsidRPr="0049678A">
        <w:rPr>
          <w:rFonts w:ascii="Verdana" w:hAnsi="Verdana"/>
          <w:color w:val="000000"/>
          <w:sz w:val="20"/>
          <w:szCs w:val="20"/>
        </w:rPr>
        <w:t xml:space="preserve">    </w:t>
      </w:r>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A18 - TAFS Status Indicator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The TAFS Status identifies the availability status of budget authority for incurring new obligations.  Unexpired means the TAFS may incur new obligations.  Expired means that the TAFS may liquidate obligations or make adjustments, but may not incur new obligations. If canceled, the TAFS will have no more reportable activity.</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Use "U" if the TAFS can incur new obligations; or use "E", if the TAFS can only liquidate obligations or make adjustments, but may not incur new obligations.   </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70" w:name="_Toc290534823"/>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70"/>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the current fiscal year is greater than the ending fiscal year of the Period of Availability Fiscal Year Date, but not greater than the ending fiscal year of the Period of Availability Fiscal Year Date +5, then the Treasury Appropriation Fund Symbol (TAFS) Status Indicator value must be “E”.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the current fiscal year is greater than or equal to the beginning fiscal year of the Period of Availability, and less than or equal to the ending year of the Period of Availability, the  Treasury Appropriation Fund Symbol (TAFS) Status Indicator value must be U.</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TAFS Status Indicator must not be used for cancelled funds.</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Treasury Appropriation Fund Symbol (TAFS) Status Indicator must be 1 alpha character, for example “U”.</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Data values:  U - Unexpired</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E - Expired</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Treasury Appropriation Fund Symbol (TAFS) Status Indicator must be used for identifying expired or unexpired status at time of reporting.</w:t>
            </w:r>
          </w:p>
        </w:tc>
      </w:tr>
    </w:tbl>
    <w:p w:rsidR="00A10CDF" w:rsidRPr="0049678A" w:rsidRDefault="00A10CDF" w:rsidP="00A10CDF">
      <w:pPr>
        <w:pStyle w:val="Heading2"/>
        <w:rPr>
          <w:rFonts w:ascii="Verdana" w:hAnsi="Verdana"/>
          <w:sz w:val="20"/>
          <w:szCs w:val="20"/>
        </w:rPr>
      </w:pPr>
      <w:bookmarkStart w:id="71" w:name="_Toc290534824"/>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71"/>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72" w:name="_Toc290534825"/>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72"/>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8"/>
        <w:gridCol w:w="2047"/>
        <w:gridCol w:w="2405"/>
        <w:gridCol w:w="2406"/>
      </w:tblGrid>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85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FACT I &amp; II Derivation of Attributes</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IUSFGFDERIVE</w:t>
            </w:r>
          </w:p>
        </w:tc>
        <w:tc>
          <w:tcPr>
            <w:tcW w:w="2405"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406"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TAFS Status Indicator</w:t>
            </w:r>
          </w:p>
        </w:tc>
      </w:tr>
      <w:tr w:rsidR="00A10CDF" w:rsidRPr="0049678A" w:rsidTr="004F7F27">
        <w:trPr>
          <w:trHeight w:val="242"/>
        </w:trPr>
        <w:tc>
          <w:tcPr>
            <w:tcW w:w="2358" w:type="dxa"/>
            <w:shd w:val="clear" w:color="auto" w:fill="EEECE1"/>
          </w:tcPr>
          <w:p w:rsidR="00A10CDF" w:rsidRPr="0049678A" w:rsidRDefault="00A10CDF" w:rsidP="004F7F27">
            <w:pPr>
              <w:spacing w:after="0" w:line="240" w:lineRule="auto"/>
              <w:jc w:val="center"/>
              <w:rPr>
                <w:rFonts w:ascii="Verdana" w:hAnsi="Verdana"/>
                <w:bCs/>
                <w:sz w:val="20"/>
                <w:szCs w:val="20"/>
              </w:rPr>
            </w:pPr>
            <w:r w:rsidRPr="0049678A">
              <w:rPr>
                <w:rFonts w:ascii="Verdana" w:hAnsi="Verdana"/>
                <w:bCs/>
                <w:sz w:val="20"/>
                <w:szCs w:val="20"/>
              </w:rPr>
              <w:t>Related Transactions:</w:t>
            </w:r>
          </w:p>
        </w:tc>
        <w:tc>
          <w:tcPr>
            <w:tcW w:w="6858" w:type="dxa"/>
            <w:gridSpan w:val="3"/>
          </w:tcPr>
          <w:p w:rsidR="00A10CDF" w:rsidRPr="0049678A" w:rsidRDefault="00A10CDF" w:rsidP="004F7F27">
            <w:pPr>
              <w:spacing w:after="0" w:line="240" w:lineRule="auto"/>
              <w:rPr>
                <w:rFonts w:ascii="Verdana" w:hAnsi="Verdana"/>
                <w:b/>
                <w:bCs/>
                <w:sz w:val="20"/>
                <w:szCs w:val="20"/>
                <w:u w:val="single"/>
              </w:rPr>
            </w:pPr>
            <w:r w:rsidRPr="0049678A">
              <w:rPr>
                <w:rFonts w:ascii="Verdana" w:hAnsi="Verdana"/>
                <w:sz w:val="20"/>
                <w:szCs w:val="20"/>
              </w:rPr>
              <w:t>None</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lastRenderedPageBreak/>
        <w:t xml:space="preserve">Screenshot:  </w:t>
      </w:r>
      <w:r w:rsidRPr="0049678A">
        <w:rPr>
          <w:rFonts w:ascii="Verdana" w:hAnsi="Verdana"/>
          <w:color w:val="auto"/>
          <w:sz w:val="20"/>
          <w:szCs w:val="20"/>
        </w:rPr>
        <w:t xml:space="preserve">Location of “TAFS Status Indicator” Field on FACT I &amp; II Derivation of Attributes </w:t>
      </w:r>
    </w:p>
    <w:p w:rsidR="00A10CDF" w:rsidRPr="0049678A" w:rsidRDefault="00A10CDF" w:rsidP="00A10CDF">
      <w:pPr>
        <w:spacing w:after="0" w:line="240" w:lineRule="auto"/>
        <w:rPr>
          <w:rFonts w:ascii="Verdana" w:hAnsi="Verdana"/>
          <w:color w:val="002060"/>
          <w:sz w:val="20"/>
          <w:szCs w:val="20"/>
        </w:rPr>
      </w:pPr>
    </w:p>
    <w:p w:rsidR="00A10CDF" w:rsidRPr="0049678A" w:rsidRDefault="00A10CDF" w:rsidP="00A10CDF">
      <w:pPr>
        <w:spacing w:line="240" w:lineRule="auto"/>
        <w:rPr>
          <w:rFonts w:ascii="Verdana" w:hAnsi="Verdana"/>
          <w:sz w:val="20"/>
          <w:szCs w:val="20"/>
        </w:rPr>
      </w:pPr>
      <w:r w:rsidRPr="0049678A">
        <w:rPr>
          <w:rFonts w:ascii="Verdana" w:hAnsi="Verdana"/>
          <w:noProof/>
          <w:sz w:val="20"/>
          <w:szCs w:val="20"/>
        </w:rPr>
        <w:drawing>
          <wp:inline distT="0" distB="0" distL="0" distR="0">
            <wp:extent cx="5942677" cy="274320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5943600" cy="2743626"/>
                    </a:xfrm>
                    <a:prstGeom prst="rect">
                      <a:avLst/>
                    </a:prstGeom>
                  </pic:spPr>
                </pic:pic>
              </a:graphicData>
            </a:graphic>
          </wp:inline>
        </w:drawing>
      </w:r>
    </w:p>
    <w:p w:rsidR="00A10CDF" w:rsidRPr="0049678A" w:rsidRDefault="00402381" w:rsidP="00A10CDF">
      <w:pPr>
        <w:spacing w:line="240" w:lineRule="auto"/>
        <w:rPr>
          <w:rFonts w:ascii="Verdana" w:hAnsi="Verdana"/>
          <w:noProof/>
          <w:sz w:val="20"/>
          <w:szCs w:val="20"/>
        </w:rPr>
      </w:pPr>
      <w:r>
        <w:rPr>
          <w:rFonts w:ascii="Verdana" w:hAnsi="Verdana"/>
          <w:noProof/>
          <w:sz w:val="20"/>
          <w:szCs w:val="20"/>
        </w:rPr>
        <w:pict>
          <v:oval id="Oval 41" o:spid="_x0000_s1041" style="position:absolute;margin-left:-12.9pt;margin-top:146.8pt;width:468.3pt;height:38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" strokecolor="red" strokeweight="1.5pt">
            <v:fill opacity="4626f"/>
          </v:oval>
        </w:pict>
      </w:r>
      <w:r w:rsidR="00A10CDF" w:rsidRPr="0049678A">
        <w:rPr>
          <w:rFonts w:ascii="Verdana" w:hAnsi="Verdana"/>
          <w:noProof/>
          <w:sz w:val="20"/>
          <w:szCs w:val="20"/>
        </w:rPr>
        <w:drawing>
          <wp:inline distT="0" distB="0" distL="0" distR="0">
            <wp:extent cx="5943600" cy="233997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5943600" cy="2339975"/>
                    </a:xfrm>
                    <a:prstGeom prst="rect">
                      <a:avLst/>
                    </a:prstGeom>
                  </pic:spPr>
                </pic:pic>
              </a:graphicData>
            </a:graphic>
          </wp:inline>
        </w:drawing>
      </w: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after="0" w:line="240" w:lineRule="auto"/>
        <w:rPr>
          <w:rFonts w:ascii="Verdana" w:hAnsi="Verdana"/>
          <w:spacing w:val="5"/>
          <w:sz w:val="20"/>
          <w:szCs w:val="20"/>
        </w:rPr>
      </w:pPr>
      <w:bookmarkStart w:id="73" w:name="_Toc290534827"/>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74" w:name="_Toc293321426"/>
      <w:r w:rsidRPr="0049678A">
        <w:rPr>
          <w:rFonts w:ascii="Verdana" w:hAnsi="Verdana"/>
          <w:sz w:val="20"/>
          <w:szCs w:val="20"/>
        </w:rPr>
        <w:lastRenderedPageBreak/>
        <w:t>A19 - Year of Budget Authority Indicator</w:t>
      </w:r>
      <w:bookmarkEnd w:id="73"/>
      <w:bookmarkEnd w:id="74"/>
      <w:r w:rsidRPr="0049678A">
        <w:rPr>
          <w:rFonts w:ascii="Verdana" w:hAnsi="Verdana"/>
          <w:color w:val="000000"/>
          <w:sz w:val="20"/>
          <w:szCs w:val="20"/>
        </w:rPr>
        <w:t xml:space="preserve">    </w:t>
      </w:r>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A19 - Year of Budget Authority Indicator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3</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 xml:space="preserve">Identifies the fiscal year when a Treasury Appropriation is provided with new no-year budget authority.  Used for </w:t>
            </w:r>
            <w:proofErr w:type="spellStart"/>
            <w:r w:rsidRPr="0049678A">
              <w:rPr>
                <w:rFonts w:ascii="Verdana" w:hAnsi="Verdana"/>
                <w:color w:val="000000"/>
                <w:sz w:val="20"/>
                <w:szCs w:val="20"/>
              </w:rPr>
              <w:t>no</w:t>
            </w:r>
            <w:proofErr w:type="spellEnd"/>
            <w:r w:rsidRPr="0049678A">
              <w:rPr>
                <w:rFonts w:ascii="Verdana" w:hAnsi="Verdana"/>
                <w:color w:val="000000"/>
                <w:sz w:val="20"/>
                <w:szCs w:val="20"/>
              </w:rPr>
              <w:t>-year funding authority TAFS to distinguish outlays from new obligation authority vs. outlays from carried forward balances. New Authority is required to be reported separately from balances brought forward on the OMB apportionment documents.</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color w:val="000000"/>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"NEW"=Outlays from new budget authority (i.e. made available in current fiscal year)</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"BAL"=Outlays from balances brought forward from prior period(s) (i.e. made available in a previous fiscal year)</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75" w:name="_Toc290534828"/>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75"/>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A19</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the funding source is other than no year, the Year of Budget Authority Indicator is not allowed.</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A19</w:t>
            </w:r>
          </w:p>
        </w:tc>
        <w:tc>
          <w:tcPr>
            <w:tcW w:w="8649" w:type="dxa"/>
            <w:tcBorders>
              <w:bottom w:val="single" w:sz="4" w:space="0" w:color="auto"/>
            </w:tcBorders>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Year of Budget Authority Indicator must be 3 alpha characters, for example “NEW”</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Data values:  </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NEW - Outlays from new budget authority</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BAL - Outlays from balances brought forward</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A19</w:t>
            </w:r>
          </w:p>
        </w:tc>
        <w:tc>
          <w:tcPr>
            <w:tcW w:w="8649" w:type="dxa"/>
            <w:shd w:val="clear" w:color="auto" w:fill="auto"/>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Year of Budget Authority Indicator must be used for general ledger posting, and financial reporting.</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A19</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Derivation of Year of Budget Authority Indicator based on a comparison of the current reporting period date against the budget program year is an acceptable practice within the accounting system, however, the same data used for the derivation must be used to support general ledger posting logic.</w:t>
            </w:r>
          </w:p>
        </w:tc>
      </w:tr>
    </w:tbl>
    <w:p w:rsidR="00A10CDF" w:rsidRPr="0049678A" w:rsidRDefault="00A10CDF" w:rsidP="00A10CDF">
      <w:pPr>
        <w:pStyle w:val="Heading2"/>
        <w:rPr>
          <w:rFonts w:ascii="Verdana" w:hAnsi="Verdana"/>
          <w:sz w:val="20"/>
          <w:szCs w:val="20"/>
        </w:rPr>
      </w:pPr>
      <w:bookmarkStart w:id="76" w:name="_Toc290534829"/>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76"/>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77" w:name="_Toc290534830"/>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77"/>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7"/>
        <w:gridCol w:w="2047"/>
        <w:gridCol w:w="2404"/>
        <w:gridCol w:w="2408"/>
      </w:tblGrid>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85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FACT I &amp; II Derivation of Attributes</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IUSFGFDERIVE</w:t>
            </w:r>
          </w:p>
        </w:tc>
        <w:tc>
          <w:tcPr>
            <w:tcW w:w="2405"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406"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FMFG_YR_BUD_AUTH</w:t>
            </w:r>
          </w:p>
        </w:tc>
      </w:tr>
      <w:tr w:rsidR="00A10CDF" w:rsidRPr="0049678A" w:rsidTr="004F7F27">
        <w:trPr>
          <w:trHeight w:val="242"/>
        </w:trPr>
        <w:tc>
          <w:tcPr>
            <w:tcW w:w="2358" w:type="dxa"/>
            <w:shd w:val="clear" w:color="auto" w:fill="EEECE1"/>
          </w:tcPr>
          <w:p w:rsidR="00A10CDF" w:rsidRPr="0049678A" w:rsidRDefault="00A10CDF" w:rsidP="004F7F27">
            <w:pPr>
              <w:spacing w:after="0" w:line="240" w:lineRule="auto"/>
              <w:jc w:val="center"/>
              <w:rPr>
                <w:rFonts w:ascii="Verdana" w:hAnsi="Verdana"/>
                <w:bCs/>
                <w:sz w:val="20"/>
                <w:szCs w:val="20"/>
              </w:rPr>
            </w:pPr>
            <w:r w:rsidRPr="0049678A">
              <w:rPr>
                <w:rFonts w:ascii="Verdana" w:hAnsi="Verdana"/>
                <w:bCs/>
                <w:sz w:val="20"/>
                <w:szCs w:val="20"/>
              </w:rPr>
              <w:t>Related Transactions:</w:t>
            </w:r>
          </w:p>
        </w:tc>
        <w:tc>
          <w:tcPr>
            <w:tcW w:w="6858" w:type="dxa"/>
            <w:gridSpan w:val="3"/>
          </w:tcPr>
          <w:p w:rsidR="00A10CDF" w:rsidRPr="0049678A" w:rsidRDefault="00A10CDF" w:rsidP="004F7F27">
            <w:pPr>
              <w:spacing w:after="0" w:line="240" w:lineRule="auto"/>
              <w:rPr>
                <w:rFonts w:ascii="Verdana" w:hAnsi="Verdana"/>
                <w:b/>
                <w:bCs/>
                <w:sz w:val="20"/>
                <w:szCs w:val="20"/>
                <w:u w:val="single"/>
              </w:rPr>
            </w:pPr>
            <w:r w:rsidRPr="0049678A">
              <w:rPr>
                <w:rFonts w:ascii="Verdana" w:hAnsi="Verdana"/>
                <w:sz w:val="20"/>
                <w:szCs w:val="20"/>
              </w:rPr>
              <w:t>None</w:t>
            </w:r>
          </w:p>
        </w:tc>
      </w:tr>
    </w:tbl>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 xml:space="preserve">Location of “Year of Budget Authority Indicator” Field on FACT I </w:t>
      </w:r>
      <w:r w:rsidRPr="0049678A">
        <w:rPr>
          <w:rFonts w:ascii="Verdana" w:hAnsi="Verdana" w:cs="Arial"/>
          <w:color w:val="auto"/>
          <w:sz w:val="20"/>
          <w:szCs w:val="20"/>
        </w:rPr>
        <w:t>&amp;</w:t>
      </w:r>
      <w:r w:rsidRPr="0049678A">
        <w:rPr>
          <w:rFonts w:ascii="Verdana" w:hAnsi="Verdana"/>
          <w:color w:val="auto"/>
          <w:sz w:val="20"/>
          <w:szCs w:val="20"/>
        </w:rPr>
        <w:t xml:space="preserve"> II Derivation of Attributes</w:t>
      </w:r>
    </w:p>
    <w:p w:rsidR="00A10CDF" w:rsidRPr="0049678A" w:rsidRDefault="00402381" w:rsidP="00A10CDF">
      <w:pPr>
        <w:pStyle w:val="Heading1"/>
        <w:rPr>
          <w:rFonts w:ascii="Verdana" w:hAnsi="Verdana"/>
          <w:sz w:val="20"/>
          <w:szCs w:val="20"/>
        </w:rPr>
      </w:pPr>
      <w:bookmarkStart w:id="78" w:name="_Toc290534831"/>
      <w:r>
        <w:rPr>
          <w:rFonts w:ascii="Verdana" w:hAnsi="Verdana"/>
          <w:noProof/>
          <w:sz w:val="20"/>
          <w:szCs w:val="20"/>
        </w:rPr>
        <w:lastRenderedPageBreak/>
        <w:pict>
          <v:oval id="Oval 47" o:spid="_x0000_s1042" style="position:absolute;margin-left:0;margin-top:311.45pt;width:451.25pt;height:38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" strokecolor="red" strokeweight="1.5pt">
            <v:fill opacity="4626f"/>
          </v:oval>
        </w:pict>
      </w:r>
      <w:r w:rsidR="00A10CDF" w:rsidRPr="0049678A">
        <w:rPr>
          <w:rFonts w:ascii="Verdana" w:hAnsi="Verdana"/>
          <w:noProof/>
          <w:sz w:val="20"/>
          <w:szCs w:val="20"/>
        </w:rPr>
        <w:drawing>
          <wp:inline distT="0" distB="0" distL="0" distR="0">
            <wp:extent cx="5943600" cy="3286125"/>
            <wp:effectExtent l="0" t="0" r="0" b="9525"/>
            <wp:docPr id="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286125"/>
                    </a:xfrm>
                    <a:prstGeom prst="rect">
                      <a:avLst/>
                    </a:prstGeom>
                    <a:noFill/>
                    <a:ln>
                      <a:noFill/>
                    </a:ln>
                  </pic:spPr>
                </pic:pic>
              </a:graphicData>
            </a:graphic>
          </wp:inline>
        </w:drawing>
      </w:r>
      <w:r w:rsidR="00A10CDF" w:rsidRPr="0049678A">
        <w:rPr>
          <w:rFonts w:ascii="Verdana" w:hAnsi="Verdana"/>
          <w:noProof/>
          <w:sz w:val="20"/>
          <w:szCs w:val="20"/>
        </w:rPr>
        <w:drawing>
          <wp:inline distT="0" distB="0" distL="0" distR="0">
            <wp:extent cx="5733334" cy="1085714"/>
            <wp:effectExtent l="0" t="0" r="127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5733334" cy="1085714"/>
                    </a:xfrm>
                    <a:prstGeom prst="rect">
                      <a:avLst/>
                    </a:prstGeom>
                  </pic:spPr>
                </pic:pic>
              </a:graphicData>
            </a:graphic>
          </wp:inline>
        </w:drawing>
      </w:r>
      <w:r w:rsidR="00A10CDF" w:rsidRPr="0049678A">
        <w:rPr>
          <w:rFonts w:ascii="Verdana" w:hAnsi="Verdana"/>
          <w:sz w:val="20"/>
          <w:szCs w:val="20"/>
        </w:rPr>
        <w:br w:type="page"/>
      </w:r>
      <w:bookmarkStart w:id="79" w:name="_Toc293321427"/>
      <w:r w:rsidR="00A10CDF" w:rsidRPr="0049678A">
        <w:rPr>
          <w:rFonts w:ascii="Verdana" w:hAnsi="Verdana"/>
          <w:sz w:val="20"/>
          <w:szCs w:val="20"/>
        </w:rPr>
        <w:lastRenderedPageBreak/>
        <w:t>A20 - Direct Transfer Agency Code</w:t>
      </w:r>
      <w:bookmarkEnd w:id="78"/>
      <w:bookmarkEnd w:id="79"/>
      <w:r w:rsidR="00A10CDF" w:rsidRPr="0049678A">
        <w:rPr>
          <w:rFonts w:ascii="Verdana" w:hAnsi="Verdana"/>
          <w:color w:val="000000"/>
          <w:sz w:val="20"/>
          <w:szCs w:val="20"/>
        </w:rPr>
        <w:t xml:space="preserve">    </w:t>
      </w:r>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A20 - Direct Transfer Agency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3</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 xml:space="preserve">The Direct Transfer Agency is the Treasury Department Code of the other Federal entity involved in budget authority transfer transactions with the </w:t>
            </w:r>
            <w:proofErr w:type="spellStart"/>
            <w:r w:rsidRPr="0049678A">
              <w:rPr>
                <w:rFonts w:ascii="Verdana" w:hAnsi="Verdana"/>
                <w:color w:val="000000"/>
                <w:sz w:val="20"/>
                <w:szCs w:val="20"/>
              </w:rPr>
              <w:t>DoD</w:t>
            </w:r>
            <w:proofErr w:type="spellEnd"/>
            <w:r w:rsidRPr="0049678A">
              <w:rPr>
                <w:rFonts w:ascii="Verdana" w:hAnsi="Verdana"/>
                <w:color w:val="000000"/>
                <w:sz w:val="20"/>
                <w:szCs w:val="20"/>
              </w:rPr>
              <w:t xml:space="preserve">.  For example, when recording the receipt of a transfer, this value identifies the agency that has transferred authority to a </w:t>
            </w:r>
            <w:proofErr w:type="spellStart"/>
            <w:r w:rsidRPr="0049678A">
              <w:rPr>
                <w:rFonts w:ascii="Verdana" w:hAnsi="Verdana"/>
                <w:color w:val="000000"/>
                <w:sz w:val="20"/>
                <w:szCs w:val="20"/>
              </w:rPr>
              <w:t>DoD</w:t>
            </w:r>
            <w:proofErr w:type="spellEnd"/>
            <w:r w:rsidRPr="0049678A">
              <w:rPr>
                <w:rFonts w:ascii="Verdana" w:hAnsi="Verdana"/>
                <w:color w:val="000000"/>
                <w:sz w:val="20"/>
                <w:szCs w:val="20"/>
              </w:rPr>
              <w:t xml:space="preserve"> component. Used in conjunction with the Direct Transfer Account and Transfer To From.</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Examples of Transferring Agency Codes:</w:t>
            </w:r>
          </w:p>
          <w:p w:rsidR="00A10CDF" w:rsidRPr="0049678A" w:rsidRDefault="00A10CDF" w:rsidP="004F7F27">
            <w:pPr>
              <w:pStyle w:val="NoSpacing"/>
              <w:rPr>
                <w:rFonts w:ascii="Verdana" w:hAnsi="Verdana"/>
                <w:sz w:val="20"/>
                <w:szCs w:val="20"/>
              </w:rPr>
            </w:pPr>
            <w:r w:rsidRPr="0049678A">
              <w:rPr>
                <w:rFonts w:ascii="Verdana" w:hAnsi="Verdana"/>
                <w:sz w:val="20"/>
                <w:szCs w:val="20"/>
              </w:rPr>
              <w:t>017-Navy</w:t>
            </w:r>
          </w:p>
          <w:p w:rsidR="00A10CDF" w:rsidRPr="0049678A" w:rsidRDefault="00A10CDF" w:rsidP="004F7F27">
            <w:pPr>
              <w:pStyle w:val="NoSpacing"/>
              <w:rPr>
                <w:rFonts w:ascii="Verdana" w:hAnsi="Verdana"/>
                <w:sz w:val="20"/>
                <w:szCs w:val="20"/>
              </w:rPr>
            </w:pPr>
            <w:r w:rsidRPr="0049678A">
              <w:rPr>
                <w:rFonts w:ascii="Verdana" w:hAnsi="Verdana"/>
                <w:sz w:val="20"/>
                <w:szCs w:val="20"/>
              </w:rPr>
              <w:t>021-Army</w:t>
            </w:r>
          </w:p>
          <w:p w:rsidR="00A10CDF" w:rsidRPr="0049678A" w:rsidRDefault="00A10CDF" w:rsidP="004F7F27">
            <w:pPr>
              <w:pStyle w:val="NoSpacing"/>
              <w:rPr>
                <w:rFonts w:ascii="Verdana" w:hAnsi="Verdana"/>
                <w:sz w:val="20"/>
                <w:szCs w:val="20"/>
              </w:rPr>
            </w:pPr>
            <w:r w:rsidRPr="0049678A">
              <w:rPr>
                <w:rFonts w:ascii="Verdana" w:hAnsi="Verdana"/>
                <w:sz w:val="20"/>
                <w:szCs w:val="20"/>
              </w:rPr>
              <w:t>072-USAID</w:t>
            </w:r>
          </w:p>
          <w:p w:rsidR="00A10CDF" w:rsidRPr="0049678A" w:rsidRDefault="00A10CDF" w:rsidP="004F7F27">
            <w:pPr>
              <w:pStyle w:val="NoSpacing"/>
              <w:rPr>
                <w:rFonts w:ascii="Verdana" w:hAnsi="Verdana"/>
                <w:sz w:val="20"/>
                <w:szCs w:val="20"/>
              </w:rPr>
            </w:pPr>
            <w:r w:rsidRPr="0049678A">
              <w:rPr>
                <w:rFonts w:ascii="Verdana" w:hAnsi="Verdana"/>
                <w:sz w:val="20"/>
                <w:szCs w:val="20"/>
              </w:rPr>
              <w:t>019-Department of State</w:t>
            </w:r>
          </w:p>
          <w:p w:rsidR="00A10CDF" w:rsidRPr="0049678A" w:rsidRDefault="00A10CDF" w:rsidP="004F7F27">
            <w:pPr>
              <w:pStyle w:val="NoSpacing"/>
              <w:rPr>
                <w:rFonts w:ascii="Verdana" w:hAnsi="Verdana"/>
                <w:sz w:val="20"/>
                <w:szCs w:val="20"/>
              </w:rPr>
            </w:pPr>
            <w:r w:rsidRPr="0049678A">
              <w:rPr>
                <w:rFonts w:ascii="Verdana" w:hAnsi="Verdana"/>
                <w:sz w:val="20"/>
                <w:szCs w:val="20"/>
              </w:rPr>
              <w:t>089-Department of Energy</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80" w:name="_Toc290534832"/>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80"/>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A20</w:t>
            </w:r>
          </w:p>
        </w:tc>
        <w:tc>
          <w:tcPr>
            <w:tcW w:w="8649" w:type="dxa"/>
            <w:shd w:val="clear" w:color="auto" w:fill="auto"/>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Direct Transfer Agency Code must be posted in conjunction with Direct Transfer Account Code.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A20</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Direct Transfer Agency Code must be 3 numeric characters.  ex. 097 (Note:  Programs may use the two character code and derive the three character version - with a leading zero - at time of reporting if the software system in use has not yet been updated).</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Authoritative source:  http://fms.treas.gov/fastbook/</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A20</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Direct Transfer Agency Code must be used for accounting classification, general ledger posting, financial reporting, and budgetary control.  </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A20</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maintain Direct Transfer Agency Code values.</w:t>
            </w:r>
          </w:p>
        </w:tc>
      </w:tr>
    </w:tbl>
    <w:p w:rsidR="00A10CDF" w:rsidRPr="0049678A" w:rsidRDefault="00A10CDF" w:rsidP="00A10CDF">
      <w:pPr>
        <w:pStyle w:val="Heading2"/>
        <w:rPr>
          <w:rFonts w:ascii="Verdana" w:hAnsi="Verdana"/>
          <w:sz w:val="20"/>
          <w:szCs w:val="20"/>
        </w:rPr>
      </w:pPr>
      <w:bookmarkStart w:id="81" w:name="_Toc290534833"/>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81"/>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82" w:name="_Toc290534834"/>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82"/>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8"/>
        <w:gridCol w:w="2047"/>
        <w:gridCol w:w="1823"/>
        <w:gridCol w:w="2988"/>
      </w:tblGrid>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85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FACT I &amp; II Derivation of Attributes</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IUSFGFDERIVE</w:t>
            </w:r>
          </w:p>
        </w:tc>
        <w:tc>
          <w:tcPr>
            <w:tcW w:w="1823"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988"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Direct Transfer Agency Code</w:t>
            </w:r>
          </w:p>
        </w:tc>
      </w:tr>
      <w:tr w:rsidR="00A10CDF" w:rsidRPr="0049678A" w:rsidTr="004F7F27">
        <w:trPr>
          <w:trHeight w:val="242"/>
        </w:trPr>
        <w:tc>
          <w:tcPr>
            <w:tcW w:w="2358" w:type="dxa"/>
            <w:shd w:val="clear" w:color="auto" w:fill="EEECE1"/>
          </w:tcPr>
          <w:p w:rsidR="00A10CDF" w:rsidRPr="0049678A" w:rsidRDefault="00A10CDF" w:rsidP="004F7F27">
            <w:pPr>
              <w:spacing w:after="0" w:line="240" w:lineRule="auto"/>
              <w:jc w:val="center"/>
              <w:rPr>
                <w:rFonts w:ascii="Verdana" w:hAnsi="Verdana"/>
                <w:bCs/>
                <w:sz w:val="20"/>
                <w:szCs w:val="20"/>
              </w:rPr>
            </w:pPr>
            <w:r w:rsidRPr="0049678A">
              <w:rPr>
                <w:rFonts w:ascii="Verdana" w:hAnsi="Verdana"/>
                <w:bCs/>
                <w:sz w:val="20"/>
                <w:szCs w:val="20"/>
              </w:rPr>
              <w:t>Related Transactions:</w:t>
            </w:r>
          </w:p>
        </w:tc>
        <w:tc>
          <w:tcPr>
            <w:tcW w:w="6858" w:type="dxa"/>
            <w:gridSpan w:val="3"/>
          </w:tcPr>
          <w:p w:rsidR="00A10CDF" w:rsidRPr="0049678A" w:rsidRDefault="00A10CDF" w:rsidP="004F7F27">
            <w:pPr>
              <w:spacing w:after="0" w:line="240" w:lineRule="auto"/>
              <w:rPr>
                <w:rFonts w:ascii="Verdana" w:hAnsi="Verdana"/>
                <w:b/>
                <w:bCs/>
                <w:sz w:val="20"/>
                <w:szCs w:val="20"/>
                <w:u w:val="single"/>
              </w:rPr>
            </w:pPr>
            <w:r w:rsidRPr="0049678A">
              <w:rPr>
                <w:rFonts w:ascii="Verdana" w:hAnsi="Verdana"/>
                <w:sz w:val="20"/>
                <w:szCs w:val="20"/>
              </w:rPr>
              <w:t>None</w:t>
            </w:r>
          </w:p>
        </w:tc>
      </w:tr>
    </w:tbl>
    <w:p w:rsidR="00A10CDF" w:rsidRPr="0049678A" w:rsidRDefault="00A10CDF" w:rsidP="00A10CDF">
      <w:pPr>
        <w:pStyle w:val="Heading2"/>
        <w:rPr>
          <w:rFonts w:ascii="Verdana" w:hAnsi="Verdana"/>
          <w:sz w:val="20"/>
          <w:szCs w:val="20"/>
        </w:rPr>
      </w:pPr>
      <w:bookmarkStart w:id="83" w:name="_Toc290534835"/>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lastRenderedPageBreak/>
        <w:t xml:space="preserve">Screenshot:  </w:t>
      </w:r>
      <w:r w:rsidRPr="0049678A">
        <w:rPr>
          <w:rFonts w:ascii="Verdana" w:hAnsi="Verdana"/>
          <w:color w:val="auto"/>
          <w:sz w:val="20"/>
          <w:szCs w:val="20"/>
        </w:rPr>
        <w:t>Location of “Direct Transfer Agency Code” Field on FACT I &amp; II Derivation of Attributes</w:t>
      </w:r>
      <w:bookmarkEnd w:id="83"/>
      <w:r w:rsidRPr="0049678A">
        <w:rPr>
          <w:rFonts w:ascii="Verdana" w:hAnsi="Verdana"/>
          <w:color w:val="auto"/>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spacing w:line="240" w:lineRule="auto"/>
        <w:rPr>
          <w:rFonts w:ascii="Verdana" w:hAnsi="Verdana"/>
          <w:noProof/>
          <w:sz w:val="20"/>
          <w:szCs w:val="20"/>
        </w:rPr>
      </w:pPr>
      <w:r w:rsidRPr="0049678A">
        <w:rPr>
          <w:rFonts w:ascii="Verdana" w:hAnsi="Verdana"/>
          <w:noProof/>
          <w:sz w:val="20"/>
          <w:szCs w:val="20"/>
        </w:rPr>
        <w:drawing>
          <wp:inline distT="0" distB="0" distL="0" distR="0">
            <wp:extent cx="5943600" cy="1714500"/>
            <wp:effectExtent l="0" t="0" r="0" b="0"/>
            <wp:docPr id="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714500"/>
                    </a:xfrm>
                    <a:prstGeom prst="rect">
                      <a:avLst/>
                    </a:prstGeom>
                    <a:noFill/>
                    <a:ln>
                      <a:noFill/>
                    </a:ln>
                  </pic:spPr>
                </pic:pic>
              </a:graphicData>
            </a:graphic>
          </wp:inline>
        </w:drawing>
      </w:r>
    </w:p>
    <w:p w:rsidR="00A10CDF" w:rsidRPr="0049678A" w:rsidRDefault="00402381" w:rsidP="00A10CDF">
      <w:pPr>
        <w:spacing w:line="240" w:lineRule="auto"/>
        <w:rPr>
          <w:rFonts w:ascii="Verdana" w:hAnsi="Verdana"/>
          <w:noProof/>
          <w:sz w:val="20"/>
          <w:szCs w:val="20"/>
        </w:rPr>
      </w:pPr>
      <w:r>
        <w:rPr>
          <w:rFonts w:ascii="Verdana" w:hAnsi="Verdana"/>
          <w:noProof/>
          <w:sz w:val="20"/>
          <w:szCs w:val="20"/>
        </w:rPr>
        <w:pict>
          <v:oval id="Oval 51" o:spid="_x0000_s1043" style="position:absolute;margin-left:125.6pt;margin-top:69.35pt;width:229.4pt;height:49.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" strokecolor="red" strokeweight="1.5pt">
            <v:fill opacity="4626f"/>
          </v:oval>
        </w:pict>
      </w:r>
      <w:r w:rsidR="00A10CDF" w:rsidRPr="0049678A">
        <w:rPr>
          <w:rFonts w:ascii="Verdana" w:hAnsi="Verdana"/>
          <w:noProof/>
          <w:sz w:val="20"/>
          <w:szCs w:val="20"/>
        </w:rPr>
        <w:drawing>
          <wp:inline distT="0" distB="0" distL="0" distR="0">
            <wp:extent cx="5943600" cy="15449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5943600" cy="1544955"/>
                    </a:xfrm>
                    <a:prstGeom prst="rect">
                      <a:avLst/>
                    </a:prstGeom>
                  </pic:spPr>
                </pic:pic>
              </a:graphicData>
            </a:graphic>
          </wp:inline>
        </w:drawing>
      </w:r>
    </w:p>
    <w:p w:rsidR="00A10CDF" w:rsidRPr="0049678A" w:rsidRDefault="00A10CDF" w:rsidP="00A10CDF">
      <w:pPr>
        <w:pStyle w:val="Heading3"/>
        <w:spacing w:line="240" w:lineRule="auto"/>
        <w:rPr>
          <w:rFonts w:ascii="Verdana" w:hAnsi="Verdana"/>
          <w:color w:val="002060"/>
          <w:sz w:val="20"/>
          <w:szCs w:val="20"/>
        </w:rPr>
      </w:pPr>
    </w:p>
    <w:p w:rsidR="00A10CDF" w:rsidRPr="0049678A" w:rsidRDefault="00A10CDF" w:rsidP="00A10CDF">
      <w:pPr>
        <w:spacing w:after="0" w:line="240" w:lineRule="auto"/>
        <w:rPr>
          <w:rFonts w:ascii="Verdana" w:hAnsi="Verdana"/>
          <w:spacing w:val="5"/>
          <w:sz w:val="20"/>
          <w:szCs w:val="20"/>
        </w:rPr>
      </w:pPr>
      <w:bookmarkStart w:id="84" w:name="_Toc290534836"/>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85" w:name="_Toc293321428"/>
      <w:r w:rsidRPr="0049678A">
        <w:rPr>
          <w:rFonts w:ascii="Verdana" w:hAnsi="Verdana"/>
          <w:sz w:val="20"/>
          <w:szCs w:val="20"/>
        </w:rPr>
        <w:lastRenderedPageBreak/>
        <w:t>A21 - Direct Transfer Account Code</w:t>
      </w:r>
      <w:bookmarkEnd w:id="84"/>
      <w:bookmarkEnd w:id="85"/>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A21 - Direct Transfer Account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4</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 xml:space="preserve">The Direct Transfer Account identifies the Main Account of the Federal entity transferring-in budget authority transfer transactions to </w:t>
            </w:r>
            <w:proofErr w:type="spellStart"/>
            <w:r w:rsidRPr="0049678A">
              <w:rPr>
                <w:rFonts w:ascii="Verdana" w:hAnsi="Verdana"/>
                <w:color w:val="000000"/>
                <w:sz w:val="20"/>
                <w:szCs w:val="20"/>
              </w:rPr>
              <w:t>DoD</w:t>
            </w:r>
            <w:proofErr w:type="spellEnd"/>
            <w:r w:rsidRPr="0049678A">
              <w:rPr>
                <w:rFonts w:ascii="Verdana" w:hAnsi="Verdana"/>
                <w:color w:val="000000"/>
                <w:sz w:val="20"/>
                <w:szCs w:val="20"/>
              </w:rPr>
              <w:t xml:space="preserve">.  For example, when a </w:t>
            </w:r>
            <w:proofErr w:type="spellStart"/>
            <w:r w:rsidRPr="0049678A">
              <w:rPr>
                <w:rFonts w:ascii="Verdana" w:hAnsi="Verdana"/>
                <w:color w:val="000000"/>
                <w:sz w:val="20"/>
                <w:szCs w:val="20"/>
              </w:rPr>
              <w:t>DoD</w:t>
            </w:r>
            <w:proofErr w:type="spellEnd"/>
            <w:r w:rsidRPr="0049678A">
              <w:rPr>
                <w:rFonts w:ascii="Verdana" w:hAnsi="Verdana"/>
                <w:color w:val="000000"/>
                <w:sz w:val="20"/>
                <w:szCs w:val="20"/>
              </w:rPr>
              <w:t xml:space="preserve"> component records receipt of a budget authority transfer, this value identifies the 'transferred from' main fund account of the transferring agency.</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Examples of Direct Transfer Accounts:</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Transfer Account  </w:t>
            </w:r>
          </w:p>
          <w:p w:rsidR="00A10CDF" w:rsidRPr="0049678A" w:rsidRDefault="00A10CDF" w:rsidP="004F7F27">
            <w:pPr>
              <w:pStyle w:val="NoSpacing"/>
              <w:rPr>
                <w:rFonts w:ascii="Verdana" w:hAnsi="Verdana"/>
                <w:sz w:val="20"/>
                <w:szCs w:val="20"/>
              </w:rPr>
            </w:pPr>
            <w:r w:rsidRPr="0049678A">
              <w:rPr>
                <w:rFonts w:ascii="Verdana" w:hAnsi="Verdana"/>
                <w:sz w:val="20"/>
                <w:szCs w:val="20"/>
              </w:rPr>
              <w:t>0130 - Defense Health Program, Defense</w:t>
            </w:r>
          </w:p>
          <w:p w:rsidR="00A10CDF" w:rsidRPr="0049678A" w:rsidRDefault="00A10CDF" w:rsidP="004F7F27">
            <w:pPr>
              <w:pStyle w:val="NoSpacing"/>
              <w:rPr>
                <w:rFonts w:ascii="Verdana" w:hAnsi="Verdana"/>
                <w:sz w:val="20"/>
                <w:szCs w:val="20"/>
              </w:rPr>
            </w:pPr>
            <w:r w:rsidRPr="0049678A">
              <w:rPr>
                <w:rFonts w:ascii="Verdana" w:hAnsi="Verdana"/>
                <w:sz w:val="20"/>
                <w:szCs w:val="20"/>
              </w:rPr>
              <w:t>0760 - Family Housing, Defense-Wide</w:t>
            </w:r>
          </w:p>
          <w:p w:rsidR="00A10CDF" w:rsidRPr="0049678A" w:rsidRDefault="00A10CDF" w:rsidP="004F7F27">
            <w:pPr>
              <w:pStyle w:val="NoSpacing"/>
              <w:rPr>
                <w:rFonts w:ascii="Verdana" w:hAnsi="Verdana"/>
                <w:sz w:val="20"/>
                <w:szCs w:val="20"/>
              </w:rPr>
            </w:pPr>
            <w:r w:rsidRPr="0049678A">
              <w:rPr>
                <w:rFonts w:ascii="Verdana" w:hAnsi="Verdana"/>
                <w:sz w:val="20"/>
                <w:szCs w:val="20"/>
              </w:rPr>
              <w:t>1105 - Military Personnel, Marines</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cs="Arial"/>
                <w:color w:val="000000"/>
                <w:sz w:val="20"/>
                <w:szCs w:val="20"/>
              </w:rPr>
              <w:t xml:space="preserve">The Direct Transfer Account identifies the Main Account of the Federal entity transferring-in budget authority transfer transactions to </w:t>
            </w:r>
            <w:proofErr w:type="spellStart"/>
            <w:r w:rsidRPr="0049678A">
              <w:rPr>
                <w:rFonts w:ascii="Verdana" w:hAnsi="Verdana" w:cs="Arial"/>
                <w:color w:val="000000"/>
                <w:sz w:val="20"/>
                <w:szCs w:val="20"/>
              </w:rPr>
              <w:t>DoD</w:t>
            </w:r>
            <w:proofErr w:type="spellEnd"/>
            <w:r w:rsidRPr="0049678A">
              <w:rPr>
                <w:rFonts w:ascii="Verdana" w:hAnsi="Verdana" w:cs="Arial"/>
                <w:color w:val="000000"/>
                <w:sz w:val="20"/>
                <w:szCs w:val="20"/>
              </w:rPr>
              <w:t xml:space="preserve">.  For example, when a </w:t>
            </w:r>
            <w:proofErr w:type="spellStart"/>
            <w:r w:rsidRPr="0049678A">
              <w:rPr>
                <w:rFonts w:ascii="Verdana" w:hAnsi="Verdana" w:cs="Arial"/>
                <w:color w:val="000000"/>
                <w:sz w:val="20"/>
                <w:szCs w:val="20"/>
              </w:rPr>
              <w:t>DoD</w:t>
            </w:r>
            <w:proofErr w:type="spellEnd"/>
            <w:r w:rsidRPr="0049678A">
              <w:rPr>
                <w:rFonts w:ascii="Verdana" w:hAnsi="Verdana" w:cs="Arial"/>
                <w:color w:val="000000"/>
                <w:sz w:val="20"/>
                <w:szCs w:val="20"/>
              </w:rPr>
              <w:t xml:space="preserve"> component records receipt of a budget authority transfer, this value identifies the 'transferred from' main fund account of the transferring agency.</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86" w:name="_Toc290534837"/>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86"/>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A21</w:t>
            </w:r>
          </w:p>
        </w:tc>
        <w:tc>
          <w:tcPr>
            <w:tcW w:w="8649" w:type="dxa"/>
            <w:shd w:val="clear" w:color="auto" w:fill="auto"/>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Direct Transfer Account Code must be posted in conjunction with Direct Transfer Agency.</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A21</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Direct Transfer Account Code must be 4 numeric characters.  ex. 0130</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Authoritative source:  http://fms.treas.gov/fastbook/</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A21</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Direct Transfer Account Code must be used for accounting classification, general ledger posting, financial reporting, and budgetary control.  </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A21</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maintain Direct Transfer Account Code values.</w:t>
            </w:r>
          </w:p>
        </w:tc>
      </w:tr>
    </w:tbl>
    <w:p w:rsidR="00A10CDF" w:rsidRPr="0049678A" w:rsidRDefault="00A10CDF" w:rsidP="00A10CDF">
      <w:pPr>
        <w:pStyle w:val="Heading2"/>
        <w:rPr>
          <w:rFonts w:ascii="Verdana" w:hAnsi="Verdana"/>
          <w:sz w:val="20"/>
          <w:szCs w:val="20"/>
        </w:rPr>
      </w:pPr>
      <w:bookmarkStart w:id="87" w:name="_Toc290534838"/>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87"/>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88" w:name="_Toc290534839"/>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88"/>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8"/>
        <w:gridCol w:w="2047"/>
        <w:gridCol w:w="1913"/>
        <w:gridCol w:w="2898"/>
      </w:tblGrid>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85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4F7F27">
        <w:tc>
          <w:tcPr>
            <w:tcW w:w="235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85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FACT I &amp; II Derivation of Attributes</w:t>
            </w:r>
          </w:p>
        </w:tc>
      </w:tr>
      <w:tr w:rsidR="00A10CDF" w:rsidRPr="0049678A" w:rsidTr="004F7F27">
        <w:tc>
          <w:tcPr>
            <w:tcW w:w="235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04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IUSFGFDERIVE</w:t>
            </w:r>
          </w:p>
        </w:tc>
        <w:tc>
          <w:tcPr>
            <w:tcW w:w="1913"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898"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Direct Transfer Account </w:t>
            </w:r>
          </w:p>
        </w:tc>
      </w:tr>
      <w:tr w:rsidR="00A10CDF" w:rsidRPr="0049678A" w:rsidTr="004F7F27">
        <w:trPr>
          <w:trHeight w:val="242"/>
        </w:trPr>
        <w:tc>
          <w:tcPr>
            <w:tcW w:w="2358" w:type="dxa"/>
            <w:shd w:val="clear" w:color="auto" w:fill="EEECE1"/>
          </w:tcPr>
          <w:p w:rsidR="00A10CDF" w:rsidRPr="0049678A" w:rsidRDefault="00A10CDF" w:rsidP="004F7F27">
            <w:pPr>
              <w:spacing w:after="0" w:line="240" w:lineRule="auto"/>
              <w:jc w:val="center"/>
              <w:rPr>
                <w:rFonts w:ascii="Verdana" w:hAnsi="Verdana"/>
                <w:bCs/>
                <w:sz w:val="20"/>
                <w:szCs w:val="20"/>
              </w:rPr>
            </w:pPr>
            <w:r w:rsidRPr="0049678A">
              <w:rPr>
                <w:rFonts w:ascii="Verdana" w:hAnsi="Verdana"/>
                <w:bCs/>
                <w:sz w:val="20"/>
                <w:szCs w:val="20"/>
              </w:rPr>
              <w:t>Related Transactions:</w:t>
            </w:r>
          </w:p>
        </w:tc>
        <w:tc>
          <w:tcPr>
            <w:tcW w:w="6858" w:type="dxa"/>
            <w:gridSpan w:val="3"/>
          </w:tcPr>
          <w:p w:rsidR="00A10CDF" w:rsidRPr="0049678A" w:rsidRDefault="00A10CDF" w:rsidP="004F7F27">
            <w:pPr>
              <w:spacing w:after="0" w:line="240" w:lineRule="auto"/>
              <w:rPr>
                <w:rFonts w:ascii="Verdana" w:hAnsi="Verdana"/>
                <w:b/>
                <w:bCs/>
                <w:sz w:val="20"/>
                <w:szCs w:val="20"/>
                <w:u w:val="single"/>
              </w:rPr>
            </w:pPr>
            <w:r w:rsidRPr="0049678A">
              <w:rPr>
                <w:rFonts w:ascii="Verdana" w:hAnsi="Verdana"/>
                <w:sz w:val="20"/>
                <w:szCs w:val="20"/>
              </w:rPr>
              <w:t>None</w:t>
            </w:r>
          </w:p>
        </w:tc>
      </w:tr>
    </w:tbl>
    <w:p w:rsidR="00A10CDF" w:rsidRPr="0049678A" w:rsidRDefault="00A10CDF" w:rsidP="00A10CDF">
      <w:pPr>
        <w:pStyle w:val="Heading2"/>
        <w:rPr>
          <w:rFonts w:ascii="Verdana" w:hAnsi="Verdana"/>
          <w:sz w:val="20"/>
          <w:szCs w:val="20"/>
        </w:rPr>
      </w:pPr>
      <w:bookmarkStart w:id="89" w:name="_Toc290534840"/>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“Direct Transfer Account Code” Field on FACT I &amp; II Derivation of Attributes</w:t>
      </w:r>
      <w:bookmarkEnd w:id="89"/>
      <w:r w:rsidRPr="0049678A">
        <w:rPr>
          <w:rFonts w:ascii="Verdana" w:hAnsi="Verdana"/>
          <w:color w:val="auto"/>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spacing w:line="240" w:lineRule="auto"/>
        <w:rPr>
          <w:rFonts w:ascii="Verdana" w:hAnsi="Verdana"/>
          <w:noProof/>
          <w:sz w:val="20"/>
          <w:szCs w:val="20"/>
        </w:rPr>
      </w:pPr>
      <w:r w:rsidRPr="0049678A">
        <w:rPr>
          <w:rFonts w:ascii="Verdana" w:hAnsi="Verdana"/>
          <w:noProof/>
          <w:sz w:val="20"/>
          <w:szCs w:val="20"/>
        </w:rPr>
        <w:lastRenderedPageBreak/>
        <w:drawing>
          <wp:inline distT="0" distB="0" distL="0" distR="0">
            <wp:extent cx="5943600" cy="1914525"/>
            <wp:effectExtent l="0" t="0" r="0" b="9525"/>
            <wp:docPr id="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914525"/>
                    </a:xfrm>
                    <a:prstGeom prst="rect">
                      <a:avLst/>
                    </a:prstGeom>
                    <a:noFill/>
                    <a:ln>
                      <a:noFill/>
                    </a:ln>
                  </pic:spPr>
                </pic:pic>
              </a:graphicData>
            </a:graphic>
          </wp:inline>
        </w:drawing>
      </w:r>
    </w:p>
    <w:p w:rsidR="00A10CDF" w:rsidRPr="0049678A" w:rsidRDefault="00A10CDF" w:rsidP="00A10CDF">
      <w:pPr>
        <w:spacing w:line="240" w:lineRule="auto"/>
        <w:rPr>
          <w:rFonts w:ascii="Verdana" w:hAnsi="Verdana"/>
          <w:noProof/>
          <w:sz w:val="20"/>
          <w:szCs w:val="20"/>
        </w:rPr>
      </w:pPr>
    </w:p>
    <w:p w:rsidR="00A10CDF" w:rsidRPr="0049678A" w:rsidRDefault="00402381" w:rsidP="00A10CDF">
      <w:pPr>
        <w:spacing w:line="240" w:lineRule="auto"/>
        <w:rPr>
          <w:rFonts w:ascii="Verdana" w:hAnsi="Verdana"/>
          <w:noProof/>
          <w:sz w:val="20"/>
          <w:szCs w:val="20"/>
        </w:rPr>
      </w:pPr>
      <w:r>
        <w:rPr>
          <w:rFonts w:ascii="Verdana" w:hAnsi="Verdana"/>
          <w:noProof/>
          <w:sz w:val="20"/>
          <w:szCs w:val="20"/>
        </w:rPr>
        <w:pict>
          <v:oval id="Oval 118" o:spid="_x0000_s1061" style="position:absolute;margin-left:12.55pt;margin-top:57.1pt;width:375.75pt;height:54.4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" strokecolor="red" strokeweight="1.5pt">
            <v:fill opacity="4626f"/>
          </v:oval>
        </w:pict>
      </w:r>
      <w:r w:rsidR="00A10CDF" w:rsidRPr="0049678A">
        <w:rPr>
          <w:rFonts w:ascii="Verdana" w:hAnsi="Verdana"/>
          <w:noProof/>
          <w:sz w:val="20"/>
          <w:szCs w:val="20"/>
        </w:rPr>
        <w:drawing>
          <wp:inline distT="0" distB="0" distL="0" distR="0">
            <wp:extent cx="6315740" cy="1520456"/>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6329672" cy="1523810"/>
                    </a:xfrm>
                    <a:prstGeom prst="rect">
                      <a:avLst/>
                    </a:prstGeom>
                  </pic:spPr>
                </pic:pic>
              </a:graphicData>
            </a:graphic>
          </wp:inline>
        </w:drawing>
      </w: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line="240" w:lineRule="auto"/>
        <w:rPr>
          <w:rFonts w:ascii="Verdana" w:hAnsi="Verdana"/>
          <w:sz w:val="20"/>
          <w:szCs w:val="20"/>
        </w:rPr>
      </w:pPr>
    </w:p>
    <w:p w:rsidR="00A10CDF" w:rsidRPr="0049678A" w:rsidRDefault="00A10CDF" w:rsidP="00A10CDF">
      <w:pPr>
        <w:pStyle w:val="Heading1"/>
        <w:rPr>
          <w:rFonts w:ascii="Verdana" w:hAnsi="Verdana"/>
          <w:sz w:val="20"/>
          <w:szCs w:val="20"/>
        </w:rPr>
      </w:pPr>
      <w:r w:rsidRPr="0049678A">
        <w:rPr>
          <w:rFonts w:ascii="Verdana" w:hAnsi="Verdana"/>
          <w:sz w:val="20"/>
          <w:szCs w:val="20"/>
        </w:rPr>
        <w:br w:type="page"/>
      </w:r>
      <w:bookmarkStart w:id="90" w:name="_Toc293321429"/>
      <w:r w:rsidRPr="0049678A">
        <w:rPr>
          <w:rFonts w:ascii="Verdana" w:hAnsi="Verdana"/>
          <w:sz w:val="20"/>
          <w:szCs w:val="20"/>
        </w:rPr>
        <w:lastRenderedPageBreak/>
        <w:t>A24 - Availability Type Code</w:t>
      </w:r>
      <w:bookmarkEnd w:id="90"/>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A24 - Availability Type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 xml:space="preserve">The Availability Type value indicates whether budget authority is available for new obligations for a single specified year, multiple specified years, or for an indefinite period of years.  This value is based on the Period of Availability (reference Item A8).   </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budget authority is available for new obligations for one year then the Availability Type Flag will be "A" for Annual Appropriation.</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91" w:name="_Toc290534841"/>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91"/>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A24</w:t>
            </w:r>
          </w:p>
        </w:tc>
        <w:tc>
          <w:tcPr>
            <w:tcW w:w="8649" w:type="dxa"/>
            <w:tcBorders>
              <w:bottom w:val="single" w:sz="4" w:space="0" w:color="auto"/>
            </w:tcBorders>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the Beginning Period of Availability is equal to the Ending Period of Availability, then Availability Type Code value must be “A”.</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A24</w:t>
            </w:r>
          </w:p>
        </w:tc>
        <w:tc>
          <w:tcPr>
            <w:tcW w:w="8649" w:type="dxa"/>
            <w:shd w:val="clear" w:color="auto" w:fill="auto"/>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the Ending Period of Availability is greater than the Beginning Period of Availability and is not “XXXX”, then Availability Type Code value must be “M”.</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A24</w:t>
            </w:r>
          </w:p>
        </w:tc>
        <w:tc>
          <w:tcPr>
            <w:tcW w:w="8649" w:type="dxa"/>
            <w:shd w:val="clear" w:color="auto" w:fill="auto"/>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the Ending Period of Availability value is “XXXX”, then Availability Type Code value must be “X”.</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A24</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Availability Type Code must be 1 alpha character, for example “A”.</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Data values:  A - Annual  </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M - Multi-year  </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X - No year</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A24</w:t>
            </w:r>
          </w:p>
        </w:tc>
        <w:tc>
          <w:tcPr>
            <w:tcW w:w="8649" w:type="dxa"/>
            <w:tcBorders>
              <w:bottom w:val="single" w:sz="4" w:space="0" w:color="auto"/>
            </w:tcBorders>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Availability Type Code must be used for financial reporting and budgetary control.   </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A24</w:t>
            </w:r>
          </w:p>
        </w:tc>
        <w:tc>
          <w:tcPr>
            <w:tcW w:w="8649" w:type="dxa"/>
            <w:shd w:val="clear" w:color="auto" w:fill="auto"/>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Derivation of the Availability Type Code based on the type of appropriation and the Beginning Period of Availability and Ending Period of Availability associated with the Main Account Code in the accounting system is an acceptable practice.</w:t>
            </w:r>
          </w:p>
        </w:tc>
      </w:tr>
    </w:tbl>
    <w:p w:rsidR="00A10CDF" w:rsidRPr="0049678A" w:rsidRDefault="00A10CDF" w:rsidP="00A10CDF">
      <w:pPr>
        <w:pStyle w:val="Heading2"/>
        <w:rPr>
          <w:rFonts w:ascii="Verdana" w:hAnsi="Verdana"/>
          <w:sz w:val="20"/>
          <w:szCs w:val="20"/>
        </w:rPr>
      </w:pPr>
      <w:bookmarkStart w:id="92" w:name="_Toc290534842"/>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92"/>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93" w:name="_Toc290534843"/>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93"/>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732"/>
        <w:gridCol w:w="2448"/>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w:t>
            </w:r>
            <w:r w:rsidRPr="0049678A">
              <w:rPr>
                <w:rFonts w:ascii="Verdana" w:hAnsi="Verdana"/>
                <w:color w:val="000000"/>
                <w:sz w:val="20"/>
                <w:szCs w:val="20"/>
              </w:rPr>
              <w:t>Public Sector Management-Funds Management- Master Data -Account Assignment Elements –Fund 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FM5S</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Display Fund</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p>
        </w:tc>
        <w:tc>
          <w:tcPr>
            <w:tcW w:w="1732"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448"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Availability Type Code</w:t>
            </w:r>
          </w:p>
        </w:tc>
      </w:tr>
      <w:tr w:rsidR="00A10CDF" w:rsidRPr="0049678A" w:rsidTr="004F7F27">
        <w:trPr>
          <w:trHeight w:val="242"/>
        </w:trPr>
        <w:tc>
          <w:tcPr>
            <w:tcW w:w="2268" w:type="dxa"/>
            <w:shd w:val="clear" w:color="auto" w:fill="EEECE1"/>
          </w:tcPr>
          <w:p w:rsidR="00A10CDF" w:rsidRPr="0049678A" w:rsidRDefault="00A10CDF" w:rsidP="004F7F27">
            <w:pPr>
              <w:spacing w:after="0" w:line="240" w:lineRule="auto"/>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
                <w:bCs/>
                <w:sz w:val="20"/>
                <w:szCs w:val="20"/>
                <w:u w:val="single"/>
              </w:rPr>
            </w:pPr>
            <w:r w:rsidRPr="0049678A">
              <w:rPr>
                <w:rFonts w:ascii="Verdana" w:hAnsi="Verdana"/>
                <w:sz w:val="20"/>
                <w:szCs w:val="20"/>
              </w:rPr>
              <w:t xml:space="preserve">FM5I, FM5U </w:t>
            </w:r>
          </w:p>
        </w:tc>
      </w:tr>
    </w:tbl>
    <w:p w:rsidR="00A10CDF" w:rsidRPr="0049678A" w:rsidRDefault="00A10CDF" w:rsidP="00A10CDF">
      <w:pPr>
        <w:pStyle w:val="Heading2"/>
        <w:rPr>
          <w:rFonts w:ascii="Verdana" w:hAnsi="Verdana"/>
          <w:sz w:val="20"/>
          <w:szCs w:val="20"/>
        </w:rPr>
      </w:pPr>
      <w:bookmarkStart w:id="94" w:name="_Toc290534844"/>
    </w:p>
    <w:p w:rsidR="00A10CDF" w:rsidRPr="0049678A" w:rsidRDefault="00A10CDF" w:rsidP="00A10CDF">
      <w:pPr>
        <w:pStyle w:val="Heading2"/>
        <w:rPr>
          <w:rFonts w:ascii="Verdana" w:hAnsi="Verdana"/>
          <w:i/>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 xml:space="preserve">Location of “Availability Type Code” </w:t>
      </w:r>
      <w:bookmarkEnd w:id="94"/>
      <w:r w:rsidRPr="0049678A">
        <w:rPr>
          <w:rStyle w:val="Heading3Char"/>
          <w:rFonts w:ascii="Verdana" w:hAnsi="Verdana"/>
          <w:iCs w:val="0"/>
          <w:smallCaps w:val="0"/>
          <w:color w:val="auto"/>
          <w:spacing w:val="0"/>
          <w:sz w:val="20"/>
          <w:szCs w:val="20"/>
        </w:rPr>
        <w:t>Field on Display Characteristics</w:t>
      </w:r>
      <w:r w:rsidRPr="0049678A">
        <w:rPr>
          <w:rFonts w:ascii="Verdana" w:hAnsi="Verdana"/>
          <w:i/>
          <w:color w:val="auto"/>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spacing w:line="240" w:lineRule="auto"/>
        <w:rPr>
          <w:rFonts w:ascii="Verdana" w:hAnsi="Verdana"/>
          <w:noProof/>
          <w:sz w:val="20"/>
          <w:szCs w:val="20"/>
        </w:rPr>
      </w:pPr>
      <w:r w:rsidRPr="0049678A">
        <w:rPr>
          <w:rFonts w:ascii="Verdana" w:hAnsi="Verdana"/>
          <w:noProof/>
          <w:sz w:val="20"/>
          <w:szCs w:val="20"/>
        </w:rPr>
        <w:lastRenderedPageBreak/>
        <w:drawing>
          <wp:inline distT="0" distB="0" distL="0" distR="0">
            <wp:extent cx="5940485" cy="2753833"/>
            <wp:effectExtent l="0" t="0" r="3175"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5943600" cy="2755277"/>
                    </a:xfrm>
                    <a:prstGeom prst="rect">
                      <a:avLst/>
                    </a:prstGeom>
                  </pic:spPr>
                </pic:pic>
              </a:graphicData>
            </a:graphic>
          </wp:inline>
        </w:drawing>
      </w:r>
    </w:p>
    <w:p w:rsidR="00A10CDF" w:rsidRPr="0049678A" w:rsidRDefault="00402381" w:rsidP="00A10CDF">
      <w:pPr>
        <w:spacing w:line="240" w:lineRule="auto"/>
        <w:rPr>
          <w:rFonts w:ascii="Verdana" w:hAnsi="Verdana"/>
          <w:noProof/>
          <w:sz w:val="20"/>
          <w:szCs w:val="20"/>
        </w:rPr>
      </w:pPr>
      <w:r>
        <w:rPr>
          <w:rFonts w:ascii="Verdana" w:hAnsi="Verdana"/>
          <w:noProof/>
          <w:sz w:val="20"/>
          <w:szCs w:val="20"/>
        </w:rPr>
        <w:pict>
          <v:oval id="Oval 58" o:spid="_x0000_s1044" style="position:absolute;margin-left:0;margin-top:134pt;width:304.75pt;height:53.6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" strokecolor="red" strokeweight="1.5pt">
            <v:fill opacity="4626f"/>
          </v:oval>
        </w:pict>
      </w:r>
      <w:r w:rsidR="00A10CDF" w:rsidRPr="0049678A">
        <w:rPr>
          <w:rFonts w:ascii="Verdana" w:hAnsi="Verdana"/>
          <w:noProof/>
          <w:sz w:val="20"/>
          <w:szCs w:val="20"/>
        </w:rPr>
        <w:drawing>
          <wp:inline distT="0" distB="0" distL="0" distR="0">
            <wp:extent cx="5943600" cy="244221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5943600" cy="2442210"/>
                    </a:xfrm>
                    <a:prstGeom prst="rect">
                      <a:avLst/>
                    </a:prstGeom>
                  </pic:spPr>
                </pic:pic>
              </a:graphicData>
            </a:graphic>
          </wp:inline>
        </w:drawing>
      </w: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after="0" w:line="240" w:lineRule="auto"/>
        <w:rPr>
          <w:rFonts w:ascii="Verdana" w:hAnsi="Verdana"/>
          <w:spacing w:val="5"/>
          <w:sz w:val="20"/>
          <w:szCs w:val="20"/>
        </w:rPr>
      </w:pPr>
      <w:bookmarkStart w:id="95" w:name="_Toc290534845"/>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96" w:name="_Toc293321430"/>
      <w:r w:rsidRPr="0049678A">
        <w:rPr>
          <w:rFonts w:ascii="Verdana" w:hAnsi="Verdana"/>
          <w:sz w:val="20"/>
          <w:szCs w:val="20"/>
        </w:rPr>
        <w:lastRenderedPageBreak/>
        <w:t>A25 - Expiration Flag Indicator</w:t>
      </w:r>
      <w:bookmarkEnd w:id="95"/>
      <w:bookmarkEnd w:id="96"/>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A25 - Expiration Flag Indicator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The Expiration Flag indicates whether an appropriation will no longer be available for incurring new obligations as of September 30 of the reporting fiscal year.  For example, in Fiscal Year 2001, “Y” would indicate that either an annual, or multi-year TAFS will expire on September 30, 2001, or that a no-year TAFS will be closed and cancelled on September 30, 2001.</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an appropriation will not be available for incurring new obligations at the end of the current fiscal year then the Expiration Flag value will be "Y".</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97" w:name="_Toc290534846"/>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97"/>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A25</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an annual or multi-year funding source will expire on September 30 of the current fiscal year, the Expiration Flag Indicator value must be “Y”, else the value must be “N”.</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A25</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a no-year funding source will cancel on September 30 of the current fiscal year, then the Expiration Flag Indicator value must be “Y”, else the value must be “N”.</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A25</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Expiration Flag Indicator must be 1 alpha character, for example “Y”.</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Data values:  Y - Yes  </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N - No</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A25</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Expiration Flag Indicator must be used for financial reporting.</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A25</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Derivation of the Expiration Flag Indicator based on a comparison of the current reporting period date against the Period of Availability Fiscal Year Date in the accounting system is an acceptable practice.</w:t>
            </w:r>
          </w:p>
        </w:tc>
      </w:tr>
    </w:tbl>
    <w:p w:rsidR="00A10CDF" w:rsidRPr="0049678A" w:rsidRDefault="00A10CDF" w:rsidP="00A10CDF">
      <w:pPr>
        <w:pStyle w:val="Heading2"/>
        <w:rPr>
          <w:rFonts w:ascii="Verdana" w:hAnsi="Verdana"/>
          <w:sz w:val="20"/>
          <w:szCs w:val="20"/>
        </w:rPr>
      </w:pPr>
      <w:bookmarkStart w:id="98" w:name="_Toc290534847"/>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98"/>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99" w:name="_Toc290534848"/>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99"/>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552"/>
        <w:gridCol w:w="2628"/>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w:t>
            </w:r>
            <w:r w:rsidRPr="0049678A">
              <w:rPr>
                <w:rFonts w:ascii="Verdana" w:hAnsi="Verdana"/>
                <w:color w:val="000000"/>
                <w:sz w:val="20"/>
                <w:szCs w:val="20"/>
              </w:rPr>
              <w:t>Public Sector Management-Funds Management- Master Data -Account Assignment Elements –Fund 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FM5S</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Display Fund</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p>
        </w:tc>
        <w:tc>
          <w:tcPr>
            <w:tcW w:w="1552"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628"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Expiration Flag Indicator</w:t>
            </w:r>
          </w:p>
        </w:tc>
      </w:tr>
      <w:tr w:rsidR="00A10CDF" w:rsidRPr="0049678A" w:rsidTr="004F7F27">
        <w:trPr>
          <w:trHeight w:val="242"/>
        </w:trPr>
        <w:tc>
          <w:tcPr>
            <w:tcW w:w="2268" w:type="dxa"/>
            <w:shd w:val="clear" w:color="auto" w:fill="EEECE1"/>
          </w:tcPr>
          <w:p w:rsidR="00A10CDF" w:rsidRPr="0049678A" w:rsidRDefault="00A10CDF" w:rsidP="004F7F27">
            <w:pPr>
              <w:spacing w:after="0" w:line="240" w:lineRule="auto"/>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
                <w:bCs/>
                <w:sz w:val="20"/>
                <w:szCs w:val="20"/>
                <w:u w:val="single"/>
              </w:rPr>
            </w:pPr>
            <w:r w:rsidRPr="0049678A">
              <w:rPr>
                <w:rFonts w:ascii="Verdana" w:hAnsi="Verdana"/>
                <w:sz w:val="20"/>
                <w:szCs w:val="20"/>
              </w:rPr>
              <w:t xml:space="preserve">CT04 </w:t>
            </w:r>
          </w:p>
        </w:tc>
      </w:tr>
    </w:tbl>
    <w:p w:rsidR="00A10CDF" w:rsidRPr="0049678A" w:rsidRDefault="00A10CDF" w:rsidP="00A10CDF">
      <w:pPr>
        <w:pStyle w:val="Heading2"/>
        <w:rPr>
          <w:rFonts w:ascii="Verdana" w:hAnsi="Verdana"/>
          <w:sz w:val="20"/>
          <w:szCs w:val="20"/>
        </w:rPr>
      </w:pPr>
      <w:bookmarkStart w:id="100" w:name="_Toc290534849"/>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i/>
          <w:color w:val="auto"/>
          <w:sz w:val="20"/>
          <w:szCs w:val="20"/>
        </w:rPr>
      </w:pPr>
      <w:r w:rsidRPr="0049678A">
        <w:rPr>
          <w:rFonts w:ascii="Verdana" w:hAnsi="Verdana"/>
          <w:sz w:val="20"/>
          <w:szCs w:val="20"/>
        </w:rPr>
        <w:lastRenderedPageBreak/>
        <w:t xml:space="preserve">Screenshot:  </w:t>
      </w:r>
      <w:r w:rsidRPr="0049678A">
        <w:rPr>
          <w:rFonts w:ascii="Verdana" w:hAnsi="Verdana"/>
          <w:color w:val="auto"/>
          <w:sz w:val="20"/>
          <w:szCs w:val="20"/>
        </w:rPr>
        <w:t xml:space="preserve">Location of “Expiration Flag Indicator” </w:t>
      </w:r>
      <w:bookmarkEnd w:id="100"/>
      <w:r w:rsidRPr="0049678A">
        <w:rPr>
          <w:rStyle w:val="Heading3Char"/>
          <w:rFonts w:ascii="Verdana" w:hAnsi="Verdana"/>
          <w:iCs w:val="0"/>
          <w:smallCaps w:val="0"/>
          <w:color w:val="auto"/>
          <w:spacing w:val="0"/>
          <w:sz w:val="20"/>
          <w:szCs w:val="20"/>
        </w:rPr>
        <w:t>Field on Display Characteristics</w:t>
      </w:r>
      <w:r w:rsidRPr="0049678A">
        <w:rPr>
          <w:rFonts w:ascii="Verdana" w:hAnsi="Verdana"/>
          <w:i/>
          <w:color w:val="auto"/>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spacing w:line="240" w:lineRule="auto"/>
        <w:rPr>
          <w:rFonts w:ascii="Verdana" w:hAnsi="Verdana"/>
          <w:noProof/>
          <w:sz w:val="20"/>
          <w:szCs w:val="20"/>
        </w:rPr>
      </w:pPr>
      <w:r w:rsidRPr="0049678A">
        <w:rPr>
          <w:rFonts w:ascii="Verdana" w:hAnsi="Verdana"/>
          <w:noProof/>
          <w:sz w:val="20"/>
          <w:szCs w:val="20"/>
        </w:rPr>
        <w:drawing>
          <wp:inline distT="0" distB="0" distL="0" distR="0">
            <wp:extent cx="5942695" cy="3051544"/>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5943600" cy="3052009"/>
                    </a:xfrm>
                    <a:prstGeom prst="rect">
                      <a:avLst/>
                    </a:prstGeom>
                  </pic:spPr>
                </pic:pic>
              </a:graphicData>
            </a:graphic>
          </wp:inline>
        </w:drawing>
      </w:r>
    </w:p>
    <w:p w:rsidR="00A10CDF" w:rsidRPr="0049678A" w:rsidRDefault="00402381" w:rsidP="00A10CDF">
      <w:pPr>
        <w:spacing w:line="240" w:lineRule="auto"/>
        <w:rPr>
          <w:rFonts w:ascii="Verdana" w:hAnsi="Verdana"/>
          <w:sz w:val="20"/>
          <w:szCs w:val="20"/>
        </w:rPr>
      </w:pPr>
      <w:r>
        <w:rPr>
          <w:rFonts w:ascii="Verdana" w:hAnsi="Verdana"/>
          <w:noProof/>
          <w:sz w:val="20"/>
          <w:szCs w:val="20"/>
        </w:rPr>
        <w:pict>
          <v:oval id="Oval 119" o:spid="_x0000_s1062" style="position:absolute;margin-left:0;margin-top:138.05pt;width:241.95pt;height:46.9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" strokecolor="red" strokeweight="1.5pt">
            <v:fill opacity="7196f"/>
          </v:oval>
        </w:pict>
      </w:r>
      <w:r w:rsidR="00A10CDF" w:rsidRPr="0049678A">
        <w:rPr>
          <w:rFonts w:ascii="Verdana" w:hAnsi="Verdana"/>
          <w:noProof/>
          <w:sz w:val="20"/>
          <w:szCs w:val="20"/>
        </w:rPr>
        <w:drawing>
          <wp:inline distT="0" distB="0" distL="0" distR="0">
            <wp:extent cx="5943600" cy="234759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5943600" cy="2347595"/>
                    </a:xfrm>
                    <a:prstGeom prst="rect">
                      <a:avLst/>
                    </a:prstGeom>
                  </pic:spPr>
                </pic:pic>
              </a:graphicData>
            </a:graphic>
          </wp:inline>
        </w:drawing>
      </w:r>
    </w:p>
    <w:p w:rsidR="00A10CDF" w:rsidRPr="0049678A" w:rsidRDefault="00A10CDF" w:rsidP="00A10CDF">
      <w:pPr>
        <w:spacing w:line="240" w:lineRule="auto"/>
        <w:rPr>
          <w:rFonts w:ascii="Verdana" w:hAnsi="Verdana"/>
          <w:noProof/>
          <w:sz w:val="20"/>
          <w:szCs w:val="20"/>
        </w:rPr>
      </w:pPr>
      <w:r w:rsidRPr="0049678A">
        <w:rPr>
          <w:rFonts w:ascii="Verdana" w:hAnsi="Verdana"/>
          <w:noProof/>
          <w:sz w:val="20"/>
          <w:szCs w:val="20"/>
        </w:rPr>
        <w:t xml:space="preserve"> </w:t>
      </w:r>
    </w:p>
    <w:p w:rsidR="00A10CDF" w:rsidRPr="0049678A" w:rsidRDefault="00A10CDF" w:rsidP="00A10CDF">
      <w:pPr>
        <w:spacing w:line="240" w:lineRule="auto"/>
        <w:rPr>
          <w:rFonts w:ascii="Verdana" w:hAnsi="Verdana"/>
          <w:sz w:val="20"/>
          <w:szCs w:val="20"/>
        </w:rPr>
      </w:pP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01" w:name="_Toc293321431"/>
      <w:r w:rsidRPr="0049678A">
        <w:rPr>
          <w:rFonts w:ascii="Verdana" w:hAnsi="Verdana"/>
          <w:sz w:val="20"/>
          <w:szCs w:val="20"/>
        </w:rPr>
        <w:lastRenderedPageBreak/>
        <w:t>A26 - Financing Account Indicator Code</w:t>
      </w:r>
      <w:bookmarkEnd w:id="101"/>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A26 - Financing Account Indicator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Indicates whether the Federal account symbol is a Direct Loan Financing Account, a Guaranteed Loan Financing Account, or is not a financing account as defined by the Federal Credit Reform Act of 1990.</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the financing account is defined by the Federal Credit Reform Act of 1990 as a Guaranteed Loan Financing Account, then the Financing Account Indicator will be "G".</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102" w:name="_Toc290534850"/>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102"/>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60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1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60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A26</w:t>
            </w:r>
          </w:p>
        </w:tc>
        <w:tc>
          <w:tcPr>
            <w:tcW w:w="8612"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Financing Account Indicator Code must be 1 alpha character, for example “D”.</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Data values:  D - Direct  </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G - Guaranteed  </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N - Non-financing.</w:t>
            </w:r>
          </w:p>
        </w:tc>
      </w:tr>
      <w:tr w:rsidR="00A10CDF" w:rsidRPr="0049678A" w:rsidTr="004F7F27">
        <w:tc>
          <w:tcPr>
            <w:tcW w:w="60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A26</w:t>
            </w:r>
          </w:p>
        </w:tc>
        <w:tc>
          <w:tcPr>
            <w:tcW w:w="8612"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Financing Account Indicator Code must be used for general ledger posting, and financial reporting.</w:t>
            </w:r>
          </w:p>
        </w:tc>
      </w:tr>
      <w:tr w:rsidR="00A10CDF" w:rsidRPr="0049678A" w:rsidTr="004F7F27">
        <w:tc>
          <w:tcPr>
            <w:tcW w:w="60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A26</w:t>
            </w:r>
          </w:p>
        </w:tc>
        <w:tc>
          <w:tcPr>
            <w:tcW w:w="8612"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Each accounting system must store and maintain Financing Account Indicator Code values. </w:t>
            </w:r>
          </w:p>
        </w:tc>
      </w:tr>
    </w:tbl>
    <w:p w:rsidR="00A10CDF" w:rsidRPr="0049678A" w:rsidRDefault="00A10CDF" w:rsidP="00A10CDF">
      <w:pPr>
        <w:pStyle w:val="Heading2"/>
        <w:rPr>
          <w:rFonts w:ascii="Verdana" w:hAnsi="Verdana"/>
          <w:sz w:val="20"/>
          <w:szCs w:val="20"/>
        </w:rPr>
      </w:pPr>
      <w:bookmarkStart w:id="103" w:name="_Toc290534851"/>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103"/>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104" w:name="_Toc290534852"/>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104"/>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w:t>
            </w:r>
            <w:r w:rsidRPr="0049678A">
              <w:rPr>
                <w:rFonts w:ascii="Verdana" w:hAnsi="Verdana"/>
                <w:color w:val="000000"/>
                <w:sz w:val="20"/>
                <w:szCs w:val="20"/>
              </w:rPr>
              <w:t>Public Sector Management-Funds Management- Master Data-Account Assignment Element- Fund- Application of Funds-Display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FM6S  </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Display Application of Funds</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IFMFUSE</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DEPT_TRAN</w:t>
            </w:r>
          </w:p>
        </w:tc>
      </w:tr>
      <w:tr w:rsidR="00A10CDF" w:rsidRPr="0049678A" w:rsidTr="004F7F27">
        <w:trPr>
          <w:trHeight w:val="242"/>
        </w:trPr>
        <w:tc>
          <w:tcPr>
            <w:tcW w:w="2268" w:type="dxa"/>
            <w:shd w:val="clear" w:color="auto" w:fill="EEECE1"/>
          </w:tcPr>
          <w:p w:rsidR="00A10CDF" w:rsidRPr="0049678A" w:rsidRDefault="00A10CDF" w:rsidP="004F7F27">
            <w:pPr>
              <w:spacing w:after="0" w:line="240" w:lineRule="auto"/>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
                <w:bCs/>
                <w:sz w:val="20"/>
                <w:szCs w:val="20"/>
                <w:u w:val="single"/>
              </w:rPr>
            </w:pPr>
            <w:r w:rsidRPr="0049678A">
              <w:rPr>
                <w:rFonts w:ascii="Verdana" w:hAnsi="Verdana"/>
                <w:sz w:val="20"/>
                <w:szCs w:val="20"/>
              </w:rPr>
              <w:t>CT04</w:t>
            </w:r>
          </w:p>
        </w:tc>
      </w:tr>
    </w:tbl>
    <w:p w:rsidR="00A10CDF" w:rsidRPr="0049678A" w:rsidRDefault="00A10CDF" w:rsidP="00A10CDF">
      <w:pPr>
        <w:pStyle w:val="Heading2"/>
        <w:rPr>
          <w:rFonts w:ascii="Verdana" w:hAnsi="Verdana"/>
          <w:sz w:val="20"/>
          <w:szCs w:val="20"/>
        </w:rPr>
      </w:pPr>
    </w:p>
    <w:p w:rsidR="00A10CDF" w:rsidRPr="0049678A" w:rsidRDefault="00A10CDF" w:rsidP="00A10CDF">
      <w:pPr>
        <w:spacing w:line="240" w:lineRule="auto"/>
        <w:rPr>
          <w:rFonts w:ascii="Verdana" w:hAnsi="Verdana"/>
          <w:sz w:val="20"/>
          <w:szCs w:val="20"/>
        </w:rPr>
      </w:pPr>
    </w:p>
    <w:p w:rsidR="00A10CDF" w:rsidRPr="0049678A" w:rsidRDefault="00A10CDF" w:rsidP="00A10CDF">
      <w:pPr>
        <w:pStyle w:val="Heading2"/>
        <w:rPr>
          <w:rFonts w:ascii="Verdana" w:hAnsi="Verdana"/>
          <w:sz w:val="20"/>
          <w:szCs w:val="20"/>
        </w:rPr>
      </w:pPr>
      <w:bookmarkStart w:id="105" w:name="_Toc290534853"/>
    </w:p>
    <w:p w:rsidR="00A10CDF" w:rsidRPr="0049678A" w:rsidRDefault="00A10CDF" w:rsidP="00A10CDF">
      <w:pPr>
        <w:pStyle w:val="Heading2"/>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 xml:space="preserve">Location of “Financing Account Indicator Code” </w:t>
      </w:r>
      <w:bookmarkEnd w:id="105"/>
      <w:r w:rsidRPr="0049678A">
        <w:rPr>
          <w:rStyle w:val="Heading3Char"/>
          <w:rFonts w:ascii="Verdana" w:hAnsi="Verdana"/>
          <w:iCs w:val="0"/>
          <w:smallCaps w:val="0"/>
          <w:color w:val="auto"/>
          <w:spacing w:val="0"/>
          <w:sz w:val="20"/>
          <w:szCs w:val="20"/>
        </w:rPr>
        <w:t>Field on Display Characteristics</w:t>
      </w:r>
      <w:r w:rsidRPr="0049678A">
        <w:rPr>
          <w:rFonts w:ascii="Verdana" w:hAnsi="Verdana"/>
          <w:color w:val="auto"/>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pStyle w:val="Heading2"/>
        <w:rPr>
          <w:rFonts w:ascii="Verdana" w:hAnsi="Verdana"/>
          <w:noProof/>
          <w:sz w:val="20"/>
          <w:szCs w:val="20"/>
        </w:rPr>
      </w:pPr>
      <w:r w:rsidRPr="0049678A">
        <w:rPr>
          <w:rFonts w:ascii="Verdana" w:hAnsi="Verdana"/>
          <w:noProof/>
          <w:sz w:val="20"/>
          <w:szCs w:val="20"/>
        </w:rPr>
        <w:lastRenderedPageBreak/>
        <w:drawing>
          <wp:inline distT="0" distB="0" distL="0" distR="0">
            <wp:extent cx="5943600" cy="358317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5943600" cy="3583172"/>
                    </a:xfrm>
                    <a:prstGeom prst="rect">
                      <a:avLst/>
                    </a:prstGeom>
                  </pic:spPr>
                </pic:pic>
              </a:graphicData>
            </a:graphic>
          </wp:inline>
        </w:drawing>
      </w:r>
    </w:p>
    <w:p w:rsidR="00A10CDF" w:rsidRPr="0049678A" w:rsidRDefault="00A10CDF" w:rsidP="00A10CDF">
      <w:pPr>
        <w:spacing w:line="240" w:lineRule="auto"/>
        <w:rPr>
          <w:rFonts w:ascii="Verdana" w:hAnsi="Verdana"/>
          <w:noProof/>
          <w:sz w:val="20"/>
          <w:szCs w:val="20"/>
        </w:rPr>
      </w:pPr>
    </w:p>
    <w:p w:rsidR="00A10CDF" w:rsidRPr="0049678A" w:rsidRDefault="00402381" w:rsidP="00A10CDF">
      <w:pPr>
        <w:spacing w:line="240" w:lineRule="auto"/>
        <w:rPr>
          <w:rFonts w:ascii="Verdana" w:hAnsi="Verdana"/>
          <w:sz w:val="20"/>
          <w:szCs w:val="20"/>
        </w:rPr>
      </w:pPr>
      <w:r>
        <w:rPr>
          <w:rFonts w:ascii="Verdana" w:hAnsi="Verdana"/>
          <w:noProof/>
          <w:sz w:val="20"/>
          <w:szCs w:val="20"/>
        </w:rPr>
        <w:pict>
          <v:oval id="Oval 62" o:spid="_x0000_s1045" style="position:absolute;margin-left:-21.75pt;margin-top:69.85pt;width:353.25pt;height:84.5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" strokecolor="red" strokeweight="1.5pt">
            <v:fill opacity="6682f"/>
          </v:oval>
        </w:pict>
      </w:r>
      <w:r w:rsidR="00A10CDF" w:rsidRPr="0049678A">
        <w:rPr>
          <w:rFonts w:ascii="Verdana" w:hAnsi="Verdana"/>
          <w:noProof/>
          <w:sz w:val="20"/>
          <w:szCs w:val="20"/>
        </w:rPr>
        <w:drawing>
          <wp:inline distT="0" distB="0" distL="0" distR="0">
            <wp:extent cx="5943600" cy="19653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5943600" cy="1965325"/>
                    </a:xfrm>
                    <a:prstGeom prst="rect">
                      <a:avLst/>
                    </a:prstGeom>
                  </pic:spPr>
                </pic:pic>
              </a:graphicData>
            </a:graphic>
          </wp:inline>
        </w:drawing>
      </w:r>
    </w:p>
    <w:p w:rsidR="00A10CDF" w:rsidRPr="0049678A" w:rsidRDefault="00A10CDF" w:rsidP="00A10CDF">
      <w:pPr>
        <w:spacing w:line="240" w:lineRule="auto"/>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mallCaps/>
          <w:sz w:val="20"/>
          <w:szCs w:val="20"/>
        </w:rPr>
      </w:pPr>
      <w:bookmarkStart w:id="106" w:name="_Toc293321432"/>
      <w:r w:rsidRPr="0049678A">
        <w:rPr>
          <w:rFonts w:ascii="Verdana" w:hAnsi="Verdana"/>
          <w:sz w:val="20"/>
          <w:szCs w:val="20"/>
        </w:rPr>
        <w:lastRenderedPageBreak/>
        <w:t>A27 - Beginning Period of Availability</w:t>
      </w:r>
      <w:bookmarkEnd w:id="106"/>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A27 - Beginning Period of Availability</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4AN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In annual and multi-year accounts, identifies the first year of availability under law that an account may incur new obligations.</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multi-fiscal Year Period of Availability where the initial fiscal year of availability is FY2006 - 2006.</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No year Funding - Program Year (PPPP)</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107" w:name="_Toc290534854"/>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107"/>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A27</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used for Annual or Multi-Year funding, Beginning Period of Availability must be four alpha-numeric characters.</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A27</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used for No-Year funding, Beginning Period of Availability must be four alpha-numeric characters.</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A27</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the Beginning Period of Availability is associated with a clearing /suspense Main Account, then it must be blank.</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A27</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the Beginning Period of Availability is associated with an unavailable receipt account, then it must be blank.</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A27</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used for Annual or Multi-Year funding, Beginning Period of Availability must be used for accounting classification, financial reporting, budgetary control, and funds control.</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A27</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used for Annual or Multi-Year funding, each accounting system must be able to store, maintain, and report the Beginning Period of Availability for annual and multi-year appropriations.</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A27</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When the warrant is established by Treasury according to the signed appropriation bill, Beginning Period of Availability must be established and maintained in the accounting classification structure.</w:t>
            </w:r>
          </w:p>
        </w:tc>
      </w:tr>
    </w:tbl>
    <w:p w:rsidR="00A10CDF" w:rsidRPr="0049678A" w:rsidRDefault="00A10CDF" w:rsidP="00A10CDF">
      <w:pPr>
        <w:pStyle w:val="Heading2"/>
        <w:rPr>
          <w:rFonts w:ascii="Verdana" w:hAnsi="Verdana"/>
          <w:sz w:val="20"/>
          <w:szCs w:val="20"/>
        </w:rPr>
      </w:pPr>
      <w:bookmarkStart w:id="108" w:name="_Toc290534855"/>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108"/>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109" w:name="_Toc290534856"/>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109"/>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w:t>
            </w:r>
            <w:r w:rsidRPr="0049678A">
              <w:rPr>
                <w:rFonts w:ascii="Verdana" w:hAnsi="Verdana"/>
                <w:color w:val="000000"/>
                <w:sz w:val="20"/>
                <w:szCs w:val="20"/>
              </w:rPr>
              <w:t>Public Sector Management-Funds Management- Master Data-Account Assignment Element- Fund- Display Fund</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FM5S  </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Display Fund</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IFMFUSE</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DEPT_TRAN</w:t>
            </w:r>
          </w:p>
        </w:tc>
      </w:tr>
      <w:tr w:rsidR="00A10CDF" w:rsidRPr="0049678A" w:rsidTr="004F7F27">
        <w:trPr>
          <w:trHeight w:val="242"/>
        </w:trPr>
        <w:tc>
          <w:tcPr>
            <w:tcW w:w="2268" w:type="dxa"/>
            <w:shd w:val="clear" w:color="auto" w:fill="EEECE1"/>
          </w:tcPr>
          <w:p w:rsidR="00A10CDF" w:rsidRPr="0049678A" w:rsidRDefault="00A10CDF" w:rsidP="004F7F27">
            <w:pPr>
              <w:spacing w:after="0" w:line="240" w:lineRule="auto"/>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
                <w:bCs/>
                <w:sz w:val="20"/>
                <w:szCs w:val="20"/>
                <w:u w:val="single"/>
              </w:rPr>
            </w:pPr>
            <w:r w:rsidRPr="0049678A">
              <w:rPr>
                <w:rFonts w:ascii="Verdana" w:hAnsi="Verdana"/>
                <w:sz w:val="20"/>
                <w:szCs w:val="20"/>
              </w:rPr>
              <w:t xml:space="preserve">FM5I, FM5U </w:t>
            </w:r>
          </w:p>
        </w:tc>
      </w:tr>
    </w:tbl>
    <w:p w:rsidR="00A10CDF" w:rsidRPr="0049678A" w:rsidRDefault="00A10CDF" w:rsidP="00A10CDF">
      <w:pPr>
        <w:pStyle w:val="Heading2"/>
        <w:rPr>
          <w:rFonts w:ascii="Verdana" w:hAnsi="Verdana"/>
          <w:sz w:val="20"/>
          <w:szCs w:val="20"/>
        </w:rPr>
      </w:pPr>
      <w:bookmarkStart w:id="110" w:name="_Toc290534857"/>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 xml:space="preserve">Location of “Beginning Period of Availability” </w:t>
      </w:r>
      <w:bookmarkEnd w:id="110"/>
      <w:r w:rsidRPr="0049678A">
        <w:rPr>
          <w:rFonts w:ascii="Verdana" w:hAnsi="Verdana"/>
          <w:color w:val="auto"/>
          <w:sz w:val="20"/>
          <w:szCs w:val="20"/>
        </w:rPr>
        <w:t xml:space="preserve">Display </w:t>
      </w:r>
      <w:r w:rsidRPr="0049678A">
        <w:rPr>
          <w:rStyle w:val="Heading3Char"/>
          <w:rFonts w:ascii="Verdana" w:hAnsi="Verdana"/>
          <w:iCs w:val="0"/>
          <w:smallCaps w:val="0"/>
          <w:color w:val="auto"/>
          <w:spacing w:val="0"/>
          <w:sz w:val="20"/>
          <w:szCs w:val="20"/>
        </w:rPr>
        <w:t>Field on Display Characteristics</w:t>
      </w:r>
      <w:r w:rsidRPr="0049678A">
        <w:rPr>
          <w:rFonts w:ascii="Verdana" w:hAnsi="Verdana"/>
          <w:color w:val="auto"/>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pStyle w:val="Heading2"/>
        <w:rPr>
          <w:rFonts w:ascii="Verdana" w:hAnsi="Verdana"/>
          <w:noProof/>
          <w:sz w:val="20"/>
          <w:szCs w:val="20"/>
        </w:rPr>
      </w:pPr>
      <w:r w:rsidRPr="0049678A">
        <w:rPr>
          <w:rFonts w:ascii="Verdana" w:hAnsi="Verdana"/>
          <w:noProof/>
          <w:sz w:val="20"/>
          <w:szCs w:val="20"/>
        </w:rPr>
        <w:drawing>
          <wp:inline distT="0" distB="0" distL="0" distR="0">
            <wp:extent cx="5943600" cy="307281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5943600" cy="3072810"/>
                    </a:xfrm>
                    <a:prstGeom prst="rect">
                      <a:avLst/>
                    </a:prstGeom>
                  </pic:spPr>
                </pic:pic>
              </a:graphicData>
            </a:graphic>
          </wp:inline>
        </w:drawing>
      </w:r>
    </w:p>
    <w:p w:rsidR="00A10CDF" w:rsidRPr="0049678A" w:rsidRDefault="00402381" w:rsidP="00A10CDF">
      <w:pPr>
        <w:spacing w:line="240" w:lineRule="auto"/>
        <w:rPr>
          <w:rFonts w:ascii="Verdana" w:hAnsi="Verdana"/>
          <w:sz w:val="20"/>
          <w:szCs w:val="20"/>
        </w:rPr>
      </w:pPr>
      <w:r>
        <w:rPr>
          <w:rFonts w:ascii="Verdana" w:hAnsi="Verdana"/>
          <w:noProof/>
          <w:sz w:val="20"/>
          <w:szCs w:val="20"/>
        </w:rPr>
        <w:pict>
          <v:oval id="Oval 120" o:spid="_x0000_s1063" style="position:absolute;margin-left:-11.7pt;margin-top:144.75pt;width:326.5pt;height:25.1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" strokecolor="red" strokeweight="1.5pt">
            <v:fill opacity="6682f"/>
          </v:oval>
        </w:pict>
      </w:r>
      <w:r w:rsidR="00A10CDF" w:rsidRPr="0049678A">
        <w:rPr>
          <w:rFonts w:ascii="Verdana" w:hAnsi="Verdana"/>
          <w:noProof/>
          <w:sz w:val="20"/>
          <w:szCs w:val="20"/>
        </w:rPr>
        <w:drawing>
          <wp:inline distT="0" distB="0" distL="0" distR="0">
            <wp:extent cx="5943600" cy="2094865"/>
            <wp:effectExtent l="0" t="0" r="0" b="63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5943600" cy="2094865"/>
                    </a:xfrm>
                    <a:prstGeom prst="rect">
                      <a:avLst/>
                    </a:prstGeom>
                  </pic:spPr>
                </pic:pic>
              </a:graphicData>
            </a:graphic>
          </wp:inline>
        </w:drawing>
      </w:r>
    </w:p>
    <w:p w:rsidR="00A10CDF" w:rsidRPr="0049678A" w:rsidRDefault="00A10CDF" w:rsidP="00A10CDF">
      <w:pPr>
        <w:spacing w:line="240" w:lineRule="auto"/>
        <w:rPr>
          <w:rFonts w:ascii="Verdana" w:hAnsi="Verdana"/>
          <w:sz w:val="20"/>
          <w:szCs w:val="20"/>
        </w:rPr>
      </w:pPr>
    </w:p>
    <w:p w:rsidR="00A10CDF" w:rsidRPr="0049678A" w:rsidRDefault="00A10CDF" w:rsidP="00A10CDF">
      <w:pPr>
        <w:spacing w:line="240" w:lineRule="auto"/>
        <w:rPr>
          <w:rFonts w:ascii="Verdana" w:hAnsi="Verdana"/>
          <w:sz w:val="20"/>
          <w:szCs w:val="20"/>
        </w:rPr>
      </w:pPr>
    </w:p>
    <w:p w:rsidR="00A10CDF" w:rsidRPr="0049678A" w:rsidRDefault="00A10CDF" w:rsidP="00A10CDF">
      <w:pPr>
        <w:spacing w:line="240" w:lineRule="auto"/>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11" w:name="_Toc293321433"/>
      <w:r w:rsidRPr="0049678A">
        <w:rPr>
          <w:rFonts w:ascii="Verdana" w:hAnsi="Verdana"/>
          <w:sz w:val="20"/>
          <w:szCs w:val="20"/>
        </w:rPr>
        <w:lastRenderedPageBreak/>
        <w:t>A28 - Ending Period of Availability</w:t>
      </w:r>
      <w:bookmarkEnd w:id="111"/>
      <w:r w:rsidRPr="0049678A">
        <w:rPr>
          <w:rFonts w:ascii="Verdana" w:hAnsi="Verdana"/>
          <w:sz w:val="20"/>
          <w:szCs w:val="20"/>
        </w:rPr>
        <w:t xml:space="preserve"> </w:t>
      </w:r>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A28 - Ending Period of Availability Fiscal Year Date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4AN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Appropriation Account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In annual and multi-year accounts, identifies the last year of availability under law that an account may incur new obligations.</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multi-fiscal year Period of Availability where the ending fiscal year of availability is FY2008 - 2008.</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No year Funding - XXXX</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112" w:name="_Toc290534858"/>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112"/>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8608"/>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Ending Period of Availability must be four alpha-numeric characters.</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If the Ending Period of Availability is associated with </w:t>
            </w:r>
            <w:proofErr w:type="spellStart"/>
            <w:r w:rsidRPr="0049678A">
              <w:rPr>
                <w:rFonts w:ascii="Verdana" w:hAnsi="Verdana" w:cs="Arial"/>
                <w:bCs/>
                <w:color w:val="000000"/>
                <w:sz w:val="20"/>
                <w:szCs w:val="20"/>
              </w:rPr>
              <w:t>no</w:t>
            </w:r>
            <w:proofErr w:type="spellEnd"/>
            <w:r w:rsidRPr="0049678A">
              <w:rPr>
                <w:rFonts w:ascii="Verdana" w:hAnsi="Verdana" w:cs="Arial"/>
                <w:bCs/>
                <w:color w:val="000000"/>
                <w:sz w:val="20"/>
                <w:szCs w:val="20"/>
              </w:rPr>
              <w:t>-year funding, then it must be “XXXX”.</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the Ending Period of Availability is associated with a clearing / suspense Main Account, then it must be blank.</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the Ending Period of Availability is associated with an unavailable receipt account, then it must be blank.</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used for Annual or Multi-Year funding, Ending Period of Availability is used for accounting classification, financial reporting, budgetary control, and funds control.</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If used for Annual or Multi-Year funding, each accounting system must be able to store, maintain, and report the Ending Period of Availability for annual and multi-year appropriations.</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A28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When the warrant is established by Treasury according to the signed appropriation bill, Ending Period of Availability must be established and maintained in the accounting classification structure.</w:t>
            </w:r>
          </w:p>
        </w:tc>
      </w:tr>
    </w:tbl>
    <w:p w:rsidR="00A10CDF" w:rsidRPr="0049678A" w:rsidRDefault="00A10CDF" w:rsidP="00A10CDF">
      <w:pPr>
        <w:pStyle w:val="Heading2"/>
        <w:rPr>
          <w:rFonts w:ascii="Verdana" w:hAnsi="Verdana"/>
          <w:sz w:val="20"/>
          <w:szCs w:val="20"/>
        </w:rPr>
      </w:pPr>
      <w:bookmarkStart w:id="113" w:name="_Toc290534859"/>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113"/>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114" w:name="_Toc290534860"/>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114"/>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w:t>
            </w:r>
            <w:r w:rsidRPr="0049678A">
              <w:rPr>
                <w:rFonts w:ascii="Verdana" w:hAnsi="Verdana"/>
                <w:color w:val="000000"/>
                <w:sz w:val="20"/>
                <w:szCs w:val="20"/>
              </w:rPr>
              <w:t>Public Sector Management-Funds Management- Master Data-Account Assignment Element- Fund- Display Fund</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CT04</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Display Fund</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IFMFUSE</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DEPT_TRAN</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bottom w:val="single" w:sz="4" w:space="0" w:color="auto"/>
              <w:right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CT10</w:t>
            </w:r>
          </w:p>
        </w:tc>
        <w:tc>
          <w:tcPr>
            <w:tcW w:w="1950" w:type="dxa"/>
            <w:tcBorders>
              <w:left w:val="nil"/>
              <w:bottom w:val="single" w:sz="4" w:space="0" w:color="auto"/>
              <w:right w:val="nil"/>
            </w:tcBorders>
            <w:shd w:val="clear" w:color="auto" w:fill="FFFFFF" w:themeFill="background1"/>
          </w:tcPr>
          <w:p w:rsidR="00A10CDF" w:rsidRPr="0049678A" w:rsidRDefault="00A10CDF" w:rsidP="004F7F27">
            <w:pPr>
              <w:spacing w:after="0" w:line="240" w:lineRule="auto"/>
              <w:jc w:val="right"/>
              <w:rPr>
                <w:rFonts w:ascii="Verdana" w:hAnsi="Verdana"/>
                <w:sz w:val="20"/>
                <w:szCs w:val="20"/>
              </w:rPr>
            </w:pPr>
          </w:p>
        </w:tc>
        <w:tc>
          <w:tcPr>
            <w:tcW w:w="2230" w:type="dxa"/>
            <w:tcBorders>
              <w:left w:val="nil"/>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115" w:name="_Toc290534861"/>
      <w:r w:rsidRPr="0049678A">
        <w:rPr>
          <w:rFonts w:ascii="Verdana" w:hAnsi="Verdana"/>
          <w:sz w:val="20"/>
          <w:szCs w:val="20"/>
        </w:rPr>
        <w:t xml:space="preserve">Screenshot:  </w:t>
      </w:r>
      <w:r w:rsidRPr="0049678A">
        <w:rPr>
          <w:rFonts w:ascii="Verdana" w:hAnsi="Verdana"/>
          <w:color w:val="auto"/>
          <w:sz w:val="20"/>
          <w:szCs w:val="20"/>
        </w:rPr>
        <w:t xml:space="preserve">Location of “Ending Period of Availability Fiscal Year Date” </w:t>
      </w:r>
      <w:bookmarkEnd w:id="115"/>
      <w:r w:rsidRPr="0049678A">
        <w:rPr>
          <w:rFonts w:ascii="Verdana" w:hAnsi="Verdana"/>
          <w:color w:val="auto"/>
          <w:sz w:val="20"/>
          <w:szCs w:val="20"/>
        </w:rPr>
        <w:t xml:space="preserve">Display </w:t>
      </w:r>
      <w:r w:rsidRPr="0049678A">
        <w:rPr>
          <w:rStyle w:val="Heading3Char"/>
          <w:rFonts w:ascii="Verdana" w:hAnsi="Verdana"/>
          <w:iCs w:val="0"/>
          <w:smallCaps w:val="0"/>
          <w:color w:val="auto"/>
          <w:spacing w:val="0"/>
          <w:sz w:val="20"/>
          <w:szCs w:val="20"/>
        </w:rPr>
        <w:t>Field on Display Characteristics</w:t>
      </w:r>
      <w:r w:rsidRPr="0049678A">
        <w:rPr>
          <w:rFonts w:ascii="Verdana" w:hAnsi="Verdana"/>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pStyle w:val="Heading2"/>
        <w:rPr>
          <w:rFonts w:ascii="Verdana" w:hAnsi="Verdana"/>
          <w:noProof/>
          <w:sz w:val="20"/>
          <w:szCs w:val="20"/>
        </w:rPr>
      </w:pPr>
      <w:r w:rsidRPr="0049678A">
        <w:rPr>
          <w:rFonts w:ascii="Verdana" w:hAnsi="Verdana"/>
          <w:noProof/>
          <w:sz w:val="20"/>
          <w:szCs w:val="20"/>
        </w:rPr>
        <w:lastRenderedPageBreak/>
        <w:drawing>
          <wp:inline distT="0" distB="0" distL="0" distR="0">
            <wp:extent cx="5943600" cy="3147237"/>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5943600" cy="3147237"/>
                    </a:xfrm>
                    <a:prstGeom prst="rect">
                      <a:avLst/>
                    </a:prstGeom>
                  </pic:spPr>
                </pic:pic>
              </a:graphicData>
            </a:graphic>
          </wp:inline>
        </w:drawing>
      </w:r>
    </w:p>
    <w:p w:rsidR="00A10CDF" w:rsidRPr="0049678A" w:rsidRDefault="00A10CDF" w:rsidP="00A10CDF">
      <w:pPr>
        <w:rPr>
          <w:rFonts w:ascii="Verdana" w:hAnsi="Verdana"/>
          <w:sz w:val="20"/>
          <w:szCs w:val="20"/>
        </w:rPr>
      </w:pPr>
    </w:p>
    <w:p w:rsidR="00A10CDF" w:rsidRPr="0049678A" w:rsidRDefault="00402381" w:rsidP="00A10CDF">
      <w:pPr>
        <w:spacing w:line="240" w:lineRule="auto"/>
        <w:rPr>
          <w:rFonts w:ascii="Verdana" w:hAnsi="Verdana"/>
          <w:noProof/>
          <w:sz w:val="20"/>
          <w:szCs w:val="20"/>
        </w:rPr>
      </w:pPr>
      <w:r>
        <w:rPr>
          <w:rFonts w:ascii="Verdana" w:hAnsi="Verdana"/>
          <w:noProof/>
          <w:sz w:val="20"/>
          <w:szCs w:val="20"/>
        </w:rPr>
        <w:pict>
          <v:oval id="Oval 121" o:spid="_x0000_s1064" style="position:absolute;margin-left:6.65pt;margin-top:143.65pt;width:319.8pt;height:25.9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" strokecolor="red" strokeweight="1.5pt">
            <v:fill opacity="6682f"/>
          </v:oval>
        </w:pict>
      </w:r>
      <w:r w:rsidR="00A10CDF" w:rsidRPr="0049678A">
        <w:rPr>
          <w:rFonts w:ascii="Verdana" w:hAnsi="Verdana"/>
          <w:noProof/>
          <w:sz w:val="20"/>
          <w:szCs w:val="20"/>
        </w:rPr>
        <w:drawing>
          <wp:inline distT="0" distB="0" distL="0" distR="0">
            <wp:extent cx="5943600" cy="2359025"/>
            <wp:effectExtent l="0" t="0" r="0" b="317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5943600" cy="2359025"/>
                    </a:xfrm>
                    <a:prstGeom prst="rect">
                      <a:avLst/>
                    </a:prstGeom>
                  </pic:spPr>
                </pic:pic>
              </a:graphicData>
            </a:graphic>
          </wp:inline>
        </w:drawing>
      </w: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16" w:name="_Toc293321434"/>
      <w:r w:rsidRPr="0049678A">
        <w:rPr>
          <w:rFonts w:ascii="Verdana" w:hAnsi="Verdana"/>
          <w:sz w:val="20"/>
          <w:szCs w:val="20"/>
        </w:rPr>
        <w:lastRenderedPageBreak/>
        <w:t>B1 - Budget Function/Sub-Function Code</w:t>
      </w:r>
      <w:bookmarkEnd w:id="116"/>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B1 - Budget Function/Sub-Function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3</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Budget Program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color w:val="000000"/>
                <w:sz w:val="20"/>
                <w:szCs w:val="20"/>
              </w:rPr>
            </w:pPr>
            <w:r w:rsidRPr="0049678A">
              <w:rPr>
                <w:rFonts w:ascii="Verdana" w:hAnsi="Verdana"/>
                <w:color w:val="000000"/>
                <w:sz w:val="20"/>
                <w:szCs w:val="20"/>
              </w:rPr>
              <w:t xml:space="preserve">Budget classifications are mandated by the Congressional Budget Act of 1974. The </w:t>
            </w:r>
            <w:proofErr w:type="spellStart"/>
            <w:r w:rsidRPr="0049678A">
              <w:rPr>
                <w:rFonts w:ascii="Verdana" w:hAnsi="Verdana"/>
                <w:color w:val="000000"/>
                <w:sz w:val="20"/>
                <w:szCs w:val="20"/>
              </w:rPr>
              <w:t>DoD</w:t>
            </w:r>
            <w:proofErr w:type="spellEnd"/>
            <w:r w:rsidRPr="0049678A">
              <w:rPr>
                <w:rFonts w:ascii="Verdana" w:hAnsi="Verdana"/>
                <w:color w:val="000000"/>
                <w:sz w:val="20"/>
                <w:szCs w:val="20"/>
              </w:rPr>
              <w:t xml:space="preserve"> budget functions and sub-functions are specific to the national defense and security mission of the Department, including the following:</w:t>
            </w:r>
          </w:p>
          <w:p w:rsidR="00A10CDF" w:rsidRPr="0049678A" w:rsidRDefault="00A10CDF" w:rsidP="004F7F27">
            <w:pPr>
              <w:pStyle w:val="NoSpacing"/>
              <w:ind w:left="340"/>
              <w:rPr>
                <w:rFonts w:ascii="Verdana" w:hAnsi="Verdana"/>
                <w:color w:val="000000"/>
                <w:sz w:val="20"/>
                <w:szCs w:val="20"/>
              </w:rPr>
            </w:pPr>
            <w:r w:rsidRPr="0049678A">
              <w:rPr>
                <w:rFonts w:ascii="Verdana" w:hAnsi="Verdana"/>
                <w:color w:val="000000"/>
                <w:sz w:val="20"/>
                <w:szCs w:val="20"/>
              </w:rPr>
              <w:t xml:space="preserve">1. Raising, equipping and maintaining armed forces, </w:t>
            </w:r>
          </w:p>
          <w:p w:rsidR="00A10CDF" w:rsidRPr="0049678A" w:rsidRDefault="00A10CDF" w:rsidP="004F7F27">
            <w:pPr>
              <w:pStyle w:val="NoSpacing"/>
              <w:ind w:left="340"/>
              <w:rPr>
                <w:rFonts w:ascii="Verdana" w:hAnsi="Verdana"/>
                <w:color w:val="000000"/>
                <w:sz w:val="20"/>
                <w:szCs w:val="20"/>
              </w:rPr>
            </w:pPr>
            <w:r w:rsidRPr="0049678A">
              <w:rPr>
                <w:rFonts w:ascii="Verdana" w:hAnsi="Verdana"/>
                <w:color w:val="000000"/>
                <w:sz w:val="20"/>
                <w:szCs w:val="20"/>
              </w:rPr>
              <w:t xml:space="preserve">2. Development and utilization of weapon systems, </w:t>
            </w:r>
          </w:p>
          <w:p w:rsidR="00A10CDF" w:rsidRPr="0049678A" w:rsidRDefault="00A10CDF" w:rsidP="004F7F27">
            <w:pPr>
              <w:pStyle w:val="NoSpacing"/>
              <w:ind w:left="340"/>
              <w:rPr>
                <w:rFonts w:ascii="Verdana" w:hAnsi="Verdana"/>
                <w:color w:val="000000"/>
                <w:sz w:val="20"/>
                <w:szCs w:val="20"/>
              </w:rPr>
            </w:pPr>
            <w:r w:rsidRPr="0049678A">
              <w:rPr>
                <w:rFonts w:ascii="Verdana" w:hAnsi="Verdana"/>
                <w:color w:val="000000"/>
                <w:sz w:val="20"/>
                <w:szCs w:val="20"/>
              </w:rPr>
              <w:t>3. Direct compensation and benefits paid to active military and civilian personnel,</w:t>
            </w:r>
          </w:p>
          <w:p w:rsidR="00A10CDF" w:rsidRPr="0049678A" w:rsidRDefault="00A10CDF" w:rsidP="004F7F27">
            <w:pPr>
              <w:pStyle w:val="NoSpacing"/>
              <w:ind w:left="340"/>
              <w:rPr>
                <w:rFonts w:ascii="Verdana" w:hAnsi="Verdana"/>
                <w:color w:val="000000"/>
                <w:sz w:val="20"/>
                <w:szCs w:val="20"/>
              </w:rPr>
            </w:pPr>
            <w:r w:rsidRPr="0049678A">
              <w:rPr>
                <w:rFonts w:ascii="Verdana" w:hAnsi="Verdana"/>
                <w:color w:val="000000"/>
                <w:sz w:val="20"/>
                <w:szCs w:val="20"/>
              </w:rPr>
              <w:t>4. Defense research, development, testing and evaluation,</w:t>
            </w:r>
          </w:p>
          <w:p w:rsidR="00A10CDF" w:rsidRPr="0049678A" w:rsidRDefault="00A10CDF" w:rsidP="004F7F27">
            <w:pPr>
              <w:pStyle w:val="NoSpacing"/>
              <w:ind w:left="340"/>
              <w:rPr>
                <w:rFonts w:ascii="Verdana" w:hAnsi="Verdana"/>
                <w:color w:val="000000"/>
                <w:sz w:val="20"/>
                <w:szCs w:val="20"/>
              </w:rPr>
            </w:pPr>
            <w:r w:rsidRPr="0049678A">
              <w:rPr>
                <w:rFonts w:ascii="Verdana" w:hAnsi="Verdana"/>
                <w:color w:val="000000"/>
                <w:sz w:val="20"/>
                <w:szCs w:val="20"/>
              </w:rPr>
              <w:t xml:space="preserve">5. Procurement, construction, stockpiling, and </w:t>
            </w:r>
          </w:p>
          <w:p w:rsidR="00A10CDF" w:rsidRPr="0049678A" w:rsidRDefault="00A10CDF" w:rsidP="004F7F27">
            <w:pPr>
              <w:pStyle w:val="NoSpacing"/>
              <w:ind w:left="340"/>
              <w:rPr>
                <w:rFonts w:ascii="Verdana" w:hAnsi="Verdana"/>
                <w:color w:val="000000"/>
                <w:sz w:val="20"/>
                <w:szCs w:val="20"/>
              </w:rPr>
            </w:pPr>
            <w:r w:rsidRPr="0049678A">
              <w:rPr>
                <w:rFonts w:ascii="Verdana" w:hAnsi="Verdana"/>
                <w:color w:val="000000"/>
                <w:sz w:val="20"/>
                <w:szCs w:val="20"/>
              </w:rPr>
              <w:t>6. Other budget functions/sub-functions undertaken to foster national security.</w:t>
            </w:r>
          </w:p>
          <w:p w:rsidR="00A10CDF" w:rsidRPr="0049678A" w:rsidRDefault="00A10CDF" w:rsidP="004F7F27">
            <w:pPr>
              <w:pStyle w:val="NoSpacing"/>
              <w:rPr>
                <w:rFonts w:ascii="Verdana" w:hAnsi="Verdana"/>
                <w:color w:val="000000"/>
                <w:sz w:val="20"/>
                <w:szCs w:val="20"/>
              </w:rPr>
            </w:pPr>
          </w:p>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 xml:space="preserve">Sub-function classifications are subsidiary to the main budget functions. These include: </w:t>
            </w:r>
            <w:proofErr w:type="spellStart"/>
            <w:r w:rsidRPr="0049678A">
              <w:rPr>
                <w:rFonts w:ascii="Verdana" w:hAnsi="Verdana"/>
                <w:color w:val="000000"/>
                <w:sz w:val="20"/>
                <w:szCs w:val="20"/>
              </w:rPr>
              <w:t>DoD</w:t>
            </w:r>
            <w:proofErr w:type="spellEnd"/>
            <w:r w:rsidRPr="0049678A">
              <w:rPr>
                <w:rFonts w:ascii="Verdana" w:hAnsi="Verdana"/>
                <w:color w:val="000000"/>
                <w:sz w:val="20"/>
                <w:szCs w:val="20"/>
              </w:rPr>
              <w:t xml:space="preserve"> Military (051), Atomic Energy Defense ( 053), Defense Related Activities (054), Water Resources (303), Federal Employee Retirement and Disability(602), Veterans Education, Training and Rehabilitation, (702), Other Veterans Benefits and Services(705) and General Purpose Fiscal Assistance( 806)</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Budget Function Examples:</w:t>
            </w:r>
          </w:p>
          <w:p w:rsidR="00A10CDF" w:rsidRPr="0049678A" w:rsidRDefault="00A10CDF" w:rsidP="004F7F27">
            <w:pPr>
              <w:pStyle w:val="NoSpacing"/>
              <w:ind w:left="340"/>
              <w:rPr>
                <w:rFonts w:ascii="Verdana" w:hAnsi="Verdana"/>
                <w:sz w:val="20"/>
                <w:szCs w:val="20"/>
              </w:rPr>
            </w:pPr>
            <w:r w:rsidRPr="0049678A">
              <w:rPr>
                <w:rFonts w:ascii="Verdana" w:hAnsi="Verdana"/>
                <w:sz w:val="20"/>
                <w:szCs w:val="20"/>
              </w:rPr>
              <w:t xml:space="preserve">050   National Defense </w:t>
            </w:r>
          </w:p>
          <w:p w:rsidR="00A10CDF" w:rsidRPr="0049678A" w:rsidRDefault="00A10CDF" w:rsidP="004F7F27">
            <w:pPr>
              <w:pStyle w:val="NoSpacing"/>
              <w:ind w:left="340"/>
              <w:rPr>
                <w:rFonts w:ascii="Verdana" w:hAnsi="Verdana"/>
                <w:sz w:val="20"/>
                <w:szCs w:val="20"/>
              </w:rPr>
            </w:pPr>
            <w:r w:rsidRPr="0049678A">
              <w:rPr>
                <w:rFonts w:ascii="Verdana" w:hAnsi="Verdana"/>
                <w:sz w:val="20"/>
                <w:szCs w:val="20"/>
              </w:rPr>
              <w:t>150   International Affairs</w:t>
            </w:r>
          </w:p>
          <w:p w:rsidR="00A10CDF" w:rsidRPr="0049678A" w:rsidRDefault="00A10CDF" w:rsidP="004F7F27">
            <w:pPr>
              <w:pStyle w:val="NoSpacing"/>
              <w:ind w:left="340"/>
              <w:rPr>
                <w:rFonts w:ascii="Verdana" w:hAnsi="Verdana"/>
                <w:sz w:val="20"/>
                <w:szCs w:val="20"/>
              </w:rPr>
            </w:pPr>
            <w:r w:rsidRPr="0049678A">
              <w:rPr>
                <w:rFonts w:ascii="Verdana" w:hAnsi="Verdana"/>
                <w:sz w:val="20"/>
                <w:szCs w:val="20"/>
              </w:rPr>
              <w:t>270   Energy</w:t>
            </w:r>
          </w:p>
          <w:p w:rsidR="00A10CDF" w:rsidRPr="0049678A" w:rsidRDefault="00A10CDF" w:rsidP="004F7F27">
            <w:pPr>
              <w:pStyle w:val="NoSpacing"/>
              <w:ind w:left="340"/>
              <w:rPr>
                <w:rFonts w:ascii="Verdana" w:hAnsi="Verdana"/>
                <w:sz w:val="20"/>
                <w:szCs w:val="20"/>
              </w:rPr>
            </w:pPr>
            <w:r w:rsidRPr="0049678A">
              <w:rPr>
                <w:rFonts w:ascii="Verdana" w:hAnsi="Verdana"/>
                <w:sz w:val="20"/>
                <w:szCs w:val="20"/>
              </w:rPr>
              <w:t xml:space="preserve">800   General Government </w:t>
            </w:r>
          </w:p>
          <w:p w:rsidR="00A10CDF" w:rsidRPr="0049678A" w:rsidRDefault="00A10CDF" w:rsidP="004F7F27">
            <w:pPr>
              <w:pStyle w:val="NoSpacing"/>
              <w:rPr>
                <w:rFonts w:ascii="Verdana" w:hAnsi="Verdana"/>
                <w:sz w:val="20"/>
                <w:szCs w:val="20"/>
              </w:rPr>
            </w:pPr>
            <w:r w:rsidRPr="0049678A">
              <w:rPr>
                <w:rFonts w:ascii="Verdana" w:hAnsi="Verdana"/>
                <w:sz w:val="20"/>
                <w:szCs w:val="20"/>
              </w:rPr>
              <w:t>Budget Sub-Function Examples:</w:t>
            </w:r>
          </w:p>
          <w:p w:rsidR="00A10CDF" w:rsidRPr="0049678A" w:rsidRDefault="00A10CDF" w:rsidP="004F7F27">
            <w:pPr>
              <w:pStyle w:val="NoSpacing"/>
              <w:ind w:left="340"/>
              <w:rPr>
                <w:rFonts w:ascii="Verdana" w:hAnsi="Verdana"/>
                <w:sz w:val="20"/>
                <w:szCs w:val="20"/>
              </w:rPr>
            </w:pPr>
            <w:r w:rsidRPr="0049678A">
              <w:rPr>
                <w:rFonts w:ascii="Verdana" w:hAnsi="Verdana"/>
                <w:sz w:val="20"/>
                <w:szCs w:val="20"/>
              </w:rPr>
              <w:t xml:space="preserve">051   </w:t>
            </w:r>
            <w:proofErr w:type="spellStart"/>
            <w:r w:rsidRPr="0049678A">
              <w:rPr>
                <w:rFonts w:ascii="Verdana" w:hAnsi="Verdana"/>
                <w:sz w:val="20"/>
                <w:szCs w:val="20"/>
              </w:rPr>
              <w:t>DoD</w:t>
            </w:r>
            <w:proofErr w:type="spellEnd"/>
            <w:r w:rsidRPr="0049678A">
              <w:rPr>
                <w:rFonts w:ascii="Verdana" w:hAnsi="Verdana"/>
                <w:sz w:val="20"/>
                <w:szCs w:val="20"/>
              </w:rPr>
              <w:t xml:space="preserve"> Military, </w:t>
            </w:r>
          </w:p>
          <w:p w:rsidR="00A10CDF" w:rsidRPr="0049678A" w:rsidRDefault="00A10CDF" w:rsidP="004F7F27">
            <w:pPr>
              <w:pStyle w:val="NoSpacing"/>
              <w:ind w:left="340"/>
              <w:rPr>
                <w:rFonts w:ascii="Verdana" w:hAnsi="Verdana"/>
                <w:sz w:val="20"/>
                <w:szCs w:val="20"/>
              </w:rPr>
            </w:pPr>
            <w:r w:rsidRPr="0049678A">
              <w:rPr>
                <w:rFonts w:ascii="Verdana" w:hAnsi="Verdana"/>
                <w:sz w:val="20"/>
                <w:szCs w:val="20"/>
              </w:rPr>
              <w:t xml:space="preserve">053   Atomic Energy Defense, </w:t>
            </w:r>
          </w:p>
          <w:p w:rsidR="00A10CDF" w:rsidRPr="0049678A" w:rsidRDefault="00A10CDF" w:rsidP="004F7F27">
            <w:pPr>
              <w:pStyle w:val="NoSpacing"/>
              <w:ind w:left="340"/>
              <w:rPr>
                <w:rFonts w:ascii="Verdana" w:hAnsi="Verdana"/>
                <w:sz w:val="20"/>
                <w:szCs w:val="20"/>
              </w:rPr>
            </w:pPr>
            <w:r w:rsidRPr="0049678A">
              <w:rPr>
                <w:rFonts w:ascii="Verdana" w:hAnsi="Verdana"/>
                <w:sz w:val="20"/>
                <w:szCs w:val="20"/>
              </w:rPr>
              <w:t xml:space="preserve">054   Defense Related Activities, </w:t>
            </w:r>
          </w:p>
          <w:p w:rsidR="00A10CDF" w:rsidRPr="0049678A" w:rsidRDefault="00A10CDF" w:rsidP="004F7F27">
            <w:pPr>
              <w:pStyle w:val="NoSpacing"/>
              <w:ind w:left="340"/>
              <w:rPr>
                <w:rFonts w:ascii="Verdana" w:hAnsi="Verdana"/>
                <w:sz w:val="20"/>
                <w:szCs w:val="20"/>
              </w:rPr>
            </w:pPr>
            <w:r w:rsidRPr="0049678A">
              <w:rPr>
                <w:rFonts w:ascii="Verdana" w:hAnsi="Verdana"/>
                <w:sz w:val="20"/>
                <w:szCs w:val="20"/>
              </w:rPr>
              <w:t xml:space="preserve">303   Water Resources, </w:t>
            </w:r>
          </w:p>
          <w:p w:rsidR="00A10CDF" w:rsidRPr="0049678A" w:rsidRDefault="00A10CDF" w:rsidP="004F7F27">
            <w:pPr>
              <w:pStyle w:val="NoSpacing"/>
              <w:ind w:left="340"/>
              <w:rPr>
                <w:rFonts w:ascii="Verdana" w:hAnsi="Verdana"/>
                <w:sz w:val="20"/>
                <w:szCs w:val="20"/>
              </w:rPr>
            </w:pPr>
            <w:r w:rsidRPr="0049678A">
              <w:rPr>
                <w:rFonts w:ascii="Verdana" w:hAnsi="Verdana"/>
                <w:sz w:val="20"/>
                <w:szCs w:val="20"/>
              </w:rPr>
              <w:t xml:space="preserve">602   Federal Employee Retirement and Disability, </w:t>
            </w:r>
          </w:p>
          <w:p w:rsidR="00A10CDF" w:rsidRPr="0049678A" w:rsidRDefault="00A10CDF" w:rsidP="004F7F27">
            <w:pPr>
              <w:pStyle w:val="NoSpacing"/>
              <w:ind w:left="340"/>
              <w:rPr>
                <w:rFonts w:ascii="Verdana" w:hAnsi="Verdana"/>
                <w:sz w:val="20"/>
                <w:szCs w:val="20"/>
              </w:rPr>
            </w:pPr>
            <w:r w:rsidRPr="0049678A">
              <w:rPr>
                <w:rFonts w:ascii="Verdana" w:hAnsi="Verdana"/>
                <w:sz w:val="20"/>
                <w:szCs w:val="20"/>
              </w:rPr>
              <w:t xml:space="preserve">702   Veterans Education, Training and Rehabilitation, </w:t>
            </w:r>
          </w:p>
          <w:p w:rsidR="00A10CDF" w:rsidRPr="0049678A" w:rsidRDefault="00A10CDF" w:rsidP="004F7F27">
            <w:pPr>
              <w:pStyle w:val="NoSpacing"/>
              <w:ind w:left="340"/>
              <w:rPr>
                <w:rFonts w:ascii="Verdana" w:hAnsi="Verdana"/>
                <w:sz w:val="20"/>
                <w:szCs w:val="20"/>
              </w:rPr>
            </w:pPr>
            <w:r w:rsidRPr="0049678A">
              <w:rPr>
                <w:rFonts w:ascii="Verdana" w:hAnsi="Verdana"/>
                <w:sz w:val="20"/>
                <w:szCs w:val="20"/>
              </w:rPr>
              <w:t>705   Other Veterans Benefits and Services</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117" w:name="_Toc290534862"/>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117"/>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8649"/>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B1</w:t>
            </w:r>
          </w:p>
        </w:tc>
        <w:tc>
          <w:tcPr>
            <w:tcW w:w="8649" w:type="dxa"/>
            <w:shd w:val="clear" w:color="auto" w:fill="auto"/>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Budget Function/Sub-Function Code must be 3 numeric characters.  ex. 051</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Authoritative source:  </w:t>
            </w:r>
            <w:r w:rsidRPr="0049678A">
              <w:rPr>
                <w:rFonts w:ascii="Verdana" w:hAnsi="Verdana" w:cs="Arial"/>
                <w:bCs/>
                <w:color w:val="000000"/>
                <w:sz w:val="20"/>
                <w:szCs w:val="20"/>
              </w:rPr>
              <w:lastRenderedPageBreak/>
              <w:t>http://www.whitehouse.gov/omb/circulars/a11/current_year/a11_toc.html</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B1</w:t>
            </w:r>
          </w:p>
        </w:tc>
        <w:tc>
          <w:tcPr>
            <w:tcW w:w="8649" w:type="dxa"/>
            <w:shd w:val="clear" w:color="auto" w:fill="auto"/>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Budget Function/Sub-Function Code must be used for general ledger posting and financial reporting.</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B1</w:t>
            </w:r>
          </w:p>
        </w:tc>
        <w:tc>
          <w:tcPr>
            <w:tcW w:w="8649" w:type="dxa"/>
            <w:shd w:val="clear" w:color="auto" w:fill="auto"/>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maintain Budget Function/Sub-Function Code values at the lowest level.</w:t>
            </w:r>
          </w:p>
        </w:tc>
      </w:tr>
    </w:tbl>
    <w:p w:rsidR="00A10CDF" w:rsidRPr="0049678A" w:rsidRDefault="00A10CDF" w:rsidP="00A10CDF">
      <w:pPr>
        <w:pStyle w:val="Heading2"/>
        <w:rPr>
          <w:rFonts w:ascii="Verdana" w:hAnsi="Verdana"/>
          <w:sz w:val="20"/>
          <w:szCs w:val="20"/>
        </w:rPr>
      </w:pPr>
      <w:bookmarkStart w:id="118" w:name="_Toc290534863"/>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118"/>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119" w:name="_Toc290534864"/>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119"/>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FACT I &amp; II Derivation of Attributes</w:t>
            </w: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ABADRHELP</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BDGT_FUNC_CLSS</w:t>
            </w:r>
          </w:p>
        </w:tc>
      </w:tr>
      <w:tr w:rsidR="00A10CDF" w:rsidRPr="0049678A" w:rsidTr="004F7F27">
        <w:trPr>
          <w:trHeight w:val="242"/>
        </w:trPr>
        <w:tc>
          <w:tcPr>
            <w:tcW w:w="2268" w:type="dxa"/>
            <w:shd w:val="clear" w:color="auto" w:fill="EEECE1"/>
          </w:tcPr>
          <w:p w:rsidR="00A10CDF" w:rsidRPr="0049678A" w:rsidRDefault="00A10CDF" w:rsidP="004F7F27">
            <w:pPr>
              <w:spacing w:after="0" w:line="240" w:lineRule="auto"/>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
                <w:bCs/>
                <w:sz w:val="20"/>
                <w:szCs w:val="20"/>
                <w:u w:val="single"/>
              </w:rPr>
            </w:pPr>
            <w:r w:rsidRPr="0049678A">
              <w:rPr>
                <w:rFonts w:ascii="Verdana" w:hAnsi="Verdana"/>
                <w:sz w:val="20"/>
                <w:szCs w:val="20"/>
              </w:rPr>
              <w:t>None</w:t>
            </w:r>
          </w:p>
        </w:tc>
      </w:tr>
    </w:tbl>
    <w:p w:rsidR="00A10CDF" w:rsidRPr="0049678A" w:rsidRDefault="00A10CDF" w:rsidP="00A10CDF">
      <w:pPr>
        <w:pStyle w:val="Heading2"/>
        <w:rPr>
          <w:rFonts w:ascii="Verdana" w:hAnsi="Verdana"/>
          <w:sz w:val="20"/>
          <w:szCs w:val="20"/>
        </w:rPr>
      </w:pPr>
      <w:bookmarkStart w:id="120" w:name="_Toc290534865"/>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“Budget Function/Sub-Function” FMUSFG1</w:t>
      </w:r>
      <w:bookmarkEnd w:id="120"/>
    </w:p>
    <w:p w:rsidR="00A10CDF" w:rsidRPr="0049678A" w:rsidRDefault="00A10CDF" w:rsidP="00A10CDF">
      <w:pPr>
        <w:spacing w:after="0" w:line="240" w:lineRule="auto"/>
        <w:rPr>
          <w:rFonts w:ascii="Verdana" w:hAnsi="Verdana"/>
          <w:sz w:val="20"/>
          <w:szCs w:val="20"/>
        </w:rPr>
      </w:pPr>
    </w:p>
    <w:p w:rsidR="00A10CDF" w:rsidRPr="0049678A" w:rsidRDefault="00A10CDF" w:rsidP="00A10CDF">
      <w:pPr>
        <w:spacing w:line="240" w:lineRule="auto"/>
        <w:rPr>
          <w:rFonts w:ascii="Verdana" w:hAnsi="Verdana"/>
          <w:sz w:val="20"/>
          <w:szCs w:val="20"/>
        </w:rPr>
      </w:pPr>
      <w:r w:rsidRPr="0049678A">
        <w:rPr>
          <w:rFonts w:ascii="Verdana" w:hAnsi="Verdana"/>
          <w:noProof/>
          <w:sz w:val="20"/>
          <w:szCs w:val="20"/>
        </w:rPr>
        <w:drawing>
          <wp:inline distT="0" distB="0" distL="0" distR="0">
            <wp:extent cx="5943600" cy="1247775"/>
            <wp:effectExtent l="0" t="0" r="0" b="9525"/>
            <wp:docPr id="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247775"/>
                    </a:xfrm>
                    <a:prstGeom prst="rect">
                      <a:avLst/>
                    </a:prstGeom>
                    <a:noFill/>
                    <a:ln>
                      <a:noFill/>
                    </a:ln>
                  </pic:spPr>
                </pic:pic>
              </a:graphicData>
            </a:graphic>
          </wp:inline>
        </w:drawing>
      </w:r>
    </w:p>
    <w:p w:rsidR="00A10CDF" w:rsidRPr="0049678A" w:rsidRDefault="00402381" w:rsidP="00A10CDF">
      <w:pPr>
        <w:spacing w:line="240" w:lineRule="auto"/>
        <w:rPr>
          <w:rFonts w:ascii="Verdana" w:hAnsi="Verdana"/>
          <w:sz w:val="20"/>
          <w:szCs w:val="20"/>
        </w:rPr>
      </w:pPr>
      <w:r>
        <w:rPr>
          <w:rFonts w:ascii="Verdana" w:hAnsi="Verdana"/>
          <w:noProof/>
          <w:sz w:val="20"/>
          <w:szCs w:val="20"/>
        </w:rPr>
        <w:pict>
          <v:oval id="Oval 66" o:spid="_x0000_s1046" style="position:absolute;margin-left:-.15pt;margin-top:68.85pt;width:413.25pt;height:22.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" strokecolor="red" strokeweight="1.5pt">
            <v:fill opacity="4626f"/>
          </v:oval>
        </w:pict>
      </w:r>
      <w:r w:rsidR="00A10CDF" w:rsidRPr="0049678A">
        <w:rPr>
          <w:rFonts w:ascii="Verdana" w:hAnsi="Verdana"/>
          <w:noProof/>
          <w:sz w:val="20"/>
          <w:szCs w:val="20"/>
        </w:rPr>
        <w:drawing>
          <wp:inline distT="0" distB="0" distL="0" distR="0">
            <wp:extent cx="5942603" cy="1297172"/>
            <wp:effectExtent l="0" t="0" r="127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5943600" cy="1297390"/>
                    </a:xfrm>
                    <a:prstGeom prst="rect">
                      <a:avLst/>
                    </a:prstGeom>
                  </pic:spPr>
                </pic:pic>
              </a:graphicData>
            </a:graphic>
          </wp:inline>
        </w:drawing>
      </w: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21" w:name="_Toc293321435"/>
      <w:r w:rsidRPr="0049678A">
        <w:rPr>
          <w:rFonts w:ascii="Verdana" w:hAnsi="Verdana"/>
          <w:sz w:val="20"/>
          <w:szCs w:val="20"/>
        </w:rPr>
        <w:lastRenderedPageBreak/>
        <w:t>B2 - Budget Activity Identifier</w:t>
      </w:r>
      <w:bookmarkEnd w:id="121"/>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B2 - Budget Activity Identifier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2</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Budget Program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 xml:space="preserve">Budget activity represents the first level of sub-division classification of the Budget and Fiscal Accounting Classifications. This subdivision represents the required </w:t>
            </w:r>
            <w:proofErr w:type="spellStart"/>
            <w:r w:rsidRPr="0049678A">
              <w:rPr>
                <w:rFonts w:ascii="Verdana" w:hAnsi="Verdana"/>
                <w:color w:val="000000"/>
                <w:sz w:val="20"/>
                <w:szCs w:val="20"/>
              </w:rPr>
              <w:t>DoD</w:t>
            </w:r>
            <w:proofErr w:type="spellEnd"/>
            <w:r w:rsidRPr="0049678A">
              <w:rPr>
                <w:rFonts w:ascii="Verdana" w:hAnsi="Verdana"/>
                <w:color w:val="000000"/>
                <w:sz w:val="20"/>
                <w:szCs w:val="20"/>
              </w:rPr>
              <w:t xml:space="preserve"> grouping and arrangement of appropriation and other fund accounts for budgetary and fiscal presentations.  These budget and fiscal account classifications are included as integral </w:t>
            </w:r>
            <w:proofErr w:type="spellStart"/>
            <w:r w:rsidRPr="0049678A">
              <w:rPr>
                <w:rFonts w:ascii="Verdana" w:hAnsi="Verdana"/>
                <w:color w:val="000000"/>
                <w:sz w:val="20"/>
                <w:szCs w:val="20"/>
              </w:rPr>
              <w:t>DoD</w:t>
            </w:r>
            <w:proofErr w:type="spellEnd"/>
            <w:r w:rsidRPr="0049678A">
              <w:rPr>
                <w:rFonts w:ascii="Verdana" w:hAnsi="Verdana"/>
                <w:color w:val="000000"/>
                <w:sz w:val="20"/>
                <w:szCs w:val="20"/>
              </w:rPr>
              <w:t xml:space="preserve"> codification of appropriation / fund accounts.</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PROCUREMENT uses "BA Code"- i.e. 01 Aircraft</w:t>
            </w:r>
          </w:p>
          <w:p w:rsidR="00A10CDF" w:rsidRPr="0049678A" w:rsidRDefault="00A10CDF" w:rsidP="004F7F27">
            <w:pPr>
              <w:pStyle w:val="NoSpacing"/>
              <w:rPr>
                <w:rFonts w:ascii="Verdana" w:hAnsi="Verdana"/>
                <w:sz w:val="20"/>
                <w:szCs w:val="20"/>
              </w:rPr>
            </w:pPr>
            <w:r w:rsidRPr="0049678A">
              <w:rPr>
                <w:rFonts w:ascii="Verdana" w:hAnsi="Verdana"/>
                <w:sz w:val="20"/>
                <w:szCs w:val="20"/>
              </w:rPr>
              <w:t>RDT&amp;E uses "BA Code"- i.e. 07 Operational Systems Development</w:t>
            </w:r>
          </w:p>
          <w:p w:rsidR="00A10CDF" w:rsidRPr="0049678A" w:rsidRDefault="00A10CDF" w:rsidP="004F7F27">
            <w:pPr>
              <w:pStyle w:val="NoSpacing"/>
              <w:rPr>
                <w:rFonts w:ascii="Verdana" w:hAnsi="Verdana"/>
                <w:sz w:val="20"/>
                <w:szCs w:val="20"/>
              </w:rPr>
            </w:pPr>
            <w:r w:rsidRPr="0049678A">
              <w:rPr>
                <w:rFonts w:ascii="Verdana" w:hAnsi="Verdana"/>
                <w:sz w:val="20"/>
                <w:szCs w:val="20"/>
              </w:rPr>
              <w:t>MILCON uses "Major Construction Type"- i.e. 01 New Construction</w:t>
            </w:r>
          </w:p>
          <w:p w:rsidR="00A10CDF" w:rsidRPr="0049678A" w:rsidRDefault="00A10CDF" w:rsidP="004F7F27">
            <w:pPr>
              <w:pStyle w:val="NoSpacing"/>
              <w:rPr>
                <w:rFonts w:ascii="Verdana" w:hAnsi="Verdana"/>
                <w:sz w:val="20"/>
                <w:szCs w:val="20"/>
              </w:rPr>
            </w:pPr>
            <w:r w:rsidRPr="0049678A">
              <w:rPr>
                <w:rFonts w:ascii="Verdana" w:hAnsi="Verdana"/>
                <w:sz w:val="20"/>
                <w:szCs w:val="20"/>
              </w:rPr>
              <w:t>O&amp;M uses "BA Code"- i.e. 01 Operating Forces</w:t>
            </w:r>
          </w:p>
          <w:p w:rsidR="00A10CDF" w:rsidRPr="0049678A" w:rsidRDefault="00A10CDF" w:rsidP="004F7F27">
            <w:pPr>
              <w:pStyle w:val="NoSpacing"/>
              <w:rPr>
                <w:rFonts w:ascii="Verdana" w:hAnsi="Verdana"/>
                <w:sz w:val="20"/>
                <w:szCs w:val="20"/>
              </w:rPr>
            </w:pPr>
            <w:r w:rsidRPr="0049678A">
              <w:rPr>
                <w:rFonts w:ascii="Verdana" w:hAnsi="Verdana"/>
                <w:sz w:val="20"/>
                <w:szCs w:val="20"/>
              </w:rPr>
              <w:t>MILPERS uses "Pay Type" -  i.e. 01 Pay and Allowance of Officers</w:t>
            </w:r>
          </w:p>
          <w:p w:rsidR="00A10CDF" w:rsidRPr="0049678A" w:rsidRDefault="00A10CDF" w:rsidP="004F7F27">
            <w:pPr>
              <w:pStyle w:val="NoSpacing"/>
              <w:rPr>
                <w:rFonts w:ascii="Verdana" w:hAnsi="Verdana"/>
                <w:sz w:val="20"/>
                <w:szCs w:val="20"/>
              </w:rPr>
            </w:pPr>
            <w:r w:rsidRPr="0049678A">
              <w:rPr>
                <w:rFonts w:ascii="Verdana" w:hAnsi="Verdana"/>
                <w:sz w:val="20"/>
                <w:szCs w:val="20"/>
              </w:rPr>
              <w:t>WCF uses "Business Line" - i.e. 01 Financial Operations Business Area</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If the subdivision of master data in the Customizing of </w:t>
            </w:r>
            <w:r w:rsidRPr="0049678A">
              <w:rPr>
                <w:rStyle w:val="Emphasis"/>
                <w:rFonts w:ascii="Verdana" w:hAnsi="Verdana" w:cs="Arial"/>
                <w:b w:val="0"/>
                <w:i w:val="0"/>
                <w:color w:val="000000"/>
                <w:sz w:val="20"/>
                <w:szCs w:val="20"/>
              </w:rPr>
              <w:t>Funds Management Government</w:t>
            </w:r>
            <w:r w:rsidRPr="0049678A">
              <w:rPr>
                <w:rFonts w:ascii="Verdana" w:hAnsi="Verdana"/>
                <w:sz w:val="20"/>
                <w:szCs w:val="20"/>
              </w:rPr>
              <w:t xml:space="preserve"> is active, you can subdivide your master data into several fields, so-called substrings.</w:t>
            </w:r>
          </w:p>
          <w:p w:rsidR="00A10CDF" w:rsidRPr="0049678A" w:rsidRDefault="00A10CDF" w:rsidP="004F7F27">
            <w:pPr>
              <w:pStyle w:val="NoSpacing"/>
              <w:rPr>
                <w:rFonts w:ascii="Verdana" w:hAnsi="Verdana"/>
                <w:sz w:val="20"/>
                <w:szCs w:val="20"/>
              </w:rPr>
            </w:pPr>
          </w:p>
          <w:p w:rsidR="00A10CDF" w:rsidRPr="0049678A" w:rsidRDefault="00A10CDF" w:rsidP="004F7F27">
            <w:pPr>
              <w:pStyle w:val="NoSpacing"/>
              <w:rPr>
                <w:rFonts w:ascii="Verdana" w:hAnsi="Verdana"/>
                <w:sz w:val="20"/>
                <w:szCs w:val="20"/>
              </w:rPr>
            </w:pPr>
            <w:r w:rsidRPr="0049678A">
              <w:rPr>
                <w:rFonts w:ascii="Verdana" w:hAnsi="Verdana"/>
                <w:sz w:val="20"/>
                <w:szCs w:val="20"/>
              </w:rPr>
              <w:t>By subdividing master data, you can provide a meaningful and clear structure for the account assignment elements used in your organization. In this field, you enter the value of a master data substring. Use the corresponding transactions to create your master data, in which you can then fit together the substrings created beforehand</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spacing w:after="0" w:line="240" w:lineRule="auto"/>
        <w:rPr>
          <w:rFonts w:ascii="Verdana" w:hAnsi="Verdana"/>
          <w:sz w:val="20"/>
          <w:szCs w:val="20"/>
        </w:rPr>
      </w:pPr>
    </w:p>
    <w:p w:rsidR="00A10CDF" w:rsidRPr="0049678A" w:rsidRDefault="00A10CDF" w:rsidP="00A10CDF">
      <w:pPr>
        <w:pStyle w:val="Heading2"/>
        <w:rPr>
          <w:rFonts w:ascii="Verdana" w:hAnsi="Verdana"/>
          <w:sz w:val="20"/>
          <w:szCs w:val="20"/>
        </w:rPr>
      </w:pPr>
      <w:bookmarkStart w:id="122" w:name="_Toc290534866"/>
      <w:r w:rsidRPr="0049678A">
        <w:rPr>
          <w:rFonts w:ascii="Verdana" w:hAnsi="Verdana"/>
          <w:sz w:val="20"/>
          <w:szCs w:val="20"/>
        </w:rPr>
        <w:t>BUSINESS RULES</w:t>
      </w:r>
      <w:bookmarkEnd w:id="122"/>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8649"/>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rPr>
          <w:trHeight w:val="872"/>
        </w:trPr>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B2</w:t>
            </w:r>
          </w:p>
        </w:tc>
        <w:tc>
          <w:tcPr>
            <w:tcW w:w="8649" w:type="dxa"/>
            <w:shd w:val="clear" w:color="auto" w:fill="auto"/>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Budget Activity Identifier must be 2 numeric characters.  ex. 01</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Authoritative source:  http://comptroller.defense.gov/Budget2011.html</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B2</w:t>
            </w:r>
          </w:p>
        </w:tc>
        <w:tc>
          <w:tcPr>
            <w:tcW w:w="8649" w:type="dxa"/>
            <w:shd w:val="clear" w:color="auto" w:fill="auto"/>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Budget Activity Identifier must be used for financial reporting, budgetary control, and funds control.  </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B2</w:t>
            </w:r>
          </w:p>
        </w:tc>
        <w:tc>
          <w:tcPr>
            <w:tcW w:w="8649" w:type="dxa"/>
            <w:shd w:val="clear" w:color="auto" w:fill="auto"/>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maintain Budget Activity Identifier values.</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B2</w:t>
            </w:r>
          </w:p>
        </w:tc>
        <w:tc>
          <w:tcPr>
            <w:tcW w:w="8649" w:type="dxa"/>
            <w:shd w:val="clear" w:color="auto" w:fill="auto"/>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 Budget Activity Identifier must be associated to the accounting classification structure when the appropriation is signed by the President and will be maintained until available funding has been canceled.</w:t>
            </w:r>
          </w:p>
        </w:tc>
      </w:tr>
    </w:tbl>
    <w:p w:rsidR="00A10CDF" w:rsidRPr="0049678A" w:rsidRDefault="00A10CDF" w:rsidP="00A10CDF">
      <w:pPr>
        <w:pStyle w:val="Heading2"/>
        <w:rPr>
          <w:rFonts w:ascii="Verdana" w:hAnsi="Verdana"/>
          <w:sz w:val="20"/>
          <w:szCs w:val="20"/>
        </w:rPr>
      </w:pPr>
      <w:bookmarkStart w:id="123" w:name="_Toc290534867"/>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123"/>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124" w:name="_Toc290534868"/>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lastRenderedPageBreak/>
        <w:t>PROCESS WALKTHRU</w:t>
      </w:r>
      <w:bookmarkEnd w:id="124"/>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Accounting-Public Sector Management-Funds Management-Master Data-Functional Area-FM-FUNCTION - Process Functional Area</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FM_FUNCTION</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FMFKBER_SUBSTRING</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FNSUB1</w:t>
            </w:r>
          </w:p>
        </w:tc>
      </w:tr>
      <w:tr w:rsidR="00A10CDF" w:rsidRPr="0049678A" w:rsidTr="004F7F27">
        <w:trPr>
          <w:trHeight w:val="242"/>
        </w:trPr>
        <w:tc>
          <w:tcPr>
            <w:tcW w:w="2268" w:type="dxa"/>
            <w:shd w:val="clear" w:color="auto" w:fill="EEECE1"/>
          </w:tcPr>
          <w:p w:rsidR="00A10CDF" w:rsidRPr="0049678A" w:rsidRDefault="00A10CDF" w:rsidP="004F7F27">
            <w:pPr>
              <w:spacing w:after="0" w:line="240" w:lineRule="auto"/>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
                <w:bCs/>
                <w:sz w:val="20"/>
                <w:szCs w:val="20"/>
                <w:u w:val="single"/>
              </w:rPr>
            </w:pPr>
            <w:r w:rsidRPr="0049678A">
              <w:rPr>
                <w:rFonts w:ascii="Verdana" w:hAnsi="Verdana"/>
                <w:sz w:val="20"/>
                <w:szCs w:val="20"/>
              </w:rPr>
              <w:t>None</w:t>
            </w:r>
          </w:p>
        </w:tc>
      </w:tr>
    </w:tbl>
    <w:p w:rsidR="00A10CDF" w:rsidRPr="0049678A" w:rsidRDefault="00A10CDF" w:rsidP="00A10CDF">
      <w:pPr>
        <w:pStyle w:val="Heading2"/>
        <w:rPr>
          <w:rFonts w:ascii="Verdana" w:hAnsi="Verdana"/>
          <w:sz w:val="20"/>
          <w:szCs w:val="20"/>
        </w:rPr>
      </w:pPr>
      <w:bookmarkStart w:id="125" w:name="_Toc290534869"/>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“Budget Activity Identifier” Display Functional Area</w:t>
      </w:r>
      <w:bookmarkEnd w:id="125"/>
    </w:p>
    <w:p w:rsidR="00A10CDF" w:rsidRPr="0049678A" w:rsidRDefault="00A10CDF" w:rsidP="00A10CDF">
      <w:pPr>
        <w:spacing w:after="0" w:line="240" w:lineRule="auto"/>
        <w:rPr>
          <w:rFonts w:ascii="Verdana" w:hAnsi="Verdana"/>
          <w:sz w:val="20"/>
          <w:szCs w:val="20"/>
        </w:rPr>
      </w:pPr>
    </w:p>
    <w:p w:rsidR="00A10CDF" w:rsidRPr="0049678A" w:rsidRDefault="00A10CDF" w:rsidP="00A10CDF">
      <w:pPr>
        <w:spacing w:line="240" w:lineRule="auto"/>
        <w:rPr>
          <w:rFonts w:ascii="Verdana" w:hAnsi="Verdana"/>
          <w:noProof/>
          <w:sz w:val="20"/>
          <w:szCs w:val="20"/>
        </w:rPr>
      </w:pPr>
      <w:r w:rsidRPr="0049678A">
        <w:rPr>
          <w:rFonts w:ascii="Verdana" w:hAnsi="Verdana"/>
          <w:noProof/>
          <w:sz w:val="20"/>
          <w:szCs w:val="20"/>
        </w:rPr>
        <w:drawing>
          <wp:inline distT="0" distB="0" distL="0" distR="0">
            <wp:extent cx="5943600" cy="2390775"/>
            <wp:effectExtent l="0" t="0" r="0" b="9525"/>
            <wp:docPr id="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390775"/>
                    </a:xfrm>
                    <a:prstGeom prst="rect">
                      <a:avLst/>
                    </a:prstGeom>
                    <a:noFill/>
                    <a:ln>
                      <a:noFill/>
                    </a:ln>
                  </pic:spPr>
                </pic:pic>
              </a:graphicData>
            </a:graphic>
          </wp:inline>
        </w:drawing>
      </w:r>
    </w:p>
    <w:p w:rsidR="00A10CDF" w:rsidRPr="0049678A" w:rsidRDefault="00402381" w:rsidP="00A10CDF">
      <w:pPr>
        <w:spacing w:line="240" w:lineRule="auto"/>
        <w:rPr>
          <w:rFonts w:ascii="Verdana" w:hAnsi="Verdana"/>
          <w:noProof/>
          <w:sz w:val="20"/>
          <w:szCs w:val="20"/>
        </w:rPr>
      </w:pPr>
      <w:r>
        <w:rPr>
          <w:rFonts w:ascii="Verdana" w:hAnsi="Verdana"/>
          <w:noProof/>
          <w:sz w:val="20"/>
          <w:szCs w:val="20"/>
        </w:rPr>
        <w:pict>
          <v:oval id="Oval 70" o:spid="_x0000_s1048" style="position:absolute;margin-left:235.25pt;margin-top:57.9pt;width:64.45pt;height:25.1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" strokecolor="red" strokeweight="1.5pt">
            <v:fill opacity="4626f"/>
          </v:oval>
        </w:pict>
      </w:r>
      <w:r w:rsidR="00A10CDF" w:rsidRPr="0049678A">
        <w:rPr>
          <w:rFonts w:ascii="Verdana" w:hAnsi="Verdana"/>
          <w:noProof/>
          <w:sz w:val="20"/>
          <w:szCs w:val="20"/>
        </w:rPr>
        <w:drawing>
          <wp:inline distT="0" distB="0" distL="0" distR="0">
            <wp:extent cx="5943600" cy="1666875"/>
            <wp:effectExtent l="0" t="0" r="0" b="9525"/>
            <wp:docPr id="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666875"/>
                    </a:xfrm>
                    <a:prstGeom prst="rect">
                      <a:avLst/>
                    </a:prstGeom>
                    <a:noFill/>
                    <a:ln>
                      <a:noFill/>
                    </a:ln>
                  </pic:spPr>
                </pic:pic>
              </a:graphicData>
            </a:graphic>
          </wp:inline>
        </w:drawing>
      </w:r>
    </w:p>
    <w:p w:rsidR="00A10CDF" w:rsidRPr="0049678A" w:rsidRDefault="00A10CDF" w:rsidP="00A10CDF">
      <w:pPr>
        <w:spacing w:after="0" w:line="240" w:lineRule="auto"/>
        <w:rPr>
          <w:rFonts w:ascii="Verdana" w:hAnsi="Verdana"/>
          <w:smallCaps/>
          <w:spacing w:val="5"/>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26" w:name="_Toc293321436"/>
      <w:r w:rsidRPr="0049678A">
        <w:rPr>
          <w:rFonts w:ascii="Verdana" w:hAnsi="Verdana"/>
          <w:sz w:val="20"/>
          <w:szCs w:val="20"/>
        </w:rPr>
        <w:lastRenderedPageBreak/>
        <w:t>B3 - Budget Sub Activity Identifier</w:t>
      </w:r>
      <w:bookmarkEnd w:id="126"/>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B3 - Budget Sub Activity Identifier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6</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Budget Program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 xml:space="preserve">Identifies further sub-divisions of the Treasury Account Fund Symbol below the Budget Activity Level.  </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PROCUREMENT uses "BSA Code"- i.e. 10 Fixed Wing</w:t>
            </w:r>
          </w:p>
          <w:p w:rsidR="00A10CDF" w:rsidRPr="0049678A" w:rsidRDefault="00A10CDF" w:rsidP="004F7F27">
            <w:pPr>
              <w:pStyle w:val="NoSpacing"/>
              <w:rPr>
                <w:rFonts w:ascii="Verdana" w:hAnsi="Verdana"/>
                <w:sz w:val="20"/>
                <w:szCs w:val="20"/>
              </w:rPr>
            </w:pPr>
            <w:r w:rsidRPr="0049678A">
              <w:rPr>
                <w:rFonts w:ascii="Verdana" w:hAnsi="Verdana"/>
                <w:sz w:val="20"/>
                <w:szCs w:val="20"/>
              </w:rPr>
              <w:t>RDT&amp;E does not use BSA</w:t>
            </w:r>
          </w:p>
          <w:p w:rsidR="00A10CDF" w:rsidRPr="0049678A" w:rsidRDefault="00A10CDF" w:rsidP="004F7F27">
            <w:pPr>
              <w:pStyle w:val="NoSpacing"/>
              <w:rPr>
                <w:rFonts w:ascii="Verdana" w:hAnsi="Verdana"/>
                <w:sz w:val="20"/>
                <w:szCs w:val="20"/>
              </w:rPr>
            </w:pPr>
            <w:r w:rsidRPr="0049678A">
              <w:rPr>
                <w:rFonts w:ascii="Verdana" w:hAnsi="Verdana"/>
                <w:sz w:val="20"/>
                <w:szCs w:val="20"/>
              </w:rPr>
              <w:t>MILCON does not use BSA</w:t>
            </w:r>
          </w:p>
          <w:p w:rsidR="00A10CDF" w:rsidRPr="0049678A" w:rsidRDefault="00A10CDF" w:rsidP="004F7F27">
            <w:pPr>
              <w:pStyle w:val="NoSpacing"/>
              <w:rPr>
                <w:rFonts w:ascii="Verdana" w:hAnsi="Verdana"/>
                <w:sz w:val="20"/>
                <w:szCs w:val="20"/>
              </w:rPr>
            </w:pPr>
            <w:r w:rsidRPr="0049678A">
              <w:rPr>
                <w:rFonts w:ascii="Verdana" w:hAnsi="Verdana"/>
                <w:sz w:val="20"/>
                <w:szCs w:val="20"/>
              </w:rPr>
              <w:t>O&amp;M uses "AG Code"- i.e. Land Forces</w:t>
            </w:r>
          </w:p>
          <w:p w:rsidR="00A10CDF" w:rsidRPr="0049678A" w:rsidRDefault="00A10CDF" w:rsidP="004F7F27">
            <w:pPr>
              <w:pStyle w:val="NoSpacing"/>
              <w:rPr>
                <w:rFonts w:ascii="Verdana" w:hAnsi="Verdana"/>
                <w:sz w:val="20"/>
                <w:szCs w:val="20"/>
              </w:rPr>
            </w:pPr>
            <w:r w:rsidRPr="0049678A">
              <w:rPr>
                <w:rFonts w:ascii="Verdana" w:hAnsi="Verdana"/>
                <w:sz w:val="20"/>
                <w:szCs w:val="20"/>
              </w:rPr>
              <w:t>MILPERS uses "Pay Type" -  i.e. 05 Basic Pay</w:t>
            </w:r>
          </w:p>
          <w:p w:rsidR="00A10CDF" w:rsidRPr="0049678A" w:rsidRDefault="00A10CDF" w:rsidP="004F7F27">
            <w:pPr>
              <w:pStyle w:val="NoSpacing"/>
              <w:rPr>
                <w:rFonts w:ascii="Verdana" w:hAnsi="Verdana"/>
                <w:sz w:val="20"/>
                <w:szCs w:val="20"/>
              </w:rPr>
            </w:pPr>
            <w:r w:rsidRPr="0049678A">
              <w:rPr>
                <w:rFonts w:ascii="Verdana" w:hAnsi="Verdana"/>
                <w:sz w:val="20"/>
                <w:szCs w:val="20"/>
              </w:rPr>
              <w:t>WCF uses "BSA" if needed</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127" w:name="_Toc290534870"/>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127"/>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8649"/>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B3</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Budget Sub Activity Identifier must be a maximum of 6 numeric characters.  ex. 05</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Authoritative source:  http://comptroller.defense.gov/Budget2011.html</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B3</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Budget Sub Activity Identifier must be used for financial reporting and funds control.  </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B3</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maintain Budget Sub Activity Identifier values.</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B3</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 Budget Sub Activity Identifier must be established in the accounting classification structure when the appropriation is signed by the President and will be maintained until available funding has been canceled.</w:t>
            </w:r>
          </w:p>
        </w:tc>
      </w:tr>
    </w:tbl>
    <w:p w:rsidR="00A10CDF" w:rsidRPr="0049678A" w:rsidRDefault="00A10CDF" w:rsidP="00A10CDF">
      <w:pPr>
        <w:pStyle w:val="Heading2"/>
        <w:rPr>
          <w:rFonts w:ascii="Verdana" w:hAnsi="Verdana"/>
          <w:sz w:val="20"/>
          <w:szCs w:val="20"/>
        </w:rPr>
      </w:pPr>
      <w:bookmarkStart w:id="128" w:name="_Toc290534871"/>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128"/>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129" w:name="_Toc290534872"/>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129"/>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Accounting-Public Sector Management-Funds Management-Master Data-Functional Area-FM-FUNCTION - Process Functional Area</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FM_FUNCTION</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FMFKBER_SUBSTRING</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FNSUB1</w:t>
            </w:r>
          </w:p>
        </w:tc>
      </w:tr>
      <w:tr w:rsidR="00A10CDF" w:rsidRPr="0049678A" w:rsidTr="004F7F27">
        <w:trPr>
          <w:trHeight w:val="242"/>
        </w:trPr>
        <w:tc>
          <w:tcPr>
            <w:tcW w:w="2268" w:type="dxa"/>
            <w:shd w:val="clear" w:color="auto" w:fill="EEECE1"/>
          </w:tcPr>
          <w:p w:rsidR="00A10CDF" w:rsidRPr="0049678A" w:rsidRDefault="00A10CDF" w:rsidP="004F7F27">
            <w:pPr>
              <w:spacing w:after="0" w:line="240" w:lineRule="auto"/>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
                <w:bCs/>
                <w:sz w:val="20"/>
                <w:szCs w:val="20"/>
                <w:u w:val="single"/>
              </w:rPr>
            </w:pPr>
            <w:r w:rsidRPr="0049678A">
              <w:rPr>
                <w:rFonts w:ascii="Verdana" w:hAnsi="Verdana"/>
                <w:sz w:val="20"/>
                <w:szCs w:val="20"/>
              </w:rPr>
              <w:t>None</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bookmarkStart w:id="130" w:name="_Toc290534873"/>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noProof/>
          <w:color w:val="auto"/>
          <w:sz w:val="20"/>
          <w:szCs w:val="20"/>
        </w:rPr>
      </w:pPr>
      <w:r w:rsidRPr="0049678A">
        <w:rPr>
          <w:rFonts w:ascii="Verdana" w:hAnsi="Verdana"/>
          <w:sz w:val="20"/>
          <w:szCs w:val="20"/>
        </w:rPr>
        <w:lastRenderedPageBreak/>
        <w:t xml:space="preserve">Screenshot:  </w:t>
      </w:r>
      <w:r w:rsidRPr="0049678A">
        <w:rPr>
          <w:rFonts w:ascii="Verdana" w:hAnsi="Verdana"/>
          <w:color w:val="auto"/>
          <w:sz w:val="20"/>
          <w:szCs w:val="20"/>
        </w:rPr>
        <w:t xml:space="preserve">Location of “Budget Sub Activity Identifier” </w:t>
      </w:r>
      <w:bookmarkEnd w:id="130"/>
      <w:r w:rsidRPr="0049678A">
        <w:rPr>
          <w:rFonts w:ascii="Verdana" w:hAnsi="Verdana"/>
          <w:color w:val="auto"/>
          <w:sz w:val="20"/>
          <w:szCs w:val="20"/>
        </w:rPr>
        <w:t xml:space="preserve">Display </w:t>
      </w:r>
      <w:r w:rsidRPr="0049678A">
        <w:rPr>
          <w:rStyle w:val="Heading3Char"/>
          <w:rFonts w:ascii="Verdana" w:hAnsi="Verdana"/>
          <w:iCs w:val="0"/>
          <w:smallCaps w:val="0"/>
          <w:color w:val="auto"/>
          <w:spacing w:val="0"/>
          <w:sz w:val="20"/>
          <w:szCs w:val="20"/>
        </w:rPr>
        <w:t>Field on Display Characteristics</w:t>
      </w:r>
      <w:r w:rsidRPr="0049678A">
        <w:rPr>
          <w:rFonts w:ascii="Verdana" w:hAnsi="Verdana"/>
          <w:i/>
          <w:color w:val="auto"/>
          <w:sz w:val="20"/>
          <w:szCs w:val="20"/>
        </w:rPr>
        <w:t xml:space="preserve"> </w:t>
      </w:r>
      <w:r w:rsidRPr="0049678A">
        <w:rPr>
          <w:rFonts w:ascii="Verdana" w:hAnsi="Verdana"/>
          <w:noProof/>
          <w:color w:val="auto"/>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pStyle w:val="Heading2"/>
        <w:rPr>
          <w:rFonts w:ascii="Verdana" w:hAnsi="Verdana"/>
          <w:noProof/>
          <w:sz w:val="20"/>
          <w:szCs w:val="20"/>
        </w:rPr>
      </w:pPr>
      <w:r w:rsidRPr="0049678A">
        <w:rPr>
          <w:rFonts w:ascii="Verdana" w:hAnsi="Verdana"/>
          <w:noProof/>
          <w:sz w:val="20"/>
          <w:szCs w:val="20"/>
        </w:rPr>
        <w:drawing>
          <wp:inline distT="0" distB="0" distL="0" distR="0">
            <wp:extent cx="5943600" cy="27527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5943600" cy="2752725"/>
                    </a:xfrm>
                    <a:prstGeom prst="rect">
                      <a:avLst/>
                    </a:prstGeom>
                  </pic:spPr>
                </pic:pic>
              </a:graphicData>
            </a:graphic>
          </wp:inline>
        </w:drawing>
      </w:r>
    </w:p>
    <w:p w:rsidR="00A10CDF" w:rsidRPr="0049678A" w:rsidRDefault="00402381" w:rsidP="00A10CDF">
      <w:pPr>
        <w:spacing w:line="240" w:lineRule="auto"/>
        <w:rPr>
          <w:rFonts w:ascii="Verdana" w:hAnsi="Verdana"/>
          <w:noProof/>
          <w:sz w:val="20"/>
          <w:szCs w:val="20"/>
        </w:rPr>
      </w:pPr>
      <w:r>
        <w:rPr>
          <w:rFonts w:ascii="Verdana" w:hAnsi="Verdana"/>
          <w:noProof/>
          <w:sz w:val="20"/>
          <w:szCs w:val="20"/>
        </w:rPr>
        <w:pict>
          <v:oval id="Oval 68" o:spid="_x0000_s1047" style="position:absolute;margin-left:12.75pt;margin-top:144.55pt;width:321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" strokecolor="red" strokeweight="1.5pt">
            <v:fill opacity="4626f"/>
          </v:oval>
        </w:pict>
      </w:r>
      <w:r w:rsidR="00A10CDF" w:rsidRPr="0049678A">
        <w:rPr>
          <w:rFonts w:ascii="Verdana" w:hAnsi="Verdana"/>
          <w:noProof/>
          <w:sz w:val="20"/>
          <w:szCs w:val="20"/>
        </w:rPr>
        <w:drawing>
          <wp:inline distT="0" distB="0" distL="0" distR="0">
            <wp:extent cx="5933370" cy="23145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5943600" cy="2318566"/>
                    </a:xfrm>
                    <a:prstGeom prst="rect">
                      <a:avLst/>
                    </a:prstGeom>
                  </pic:spPr>
                </pic:pic>
              </a:graphicData>
            </a:graphic>
          </wp:inline>
        </w:drawing>
      </w: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line="240" w:lineRule="auto"/>
        <w:rPr>
          <w:rFonts w:ascii="Verdana" w:hAnsi="Verdana"/>
          <w:noProof/>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31" w:name="_Toc293321437"/>
      <w:r w:rsidRPr="0049678A">
        <w:rPr>
          <w:rFonts w:ascii="Verdana" w:hAnsi="Verdana"/>
          <w:sz w:val="20"/>
          <w:szCs w:val="20"/>
        </w:rPr>
        <w:lastRenderedPageBreak/>
        <w:t>B4 - Budget Line Item Identifier</w:t>
      </w:r>
      <w:bookmarkEnd w:id="131"/>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B4 - Budget Line Item Identifier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16</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Budget Program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Identifies further sub-divisions of the Treasury Account Fund Symbol appropriation, below the Budget Sub Activity Level.</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PROCUREMENT uses "Weapons System Code"- i.e. 8485A11000 Utility Fixed Wing Cargo Aircraft</w:t>
            </w:r>
          </w:p>
          <w:p w:rsidR="00A10CDF" w:rsidRPr="0049678A" w:rsidRDefault="00A10CDF" w:rsidP="004F7F27">
            <w:pPr>
              <w:pStyle w:val="NoSpacing"/>
              <w:rPr>
                <w:rFonts w:ascii="Verdana" w:hAnsi="Verdana"/>
                <w:sz w:val="20"/>
                <w:szCs w:val="20"/>
              </w:rPr>
            </w:pPr>
            <w:r w:rsidRPr="0049678A">
              <w:rPr>
                <w:rFonts w:ascii="Verdana" w:hAnsi="Verdana"/>
                <w:sz w:val="20"/>
                <w:szCs w:val="20"/>
              </w:rPr>
              <w:t>RDT&amp;E uses "OSD Program Element" - i.e. BSA 0204136N F/A-18 Squadrons</w:t>
            </w:r>
          </w:p>
          <w:p w:rsidR="00A10CDF" w:rsidRPr="0049678A" w:rsidRDefault="00A10CDF" w:rsidP="004F7F27">
            <w:pPr>
              <w:pStyle w:val="NoSpacing"/>
              <w:rPr>
                <w:rFonts w:ascii="Verdana" w:hAnsi="Verdana"/>
                <w:sz w:val="20"/>
                <w:szCs w:val="20"/>
              </w:rPr>
            </w:pPr>
            <w:r w:rsidRPr="0049678A">
              <w:rPr>
                <w:rFonts w:ascii="Verdana" w:hAnsi="Verdana"/>
                <w:sz w:val="20"/>
                <w:szCs w:val="20"/>
              </w:rPr>
              <w:t>MILCON uses "Location &amp; Project" - i.e. 4962 05057041</w:t>
            </w:r>
          </w:p>
          <w:p w:rsidR="00A10CDF" w:rsidRPr="0049678A" w:rsidRDefault="00A10CDF" w:rsidP="004F7F27">
            <w:pPr>
              <w:pStyle w:val="NoSpacing"/>
              <w:rPr>
                <w:rFonts w:ascii="Verdana" w:hAnsi="Verdana"/>
                <w:sz w:val="20"/>
                <w:szCs w:val="20"/>
              </w:rPr>
            </w:pPr>
            <w:r w:rsidRPr="0049678A">
              <w:rPr>
                <w:rFonts w:ascii="Verdana" w:hAnsi="Verdana"/>
                <w:sz w:val="20"/>
                <w:szCs w:val="20"/>
              </w:rPr>
              <w:t>O&amp;M uses "SAG Code"- i.e. 020 Corps Combat Forces</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MILPERS uses "Pay Type" </w:t>
            </w:r>
          </w:p>
          <w:p w:rsidR="00A10CDF" w:rsidRPr="0049678A" w:rsidRDefault="00A10CDF" w:rsidP="004F7F27">
            <w:pPr>
              <w:pStyle w:val="NoSpacing"/>
              <w:rPr>
                <w:rFonts w:ascii="Verdana" w:hAnsi="Verdana"/>
                <w:sz w:val="20"/>
                <w:szCs w:val="20"/>
              </w:rPr>
            </w:pPr>
            <w:r w:rsidRPr="0049678A">
              <w:rPr>
                <w:rFonts w:ascii="Verdana" w:hAnsi="Verdana"/>
                <w:sz w:val="20"/>
                <w:szCs w:val="20"/>
              </w:rPr>
              <w:t>WCF uses "Activity" - i.e. Accounting-Navy</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spacing w:after="0" w:line="240" w:lineRule="auto"/>
        <w:rPr>
          <w:rFonts w:ascii="Verdana" w:hAnsi="Verdana"/>
          <w:sz w:val="20"/>
          <w:szCs w:val="20"/>
        </w:rPr>
      </w:pPr>
    </w:p>
    <w:p w:rsidR="00A10CDF" w:rsidRPr="0049678A" w:rsidRDefault="00A10CDF" w:rsidP="00A10CDF">
      <w:pPr>
        <w:pStyle w:val="Heading2"/>
        <w:rPr>
          <w:rFonts w:ascii="Verdana" w:hAnsi="Verdana"/>
          <w:sz w:val="20"/>
          <w:szCs w:val="20"/>
        </w:rPr>
      </w:pPr>
      <w:bookmarkStart w:id="132" w:name="_Toc290534874"/>
      <w:r w:rsidRPr="0049678A">
        <w:rPr>
          <w:rFonts w:ascii="Verdana" w:hAnsi="Verdana"/>
          <w:sz w:val="20"/>
          <w:szCs w:val="20"/>
        </w:rPr>
        <w:t>BUSINESS RULES</w:t>
      </w:r>
      <w:bookmarkEnd w:id="132"/>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8649"/>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B4</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Budget Line Item Identifier may be up to 16 alpha numeric characters.  ex. 4962 05057041</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Authoritative source:  http://comptroller.defense.gov/Budget2011.html</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B4</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Budget Line Item Identifier must be used for accounting classification, financial reporting, budgetary control, and funds control.  </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B4</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maintain Budget Line Item Identifier values.</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B4</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 Budget Line Item Identifier must be established in the accounting classification structure when the appropriation is signed by the President and will be maintained until available funding has been canceled.</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B4</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 Budget Line Item must be associated with at least one Program Code.</w:t>
            </w:r>
          </w:p>
        </w:tc>
      </w:tr>
    </w:tbl>
    <w:p w:rsidR="00A10CDF" w:rsidRPr="0049678A" w:rsidRDefault="00A10CDF" w:rsidP="00A10CDF">
      <w:pPr>
        <w:pStyle w:val="Heading2"/>
        <w:rPr>
          <w:rFonts w:ascii="Verdana" w:hAnsi="Verdana"/>
          <w:sz w:val="20"/>
          <w:szCs w:val="20"/>
        </w:rPr>
      </w:pPr>
      <w:bookmarkStart w:id="133" w:name="_Toc290534875"/>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133"/>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134" w:name="_Toc290534876"/>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134"/>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Accounting-Public Sector Management-Funds Management-Master Data-Functional Area-FM-FUNCTION - Process Functional Area</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FM_FUNCTION</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TFKB</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FKBER</w:t>
            </w:r>
          </w:p>
        </w:tc>
      </w:tr>
      <w:tr w:rsidR="00A10CDF" w:rsidRPr="0049678A" w:rsidTr="004F7F27">
        <w:tc>
          <w:tcPr>
            <w:tcW w:w="2268" w:type="dxa"/>
            <w:tcBorders>
              <w:right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top w:val="single" w:sz="4" w:space="0" w:color="auto"/>
              <w:left w:val="single" w:sz="4" w:space="0" w:color="auto"/>
              <w:bottom w:val="single" w:sz="4" w:space="0" w:color="auto"/>
              <w:right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c>
          <w:tcPr>
            <w:tcW w:w="1950" w:type="dxa"/>
            <w:tcBorders>
              <w:top w:val="single" w:sz="4" w:space="0" w:color="auto"/>
              <w:left w:val="nil"/>
              <w:bottom w:val="single" w:sz="4" w:space="0" w:color="auto"/>
              <w:right w:val="nil"/>
            </w:tcBorders>
            <w:shd w:val="clear" w:color="auto" w:fill="FFFFFF" w:themeFill="background1"/>
          </w:tcPr>
          <w:p w:rsidR="00A10CDF" w:rsidRPr="0049678A" w:rsidRDefault="00A10CDF" w:rsidP="004F7F27">
            <w:pPr>
              <w:spacing w:after="0" w:line="240" w:lineRule="auto"/>
              <w:jc w:val="right"/>
              <w:rPr>
                <w:rFonts w:ascii="Verdana" w:hAnsi="Verdana"/>
                <w:sz w:val="20"/>
                <w:szCs w:val="20"/>
              </w:rPr>
            </w:pPr>
          </w:p>
        </w:tc>
        <w:tc>
          <w:tcPr>
            <w:tcW w:w="2230" w:type="dxa"/>
            <w:tcBorders>
              <w:top w:val="single" w:sz="4" w:space="0" w:color="auto"/>
              <w:left w:val="nil"/>
              <w:bottom w:val="single" w:sz="4" w:space="0" w:color="auto"/>
              <w:right w:val="single" w:sz="4" w:space="0" w:color="auto"/>
            </w:tcBorders>
          </w:tcPr>
          <w:p w:rsidR="00A10CDF" w:rsidRPr="0049678A" w:rsidRDefault="00A10CDF" w:rsidP="004F7F27">
            <w:pPr>
              <w:spacing w:after="0" w:line="240" w:lineRule="auto"/>
              <w:rPr>
                <w:rFonts w:ascii="Verdana" w:hAnsi="Verdana"/>
                <w:color w:val="002060"/>
                <w:sz w:val="20"/>
                <w:szCs w:val="20"/>
              </w:rPr>
            </w:pPr>
          </w:p>
        </w:tc>
      </w:tr>
    </w:tbl>
    <w:p w:rsidR="00A10CDF" w:rsidRPr="0049678A" w:rsidRDefault="00A10CDF" w:rsidP="00A10CDF">
      <w:pPr>
        <w:pStyle w:val="Heading2"/>
        <w:rPr>
          <w:rFonts w:ascii="Verdana" w:hAnsi="Verdana"/>
          <w:sz w:val="20"/>
          <w:szCs w:val="20"/>
        </w:rPr>
      </w:pPr>
      <w:bookmarkStart w:id="135" w:name="_Toc290534877"/>
    </w:p>
    <w:p w:rsidR="00A10CDF" w:rsidRPr="0049678A" w:rsidRDefault="00A10CDF" w:rsidP="00A10CDF">
      <w:pPr>
        <w:pStyle w:val="Heading2"/>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lastRenderedPageBreak/>
        <w:t xml:space="preserve">Screenshot:  </w:t>
      </w:r>
      <w:r w:rsidRPr="0049678A">
        <w:rPr>
          <w:rFonts w:ascii="Verdana" w:hAnsi="Verdana"/>
          <w:color w:val="auto"/>
          <w:sz w:val="20"/>
          <w:szCs w:val="20"/>
        </w:rPr>
        <w:t>Location of “Budget Line Item Identifier” Display Field on Functional Area</w:t>
      </w:r>
      <w:bookmarkEnd w:id="135"/>
    </w:p>
    <w:p w:rsidR="00A10CDF" w:rsidRPr="0049678A" w:rsidRDefault="00A10CDF" w:rsidP="00A10CDF">
      <w:pPr>
        <w:spacing w:line="240" w:lineRule="auto"/>
        <w:rPr>
          <w:rFonts w:ascii="Verdana" w:hAnsi="Verdana"/>
          <w:sz w:val="20"/>
          <w:szCs w:val="20"/>
        </w:rPr>
      </w:pPr>
      <w:r w:rsidRPr="0049678A">
        <w:rPr>
          <w:rFonts w:ascii="Verdana" w:hAnsi="Verdana"/>
          <w:noProof/>
          <w:sz w:val="20"/>
          <w:szCs w:val="20"/>
        </w:rPr>
        <w:t xml:space="preserve"> </w:t>
      </w:r>
      <w:r w:rsidRPr="0049678A">
        <w:rPr>
          <w:rFonts w:ascii="Verdana" w:hAnsi="Verdana"/>
          <w:noProof/>
          <w:sz w:val="20"/>
          <w:szCs w:val="20"/>
        </w:rPr>
        <w:drawing>
          <wp:inline distT="0" distB="0" distL="0" distR="0">
            <wp:extent cx="5941569" cy="3114675"/>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stretch>
                      <a:fillRect/>
                    </a:stretch>
                  </pic:blipFill>
                  <pic:spPr>
                    <a:xfrm>
                      <a:off x="0" y="0"/>
                      <a:ext cx="5943600" cy="3115740"/>
                    </a:xfrm>
                    <a:prstGeom prst="rect">
                      <a:avLst/>
                    </a:prstGeom>
                  </pic:spPr>
                </pic:pic>
              </a:graphicData>
            </a:graphic>
          </wp:inline>
        </w:drawing>
      </w:r>
    </w:p>
    <w:p w:rsidR="00A10CDF" w:rsidRPr="0049678A" w:rsidRDefault="00402381" w:rsidP="00A10CDF">
      <w:pPr>
        <w:spacing w:line="240" w:lineRule="auto"/>
        <w:rPr>
          <w:rFonts w:ascii="Verdana" w:hAnsi="Verdana"/>
          <w:noProof/>
          <w:sz w:val="20"/>
          <w:szCs w:val="20"/>
        </w:rPr>
      </w:pPr>
      <w:r>
        <w:rPr>
          <w:rFonts w:ascii="Verdana" w:hAnsi="Verdana"/>
          <w:noProof/>
          <w:sz w:val="20"/>
          <w:szCs w:val="20"/>
        </w:rPr>
        <w:pict>
          <v:oval id="Oval 71" o:spid="_x0000_s1049" style="position:absolute;margin-left:4.5pt;margin-top:139.65pt;width:321pt;height:24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" strokecolor="red" strokeweight="1.5pt">
            <v:fill opacity="4626f"/>
          </v:oval>
        </w:pict>
      </w:r>
      <w:r w:rsidR="00A10CDF" w:rsidRPr="0049678A">
        <w:rPr>
          <w:rFonts w:ascii="Verdana" w:hAnsi="Verdana"/>
          <w:noProof/>
          <w:sz w:val="20"/>
          <w:szCs w:val="20"/>
        </w:rPr>
        <w:drawing>
          <wp:inline distT="0" distB="0" distL="0" distR="0">
            <wp:extent cx="5943600" cy="2609215"/>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tretch>
                      <a:fillRect/>
                    </a:stretch>
                  </pic:blipFill>
                  <pic:spPr>
                    <a:xfrm>
                      <a:off x="0" y="0"/>
                      <a:ext cx="5943600" cy="2609215"/>
                    </a:xfrm>
                    <a:prstGeom prst="rect">
                      <a:avLst/>
                    </a:prstGeom>
                  </pic:spPr>
                </pic:pic>
              </a:graphicData>
            </a:graphic>
          </wp:inline>
        </w:drawing>
      </w:r>
    </w:p>
    <w:p w:rsidR="00A10CDF" w:rsidRPr="0049678A" w:rsidRDefault="00A10CDF" w:rsidP="00A10CDF">
      <w:pPr>
        <w:pStyle w:val="Heading1"/>
        <w:rPr>
          <w:rFonts w:ascii="Verdana" w:hAnsi="Verdana"/>
          <w:sz w:val="20"/>
          <w:szCs w:val="20"/>
        </w:rPr>
      </w:pPr>
      <w:bookmarkStart w:id="136" w:name="_Toc290534878"/>
      <w:r w:rsidRPr="0049678A">
        <w:rPr>
          <w:rFonts w:ascii="Verdana" w:hAnsi="Verdana"/>
          <w:sz w:val="20"/>
          <w:szCs w:val="20"/>
        </w:rPr>
        <w:br w:type="page"/>
      </w:r>
      <w:bookmarkStart w:id="137" w:name="_Toc293321438"/>
      <w:r w:rsidRPr="0049678A">
        <w:rPr>
          <w:rFonts w:ascii="Verdana" w:hAnsi="Verdana"/>
          <w:sz w:val="20"/>
          <w:szCs w:val="20"/>
        </w:rPr>
        <w:lastRenderedPageBreak/>
        <w:t>B6 - Object Class Code</w:t>
      </w:r>
      <w:bookmarkEnd w:id="136"/>
      <w:bookmarkEnd w:id="137"/>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B6 - Object Class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3</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Budget Program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color w:val="000000"/>
                <w:sz w:val="20"/>
                <w:szCs w:val="20"/>
              </w:rPr>
            </w:pPr>
            <w:r w:rsidRPr="0049678A">
              <w:rPr>
                <w:rFonts w:ascii="Verdana" w:hAnsi="Verdana"/>
                <w:color w:val="000000"/>
                <w:sz w:val="20"/>
                <w:szCs w:val="20"/>
              </w:rPr>
              <w:t>Object classes are categories in a classification system that presents obligations by the items or services purchased by the Federal Government. These are the major object classes:</w:t>
            </w:r>
          </w:p>
          <w:p w:rsidR="00A10CDF" w:rsidRPr="0049678A" w:rsidRDefault="00A10CDF" w:rsidP="004F7F27">
            <w:pPr>
              <w:pStyle w:val="NoSpacing"/>
              <w:ind w:left="790" w:hanging="450"/>
              <w:rPr>
                <w:rFonts w:ascii="Verdana" w:hAnsi="Verdana"/>
                <w:color w:val="000000"/>
                <w:sz w:val="20"/>
                <w:szCs w:val="20"/>
              </w:rPr>
            </w:pPr>
            <w:r w:rsidRPr="0049678A">
              <w:rPr>
                <w:rFonts w:ascii="Verdana" w:hAnsi="Verdana"/>
                <w:color w:val="000000"/>
                <w:sz w:val="20"/>
                <w:szCs w:val="20"/>
              </w:rPr>
              <w:t>• 10 Personnel compensation and benefits.</w:t>
            </w:r>
          </w:p>
          <w:p w:rsidR="00A10CDF" w:rsidRPr="0049678A" w:rsidRDefault="00A10CDF" w:rsidP="004F7F27">
            <w:pPr>
              <w:pStyle w:val="NoSpacing"/>
              <w:ind w:left="790" w:hanging="450"/>
              <w:rPr>
                <w:rFonts w:ascii="Verdana" w:hAnsi="Verdana"/>
                <w:color w:val="000000"/>
                <w:sz w:val="20"/>
                <w:szCs w:val="20"/>
              </w:rPr>
            </w:pPr>
            <w:r w:rsidRPr="0049678A">
              <w:rPr>
                <w:rFonts w:ascii="Verdana" w:hAnsi="Verdana"/>
                <w:color w:val="000000"/>
                <w:sz w:val="20"/>
                <w:szCs w:val="20"/>
              </w:rPr>
              <w:t>• 20 Contractual services and supplies.</w:t>
            </w:r>
          </w:p>
          <w:p w:rsidR="00A10CDF" w:rsidRPr="0049678A" w:rsidRDefault="00A10CDF" w:rsidP="004F7F27">
            <w:pPr>
              <w:pStyle w:val="NoSpacing"/>
              <w:ind w:left="790" w:hanging="450"/>
              <w:rPr>
                <w:rFonts w:ascii="Verdana" w:hAnsi="Verdana"/>
                <w:color w:val="000000"/>
                <w:sz w:val="20"/>
                <w:szCs w:val="20"/>
              </w:rPr>
            </w:pPr>
            <w:r w:rsidRPr="0049678A">
              <w:rPr>
                <w:rFonts w:ascii="Verdana" w:hAnsi="Verdana"/>
                <w:color w:val="000000"/>
                <w:sz w:val="20"/>
                <w:szCs w:val="20"/>
              </w:rPr>
              <w:t>• 30 Acquisition of assets.</w:t>
            </w:r>
          </w:p>
          <w:p w:rsidR="00A10CDF" w:rsidRPr="0049678A" w:rsidRDefault="00A10CDF" w:rsidP="004F7F27">
            <w:pPr>
              <w:pStyle w:val="NoSpacing"/>
              <w:ind w:left="790" w:hanging="450"/>
              <w:rPr>
                <w:rFonts w:ascii="Verdana" w:hAnsi="Verdana"/>
                <w:color w:val="000000"/>
                <w:sz w:val="20"/>
                <w:szCs w:val="20"/>
              </w:rPr>
            </w:pPr>
            <w:r w:rsidRPr="0049678A">
              <w:rPr>
                <w:rFonts w:ascii="Verdana" w:hAnsi="Verdana"/>
                <w:color w:val="000000"/>
                <w:sz w:val="20"/>
                <w:szCs w:val="20"/>
              </w:rPr>
              <w:t>• 40 Grants and fixed charges.</w:t>
            </w:r>
          </w:p>
          <w:p w:rsidR="00A10CDF" w:rsidRPr="0049678A" w:rsidRDefault="00A10CDF" w:rsidP="004F7F27">
            <w:pPr>
              <w:pStyle w:val="NoSpacing"/>
              <w:ind w:left="790" w:hanging="450"/>
              <w:rPr>
                <w:rFonts w:ascii="Verdana" w:hAnsi="Verdana"/>
                <w:color w:val="000000"/>
                <w:sz w:val="20"/>
                <w:szCs w:val="20"/>
              </w:rPr>
            </w:pPr>
            <w:r w:rsidRPr="0049678A">
              <w:rPr>
                <w:rFonts w:ascii="Verdana" w:hAnsi="Verdana"/>
                <w:color w:val="000000"/>
                <w:sz w:val="20"/>
                <w:szCs w:val="20"/>
              </w:rPr>
              <w:t>• 90 Other.</w:t>
            </w:r>
          </w:p>
          <w:p w:rsidR="00A10CDF" w:rsidRPr="0049678A" w:rsidRDefault="00A10CDF" w:rsidP="004F7F27">
            <w:pPr>
              <w:pStyle w:val="NoSpacing"/>
              <w:rPr>
                <w:rFonts w:ascii="Verdana" w:hAnsi="Verdana"/>
                <w:color w:val="000000"/>
                <w:sz w:val="20"/>
                <w:szCs w:val="20"/>
              </w:rPr>
            </w:pPr>
          </w:p>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 xml:space="preserve">OMB divides these major classes into smaller classes and presents them in object class schedules.  The classes present obligations according to their initial purpose, not the end product or service.  For example, if you pay a Federal employee who constructs a building, classify the obligations for the employee’s wages under Personnel compensation and benefits, rather than Acquisition of assets.  If you purchase a building, classify the contractual obligations under Acquisition of assets.  </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Examples of major object classification codes, by code series:</w:t>
            </w:r>
          </w:p>
          <w:p w:rsidR="00A10CDF" w:rsidRPr="0049678A" w:rsidRDefault="00A10CDF" w:rsidP="004F7F27">
            <w:pPr>
              <w:pStyle w:val="NoSpacing"/>
              <w:rPr>
                <w:rFonts w:ascii="Verdana" w:hAnsi="Verdana"/>
                <w:sz w:val="20"/>
                <w:szCs w:val="20"/>
              </w:rPr>
            </w:pPr>
            <w:r w:rsidRPr="0049678A">
              <w:rPr>
                <w:rFonts w:ascii="Verdana" w:hAnsi="Verdana"/>
                <w:sz w:val="20"/>
                <w:szCs w:val="20"/>
              </w:rPr>
              <w:t>Series Code     Description</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(11-19)          Personnel compensation and benefits.</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11                 Personnel Compensation</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11.1         Full-Time Permanent (Civilian)</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11.3         Other Than Full Time Permanent</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11.5         Other Personnel Compensation</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11.7         Military Personnel</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11.8         Special Personal Services Payments</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11.9         Total Personnel Compensation</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12                 Personnel Benefits</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12.1          Civilian Personnel Benefits</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12.2          Military Personnel Benefits</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13                 Benefits of Former Personnel</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402381" w:rsidP="004F7F27">
            <w:pPr>
              <w:pStyle w:val="NoSpacing"/>
              <w:rPr>
                <w:rFonts w:ascii="Verdana" w:hAnsi="Verdana"/>
                <w:sz w:val="20"/>
                <w:szCs w:val="20"/>
              </w:rPr>
            </w:pPr>
            <w:hyperlink r:id="rId61" w:history="1">
              <w:r w:rsidR="00A10CDF" w:rsidRPr="0049678A">
                <w:rPr>
                  <w:rStyle w:val="Hyperlink"/>
                  <w:rFonts w:ascii="Verdana" w:hAnsi="Verdana" w:cs="Arial"/>
                  <w:bCs/>
                  <w:color w:val="000000" w:themeColor="text1"/>
                  <w:sz w:val="20"/>
                  <w:szCs w:val="20"/>
                </w:rPr>
                <w:t>Commitment items</w:t>
              </w:r>
            </w:hyperlink>
            <w:r w:rsidR="00A10CDF" w:rsidRPr="0049678A">
              <w:rPr>
                <w:rFonts w:ascii="Verdana" w:hAnsi="Verdana"/>
                <w:color w:val="000000" w:themeColor="text1"/>
                <w:sz w:val="20"/>
                <w:szCs w:val="20"/>
              </w:rPr>
              <w:t xml:space="preserve"> </w:t>
            </w:r>
            <w:r w:rsidR="00A10CDF" w:rsidRPr="0049678A">
              <w:rPr>
                <w:rFonts w:ascii="Verdana" w:hAnsi="Verdana"/>
                <w:sz w:val="20"/>
                <w:szCs w:val="20"/>
              </w:rPr>
              <w:t>reflect the functional structure of an organization in Funds Management.  You can enter budget for commitment items and can post to them.  When you enter postings in the Funds Management feeder systems and want the system to record the data in Funds Management, you must always specify a commitment item.</w:t>
            </w:r>
          </w:p>
          <w:p w:rsidR="00A10CDF" w:rsidRPr="0049678A" w:rsidRDefault="00A10CDF" w:rsidP="004F7F27">
            <w:pPr>
              <w:pStyle w:val="NoSpacing"/>
              <w:rPr>
                <w:rFonts w:ascii="Verdana" w:hAnsi="Verdana"/>
                <w:sz w:val="20"/>
                <w:szCs w:val="20"/>
              </w:rPr>
            </w:pPr>
            <w:r w:rsidRPr="0049678A">
              <w:rPr>
                <w:rFonts w:ascii="Verdana" w:hAnsi="Verdana"/>
                <w:sz w:val="20"/>
                <w:szCs w:val="20"/>
              </w:rPr>
              <w:t>In the posting transaction, the system uses the link between the commitment item and the basic data in other components to derive the commitment item. You do not need to enter one manually.</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spacing w:line="240" w:lineRule="auto"/>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8649"/>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rPr>
          <w:trHeight w:val="845"/>
        </w:trPr>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lastRenderedPageBreak/>
              <w:t>B6</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The Office of Management and Budget (OMB) designated object classification codes must be used when posting general ledger transaction to record the effect of budgetary expenditures.</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B6</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Object Class Codes must be used to present obligations by the items or services purchased by the Federal Government.</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B6</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Object Class Code must be 3 numeric characters.  (For example 117 - to represent 11.7 as identified on the OMB Circular).</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Authoritative source:  http://www.whitehouse.gov/omb/circulars/a11/current_year/a11_toc.html</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B6</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Object Class Code must be used for financial reporting.  </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B6</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maintain Object Class Code values.</w:t>
            </w:r>
          </w:p>
        </w:tc>
      </w:tr>
    </w:tbl>
    <w:p w:rsidR="00A10CDF" w:rsidRPr="0049678A" w:rsidRDefault="00A10CDF" w:rsidP="00A10CDF">
      <w:pPr>
        <w:spacing w:after="0" w:line="240" w:lineRule="auto"/>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rPr>
          <w:trHeight w:val="602"/>
        </w:trPr>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spacing w:after="0" w:line="240" w:lineRule="auto"/>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Funds &amp; Classification </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 - Public Sector Management - Funds Management- Master Data- Account Assignment Element- Commitment Item-Individual Processing</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FMCIA &amp; CT04</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IFMCIDY&amp; CAWN</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FIPEX &amp; ATWRT</w:t>
            </w:r>
          </w:p>
        </w:tc>
      </w:tr>
      <w:tr w:rsidR="00A10CDF" w:rsidRPr="0049678A" w:rsidTr="004F7F27">
        <w:tc>
          <w:tcPr>
            <w:tcW w:w="2268" w:type="dxa"/>
            <w:tcBorders>
              <w:bottom w:val="single" w:sz="4" w:space="0" w:color="auto"/>
              <w:right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top w:val="single" w:sz="4" w:space="0" w:color="auto"/>
              <w:left w:val="single" w:sz="4" w:space="0" w:color="auto"/>
              <w:bottom w:val="single" w:sz="4" w:space="0" w:color="auto"/>
              <w:right w:val="nil"/>
            </w:tcBorders>
            <w:shd w:val="clear" w:color="auto" w:fill="FFFFFF" w:themeFill="background1"/>
          </w:tcPr>
          <w:p w:rsidR="00A10CDF" w:rsidRPr="0049678A" w:rsidRDefault="00A10CDF" w:rsidP="004F7F27">
            <w:pPr>
              <w:spacing w:after="0" w:line="240" w:lineRule="auto"/>
              <w:rPr>
                <w:rFonts w:ascii="Verdana" w:hAnsi="Verdana"/>
                <w:sz w:val="20"/>
                <w:szCs w:val="20"/>
              </w:rPr>
            </w:pPr>
          </w:p>
        </w:tc>
        <w:tc>
          <w:tcPr>
            <w:tcW w:w="1950" w:type="dxa"/>
            <w:tcBorders>
              <w:top w:val="single" w:sz="4" w:space="0" w:color="auto"/>
              <w:left w:val="nil"/>
              <w:bottom w:val="single" w:sz="4" w:space="0" w:color="auto"/>
              <w:right w:val="nil"/>
            </w:tcBorders>
            <w:shd w:val="clear" w:color="auto" w:fill="FFFFFF" w:themeFill="background1"/>
          </w:tcPr>
          <w:p w:rsidR="00A10CDF" w:rsidRPr="0049678A" w:rsidRDefault="00A10CDF" w:rsidP="004F7F27">
            <w:pPr>
              <w:spacing w:after="0" w:line="240" w:lineRule="auto"/>
              <w:jc w:val="right"/>
              <w:rPr>
                <w:rFonts w:ascii="Verdana" w:hAnsi="Verdana"/>
                <w:sz w:val="20"/>
                <w:szCs w:val="20"/>
              </w:rPr>
            </w:pPr>
          </w:p>
        </w:tc>
        <w:tc>
          <w:tcPr>
            <w:tcW w:w="2230" w:type="dxa"/>
            <w:tcBorders>
              <w:top w:val="single" w:sz="4" w:space="0" w:color="auto"/>
              <w:left w:val="nil"/>
              <w:bottom w:val="single" w:sz="4" w:space="0" w:color="auto"/>
              <w:right w:val="single" w:sz="4" w:space="0" w:color="auto"/>
            </w:tcBorders>
            <w:shd w:val="clear" w:color="auto" w:fill="FFFFFF" w:themeFill="background1"/>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spacing w:line="240" w:lineRule="auto"/>
        <w:rPr>
          <w:rFonts w:ascii="Verdana" w:hAnsi="Verdana"/>
          <w:sz w:val="20"/>
          <w:szCs w:val="20"/>
        </w:rPr>
      </w:pPr>
    </w:p>
    <w:p w:rsidR="00A10CDF" w:rsidRPr="0049678A" w:rsidRDefault="00A10CDF" w:rsidP="00A10CDF">
      <w:pPr>
        <w:spacing w:line="240" w:lineRule="auto"/>
        <w:rPr>
          <w:rFonts w:ascii="Verdana" w:hAnsi="Verdana"/>
          <w:color w:val="002060"/>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spacing w:line="240" w:lineRule="auto"/>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sz w:val="20"/>
          <w:szCs w:val="20"/>
        </w:rPr>
      </w:pPr>
      <w:bookmarkStart w:id="138" w:name="_Toc290534879"/>
    </w:p>
    <w:p w:rsidR="00A10CDF" w:rsidRPr="0049678A" w:rsidRDefault="00A10CDF" w:rsidP="00A10CDF">
      <w:pPr>
        <w:pStyle w:val="Heading2"/>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“Object Class Code” Display Field on Commitment Item</w:t>
      </w:r>
      <w:bookmarkEnd w:id="138"/>
    </w:p>
    <w:p w:rsidR="00A10CDF" w:rsidRPr="0049678A" w:rsidRDefault="00A10CDF" w:rsidP="00A10CDF">
      <w:pPr>
        <w:spacing w:after="0" w:line="240" w:lineRule="auto"/>
        <w:rPr>
          <w:rFonts w:ascii="Verdana" w:hAnsi="Verdana"/>
          <w:sz w:val="20"/>
          <w:szCs w:val="20"/>
        </w:rPr>
      </w:pPr>
    </w:p>
    <w:p w:rsidR="00A10CDF" w:rsidRPr="0049678A" w:rsidRDefault="00A10CDF" w:rsidP="00A10CDF">
      <w:pPr>
        <w:spacing w:line="240" w:lineRule="auto"/>
        <w:rPr>
          <w:rFonts w:ascii="Verdana" w:hAnsi="Verdana"/>
          <w:sz w:val="20"/>
          <w:szCs w:val="20"/>
        </w:rPr>
      </w:pPr>
      <w:r w:rsidRPr="0049678A">
        <w:rPr>
          <w:rFonts w:ascii="Verdana" w:hAnsi="Verdana"/>
          <w:noProof/>
          <w:sz w:val="20"/>
          <w:szCs w:val="20"/>
        </w:rPr>
        <w:lastRenderedPageBreak/>
        <w:drawing>
          <wp:inline distT="0" distB="0" distL="0" distR="0">
            <wp:extent cx="5943600" cy="2819400"/>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srcRect/>
                    <a:stretch>
                      <a:fillRect/>
                    </a:stretch>
                  </pic:blipFill>
                  <pic:spPr bwMode="auto">
                    <a:xfrm>
                      <a:off x="0" y="0"/>
                      <a:ext cx="5943600" cy="2819400"/>
                    </a:xfrm>
                    <a:prstGeom prst="rect">
                      <a:avLst/>
                    </a:prstGeom>
                    <a:noFill/>
                    <a:ln w="9525">
                      <a:noFill/>
                      <a:miter lim="800000"/>
                      <a:headEnd/>
                      <a:tailEnd/>
                    </a:ln>
                  </pic:spPr>
                </pic:pic>
              </a:graphicData>
            </a:graphic>
          </wp:inline>
        </w:drawing>
      </w:r>
    </w:p>
    <w:p w:rsidR="00A10CDF" w:rsidRPr="0049678A" w:rsidRDefault="00402381" w:rsidP="00A10CDF">
      <w:pPr>
        <w:spacing w:line="240" w:lineRule="auto"/>
        <w:rPr>
          <w:rFonts w:ascii="Verdana" w:hAnsi="Verdana"/>
          <w:sz w:val="20"/>
          <w:szCs w:val="20"/>
        </w:rPr>
      </w:pPr>
      <w:r>
        <w:rPr>
          <w:rFonts w:ascii="Verdana" w:hAnsi="Verdana"/>
          <w:noProof/>
          <w:sz w:val="20"/>
          <w:szCs w:val="20"/>
        </w:rPr>
        <w:pict>
          <v:oval id="Oval 76" o:spid="_x0000_s1050" style="position:absolute;margin-left:.75pt;margin-top:157.75pt;width:399.75pt;height:28.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" strokecolor="red" strokeweight="1.5pt">
            <v:fill opacity="3341f"/>
          </v:oval>
        </w:pict>
      </w:r>
      <w:r w:rsidR="00A10CDF" w:rsidRPr="0049678A">
        <w:rPr>
          <w:rFonts w:ascii="Verdana" w:hAnsi="Verdana"/>
          <w:noProof/>
          <w:sz w:val="20"/>
          <w:szCs w:val="20"/>
        </w:rPr>
        <w:drawing>
          <wp:inline distT="0" distB="0" distL="0" distR="0">
            <wp:extent cx="5943600" cy="2457450"/>
            <wp:effectExtent l="19050" t="0" r="0" b="0"/>
            <wp:docPr id="227"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63" cstate="print"/>
                    <a:srcRect/>
                    <a:stretch>
                      <a:fillRect/>
                    </a:stretch>
                  </pic:blipFill>
                  <pic:spPr bwMode="auto">
                    <a:xfrm>
                      <a:off x="0" y="0"/>
                      <a:ext cx="5943600" cy="2457450"/>
                    </a:xfrm>
                    <a:prstGeom prst="rect">
                      <a:avLst/>
                    </a:prstGeom>
                    <a:noFill/>
                    <a:ln w="9525">
                      <a:noFill/>
                      <a:miter lim="800000"/>
                      <a:headEnd/>
                      <a:tailEnd/>
                    </a:ln>
                  </pic:spPr>
                </pic:pic>
              </a:graphicData>
            </a:graphic>
          </wp:inline>
        </w:drawing>
      </w:r>
    </w:p>
    <w:p w:rsidR="00A10CDF" w:rsidRPr="0049678A" w:rsidRDefault="00A10CDF" w:rsidP="00A10CDF">
      <w:pPr>
        <w:rPr>
          <w:rFonts w:ascii="Verdana" w:hAnsi="Verdana"/>
          <w:noProof/>
          <w:sz w:val="20"/>
          <w:szCs w:val="20"/>
        </w:rPr>
      </w:pPr>
    </w:p>
    <w:p w:rsidR="00A10CDF" w:rsidRPr="0049678A" w:rsidRDefault="00A10CDF" w:rsidP="00A10CDF">
      <w:pPr>
        <w:spacing w:after="0" w:line="240" w:lineRule="auto"/>
        <w:rPr>
          <w:rFonts w:ascii="Verdana" w:hAnsi="Verdana"/>
          <w:spacing w:val="5"/>
          <w:sz w:val="20"/>
          <w:szCs w:val="20"/>
        </w:rPr>
      </w:pPr>
      <w:bookmarkStart w:id="139" w:name="_Toc290534880"/>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40" w:name="_Toc293321439"/>
      <w:r w:rsidRPr="0049678A">
        <w:rPr>
          <w:rFonts w:ascii="Verdana" w:hAnsi="Verdana"/>
          <w:sz w:val="20"/>
          <w:szCs w:val="20"/>
        </w:rPr>
        <w:lastRenderedPageBreak/>
        <w:t>B8 - Contingency Code</w:t>
      </w:r>
      <w:bookmarkEnd w:id="139"/>
      <w:bookmarkEnd w:id="140"/>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B8 - Contingency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6</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Budget Program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This data element is intended to identify, for tracking purposes, special unplanned events, for which expenditures and costs are to be tracked, whereby funding might or might not have been previously established for contingency events, e.g., the "Tsunami Disaster" or the "9/11/01 Terrorist Attacks" or other similar unforeseen events. The purpose of the contingency code is to identify the budget execution records process for contingency events that occur, in order to provide a basis for recouping funds expended, i.e., to justify requests for resources needed to fund the contingency event after the fact.</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tcBorders>
              <w:bottom w:val="single" w:sz="4" w:space="0" w:color="auto"/>
            </w:tcBorders>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shd w:val="clear" w:color="auto" w:fill="auto"/>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8649"/>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The Contingency Code may be applied to any level of budget tracking level deemed appropriate.</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When a Contingent need is realized, that requirement must be communicated to the Office of the Under Secretary of Defense (OUSD) Comptroller immediately.</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Contingency Code must be 6 alpha numeric characters.</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Authoritative source:  </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https://beis.csd.disa.mil/beis-xml/sfiscombo.xml</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Contingency Code must be used for financial reporting, budgetary control, and funds control.  </w:t>
            </w:r>
          </w:p>
        </w:tc>
      </w:tr>
      <w:tr w:rsidR="00A10CDF" w:rsidRPr="0049678A" w:rsidTr="004F7F27">
        <w:tc>
          <w:tcPr>
            <w:tcW w:w="567"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B8</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maintain Contingency Code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FM </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Accounting-Public Sector Management-Funds Management-Master Data- Account Assignment Elements - Funded Program - FMMEASURED - 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FMMEASURED</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RCTAV</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ATNAM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bottom w:val="single" w:sz="4" w:space="0" w:color="auto"/>
              <w:right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bCs/>
                <w:sz w:val="20"/>
                <w:szCs w:val="20"/>
              </w:rPr>
              <w:t xml:space="preserve">FMMEASURE </w:t>
            </w:r>
          </w:p>
        </w:tc>
        <w:tc>
          <w:tcPr>
            <w:tcW w:w="1950" w:type="dxa"/>
            <w:tcBorders>
              <w:top w:val="single" w:sz="4" w:space="0" w:color="auto"/>
              <w:left w:val="single" w:sz="4" w:space="0" w:color="auto"/>
              <w:bottom w:val="single" w:sz="4" w:space="0" w:color="auto"/>
              <w:right w:val="nil"/>
            </w:tcBorders>
            <w:shd w:val="clear" w:color="auto" w:fill="FFFFFF" w:themeFill="background1"/>
          </w:tcPr>
          <w:p w:rsidR="00A10CDF" w:rsidRPr="0049678A" w:rsidRDefault="00A10CDF" w:rsidP="004F7F27">
            <w:pPr>
              <w:spacing w:after="0" w:line="240" w:lineRule="auto"/>
              <w:jc w:val="right"/>
              <w:rPr>
                <w:rFonts w:ascii="Verdana" w:hAnsi="Verdana"/>
                <w:sz w:val="20"/>
                <w:szCs w:val="20"/>
              </w:rPr>
            </w:pPr>
          </w:p>
        </w:tc>
        <w:tc>
          <w:tcPr>
            <w:tcW w:w="2230" w:type="dxa"/>
            <w:tcBorders>
              <w:top w:val="single" w:sz="4" w:space="0" w:color="auto"/>
              <w:left w:val="nil"/>
              <w:bottom w:val="single" w:sz="4" w:space="0" w:color="auto"/>
              <w:right w:val="single" w:sz="4" w:space="0" w:color="auto"/>
            </w:tcBorders>
            <w:shd w:val="clear" w:color="auto" w:fill="FFFFFF" w:themeFill="background1"/>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141" w:name="_Toc290534881"/>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“Contingency Code” Display Field on Commitment Item</w:t>
      </w:r>
      <w:bookmarkEnd w:id="141"/>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noProof/>
          <w:sz w:val="20"/>
          <w:szCs w:val="20"/>
        </w:rPr>
      </w:pPr>
      <w:r>
        <w:rPr>
          <w:rFonts w:ascii="Verdana" w:hAnsi="Verdana"/>
          <w:noProof/>
          <w:sz w:val="20"/>
          <w:szCs w:val="20"/>
        </w:rPr>
        <w:lastRenderedPageBreak/>
        <w:pict>
          <v:oval id="Oval 78" o:spid="_x0000_s1051" style="position:absolute;margin-left:0;margin-top:279pt;width:326.25pt;height:20.2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" strokecolor="red" strokeweight="1.5pt">
            <v:fill opacity="3341f"/>
          </v:oval>
        </w:pict>
      </w:r>
      <w:r w:rsidR="00A10CDF" w:rsidRPr="0049678A">
        <w:rPr>
          <w:rFonts w:ascii="Verdana" w:hAnsi="Verdana"/>
          <w:noProof/>
          <w:sz w:val="20"/>
          <w:szCs w:val="20"/>
        </w:rPr>
        <w:drawing>
          <wp:inline distT="0" distB="0" distL="0" distR="0">
            <wp:extent cx="5943600" cy="2295525"/>
            <wp:effectExtent l="0" t="0" r="0" b="9525"/>
            <wp:docPr id="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295525"/>
                    </a:xfrm>
                    <a:prstGeom prst="rect">
                      <a:avLst/>
                    </a:prstGeom>
                    <a:noFill/>
                    <a:ln>
                      <a:noFill/>
                    </a:ln>
                  </pic:spPr>
                </pic:pic>
              </a:graphicData>
            </a:graphic>
          </wp:inline>
        </w:drawing>
      </w:r>
      <w:r w:rsidR="00A10CDF" w:rsidRPr="0049678A">
        <w:rPr>
          <w:rFonts w:ascii="Verdana" w:hAnsi="Verdana"/>
          <w:noProof/>
          <w:sz w:val="20"/>
          <w:szCs w:val="20"/>
        </w:rPr>
        <w:t xml:space="preserve"> </w:t>
      </w:r>
      <w:r w:rsidR="00A10CDF" w:rsidRPr="0049678A">
        <w:rPr>
          <w:rFonts w:ascii="Verdana" w:hAnsi="Verdana"/>
          <w:noProof/>
          <w:sz w:val="20"/>
          <w:szCs w:val="20"/>
        </w:rPr>
        <w:drawing>
          <wp:inline distT="0" distB="0" distL="0" distR="0">
            <wp:extent cx="5943600" cy="15894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5943600" cy="1589405"/>
                    </a:xfrm>
                    <a:prstGeom prst="rect">
                      <a:avLst/>
                    </a:prstGeom>
                  </pic:spPr>
                </pic:pic>
              </a:graphicData>
            </a:graphic>
          </wp:inline>
        </w:drawing>
      </w:r>
    </w:p>
    <w:p w:rsidR="00A10CDF" w:rsidRPr="0049678A" w:rsidRDefault="00A10CDF" w:rsidP="00A10CDF">
      <w:pPr>
        <w:rPr>
          <w:rFonts w:ascii="Verdana" w:hAnsi="Verdana"/>
          <w:noProof/>
          <w:sz w:val="20"/>
          <w:szCs w:val="20"/>
        </w:rPr>
      </w:pPr>
    </w:p>
    <w:p w:rsidR="00A10CDF" w:rsidRPr="0049678A" w:rsidRDefault="00A10CDF" w:rsidP="00A10CDF">
      <w:pPr>
        <w:rPr>
          <w:rFonts w:ascii="Verdana" w:hAnsi="Verdana"/>
          <w:noProof/>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42" w:name="_Toc293321440"/>
      <w:r w:rsidRPr="0049678A">
        <w:rPr>
          <w:rFonts w:ascii="Verdana" w:hAnsi="Verdana"/>
          <w:sz w:val="20"/>
          <w:szCs w:val="20"/>
        </w:rPr>
        <w:lastRenderedPageBreak/>
        <w:t>B9 - BEA Category Indicator Code</w:t>
      </w:r>
      <w:bookmarkEnd w:id="142"/>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B9 - BEA Category Indicator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Budget Program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 xml:space="preserve">A </w:t>
            </w:r>
            <w:bookmarkStart w:id="143" w:name="OLE_LINK1"/>
            <w:r w:rsidRPr="0049678A">
              <w:rPr>
                <w:rFonts w:ascii="Verdana" w:hAnsi="Verdana"/>
                <w:color w:val="000000"/>
                <w:sz w:val="20"/>
                <w:szCs w:val="20"/>
              </w:rPr>
              <w:t xml:space="preserve">Budget Enforcement Act </w:t>
            </w:r>
            <w:bookmarkEnd w:id="143"/>
            <w:r w:rsidRPr="0049678A">
              <w:rPr>
                <w:rFonts w:ascii="Verdana" w:hAnsi="Verdana"/>
                <w:color w:val="000000"/>
                <w:sz w:val="20"/>
                <w:szCs w:val="20"/>
              </w:rPr>
              <w:t>(BEA) designated category code representing one of three categories of a budget request. Budget categories are 1) mandatory, i.e., required funding requests based on legislative Acts, 2) discretionary, requests based on annual or period requests for funding or 3) emergency discretionary, requests based on the occurrence of emergency contingencies.</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a budget request is required based on the passing of new legislation or existing legislation then the BEA Category Indicator value will be "M</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color w:val="000000"/>
                <w:sz w:val="20"/>
                <w:szCs w:val="20"/>
              </w:rPr>
              <w:t>This data element is intended to identify, for tracking purposes, special unplanned events, for which expenditures and costs are to be tracked, whereby funding might or might not have been previously established for contingency events, e.g., the "Tsunami Disaster" or the "9/11/01 Terrorist Attacks" or other similar unforeseen events. The purpose of the contingency code is to identify the budget execution records process for contingency events that occur, in order to provide a basis for recouping funds expended, i.e., to justify requests for resources needed to fund the contingency event after the fact.</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8649"/>
      </w:tblGrid>
      <w:tr w:rsidR="00A10CDF" w:rsidRPr="0049678A" w:rsidTr="004F7F27">
        <w:tc>
          <w:tcPr>
            <w:tcW w:w="567"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9"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B9</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Budget Enforcement Act Category Indicator must be 1 alpha character.  ex. D</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Data values:  D - Discretionary</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M - Mandatory</w:t>
            </w:r>
          </w:p>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                     E - Emergency Discretionary</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B9</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Budget Enforcement Act Category Indicator must be used for accounting classification and financial reporting.</w:t>
            </w:r>
          </w:p>
        </w:tc>
      </w:tr>
      <w:tr w:rsidR="00A10CDF" w:rsidRPr="0049678A" w:rsidTr="004F7F27">
        <w:tc>
          <w:tcPr>
            <w:tcW w:w="567"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B9</w:t>
            </w:r>
          </w:p>
        </w:tc>
        <w:tc>
          <w:tcPr>
            <w:tcW w:w="8649"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accounting system must store and maintain Budget Enforcement Act Category Indicator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rPr>
          <w:trHeight w:val="125"/>
        </w:trPr>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144" w:name="_Toc290534882"/>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144"/>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Funds Management </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Navigation:</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IUSFGFDERIVE</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FLG_BEA</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c>
          <w:tcPr>
            <w:tcW w:w="1950" w:type="dxa"/>
            <w:tcBorders>
              <w:bottom w:val="single" w:sz="4" w:space="0" w:color="auto"/>
            </w:tcBorders>
            <w:shd w:val="clear" w:color="auto" w:fill="FFFFFF" w:themeFill="background1"/>
          </w:tcPr>
          <w:p w:rsidR="00A10CDF" w:rsidRPr="0049678A" w:rsidRDefault="00A10CDF" w:rsidP="004F7F27">
            <w:pPr>
              <w:spacing w:after="0" w:line="240" w:lineRule="auto"/>
              <w:jc w:val="right"/>
              <w:rPr>
                <w:rFonts w:ascii="Verdana" w:hAnsi="Verdana"/>
                <w:sz w:val="20"/>
                <w:szCs w:val="20"/>
              </w:rPr>
            </w:pP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145" w:name="_Toc290534883"/>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“BEA Category Indicator” Display Field on Commitment Item</w:t>
      </w:r>
      <w:bookmarkEnd w:id="145"/>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noProof/>
          <w:sz w:val="20"/>
          <w:szCs w:val="20"/>
        </w:rPr>
      </w:pPr>
      <w:r>
        <w:rPr>
          <w:rFonts w:ascii="Verdana" w:hAnsi="Verdana"/>
          <w:noProof/>
          <w:sz w:val="20"/>
          <w:szCs w:val="20"/>
        </w:rPr>
        <w:pict>
          <v:oval id="Oval 80" o:spid="_x0000_s1052" style="position:absolute;margin-left:282.75pt;margin-top:235.7pt;width:71.25pt;height:60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" strokecolor="red" strokeweight="1.5pt">
            <v:fill opacity="6682f"/>
          </v:oval>
        </w:pict>
      </w:r>
      <w:r w:rsidR="00A10CDF" w:rsidRPr="0049678A">
        <w:rPr>
          <w:rFonts w:ascii="Verdana" w:hAnsi="Verdana"/>
          <w:noProof/>
          <w:sz w:val="20"/>
          <w:szCs w:val="20"/>
        </w:rPr>
        <w:drawing>
          <wp:inline distT="0" distB="0" distL="0" distR="0">
            <wp:extent cx="5943600" cy="1466850"/>
            <wp:effectExtent l="0" t="0" r="0" b="0"/>
            <wp:docPr id="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466850"/>
                    </a:xfrm>
                    <a:prstGeom prst="rect">
                      <a:avLst/>
                    </a:prstGeom>
                    <a:noFill/>
                    <a:ln>
                      <a:noFill/>
                    </a:ln>
                  </pic:spPr>
                </pic:pic>
              </a:graphicData>
            </a:graphic>
          </wp:inline>
        </w:drawing>
      </w:r>
      <w:r w:rsidR="00A10CDF" w:rsidRPr="0049678A">
        <w:rPr>
          <w:rFonts w:ascii="Verdana" w:hAnsi="Verdana"/>
          <w:noProof/>
          <w:sz w:val="20"/>
          <w:szCs w:val="20"/>
        </w:rPr>
        <w:drawing>
          <wp:inline distT="0" distB="0" distL="0" distR="0">
            <wp:extent cx="5876925" cy="2171700"/>
            <wp:effectExtent l="0" t="0" r="9525" b="0"/>
            <wp:docPr id="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76925" cy="2171700"/>
                    </a:xfrm>
                    <a:prstGeom prst="rect">
                      <a:avLst/>
                    </a:prstGeom>
                    <a:noFill/>
                    <a:ln>
                      <a:noFill/>
                    </a:ln>
                  </pic:spPr>
                </pic:pic>
              </a:graphicData>
            </a:graphic>
          </wp:inline>
        </w:drawing>
      </w: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spacing w:after="0" w:line="240" w:lineRule="auto"/>
        <w:rPr>
          <w:rFonts w:ascii="Verdana" w:hAnsi="Verdana"/>
          <w:sz w:val="20"/>
          <w:szCs w:val="20"/>
        </w:rPr>
      </w:pPr>
      <w:bookmarkStart w:id="146" w:name="_Toc290534884"/>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47" w:name="_Toc293321441"/>
      <w:bookmarkEnd w:id="146"/>
      <w:r w:rsidRPr="0049678A">
        <w:rPr>
          <w:rFonts w:ascii="Verdana" w:hAnsi="Verdana"/>
          <w:sz w:val="20"/>
          <w:szCs w:val="20"/>
        </w:rPr>
        <w:lastRenderedPageBreak/>
        <w:t>CA1 - Funding Center Identifier</w:t>
      </w:r>
      <w:bookmarkEnd w:id="147"/>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CA1 - Funding Center Identifier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16AN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Cost Accounting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Funding Center is a clearly defined responsibility area within an organizational unit to which budget authority is assigned.</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Funding Center is a clearly defined responsibility area within an organizational unit to which budget authority is assigned. </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148" w:name="_Toc290534887"/>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148"/>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
        <w:gridCol w:w="8596"/>
      </w:tblGrid>
      <w:tr w:rsidR="00A10CDF" w:rsidRPr="0049678A" w:rsidTr="004F7F27">
        <w:tc>
          <w:tcPr>
            <w:tcW w:w="57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w:t>
            </w:r>
          </w:p>
        </w:tc>
        <w:tc>
          <w:tcPr>
            <w:tcW w:w="8643"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 xml:space="preserve">At the time of budget execution, a Funding Center Identifier must be associated with at least one cost object.  Examples of cost objects are:  Cost Centers, Project Identifiers, Activity Identifiers, </w:t>
            </w:r>
            <w:proofErr w:type="gramStart"/>
            <w:r w:rsidRPr="0049678A">
              <w:rPr>
                <w:rFonts w:ascii="Verdana" w:hAnsi="Verdana" w:cs="Arial"/>
                <w:bCs/>
                <w:color w:val="000000"/>
                <w:sz w:val="20"/>
                <w:szCs w:val="20"/>
              </w:rPr>
              <w:t>Work</w:t>
            </w:r>
            <w:proofErr w:type="gramEnd"/>
            <w:r w:rsidRPr="0049678A">
              <w:rPr>
                <w:rFonts w:ascii="Verdana" w:hAnsi="Verdana" w:cs="Arial"/>
                <w:bCs/>
                <w:color w:val="000000"/>
                <w:sz w:val="20"/>
                <w:szCs w:val="20"/>
              </w:rPr>
              <w:t xml:space="preserve"> Orders.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w:t>
            </w:r>
          </w:p>
        </w:tc>
        <w:tc>
          <w:tcPr>
            <w:tcW w:w="8643"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Funding Center Identifier must be no more than 16 alpha-numeric characters.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w:t>
            </w:r>
          </w:p>
        </w:tc>
        <w:tc>
          <w:tcPr>
            <w:tcW w:w="8643"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Funding Center Identifier must be used for budgetary control, funds control, and reporting.</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w:t>
            </w:r>
          </w:p>
        </w:tc>
        <w:tc>
          <w:tcPr>
            <w:tcW w:w="8643" w:type="dxa"/>
          </w:tcPr>
          <w:p w:rsidR="00A10CDF" w:rsidRPr="0049678A" w:rsidRDefault="00A10CDF" w:rsidP="004F7F27">
            <w:pPr>
              <w:spacing w:after="0" w:line="240" w:lineRule="auto"/>
              <w:rPr>
                <w:rFonts w:ascii="Verdana" w:hAnsi="Verdana" w:cs="Arial"/>
                <w:bCs/>
                <w:color w:val="000000"/>
                <w:sz w:val="20"/>
                <w:szCs w:val="20"/>
              </w:rPr>
            </w:pPr>
            <w:r w:rsidRPr="0049678A">
              <w:rPr>
                <w:rFonts w:ascii="Verdana" w:hAnsi="Verdana" w:cs="Arial"/>
                <w:bCs/>
                <w:color w:val="000000"/>
                <w:sz w:val="20"/>
                <w:szCs w:val="20"/>
              </w:rPr>
              <w:t>Each system must store and maintain Funding Center Identifiers.</w:t>
            </w:r>
          </w:p>
        </w:tc>
      </w:tr>
    </w:tbl>
    <w:p w:rsidR="00A10CDF" w:rsidRPr="0049678A" w:rsidRDefault="00A10CDF" w:rsidP="00A10CDF">
      <w:pPr>
        <w:pStyle w:val="Heading2"/>
        <w:rPr>
          <w:rFonts w:ascii="Verdana" w:hAnsi="Verdana"/>
          <w:sz w:val="20"/>
          <w:szCs w:val="20"/>
        </w:rPr>
      </w:pPr>
      <w:bookmarkStart w:id="149" w:name="_Toc290534888"/>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149"/>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150" w:name="_Toc290534889"/>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150"/>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  - Public Sector Management - Funds Management</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Master Data - Account Assignment Elem - Funds Center - Individual Processing-Display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FMSC</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IFMFCTRDY</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FICTR</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bCs/>
                <w:sz w:val="20"/>
                <w:szCs w:val="20"/>
              </w:rPr>
              <w:t>FMSA, FMSB</w:t>
            </w:r>
          </w:p>
        </w:tc>
        <w:tc>
          <w:tcPr>
            <w:tcW w:w="1950" w:type="dxa"/>
            <w:tcBorders>
              <w:bottom w:val="single" w:sz="4" w:space="0" w:color="auto"/>
            </w:tcBorders>
            <w:shd w:val="clear" w:color="auto" w:fill="EEECE1"/>
          </w:tcPr>
          <w:p w:rsidR="00A10CDF" w:rsidRPr="0049678A" w:rsidRDefault="00A10CDF" w:rsidP="004F7F27">
            <w:pPr>
              <w:spacing w:after="0" w:line="240" w:lineRule="auto"/>
              <w:jc w:val="right"/>
              <w:rPr>
                <w:rFonts w:ascii="Verdana" w:hAnsi="Verdana"/>
                <w:sz w:val="20"/>
                <w:szCs w:val="20"/>
              </w:rPr>
            </w:pP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rPr>
          <w:rFonts w:ascii="Verdana" w:hAnsi="Verdana"/>
          <w:sz w:val="20"/>
          <w:szCs w:val="20"/>
        </w:rPr>
      </w:pPr>
      <w:r w:rsidRPr="0049678A">
        <w:rPr>
          <w:rFonts w:ascii="Verdana" w:hAnsi="Verdana"/>
          <w:noProof/>
          <w:sz w:val="20"/>
          <w:szCs w:val="20"/>
        </w:rPr>
        <w:t xml:space="preserve"> </w:t>
      </w:r>
    </w:p>
    <w:p w:rsidR="00A10CDF" w:rsidRPr="0049678A" w:rsidRDefault="00A10CDF" w:rsidP="00A10CDF">
      <w:pPr>
        <w:rPr>
          <w:rFonts w:ascii="Verdana" w:hAnsi="Verdana"/>
          <w:noProof/>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sz w:val="20"/>
          <w:szCs w:val="20"/>
        </w:rPr>
      </w:pPr>
      <w:bookmarkStart w:id="151" w:name="_Toc290534890"/>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“Funding Center Identifier” Display Field on Fund Center</w:t>
      </w:r>
      <w:bookmarkEnd w:id="151"/>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sz w:val="20"/>
          <w:szCs w:val="20"/>
        </w:rPr>
      </w:pPr>
      <w:r>
        <w:rPr>
          <w:rFonts w:ascii="Verdana" w:hAnsi="Verdana"/>
          <w:noProof/>
          <w:sz w:val="20"/>
          <w:szCs w:val="20"/>
        </w:rPr>
        <w:lastRenderedPageBreak/>
        <w:pict>
          <v:oval id="Oval 85" o:spid="_x0000_s1053" style="position:absolute;margin-left:111pt;margin-top:15.65pt;width:141pt;height:15.7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" strokecolor="red" strokeweight="1.5pt">
            <v:fill opacity="3341f"/>
          </v:oval>
        </w:pict>
      </w:r>
      <w:r w:rsidR="00A10CDF" w:rsidRPr="0049678A">
        <w:rPr>
          <w:rFonts w:ascii="Verdana" w:hAnsi="Verdana"/>
          <w:noProof/>
          <w:sz w:val="20"/>
          <w:szCs w:val="20"/>
        </w:rPr>
        <w:drawing>
          <wp:inline distT="0" distB="0" distL="0" distR="0">
            <wp:extent cx="5943600" cy="3486150"/>
            <wp:effectExtent l="0" t="0" r="0" b="0"/>
            <wp:docPr id="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486150"/>
                    </a:xfrm>
                    <a:prstGeom prst="rect">
                      <a:avLst/>
                    </a:prstGeom>
                    <a:noFill/>
                    <a:ln>
                      <a:noFill/>
                    </a:ln>
                  </pic:spPr>
                </pic:pic>
              </a:graphicData>
            </a:graphic>
          </wp:inline>
        </w:drawing>
      </w: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color w:val="000000"/>
          <w:sz w:val="20"/>
          <w:szCs w:val="20"/>
        </w:rPr>
      </w:pPr>
      <w:bookmarkStart w:id="152" w:name="_Toc293321442"/>
      <w:r w:rsidRPr="0049678A">
        <w:rPr>
          <w:rFonts w:ascii="Verdana" w:hAnsi="Verdana"/>
          <w:sz w:val="20"/>
          <w:szCs w:val="20"/>
        </w:rPr>
        <w:lastRenderedPageBreak/>
        <w:t>CA3 - Cost Center Identifier</w:t>
      </w:r>
      <w:bookmarkEnd w:id="152"/>
      <w:r w:rsidRPr="0049678A">
        <w:rPr>
          <w:rFonts w:ascii="Verdana" w:hAnsi="Verdana"/>
          <w:color w:val="000000"/>
          <w:sz w:val="20"/>
          <w:szCs w:val="20"/>
        </w:rPr>
        <w:t xml:space="preserve">  </w:t>
      </w:r>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CA3 - Cost Center Identifier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16AN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Cost Accounting Information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A Cost Center is a clearly defined responsibility area where costs are incurred.</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An organizational unit within a controlling area that represents a defined location of cost incurrence. The definition can be based on: Functional requirements, Allocation criteria, Physical location, Responsibility for costs.</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bookmarkStart w:id="153" w:name="_Toc290534891"/>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bookmarkEnd w:id="153"/>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
        <w:gridCol w:w="8596"/>
      </w:tblGrid>
      <w:tr w:rsidR="00A10CDF" w:rsidRPr="0049678A" w:rsidTr="004F7F27">
        <w:tc>
          <w:tcPr>
            <w:tcW w:w="57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3"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CA3</w:t>
            </w:r>
          </w:p>
        </w:tc>
        <w:tc>
          <w:tcPr>
            <w:tcW w:w="8643" w:type="dxa"/>
            <w:shd w:val="clear" w:color="auto" w:fill="auto"/>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Cost Center Identifier must be associated with one or more Funding Center Identifiers.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CA3</w:t>
            </w:r>
          </w:p>
        </w:tc>
        <w:tc>
          <w:tcPr>
            <w:tcW w:w="8643" w:type="dxa"/>
            <w:shd w:val="clear" w:color="auto" w:fill="auto"/>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Cost Center Identifier must be no more than 16 alpha-numeric characters.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CA3</w:t>
            </w:r>
          </w:p>
        </w:tc>
        <w:tc>
          <w:tcPr>
            <w:tcW w:w="8643" w:type="dxa"/>
            <w:shd w:val="clear" w:color="auto" w:fill="auto"/>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system must store and maintain Cost Center Identifiers.</w:t>
            </w:r>
          </w:p>
        </w:tc>
      </w:tr>
    </w:tbl>
    <w:p w:rsidR="00A10CDF" w:rsidRPr="0049678A" w:rsidRDefault="00A10CDF" w:rsidP="00A10CDF">
      <w:pPr>
        <w:pStyle w:val="Heading2"/>
        <w:rPr>
          <w:rFonts w:ascii="Verdana" w:hAnsi="Verdana"/>
          <w:sz w:val="20"/>
          <w:szCs w:val="20"/>
        </w:rPr>
      </w:pPr>
      <w:bookmarkStart w:id="154" w:name="_Toc290534892"/>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bookmarkEnd w:id="154"/>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155" w:name="_Toc290534893"/>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bookmarkEnd w:id="155"/>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Controlling</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 -Controlling – Cost Center - Individual Processing</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KS03</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CSKSZ</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KOSTL</w:t>
            </w:r>
          </w:p>
        </w:tc>
      </w:tr>
      <w:tr w:rsidR="00A10CDF" w:rsidRPr="0049678A" w:rsidTr="004F7F27">
        <w:trPr>
          <w:trHeight w:val="242"/>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KS01, KS02</w:t>
            </w:r>
          </w:p>
        </w:tc>
      </w:tr>
    </w:tbl>
    <w:p w:rsidR="00A10CDF" w:rsidRPr="0049678A" w:rsidRDefault="00A10CDF" w:rsidP="00A10CDF">
      <w:pPr>
        <w:spacing w:after="0"/>
        <w:rPr>
          <w:rFonts w:ascii="Verdana" w:hAnsi="Verdana"/>
          <w:sz w:val="20"/>
          <w:szCs w:val="20"/>
        </w:rPr>
      </w:pPr>
    </w:p>
    <w:p w:rsidR="00A10CDF" w:rsidRPr="0049678A" w:rsidRDefault="00A10CDF" w:rsidP="00A10CDF">
      <w:pPr>
        <w:rPr>
          <w:rFonts w:ascii="Verdana" w:hAnsi="Verdana"/>
          <w:noProof/>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color w:val="auto"/>
          <w:sz w:val="20"/>
          <w:szCs w:val="20"/>
        </w:rPr>
      </w:pPr>
      <w:bookmarkStart w:id="156" w:name="_Toc290534894"/>
      <w:r w:rsidRPr="0049678A">
        <w:rPr>
          <w:rFonts w:ascii="Verdana" w:hAnsi="Verdana"/>
          <w:sz w:val="20"/>
          <w:szCs w:val="20"/>
        </w:rPr>
        <w:lastRenderedPageBreak/>
        <w:t xml:space="preserve">Screenshot:  </w:t>
      </w:r>
      <w:r w:rsidRPr="0049678A">
        <w:rPr>
          <w:rFonts w:ascii="Verdana" w:hAnsi="Verdana"/>
          <w:color w:val="auto"/>
          <w:sz w:val="20"/>
          <w:szCs w:val="20"/>
        </w:rPr>
        <w:t>Location of “Cost Center Identifier” Display Field on Cost Center</w:t>
      </w:r>
      <w:bookmarkEnd w:id="156"/>
    </w:p>
    <w:p w:rsidR="00A10CDF" w:rsidRPr="0049678A" w:rsidRDefault="00402381" w:rsidP="00A10CDF">
      <w:pPr>
        <w:spacing w:after="0" w:line="240" w:lineRule="auto"/>
        <w:rPr>
          <w:rFonts w:ascii="Verdana" w:hAnsi="Verdana"/>
          <w:sz w:val="20"/>
          <w:szCs w:val="20"/>
        </w:rPr>
      </w:pPr>
      <w:r>
        <w:rPr>
          <w:rFonts w:ascii="Verdana" w:hAnsi="Verdana"/>
          <w:noProof/>
          <w:sz w:val="20"/>
          <w:szCs w:val="20"/>
        </w:rPr>
        <w:pict>
          <v:oval id="Oval 86" o:spid="_x0000_s1054" style="position:absolute;margin-left:-5.55pt;margin-top:10.3pt;width:205.5pt;height:1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" strokecolor="red" strokeweight="1.5pt">
            <v:fill opacity="3341f"/>
          </v:oval>
        </w:pict>
      </w:r>
    </w:p>
    <w:p w:rsidR="00A10CDF" w:rsidRPr="0049678A" w:rsidRDefault="00A10CDF" w:rsidP="00A10CDF">
      <w:pPr>
        <w:rPr>
          <w:rFonts w:ascii="Verdana" w:hAnsi="Verdana"/>
          <w:sz w:val="20"/>
          <w:szCs w:val="20"/>
        </w:rPr>
      </w:pPr>
      <w:r w:rsidRPr="0049678A">
        <w:rPr>
          <w:rFonts w:ascii="Verdana" w:hAnsi="Verdana"/>
          <w:noProof/>
          <w:sz w:val="20"/>
          <w:szCs w:val="20"/>
        </w:rPr>
        <w:drawing>
          <wp:inline distT="0" distB="0" distL="0" distR="0">
            <wp:extent cx="5943600" cy="4105275"/>
            <wp:effectExtent l="0" t="0" r="0" b="9525"/>
            <wp:docPr id="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105275"/>
                    </a:xfrm>
                    <a:prstGeom prst="rect">
                      <a:avLst/>
                    </a:prstGeom>
                    <a:noFill/>
                    <a:ln>
                      <a:noFill/>
                    </a:ln>
                  </pic:spPr>
                </pic:pic>
              </a:graphicData>
            </a:graphic>
          </wp:inline>
        </w:drawing>
      </w: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bookmarkStart w:id="157" w:name="_Toc290534895"/>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58" w:name="_Toc293321443"/>
      <w:r w:rsidRPr="0049678A">
        <w:rPr>
          <w:rFonts w:ascii="Verdana" w:hAnsi="Verdana"/>
          <w:sz w:val="20"/>
          <w:szCs w:val="20"/>
        </w:rPr>
        <w:lastRenderedPageBreak/>
        <w:t>CA4 - Project Identifier</w:t>
      </w:r>
      <w:bookmarkEnd w:id="157"/>
      <w:bookmarkEnd w:id="158"/>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CA4 - Project Identifier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24AN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Project Systems</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color w:val="000000"/>
                <w:sz w:val="20"/>
                <w:szCs w:val="20"/>
              </w:rPr>
              <w:t>A planned undertaking of work to be performed or product to be produced having a finite beginning and end.</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The project definition contains dates and organizational information that are binding for the entire project. The main objectives of the WBS are to split the project into manageable units, define basic dates, and determine its costs.</w:t>
            </w:r>
          </w:p>
          <w:p w:rsidR="00A10CDF" w:rsidRPr="0049678A" w:rsidRDefault="00A10CDF" w:rsidP="004F7F27">
            <w:pPr>
              <w:pStyle w:val="NoSpacing"/>
              <w:rPr>
                <w:rFonts w:ascii="Verdana" w:hAnsi="Verdana"/>
                <w:sz w:val="20"/>
                <w:szCs w:val="20"/>
              </w:rPr>
            </w:pPr>
            <w:r w:rsidRPr="0049678A">
              <w:rPr>
                <w:rFonts w:ascii="Verdana" w:hAnsi="Verdana"/>
                <w:sz w:val="20"/>
                <w:szCs w:val="20"/>
              </w:rPr>
              <w:t>You can structure the WBS from various viewpoints:</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By phase (logic or process oriented) </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By function (function-oriented) </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By object (object-oriented) </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
        <w:gridCol w:w="8596"/>
      </w:tblGrid>
      <w:tr w:rsidR="00A10CDF" w:rsidRPr="0049678A" w:rsidTr="004F7F27">
        <w:tc>
          <w:tcPr>
            <w:tcW w:w="57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CA4</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The Work Breakdown Structure may be applied as a breakdown for the Project Identifier.</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CA4</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Project Identifier must be associated with one or more Funding Center Identifiers.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CA4</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Project Identifier is used as the cost object, then the Project Identifier must be directly aligned with one or more Program Codes.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CA4</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Project Identifier may be no more than 24 alpha-numeric characters.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CA4</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Project Identifier is used as the cost object, then the Project Identifier will be used for cost accumulation.</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CA4</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Project Identifier is used as the cost object, then each system must store and maintain Project Identifiers.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Project Systems</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  – Project Systems-Project-Project Builder</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CJ20N</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PROJ</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PSPID</w:t>
            </w:r>
          </w:p>
        </w:tc>
      </w:tr>
      <w:tr w:rsidR="00A10CDF" w:rsidRPr="0049678A" w:rsidTr="004F7F27">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CJ01, CJ02, CJ03</w:t>
            </w:r>
          </w:p>
        </w:tc>
      </w:tr>
    </w:tbl>
    <w:p w:rsidR="00A10CDF" w:rsidRPr="0049678A" w:rsidRDefault="00A10CDF" w:rsidP="00A10CDF">
      <w:pPr>
        <w:pStyle w:val="Heading3"/>
        <w:rPr>
          <w:rFonts w:ascii="Verdana" w:hAnsi="Verdana"/>
          <w:iCs w:val="0"/>
          <w:smallCaps w:val="0"/>
          <w:noProof/>
          <w:spacing w:val="0"/>
          <w:sz w:val="20"/>
          <w:szCs w:val="20"/>
        </w:rPr>
      </w:pPr>
      <w:bookmarkStart w:id="159" w:name="_Toc290534896"/>
    </w:p>
    <w:p w:rsidR="00A10CDF" w:rsidRPr="0049678A" w:rsidRDefault="00A10CDF" w:rsidP="00A10CDF">
      <w:pPr>
        <w:pStyle w:val="Heading2"/>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lastRenderedPageBreak/>
        <w:t xml:space="preserve">Screenshot:  </w:t>
      </w:r>
      <w:r w:rsidRPr="0049678A">
        <w:rPr>
          <w:rFonts w:ascii="Verdana" w:hAnsi="Verdana"/>
          <w:color w:val="auto"/>
          <w:sz w:val="20"/>
          <w:szCs w:val="20"/>
        </w:rPr>
        <w:t>Location of “Project Identifier” Display Field on Project Definition</w:t>
      </w:r>
      <w:bookmarkEnd w:id="159"/>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sz w:val="20"/>
          <w:szCs w:val="20"/>
        </w:rPr>
      </w:pPr>
      <w:r>
        <w:rPr>
          <w:rFonts w:ascii="Verdana" w:hAnsi="Verdana"/>
          <w:noProof/>
          <w:sz w:val="20"/>
          <w:szCs w:val="20"/>
        </w:rPr>
        <w:pict>
          <v:oval id="Oval 88" o:spid="_x0000_s1055" style="position:absolute;margin-left:75.75pt;margin-top:35pt;width:162pt;height:35.2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" strokecolor="red" strokeweight="1.5pt">
            <v:fill opacity="3341f"/>
          </v:oval>
        </w:pict>
      </w:r>
      <w:r w:rsidR="00A10CDF" w:rsidRPr="0049678A">
        <w:rPr>
          <w:rFonts w:ascii="Verdana" w:hAnsi="Verdana"/>
          <w:noProof/>
          <w:sz w:val="20"/>
          <w:szCs w:val="20"/>
        </w:rPr>
        <w:t xml:space="preserve"> </w:t>
      </w:r>
      <w:r w:rsidR="00A10CDF" w:rsidRPr="0049678A">
        <w:rPr>
          <w:rFonts w:ascii="Verdana" w:hAnsi="Verdana"/>
          <w:noProof/>
          <w:sz w:val="20"/>
          <w:szCs w:val="20"/>
        </w:rPr>
        <w:drawing>
          <wp:inline distT="0" distB="0" distL="0" distR="0">
            <wp:extent cx="5657143" cy="4857143"/>
            <wp:effectExtent l="0" t="0" r="127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5657143" cy="4857143"/>
                    </a:xfrm>
                    <a:prstGeom prst="rect">
                      <a:avLst/>
                    </a:prstGeom>
                  </pic:spPr>
                </pic:pic>
              </a:graphicData>
            </a:graphic>
          </wp:inline>
        </w:drawing>
      </w:r>
    </w:p>
    <w:p w:rsidR="00A10CDF" w:rsidRPr="0049678A" w:rsidRDefault="00A10CDF" w:rsidP="00A10CDF">
      <w:pPr>
        <w:spacing w:after="0" w:line="240" w:lineRule="auto"/>
        <w:rPr>
          <w:rFonts w:ascii="Verdana" w:hAnsi="Verdana"/>
          <w:spacing w:val="5"/>
          <w:sz w:val="20"/>
          <w:szCs w:val="20"/>
        </w:rPr>
      </w:pPr>
    </w:p>
    <w:p w:rsidR="00A10CDF" w:rsidRPr="0049678A" w:rsidRDefault="00A10CDF" w:rsidP="00A10CDF">
      <w:pPr>
        <w:pStyle w:val="Heading1"/>
        <w:rPr>
          <w:rFonts w:ascii="Verdana" w:hAnsi="Verdana"/>
          <w:sz w:val="20"/>
          <w:szCs w:val="20"/>
        </w:rPr>
      </w:pPr>
      <w:bookmarkStart w:id="160" w:name="_Toc293321444"/>
      <w:r w:rsidRPr="0049678A">
        <w:rPr>
          <w:rFonts w:ascii="Verdana" w:hAnsi="Verdana"/>
          <w:sz w:val="20"/>
          <w:szCs w:val="20"/>
        </w:rPr>
        <w:t>CA5 - Activity Identifier</w:t>
      </w:r>
      <w:bookmarkEnd w:id="160"/>
      <w:r w:rsidRPr="0049678A">
        <w:rPr>
          <w:rFonts w:ascii="Verdana" w:hAnsi="Verdana"/>
          <w:sz w:val="20"/>
          <w:szCs w:val="20"/>
        </w:rPr>
        <w:t xml:space="preserve">  </w:t>
      </w:r>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CA5 - Activity Identifier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15AN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Controlling</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An Activity is a series of events, tasks, or units of work that are linked to perform a specific objective.</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Activity types describe the activity produced by a cost center and are measured in units of time or quantity. In activity type planning, control data determines whether the activity price for evaluation of the activity type is manually set or is derived iteratively through activity price calculation.</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lastRenderedPageBreak/>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
        <w:gridCol w:w="8596"/>
      </w:tblGrid>
      <w:tr w:rsidR="00A10CDF" w:rsidRPr="0049678A" w:rsidTr="004F7F27">
        <w:tc>
          <w:tcPr>
            <w:tcW w:w="57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3"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rPr>
          <w:trHeight w:val="413"/>
        </w:trPr>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CA5</w:t>
            </w:r>
          </w:p>
        </w:tc>
        <w:tc>
          <w:tcPr>
            <w:tcW w:w="8643" w:type="dxa"/>
            <w:shd w:val="clear" w:color="auto" w:fill="auto"/>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Activity Identifier is used as the cost object, then the Activity Identifier must be directly aligned with one or more Program Codes.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CA5</w:t>
            </w:r>
          </w:p>
        </w:tc>
        <w:tc>
          <w:tcPr>
            <w:tcW w:w="8643" w:type="dxa"/>
            <w:shd w:val="clear" w:color="auto" w:fill="auto"/>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Activity Identifier must be associated with one or more Funding Center Identifiers.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CA5</w:t>
            </w:r>
          </w:p>
        </w:tc>
        <w:tc>
          <w:tcPr>
            <w:tcW w:w="8643" w:type="dxa"/>
            <w:shd w:val="clear" w:color="auto" w:fill="auto"/>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Activity Identifier must be no more than 15 alpha-numeric characters.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CA5</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An Activity Identifier must be associated with one or more Cost Element Codes.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CA5</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Activity Identifier is used as the cost object, then Activity Identifier will be used for cost accumulation.</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CA5</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Activity Identifier is used as the cost object, then each system must store and maintain Activity Identifiers.</w:t>
            </w:r>
          </w:p>
        </w:tc>
      </w:tr>
    </w:tbl>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Controlling</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 -Controlling – Cost Center Accounting - Cost Center - Activity Type -Individual Processing-  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KL03</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CSLAZ</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LSTAR</w:t>
            </w:r>
          </w:p>
        </w:tc>
      </w:tr>
      <w:tr w:rsidR="00A10CDF" w:rsidRPr="0049678A" w:rsidTr="004F7F27">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KL01, KL02</w:t>
            </w:r>
          </w:p>
        </w:tc>
      </w:tr>
    </w:tbl>
    <w:p w:rsidR="00A10CDF" w:rsidRPr="0049678A" w:rsidRDefault="00A10CDF" w:rsidP="00A10CDF">
      <w:pPr>
        <w:spacing w:after="0"/>
        <w:rPr>
          <w:rFonts w:ascii="Verdana" w:hAnsi="Verdana"/>
          <w:sz w:val="20"/>
          <w:szCs w:val="20"/>
        </w:rPr>
      </w:pPr>
      <w:r w:rsidRPr="0049678A">
        <w:rPr>
          <w:rFonts w:ascii="Verdana" w:hAnsi="Verdana"/>
          <w:noProof/>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spacing w:after="0" w:line="240" w:lineRule="auto"/>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“Activity Identifier” Display Characteristics</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rPr>
          <w:rFonts w:ascii="Verdana" w:hAnsi="Verdana"/>
          <w:noProof/>
          <w:sz w:val="20"/>
          <w:szCs w:val="20"/>
        </w:rPr>
      </w:pPr>
      <w:r w:rsidRPr="0049678A">
        <w:rPr>
          <w:rFonts w:ascii="Verdana" w:hAnsi="Verdana"/>
          <w:noProof/>
          <w:sz w:val="20"/>
          <w:szCs w:val="20"/>
        </w:rPr>
        <w:lastRenderedPageBreak/>
        <w:drawing>
          <wp:inline distT="0" distB="0" distL="0" distR="0">
            <wp:extent cx="5943600" cy="3438525"/>
            <wp:effectExtent l="19050" t="0" r="0" b="0"/>
            <wp:docPr id="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srcRect/>
                    <a:stretch>
                      <a:fillRect/>
                    </a:stretch>
                  </pic:blipFill>
                  <pic:spPr bwMode="auto">
                    <a:xfrm>
                      <a:off x="0" y="0"/>
                      <a:ext cx="5943600" cy="3438525"/>
                    </a:xfrm>
                    <a:prstGeom prst="rect">
                      <a:avLst/>
                    </a:prstGeom>
                    <a:noFill/>
                    <a:ln w="9525">
                      <a:noFill/>
                      <a:miter lim="800000"/>
                      <a:headEnd/>
                      <a:tailEnd/>
                    </a:ln>
                  </pic:spPr>
                </pic:pic>
              </a:graphicData>
            </a:graphic>
          </wp:inline>
        </w:drawing>
      </w:r>
    </w:p>
    <w:p w:rsidR="00A10CDF" w:rsidRPr="0049678A" w:rsidRDefault="00A10CDF" w:rsidP="00A10CDF">
      <w:pPr>
        <w:rPr>
          <w:rFonts w:ascii="Verdana" w:hAnsi="Verdana"/>
          <w:noProof/>
          <w:sz w:val="20"/>
          <w:szCs w:val="20"/>
        </w:rPr>
      </w:pPr>
      <w:r w:rsidRPr="0049678A">
        <w:rPr>
          <w:rFonts w:ascii="Verdana" w:hAnsi="Verdana"/>
          <w:noProof/>
          <w:sz w:val="20"/>
          <w:szCs w:val="20"/>
        </w:rPr>
        <w:drawing>
          <wp:inline distT="0" distB="0" distL="0" distR="0">
            <wp:extent cx="5562600" cy="2219325"/>
            <wp:effectExtent l="19050" t="0" r="0" b="0"/>
            <wp:docPr id="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srcRect/>
                    <a:stretch>
                      <a:fillRect/>
                    </a:stretch>
                  </pic:blipFill>
                  <pic:spPr bwMode="auto">
                    <a:xfrm>
                      <a:off x="0" y="0"/>
                      <a:ext cx="5562600" cy="2219325"/>
                    </a:xfrm>
                    <a:prstGeom prst="rect">
                      <a:avLst/>
                    </a:prstGeom>
                    <a:noFill/>
                    <a:ln w="9525">
                      <a:noFill/>
                      <a:miter lim="800000"/>
                      <a:headEnd/>
                      <a:tailEnd/>
                    </a:ln>
                  </pic:spPr>
                </pic:pic>
              </a:graphicData>
            </a:graphic>
          </wp:inline>
        </w:drawing>
      </w:r>
    </w:p>
    <w:p w:rsidR="00A10CDF" w:rsidRPr="0049678A" w:rsidRDefault="00A10CDF" w:rsidP="00A10CDF">
      <w:pPr>
        <w:spacing w:line="240" w:lineRule="auto"/>
        <w:rPr>
          <w:rFonts w:ascii="Verdana" w:hAnsi="Verdana"/>
          <w:sz w:val="20"/>
          <w:szCs w:val="20"/>
        </w:rPr>
      </w:pPr>
    </w:p>
    <w:p w:rsidR="00A10CDF" w:rsidRPr="0049678A" w:rsidRDefault="00A10CDF" w:rsidP="00A10CDF">
      <w:pPr>
        <w:spacing w:after="0" w:line="240" w:lineRule="auto"/>
        <w:rPr>
          <w:rFonts w:ascii="Verdana" w:hAnsi="Verdana"/>
          <w:sz w:val="20"/>
          <w:szCs w:val="20"/>
        </w:rPr>
      </w:pPr>
    </w:p>
    <w:p w:rsidR="00A10CDF" w:rsidRPr="0049678A" w:rsidRDefault="00A10CDF" w:rsidP="00A10CDF">
      <w:pPr>
        <w:spacing w:after="0" w:line="240" w:lineRule="auto"/>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61" w:name="_Toc293321445"/>
      <w:r w:rsidRPr="0049678A">
        <w:rPr>
          <w:rFonts w:ascii="Verdana" w:hAnsi="Verdana"/>
          <w:sz w:val="20"/>
          <w:szCs w:val="20"/>
        </w:rPr>
        <w:lastRenderedPageBreak/>
        <w:t>CA6 - Cost Element Code</w:t>
      </w:r>
      <w:bookmarkEnd w:id="161"/>
      <w:r w:rsidRPr="0049678A">
        <w:rPr>
          <w:rFonts w:ascii="Verdana" w:hAnsi="Verdana"/>
          <w:sz w:val="20"/>
          <w:szCs w:val="20"/>
        </w:rPr>
        <w:t xml:space="preserve"> </w:t>
      </w:r>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CA6 - Cost Element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15AN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Controlling</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Cost Element is a classification of an organization's revenues, expenses or consumable resources.  Cost Element Code only relates to primary cost.  Cost Element Code does not relate to secondary cost which is identified as agency specific and not enterprise-level...</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color w:val="000000"/>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6100.1212 - O/E-Personnel Compensation-Civilian</w:t>
            </w:r>
          </w:p>
          <w:p w:rsidR="00A10CDF" w:rsidRPr="0049678A" w:rsidRDefault="00A10CDF" w:rsidP="004F7F27">
            <w:pPr>
              <w:pStyle w:val="NoSpacing"/>
              <w:rPr>
                <w:rFonts w:ascii="Verdana" w:hAnsi="Verdana"/>
                <w:sz w:val="20"/>
                <w:szCs w:val="20"/>
              </w:rPr>
            </w:pPr>
            <w:r w:rsidRPr="0049678A">
              <w:rPr>
                <w:rFonts w:ascii="Verdana" w:hAnsi="Verdana"/>
                <w:sz w:val="20"/>
                <w:szCs w:val="20"/>
              </w:rPr>
              <w:t>6100.1222 - O/E-Personnel Compensation-Military</w:t>
            </w:r>
          </w:p>
          <w:p w:rsidR="00A10CDF" w:rsidRPr="0049678A" w:rsidRDefault="00A10CDF" w:rsidP="004F7F27">
            <w:pPr>
              <w:pStyle w:val="NoSpacing"/>
              <w:rPr>
                <w:rFonts w:ascii="Verdana" w:hAnsi="Verdana"/>
                <w:sz w:val="20"/>
                <w:szCs w:val="20"/>
              </w:rPr>
            </w:pPr>
            <w:r w:rsidRPr="0049678A">
              <w:rPr>
                <w:rFonts w:ascii="Verdana" w:hAnsi="Verdana"/>
                <w:sz w:val="20"/>
                <w:szCs w:val="20"/>
              </w:rPr>
              <w:t>6100.2522 - O/E-Purchased Services</w:t>
            </w:r>
          </w:p>
          <w:p w:rsidR="00A10CDF" w:rsidRPr="0049678A" w:rsidRDefault="00A10CDF" w:rsidP="004F7F27">
            <w:pPr>
              <w:pStyle w:val="NoSpacing"/>
              <w:rPr>
                <w:rFonts w:ascii="Verdana" w:hAnsi="Verdana"/>
                <w:sz w:val="20"/>
                <w:szCs w:val="20"/>
              </w:rPr>
            </w:pPr>
            <w:r w:rsidRPr="0049678A">
              <w:rPr>
                <w:rFonts w:ascii="Verdana" w:hAnsi="Verdana"/>
                <w:sz w:val="20"/>
                <w:szCs w:val="20"/>
              </w:rPr>
              <w:t>6100.2601 - O/E-Supplies and Materials</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Every item that is relevant to costing is assigned to a cost element. For example, material costs (category M) are assigned to primary cost elements, while production costs (category E) and overhead costs (category G, P or X) are assigned to secondary cost elements</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
        <w:gridCol w:w="8596"/>
      </w:tblGrid>
      <w:tr w:rsidR="00A10CDF" w:rsidRPr="0049678A" w:rsidTr="004F7F27">
        <w:tc>
          <w:tcPr>
            <w:tcW w:w="57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rPr>
          <w:trHeight w:val="413"/>
        </w:trPr>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CA6</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Cost Element Code must be associated to only one general ledger account.</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CA6</w:t>
            </w:r>
          </w:p>
        </w:tc>
        <w:tc>
          <w:tcPr>
            <w:tcW w:w="8643" w:type="dxa"/>
            <w:tcBorders>
              <w:bottom w:val="single" w:sz="4" w:space="0" w:color="auto"/>
            </w:tcBorders>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Cost Element Codes linked to posted costs must be associated with at least one cost object.</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CA6</w:t>
            </w:r>
          </w:p>
        </w:tc>
        <w:tc>
          <w:tcPr>
            <w:tcW w:w="8643" w:type="dxa"/>
            <w:shd w:val="clear" w:color="auto" w:fill="auto"/>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Cost Element Code must be no more than 15 alpha-numeric characters.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CA6</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Cost Element Code must be used for cost accumulation that is to be posted to the general ledger.</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CA6</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system must store and maintain Cost Element Codes.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CO</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Accounting -Controlling – Cost Center Accounting - Cost Element - Individual Processing-  Display </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KA03</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CSLAZ</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KSTAR</w:t>
            </w:r>
          </w:p>
        </w:tc>
      </w:tr>
      <w:tr w:rsidR="00A10CDF" w:rsidRPr="0049678A" w:rsidTr="004F7F27">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KA01, KA02</w:t>
            </w:r>
          </w:p>
        </w:tc>
      </w:tr>
    </w:tbl>
    <w:p w:rsidR="00A10CDF" w:rsidRPr="0049678A" w:rsidRDefault="00A10CDF" w:rsidP="00A10CDF">
      <w:pPr>
        <w:pStyle w:val="Heading2"/>
        <w:rPr>
          <w:rFonts w:ascii="Verdana" w:hAnsi="Verdana"/>
          <w:sz w:val="20"/>
          <w:szCs w:val="20"/>
        </w:rPr>
      </w:pPr>
      <w:bookmarkStart w:id="162" w:name="_Toc290534898"/>
    </w:p>
    <w:p w:rsidR="00A10CDF" w:rsidRPr="0049678A" w:rsidRDefault="00A10CDF" w:rsidP="00A10CDF">
      <w:pPr>
        <w:pStyle w:val="Heading2"/>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“Cost Element Code” Display Field on Cost Element</w:t>
      </w:r>
      <w:bookmarkEnd w:id="162"/>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sz w:val="20"/>
          <w:szCs w:val="20"/>
        </w:rPr>
      </w:pPr>
      <w:r>
        <w:rPr>
          <w:rFonts w:ascii="Verdana" w:hAnsi="Verdana"/>
          <w:noProof/>
          <w:sz w:val="20"/>
          <w:szCs w:val="20"/>
        </w:rPr>
        <w:lastRenderedPageBreak/>
        <w:pict>
          <v:oval id="Oval 90" o:spid="_x0000_s1056" style="position:absolute;margin-left:68.25pt;margin-top:-.25pt;width:218.25pt;height:27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" strokecolor="red" strokeweight="1.5pt">
            <v:fill opacity="3341f"/>
          </v:oval>
        </w:pict>
      </w:r>
      <w:r w:rsidR="00A10CDF" w:rsidRPr="0049678A">
        <w:rPr>
          <w:rFonts w:ascii="Verdana" w:hAnsi="Verdana"/>
          <w:noProof/>
          <w:sz w:val="20"/>
          <w:szCs w:val="20"/>
        </w:rPr>
        <w:drawing>
          <wp:inline distT="0" distB="0" distL="0" distR="0">
            <wp:extent cx="5943600" cy="3064510"/>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5943600" cy="3064510"/>
                    </a:xfrm>
                    <a:prstGeom prst="rect">
                      <a:avLst/>
                    </a:prstGeom>
                  </pic:spPr>
                </pic:pic>
              </a:graphicData>
            </a:graphic>
          </wp:inline>
        </w:drawing>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pStyle w:val="Heading1"/>
        <w:rPr>
          <w:rFonts w:ascii="Verdana" w:hAnsi="Verdana"/>
          <w:sz w:val="20"/>
          <w:szCs w:val="20"/>
        </w:rPr>
      </w:pPr>
      <w:bookmarkStart w:id="163" w:name="_Toc293321446"/>
      <w:r w:rsidRPr="0049678A">
        <w:rPr>
          <w:rFonts w:ascii="Verdana" w:hAnsi="Verdana"/>
          <w:sz w:val="20"/>
          <w:szCs w:val="20"/>
        </w:rPr>
        <w:t>CA7</w:t>
      </w:r>
      <w:r w:rsidRPr="0049678A">
        <w:rPr>
          <w:rFonts w:ascii="Verdana" w:hAnsi="Verdana"/>
          <w:b/>
          <w:sz w:val="20"/>
          <w:szCs w:val="20"/>
        </w:rPr>
        <w:t xml:space="preserve"> </w:t>
      </w:r>
      <w:r w:rsidRPr="0049678A">
        <w:rPr>
          <w:rFonts w:ascii="Verdana" w:hAnsi="Verdana"/>
          <w:sz w:val="20"/>
          <w:szCs w:val="20"/>
        </w:rPr>
        <w:t>- Work Order Number</w:t>
      </w:r>
      <w:bookmarkEnd w:id="163"/>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CA7 - Work Order Number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16AN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Plant Maintenance</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Identifies an individual unit of work, batch, or lot of a distinct product or service.</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cs="Arial"/>
                <w:sz w:val="20"/>
                <w:szCs w:val="20"/>
              </w:rPr>
              <w:t>Supports action-oriented planning as well as monitoring and allocation of costs</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
        <w:gridCol w:w="8596"/>
      </w:tblGrid>
      <w:tr w:rsidR="00A10CDF" w:rsidRPr="0049678A" w:rsidTr="004F7F27">
        <w:tc>
          <w:tcPr>
            <w:tcW w:w="57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rPr>
          <w:trHeight w:val="305"/>
        </w:trPr>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CA7</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 Work Order Number must be associated with one or more Fund Center Identifiers.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CA7</w:t>
            </w:r>
          </w:p>
        </w:tc>
        <w:tc>
          <w:tcPr>
            <w:tcW w:w="8643" w:type="dxa"/>
            <w:tcBorders>
              <w:bottom w:val="single" w:sz="4" w:space="0" w:color="auto"/>
            </w:tcBorders>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 Work Order Number must be associated with one or more Cost Element Codes.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CA7</w:t>
            </w:r>
          </w:p>
        </w:tc>
        <w:tc>
          <w:tcPr>
            <w:tcW w:w="8643" w:type="dxa"/>
            <w:shd w:val="clear" w:color="auto" w:fill="auto"/>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Work Order Number is used as the cost object, then the Work Order Number must be directly aligned with one or more Program Codes.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CA7</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Work Order Number must be no more than 16 alpha-numeric characters.</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CA7</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Work Order Number is used as the cost object, then Work Order Number must be used for cost accumulation.</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CA7</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Work Order Number is used as the cost object, then each system must store and maintain Work Order Numbers.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CO/PS</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Logistics - Plant Maintenance - Maintenance Processing -Display</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 </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IW33</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CAUFVD</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AUFNR</w:t>
            </w:r>
          </w:p>
        </w:tc>
      </w:tr>
      <w:tr w:rsidR="00A10CDF" w:rsidRPr="0049678A" w:rsidTr="004F7F27">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IW31, IW32</w:t>
            </w:r>
          </w:p>
        </w:tc>
      </w:tr>
    </w:tbl>
    <w:p w:rsidR="00A10CDF" w:rsidRPr="0049678A" w:rsidRDefault="00A10CDF" w:rsidP="00A10CDF">
      <w:pPr>
        <w:spacing w:after="0"/>
        <w:rPr>
          <w:rFonts w:ascii="Verdana" w:hAnsi="Verdana"/>
          <w:noProof/>
          <w:sz w:val="20"/>
          <w:szCs w:val="20"/>
        </w:rPr>
      </w:pPr>
      <w:r w:rsidRPr="0049678A">
        <w:rPr>
          <w:rFonts w:ascii="Verdana" w:hAnsi="Verdana"/>
          <w:noProof/>
          <w:sz w:val="20"/>
          <w:szCs w:val="20"/>
        </w:rPr>
        <w:t xml:space="preserve"> </w:t>
      </w:r>
      <w:bookmarkStart w:id="164" w:name="_Toc290534899"/>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“Work Order Number” Display Field on Work Order</w:t>
      </w:r>
      <w:bookmarkEnd w:id="164"/>
    </w:p>
    <w:p w:rsidR="00A10CDF" w:rsidRPr="0049678A" w:rsidRDefault="00402381" w:rsidP="00A10CDF">
      <w:pPr>
        <w:spacing w:after="0" w:line="240" w:lineRule="auto"/>
        <w:rPr>
          <w:rFonts w:ascii="Verdana" w:hAnsi="Verdana"/>
          <w:sz w:val="20"/>
          <w:szCs w:val="20"/>
        </w:rPr>
      </w:pPr>
      <w:r>
        <w:rPr>
          <w:rFonts w:ascii="Verdana" w:hAnsi="Verdana"/>
          <w:noProof/>
          <w:sz w:val="20"/>
          <w:szCs w:val="20"/>
        </w:rPr>
        <w:pict>
          <v:oval id="Oval 96" o:spid="_x0000_s1057" style="position:absolute;margin-left:39.7pt;margin-top:6.65pt;width:110.25pt;height:23.2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" strokecolor="red" strokeweight="1.5pt">
            <v:fill opacity="3341f"/>
          </v:oval>
        </w:pict>
      </w:r>
    </w:p>
    <w:p w:rsidR="00A10CDF" w:rsidRPr="0049678A" w:rsidRDefault="00A10CDF" w:rsidP="00A10CDF">
      <w:pPr>
        <w:rPr>
          <w:rFonts w:ascii="Verdana" w:hAnsi="Verdana"/>
          <w:sz w:val="20"/>
          <w:szCs w:val="20"/>
        </w:rPr>
      </w:pPr>
      <w:r w:rsidRPr="0049678A">
        <w:rPr>
          <w:rFonts w:ascii="Verdana" w:hAnsi="Verdana"/>
          <w:noProof/>
          <w:sz w:val="20"/>
          <w:szCs w:val="20"/>
        </w:rPr>
        <w:drawing>
          <wp:inline distT="0" distB="0" distL="0" distR="0">
            <wp:extent cx="5943600" cy="2419350"/>
            <wp:effectExtent l="0" t="0" r="0" b="0"/>
            <wp:docPr id="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419350"/>
                    </a:xfrm>
                    <a:prstGeom prst="rect">
                      <a:avLst/>
                    </a:prstGeom>
                    <a:noFill/>
                    <a:ln>
                      <a:noFill/>
                    </a:ln>
                  </pic:spPr>
                </pic:pic>
              </a:graphicData>
            </a:graphic>
          </wp:inline>
        </w:drawing>
      </w:r>
      <w:r w:rsidRPr="0049678A">
        <w:rPr>
          <w:rFonts w:ascii="Verdana" w:hAnsi="Verdana"/>
          <w:noProof/>
          <w:sz w:val="20"/>
          <w:szCs w:val="20"/>
        </w:rPr>
        <w:t xml:space="preserve"> </w:t>
      </w:r>
      <w:r w:rsidRPr="0049678A">
        <w:rPr>
          <w:rFonts w:ascii="Verdana" w:hAnsi="Verdana"/>
          <w:noProof/>
          <w:sz w:val="20"/>
          <w:szCs w:val="20"/>
        </w:rPr>
        <w:drawing>
          <wp:inline distT="0" distB="0" distL="0" distR="0">
            <wp:extent cx="5943600" cy="2152650"/>
            <wp:effectExtent l="0" t="0" r="0" b="0"/>
            <wp:docPr id="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152650"/>
                    </a:xfrm>
                    <a:prstGeom prst="rect">
                      <a:avLst/>
                    </a:prstGeom>
                    <a:noFill/>
                    <a:ln>
                      <a:noFill/>
                    </a:ln>
                  </pic:spPr>
                </pic:pic>
              </a:graphicData>
            </a:graphic>
          </wp:inline>
        </w:drawing>
      </w:r>
    </w:p>
    <w:p w:rsidR="00A10CDF" w:rsidRPr="0049678A" w:rsidRDefault="00A10CDF" w:rsidP="00A10CDF">
      <w:pPr>
        <w:spacing w:after="0" w:line="240" w:lineRule="auto"/>
        <w:rPr>
          <w:rFonts w:ascii="Verdana" w:hAnsi="Verdana"/>
          <w:spacing w:val="5"/>
          <w:sz w:val="20"/>
          <w:szCs w:val="20"/>
        </w:rPr>
      </w:pPr>
    </w:p>
    <w:p w:rsidR="00A10CDF" w:rsidRPr="0049678A" w:rsidRDefault="00A10CDF" w:rsidP="00A10CDF">
      <w:pPr>
        <w:pStyle w:val="Heading1"/>
        <w:rPr>
          <w:rFonts w:ascii="Verdana" w:hAnsi="Verdana"/>
          <w:sz w:val="20"/>
          <w:szCs w:val="20"/>
        </w:rPr>
      </w:pPr>
      <w:bookmarkStart w:id="165" w:name="_Toc293321447"/>
      <w:r w:rsidRPr="0049678A">
        <w:rPr>
          <w:rFonts w:ascii="Verdana" w:hAnsi="Verdana"/>
          <w:sz w:val="20"/>
          <w:szCs w:val="20"/>
        </w:rPr>
        <w:t>CA9 - Transaction Quantity</w:t>
      </w:r>
      <w:bookmarkEnd w:id="165"/>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CA9 - Transaction Quantity</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10</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Purchasing</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Quantity of units involved in the transaction.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If </w:t>
            </w:r>
            <w:proofErr w:type="spellStart"/>
            <w:r w:rsidRPr="0049678A">
              <w:rPr>
                <w:rFonts w:ascii="Verdana" w:hAnsi="Verdana"/>
                <w:sz w:val="20"/>
                <w:szCs w:val="20"/>
              </w:rPr>
              <w:t>DoD</w:t>
            </w:r>
            <w:proofErr w:type="spellEnd"/>
            <w:r w:rsidRPr="0049678A">
              <w:rPr>
                <w:rFonts w:ascii="Verdana" w:hAnsi="Verdana"/>
                <w:sz w:val="20"/>
                <w:szCs w:val="20"/>
              </w:rPr>
              <w:t xml:space="preserve"> purchases 60 computers in one transaction, then the Transaction Quantity value will be "0000000060" for the transaction.</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cs="Calibri"/>
                <w:sz w:val="20"/>
                <w:szCs w:val="20"/>
              </w:rPr>
              <w:t xml:space="preserve">The order quantity relates to the </w:t>
            </w:r>
            <w:hyperlink r:id="rId76" w:history="1">
              <w:r w:rsidRPr="0049678A">
                <w:rPr>
                  <w:rFonts w:ascii="Verdana" w:hAnsi="Verdana" w:cs="Calibri"/>
                  <w:sz w:val="20"/>
                  <w:szCs w:val="20"/>
                </w:rPr>
                <w:t>order unit</w:t>
              </w:r>
            </w:hyperlink>
            <w:r w:rsidRPr="0049678A">
              <w:rPr>
                <w:rFonts w:ascii="Verdana" w:hAnsi="Verdana" w:cs="Calibri"/>
                <w:sz w:val="20"/>
                <w:szCs w:val="20"/>
              </w:rPr>
              <w:t xml:space="preserve">. It is used in </w:t>
            </w:r>
            <w:hyperlink r:id="rId77" w:history="1">
              <w:r w:rsidRPr="0049678A">
                <w:rPr>
                  <w:rFonts w:ascii="Verdana" w:hAnsi="Verdana" w:cs="Calibri"/>
                  <w:sz w:val="20"/>
                  <w:szCs w:val="20"/>
                </w:rPr>
                <w:t>Goods Receiving</w:t>
              </w:r>
            </w:hyperlink>
            <w:r w:rsidRPr="0049678A">
              <w:rPr>
                <w:rFonts w:ascii="Verdana" w:hAnsi="Verdana" w:cs="Calibri"/>
                <w:sz w:val="20"/>
                <w:szCs w:val="20"/>
              </w:rPr>
              <w:t xml:space="preserve"> and </w:t>
            </w:r>
            <w:hyperlink r:id="rId78" w:history="1">
              <w:r w:rsidRPr="0049678A">
                <w:rPr>
                  <w:rFonts w:ascii="Verdana" w:hAnsi="Verdana" w:cs="Calibri"/>
                  <w:sz w:val="20"/>
                  <w:szCs w:val="20"/>
                </w:rPr>
                <w:t>Invoice Verification</w:t>
              </w:r>
            </w:hyperlink>
            <w:r w:rsidRPr="0049678A">
              <w:rPr>
                <w:rFonts w:ascii="Verdana" w:hAnsi="Verdana" w:cs="Calibri"/>
                <w:sz w:val="20"/>
                <w:szCs w:val="20"/>
              </w:rPr>
              <w:t xml:space="preserve"> for checking purposes. Enter the quantity to be ordered in the unit of measure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
        <w:gridCol w:w="8596"/>
      </w:tblGrid>
      <w:tr w:rsidR="00A10CDF" w:rsidRPr="0049678A" w:rsidTr="004F7F27">
        <w:tc>
          <w:tcPr>
            <w:tcW w:w="57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64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rPr>
          <w:trHeight w:val="305"/>
        </w:trPr>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CA9</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Transaction Quantity must be up to 10 numeric characters.  ex. 0000000060</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Data values:  There is no list of values applicable for this element.</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CA9</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Transaction Quantity must be used for asset accountability.  </w:t>
            </w:r>
          </w:p>
        </w:tc>
      </w:tr>
      <w:tr w:rsidR="00A10CDF" w:rsidRPr="0049678A" w:rsidTr="004F7F27">
        <w:tc>
          <w:tcPr>
            <w:tcW w:w="573"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CA9</w:t>
            </w:r>
          </w:p>
        </w:tc>
        <w:tc>
          <w:tcPr>
            <w:tcW w:w="8643"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Transaction Quantity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CO</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ME23N</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MEPO1211</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MENGE</w:t>
            </w:r>
          </w:p>
        </w:tc>
      </w:tr>
      <w:tr w:rsidR="00A10CDF" w:rsidRPr="0049678A" w:rsidTr="004F7F27">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ME21N, ME22N</w:t>
            </w:r>
          </w:p>
        </w:tc>
      </w:tr>
    </w:tbl>
    <w:p w:rsidR="00A10CDF" w:rsidRPr="0049678A" w:rsidRDefault="00A10CDF" w:rsidP="00A10CDF">
      <w:pPr>
        <w:spacing w:after="0"/>
        <w:rPr>
          <w:rFonts w:ascii="Verdana" w:hAnsi="Verdana"/>
          <w:noProof/>
          <w:sz w:val="20"/>
          <w:szCs w:val="20"/>
        </w:rPr>
      </w:pPr>
      <w:r w:rsidRPr="0049678A">
        <w:rPr>
          <w:rFonts w:ascii="Verdana" w:hAnsi="Verdana"/>
          <w:noProof/>
          <w:sz w:val="20"/>
          <w:szCs w:val="20"/>
        </w:rPr>
        <w:t xml:space="preserve"> </w:t>
      </w:r>
      <w:bookmarkStart w:id="166" w:name="_Toc290534900"/>
    </w:p>
    <w:p w:rsidR="00A10CDF" w:rsidRPr="0049678A" w:rsidRDefault="00A10CDF" w:rsidP="00A10CDF">
      <w:pPr>
        <w:spacing w:after="0" w:line="240" w:lineRule="auto"/>
        <w:rPr>
          <w:rStyle w:val="Heading3Char"/>
          <w:rFonts w:ascii="Verdana" w:hAnsi="Verdana"/>
          <w:iCs w:val="0"/>
          <w:smallCaps w:val="0"/>
          <w:spacing w:val="0"/>
          <w:sz w:val="20"/>
          <w:szCs w:val="20"/>
        </w:rPr>
      </w:pPr>
      <w:r w:rsidRPr="0049678A">
        <w:rPr>
          <w:rStyle w:val="Heading3Char"/>
          <w:rFonts w:ascii="Verdana" w:hAnsi="Verdana"/>
          <w:iCs w:val="0"/>
          <w:smallCaps w:val="0"/>
          <w:color w:val="002060"/>
          <w:spacing w:val="0"/>
          <w:sz w:val="20"/>
          <w:szCs w:val="20"/>
        </w:rPr>
        <w:t xml:space="preserve">Screenshot:  </w:t>
      </w:r>
      <w:r w:rsidRPr="0049678A">
        <w:rPr>
          <w:rStyle w:val="Heading3Char"/>
          <w:rFonts w:ascii="Verdana" w:hAnsi="Verdana"/>
          <w:iCs w:val="0"/>
          <w:smallCaps w:val="0"/>
          <w:spacing w:val="0"/>
          <w:sz w:val="20"/>
          <w:szCs w:val="20"/>
        </w:rPr>
        <w:t>Location of “Transaction Quantity” Display Field on Purchase Ord</w:t>
      </w:r>
      <w:bookmarkEnd w:id="166"/>
      <w:r w:rsidRPr="0049678A">
        <w:rPr>
          <w:rStyle w:val="Heading3Char"/>
          <w:rFonts w:ascii="Verdana" w:hAnsi="Verdana"/>
          <w:iCs w:val="0"/>
          <w:smallCaps w:val="0"/>
          <w:spacing w:val="0"/>
          <w:sz w:val="20"/>
          <w:szCs w:val="20"/>
        </w:rPr>
        <w:t>er</w:t>
      </w:r>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sz w:val="20"/>
          <w:szCs w:val="20"/>
        </w:rPr>
      </w:pPr>
      <w:r>
        <w:rPr>
          <w:rFonts w:ascii="Verdana" w:hAnsi="Verdana"/>
          <w:noProof/>
          <w:sz w:val="20"/>
          <w:szCs w:val="20"/>
        </w:rPr>
        <w:pict>
          <v:oval id="Oval 99" o:spid="_x0000_s1058" style="position:absolute;margin-left:249pt;margin-top:101.25pt;width:55.5pt;height:31.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" strokecolor="red" strokeweight="1.5pt">
            <v:fill opacity="3341f"/>
          </v:oval>
        </w:pict>
      </w:r>
      <w:r w:rsidR="00A10CDF" w:rsidRPr="0049678A">
        <w:rPr>
          <w:rFonts w:ascii="Verdana" w:hAnsi="Verdana"/>
          <w:noProof/>
          <w:sz w:val="20"/>
          <w:szCs w:val="20"/>
        </w:rPr>
        <w:drawing>
          <wp:inline distT="0" distB="0" distL="0" distR="0">
            <wp:extent cx="5933005" cy="15716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5943600" cy="1574431"/>
                    </a:xfrm>
                    <a:prstGeom prst="rect">
                      <a:avLst/>
                    </a:prstGeom>
                  </pic:spPr>
                </pic:pic>
              </a:graphicData>
            </a:graphic>
          </wp:inline>
        </w:drawing>
      </w:r>
    </w:p>
    <w:p w:rsidR="00A10CDF" w:rsidRPr="0049678A" w:rsidRDefault="00A10CDF" w:rsidP="00A10CDF">
      <w:pPr>
        <w:pStyle w:val="Heading1"/>
        <w:rPr>
          <w:rFonts w:ascii="Verdana" w:hAnsi="Verdana"/>
          <w:sz w:val="20"/>
          <w:szCs w:val="20"/>
        </w:rPr>
      </w:pPr>
      <w:bookmarkStart w:id="167" w:name="_Toc293321448"/>
      <w:r w:rsidRPr="0049678A">
        <w:rPr>
          <w:rFonts w:ascii="Verdana" w:hAnsi="Verdana"/>
          <w:sz w:val="20"/>
          <w:szCs w:val="20"/>
        </w:rPr>
        <w:t>CA10 - Unit of Measure Code</w:t>
      </w:r>
      <w:bookmarkEnd w:id="167"/>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CA10 - Unit of Measure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3AN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Purchasing</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The Unit of Measure Code indicates the count, measurement, container or form of an item.</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cs="Calibri"/>
                <w:sz w:val="20"/>
                <w:szCs w:val="20"/>
              </w:rPr>
            </w:pPr>
            <w:r w:rsidRPr="0049678A">
              <w:rPr>
                <w:rFonts w:ascii="Verdana" w:hAnsi="Verdana" w:cs="Calibri"/>
                <w:sz w:val="20"/>
                <w:szCs w:val="20"/>
              </w:rPr>
              <w:t>None</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cs="Arial"/>
                <w:sz w:val="20"/>
                <w:szCs w:val="20"/>
              </w:rPr>
              <w:t>Specifies the unit of measure in which the material is ordered. In Inventory Management, the base unit is the same as the stock keeping unit.</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
        <w:gridCol w:w="8469"/>
      </w:tblGrid>
      <w:tr w:rsidR="00A10CDF" w:rsidRPr="0049678A" w:rsidTr="004F7F27">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4F7F27">
        <w:trPr>
          <w:trHeight w:val="305"/>
        </w:trPr>
        <w:tc>
          <w:tcPr>
            <w:tcW w:w="68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CA10</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A Unit of Measure Code must be used to identify any reported transaction quantity to ensure consistent comparisons across </w:t>
            </w:r>
            <w:proofErr w:type="spellStart"/>
            <w:r w:rsidRPr="0049678A">
              <w:rPr>
                <w:rFonts w:ascii="Verdana" w:hAnsi="Verdana" w:cs="Arial"/>
                <w:bCs/>
                <w:sz w:val="20"/>
                <w:szCs w:val="20"/>
              </w:rPr>
              <w:t>DoD</w:t>
            </w:r>
            <w:proofErr w:type="spellEnd"/>
            <w:r w:rsidRPr="0049678A">
              <w:rPr>
                <w:rFonts w:ascii="Verdana" w:hAnsi="Verdana" w:cs="Arial"/>
                <w:bCs/>
                <w:sz w:val="20"/>
                <w:szCs w:val="20"/>
              </w:rPr>
              <w:t xml:space="preserve"> organizations.</w:t>
            </w:r>
          </w:p>
        </w:tc>
      </w:tr>
      <w:tr w:rsidR="00A10CDF" w:rsidRPr="0049678A" w:rsidTr="004F7F27">
        <w:tc>
          <w:tcPr>
            <w:tcW w:w="68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CA10</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Unit of Measure Code must be no more than 3 alpha-numeric characters.  </w:t>
            </w:r>
          </w:p>
        </w:tc>
      </w:tr>
      <w:tr w:rsidR="00A10CDF" w:rsidRPr="0049678A" w:rsidTr="004F7F27">
        <w:tc>
          <w:tcPr>
            <w:tcW w:w="68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CA10</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Unit of Measure Code must be used for cost control and reporting.</w:t>
            </w:r>
          </w:p>
        </w:tc>
      </w:tr>
      <w:tr w:rsidR="00A10CDF" w:rsidRPr="0049678A" w:rsidTr="004F7F27">
        <w:tc>
          <w:tcPr>
            <w:tcW w:w="68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CA10</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system must store and maintain Unit of Measure Codes.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4F7F27">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4F7F2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4F7F2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Purchasing</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Logistics- Materials Management- Purchasing- Purchase Order- Display</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ME23N</w:t>
            </w:r>
          </w:p>
        </w:tc>
      </w:tr>
      <w:tr w:rsidR="00A10CDF" w:rsidRPr="0049678A" w:rsidTr="004F7F27">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4F7F27">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MEPO1211</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MEINS</w:t>
            </w:r>
          </w:p>
        </w:tc>
      </w:tr>
      <w:tr w:rsidR="00A10CDF" w:rsidRPr="0049678A" w:rsidTr="004F7F27">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ME21N, ME22N</w:t>
            </w:r>
          </w:p>
        </w:tc>
      </w:tr>
    </w:tbl>
    <w:p w:rsidR="00A10CDF" w:rsidRPr="0049678A" w:rsidRDefault="00A10CDF" w:rsidP="00A10CDF">
      <w:pPr>
        <w:spacing w:after="0"/>
        <w:rPr>
          <w:rFonts w:ascii="Verdana" w:hAnsi="Verdana"/>
          <w:sz w:val="20"/>
          <w:szCs w:val="20"/>
        </w:rPr>
      </w:pPr>
      <w:r w:rsidRPr="0049678A">
        <w:rPr>
          <w:rFonts w:ascii="Verdana" w:hAnsi="Verdana"/>
          <w:noProof/>
          <w:sz w:val="20"/>
          <w:szCs w:val="20"/>
        </w:rPr>
        <w:t xml:space="preserve"> </w:t>
      </w:r>
    </w:p>
    <w:p w:rsidR="00A10CDF" w:rsidRPr="0049678A" w:rsidRDefault="00A10CDF" w:rsidP="00A10CDF">
      <w:pPr>
        <w:rPr>
          <w:rFonts w:ascii="Verdana" w:hAnsi="Verdana"/>
          <w:noProof/>
          <w:sz w:val="20"/>
          <w:szCs w:val="20"/>
        </w:rPr>
      </w:pPr>
      <w:r w:rsidRPr="0049678A">
        <w:rPr>
          <w:rFonts w:ascii="Verdana" w:hAnsi="Verdana"/>
          <w:noProof/>
          <w:sz w:val="20"/>
          <w:szCs w:val="20"/>
        </w:rPr>
        <w:t xml:space="preserve"> </w:t>
      </w: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bookmarkStart w:id="168" w:name="_Toc290534901"/>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3"/>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“Unit of Measure Code” Display Field on Purchase Order</w:t>
      </w:r>
      <w:bookmarkEnd w:id="168"/>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sz w:val="20"/>
          <w:szCs w:val="20"/>
        </w:rPr>
      </w:pPr>
      <w:r>
        <w:rPr>
          <w:rFonts w:ascii="Verdana" w:hAnsi="Verdana"/>
          <w:noProof/>
          <w:sz w:val="20"/>
          <w:szCs w:val="20"/>
        </w:rPr>
        <w:lastRenderedPageBreak/>
        <w:pict>
          <v:shapetype id="_x0000_t32" coordsize="21600,21600" o:spt="32" o:oned="t" path="m,l21600,21600e" filled="f">
            <v:path arrowok="t" fillok="f" o:connecttype="none"/>
            <o:lock v:ext="edit" shapetype="t"/>
          </v:shapetype>
          <v:shape id="Straight Arrow Connector 46" o:spid="_x0000_s1066" type="#_x0000_t32" style="position:absolute;margin-left:340.5pt;margin-top:99.95pt;width:10.5pt;height:91.5pt;flip:x;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" strokecolor="red" strokeweight="1.5pt">
            <v:stroke endarrow="open"/>
            <o:lock v:ext="edit" shapetype="f"/>
          </v:shape>
        </w:pict>
      </w:r>
      <w:r w:rsidR="00A10CDF" w:rsidRPr="0049678A">
        <w:rPr>
          <w:rFonts w:ascii="Verdana" w:hAnsi="Verdana"/>
          <w:noProof/>
          <w:sz w:val="20"/>
          <w:szCs w:val="20"/>
        </w:rPr>
        <w:drawing>
          <wp:inline distT="0" distB="0" distL="0" distR="0">
            <wp:extent cx="5943600" cy="305308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5943600" cy="3053080"/>
                    </a:xfrm>
                    <a:prstGeom prst="rect">
                      <a:avLst/>
                    </a:prstGeom>
                  </pic:spPr>
                </pic:pic>
              </a:graphicData>
            </a:graphic>
          </wp:inline>
        </w:drawing>
      </w:r>
    </w:p>
    <w:p w:rsidR="00A10CDF" w:rsidRPr="0049678A" w:rsidRDefault="00402381" w:rsidP="00A10CDF">
      <w:pPr>
        <w:rPr>
          <w:rFonts w:ascii="Verdana" w:hAnsi="Verdana"/>
          <w:noProof/>
          <w:sz w:val="20"/>
          <w:szCs w:val="20"/>
        </w:rPr>
      </w:pPr>
      <w:r>
        <w:rPr>
          <w:rFonts w:ascii="Verdana" w:hAnsi="Verdana"/>
          <w:noProof/>
          <w:sz w:val="20"/>
          <w:szCs w:val="20"/>
        </w:rPr>
        <w:pict>
          <v:oval id="Oval 106" o:spid="_x0000_s1059" style="position:absolute;margin-left:3.85pt;margin-top:1pt;width:47.1pt;height:223.5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" strokecolor="red" strokeweight="1.5pt">
            <v:fill opacity="3341f"/>
          </v:oval>
        </w:pict>
      </w:r>
      <w:r w:rsidR="00A10CDF" w:rsidRPr="0049678A">
        <w:rPr>
          <w:rFonts w:ascii="Verdana" w:hAnsi="Verdana"/>
          <w:noProof/>
          <w:sz w:val="20"/>
          <w:szCs w:val="20"/>
        </w:rPr>
        <w:drawing>
          <wp:inline distT="0" distB="0" distL="0" distR="0">
            <wp:extent cx="5934075" cy="2724150"/>
            <wp:effectExtent l="0" t="0" r="9525" b="0"/>
            <wp:docPr id="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724150"/>
                    </a:xfrm>
                    <a:prstGeom prst="rect">
                      <a:avLst/>
                    </a:prstGeom>
                    <a:noFill/>
                    <a:ln>
                      <a:noFill/>
                    </a:ln>
                  </pic:spPr>
                </pic:pic>
              </a:graphicData>
            </a:graphic>
          </wp:inline>
        </w:drawing>
      </w:r>
    </w:p>
    <w:p w:rsidR="00A10CDF" w:rsidRPr="0049678A" w:rsidRDefault="00A10CDF" w:rsidP="00A10CDF">
      <w:pPr>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69" w:name="_Toc293321449"/>
      <w:r w:rsidRPr="0049678A">
        <w:rPr>
          <w:rFonts w:ascii="Verdana" w:hAnsi="Verdana"/>
          <w:sz w:val="20"/>
          <w:szCs w:val="20"/>
        </w:rPr>
        <w:lastRenderedPageBreak/>
        <w:t>CA12 - Asset Unique ID</w:t>
      </w:r>
      <w:bookmarkEnd w:id="169"/>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4F7F27">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CA12-  Asset Unique ID</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50AN</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Equipment and Tools Management</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Asset Unique identifier is assigned to all physical assets.  It supports asset accountability and </w:t>
            </w:r>
            <w:proofErr w:type="spellStart"/>
            <w:r w:rsidRPr="0049678A">
              <w:rPr>
                <w:rFonts w:ascii="Verdana" w:hAnsi="Verdana"/>
                <w:sz w:val="20"/>
                <w:szCs w:val="20"/>
              </w:rPr>
              <w:t>auditability</w:t>
            </w:r>
            <w:proofErr w:type="spellEnd"/>
            <w:r w:rsidRPr="0049678A">
              <w:rPr>
                <w:rFonts w:ascii="Verdana" w:hAnsi="Verdana"/>
                <w:sz w:val="20"/>
                <w:szCs w:val="20"/>
              </w:rPr>
              <w:t xml:space="preserve">. It is used to record the unique item identification number or the real property identification number. Unique item identification will provide accurate and accessible information about personal property that will make acquisition, repair, and deployment of items faster and more efficient.  Real Property identification distinctively and uniquely identifies a piece of land, a building, structure, linear structure, or other real property improvements in which </w:t>
            </w:r>
            <w:proofErr w:type="spellStart"/>
            <w:r w:rsidRPr="0049678A">
              <w:rPr>
                <w:rFonts w:ascii="Verdana" w:hAnsi="Verdana"/>
                <w:sz w:val="20"/>
                <w:szCs w:val="20"/>
              </w:rPr>
              <w:t>DoD</w:t>
            </w:r>
            <w:proofErr w:type="spellEnd"/>
            <w:r w:rsidRPr="0049678A">
              <w:rPr>
                <w:rFonts w:ascii="Verdana" w:hAnsi="Verdana"/>
                <w:sz w:val="20"/>
                <w:szCs w:val="20"/>
              </w:rPr>
              <w:t xml:space="preserve"> has a legal interest.</w:t>
            </w:r>
          </w:p>
        </w:tc>
      </w:tr>
      <w:tr w:rsidR="00A10CDF" w:rsidRPr="0049678A" w:rsidTr="004F7F27">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Example No. 1-Unique Asset ID (UID): Real Property Items for a Water Treatment System: </w:t>
            </w:r>
          </w:p>
          <w:p w:rsidR="00A10CDF" w:rsidRPr="0049678A" w:rsidRDefault="00A10CDF" w:rsidP="004F7F27">
            <w:pPr>
              <w:pStyle w:val="NoSpacing"/>
              <w:rPr>
                <w:rFonts w:ascii="Verdana" w:hAnsi="Verdana"/>
                <w:sz w:val="20"/>
                <w:szCs w:val="20"/>
              </w:rPr>
            </w:pPr>
            <w:r w:rsidRPr="0049678A">
              <w:rPr>
                <w:rFonts w:ascii="Verdana" w:hAnsi="Verdana"/>
                <w:sz w:val="20"/>
                <w:szCs w:val="20"/>
              </w:rPr>
              <w:t>RPUID                            System    Component                   Name</w:t>
            </w:r>
          </w:p>
          <w:p w:rsidR="00A10CDF" w:rsidRPr="0049678A" w:rsidRDefault="00A10CDF" w:rsidP="004F7F27">
            <w:pPr>
              <w:pStyle w:val="NoSpacing"/>
              <w:rPr>
                <w:rFonts w:ascii="Verdana" w:hAnsi="Verdana"/>
                <w:sz w:val="20"/>
                <w:szCs w:val="20"/>
              </w:rPr>
            </w:pPr>
            <w:r w:rsidRPr="0049678A">
              <w:rPr>
                <w:rFonts w:ascii="Verdana" w:hAnsi="Verdana"/>
                <w:sz w:val="20"/>
                <w:szCs w:val="20"/>
              </w:rPr>
              <w:t>111111111111316946      Water       111111111111110017    Tower</w:t>
            </w:r>
          </w:p>
          <w:p w:rsidR="00A10CDF" w:rsidRPr="0049678A" w:rsidRDefault="00A10CDF" w:rsidP="004F7F27">
            <w:pPr>
              <w:pStyle w:val="NoSpacing"/>
              <w:rPr>
                <w:rFonts w:ascii="Verdana" w:hAnsi="Verdana"/>
                <w:sz w:val="20"/>
                <w:szCs w:val="20"/>
              </w:rPr>
            </w:pPr>
            <w:r w:rsidRPr="0049678A">
              <w:rPr>
                <w:rFonts w:ascii="Verdana" w:hAnsi="Verdana"/>
                <w:sz w:val="20"/>
                <w:szCs w:val="20"/>
              </w:rPr>
              <w:t>111111111111316946      Water       111111111111100009    Intake Pipe</w:t>
            </w:r>
          </w:p>
          <w:p w:rsidR="00A10CDF" w:rsidRPr="0049678A" w:rsidRDefault="00A10CDF" w:rsidP="004F7F27">
            <w:pPr>
              <w:pStyle w:val="NoSpacing"/>
              <w:rPr>
                <w:rFonts w:ascii="Verdana" w:hAnsi="Verdana"/>
                <w:sz w:val="20"/>
                <w:szCs w:val="20"/>
              </w:rPr>
            </w:pPr>
            <w:r w:rsidRPr="0049678A">
              <w:rPr>
                <w:rFonts w:ascii="Verdana" w:hAnsi="Verdana"/>
                <w:sz w:val="20"/>
                <w:szCs w:val="20"/>
              </w:rPr>
              <w:t>111111111111316946      Water       111111111111110204    Treatment Facility</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Example No.2- Unique (Asset) Item Identifier(UID) for Personal Property; Part Name - Signal Acquisition Remote(SAR)-Aircraft Black Box (retains unique identity), using </w:t>
            </w:r>
            <w:proofErr w:type="spellStart"/>
            <w:r w:rsidRPr="0049678A">
              <w:rPr>
                <w:rFonts w:ascii="Verdana" w:hAnsi="Verdana"/>
                <w:sz w:val="20"/>
                <w:szCs w:val="20"/>
              </w:rPr>
              <w:t>DoD</w:t>
            </w:r>
            <w:proofErr w:type="spellEnd"/>
            <w:r w:rsidRPr="0049678A">
              <w:rPr>
                <w:rFonts w:ascii="Verdana" w:hAnsi="Verdana"/>
                <w:sz w:val="20"/>
                <w:szCs w:val="20"/>
              </w:rPr>
              <w:t xml:space="preserve"> Construct #2: Data Identifier Format 06 (DI), (Ref. Source Col., "</w:t>
            </w:r>
            <w:proofErr w:type="spellStart"/>
            <w:r w:rsidRPr="0049678A">
              <w:rPr>
                <w:rFonts w:ascii="Verdana" w:hAnsi="Verdana"/>
                <w:sz w:val="20"/>
                <w:szCs w:val="20"/>
              </w:rPr>
              <w:t>Acq".URL</w:t>
            </w:r>
            <w:proofErr w:type="spellEnd"/>
            <w:r w:rsidRPr="0049678A">
              <w:rPr>
                <w:rFonts w:ascii="Verdana" w:hAnsi="Verdana"/>
                <w:sz w:val="20"/>
                <w:szCs w:val="20"/>
              </w:rPr>
              <w:t xml:space="preserve">):Where, </w:t>
            </w:r>
            <w:r w:rsidRPr="0049678A">
              <w:rPr>
                <w:rFonts w:ascii="Verdana" w:hAnsi="Verdana"/>
                <w:sz w:val="20"/>
                <w:szCs w:val="20"/>
              </w:rPr>
              <w:cr/>
              <w:t>Enterprise Identifier = "17V(MFR CAGE No) 98897", Original Part No.="1P(Original Part No)4L0014-163B" (Separate element, not part of UII), and Serial No.(S)="SSA10197".</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Example No.3: UID for Personal Property: Name-Motor Vehicle (ISO Vehicle Identification Number (VIN) used in data matrix for a </w:t>
            </w:r>
            <w:proofErr w:type="spellStart"/>
            <w:r w:rsidRPr="0049678A">
              <w:rPr>
                <w:rFonts w:ascii="Verdana" w:hAnsi="Verdana"/>
                <w:sz w:val="20"/>
                <w:szCs w:val="20"/>
              </w:rPr>
              <w:t>DoD</w:t>
            </w:r>
            <w:proofErr w:type="spellEnd"/>
            <w:r w:rsidRPr="0049678A">
              <w:rPr>
                <w:rFonts w:ascii="Verdana" w:hAnsi="Verdana"/>
                <w:sz w:val="20"/>
                <w:szCs w:val="20"/>
              </w:rPr>
              <w:t xml:space="preserve"> UID Equivalent, in Text Element Identifier (TEI) format: "LD" (Issuing agency-</w:t>
            </w:r>
            <w:proofErr w:type="spellStart"/>
            <w:r w:rsidRPr="0049678A">
              <w:rPr>
                <w:rFonts w:ascii="Verdana" w:hAnsi="Verdana"/>
                <w:sz w:val="20"/>
                <w:szCs w:val="20"/>
              </w:rPr>
              <w:t>DoD</w:t>
            </w:r>
            <w:proofErr w:type="spellEnd"/>
            <w:r w:rsidRPr="0049678A">
              <w:rPr>
                <w:rFonts w:ascii="Verdana" w:hAnsi="Verdana"/>
                <w:sz w:val="20"/>
                <w:szCs w:val="20"/>
              </w:rPr>
              <w:t>), “MFR-0CVA5"-(Enterprise Identifier), + "VIN6764A36458".</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pStyle w:val="NormalWeb"/>
              <w:rPr>
                <w:rFonts w:ascii="Verdana" w:hAnsi="Verdana"/>
                <w:sz w:val="20"/>
                <w:szCs w:val="20"/>
              </w:rPr>
            </w:pPr>
            <w:r w:rsidRPr="0049678A">
              <w:rPr>
                <w:rFonts w:ascii="Verdana" w:hAnsi="Verdana" w:cs="Arial"/>
                <w:sz w:val="20"/>
                <w:szCs w:val="20"/>
              </w:rPr>
              <w:t>Unique item identifier (UII), a globally unique number that identifies a single item.</w:t>
            </w:r>
          </w:p>
        </w:tc>
      </w:tr>
      <w:tr w:rsidR="00A10CDF" w:rsidRPr="0049678A" w:rsidTr="004F7F27">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
        <w:gridCol w:w="8460"/>
      </w:tblGrid>
      <w:tr w:rsidR="00A10CDF" w:rsidRPr="0049678A" w:rsidTr="00A10CDF">
        <w:tc>
          <w:tcPr>
            <w:tcW w:w="756"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46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A10CDF">
        <w:trPr>
          <w:trHeight w:val="305"/>
        </w:trPr>
        <w:tc>
          <w:tcPr>
            <w:tcW w:w="75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CA12</w:t>
            </w:r>
          </w:p>
        </w:tc>
        <w:tc>
          <w:tcPr>
            <w:tcW w:w="8460"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Item Unique Identifier (IUID) construct may be serialized with the enterprise, or serialized within the part number.</w:t>
            </w:r>
          </w:p>
        </w:tc>
      </w:tr>
      <w:tr w:rsidR="00A10CDF" w:rsidRPr="0049678A" w:rsidTr="00A10CDF">
        <w:tc>
          <w:tcPr>
            <w:tcW w:w="75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CA12</w:t>
            </w:r>
          </w:p>
        </w:tc>
        <w:tc>
          <w:tcPr>
            <w:tcW w:w="8460"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For items that are serialized within the enterprise identifier, unique identification is achieved by a combination of the issuing agency code, enterprise identifier and the serial number, which must be unique within the enterprise identifier.</w:t>
            </w:r>
          </w:p>
        </w:tc>
      </w:tr>
      <w:tr w:rsidR="00A10CDF" w:rsidRPr="0049678A" w:rsidTr="00A10CDF">
        <w:tc>
          <w:tcPr>
            <w:tcW w:w="75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CA12</w:t>
            </w:r>
          </w:p>
        </w:tc>
        <w:tc>
          <w:tcPr>
            <w:tcW w:w="8460"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For items that are serialized within the part number, unique identification is achieved by a combination of the issuing agency code, enterprise identifier, the original part number, and the serial number.</w:t>
            </w:r>
          </w:p>
        </w:tc>
      </w:tr>
      <w:tr w:rsidR="00A10CDF" w:rsidRPr="0049678A" w:rsidTr="00A10CDF">
        <w:tc>
          <w:tcPr>
            <w:tcW w:w="75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CA12</w:t>
            </w:r>
          </w:p>
        </w:tc>
        <w:tc>
          <w:tcPr>
            <w:tcW w:w="8460"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Each </w:t>
            </w:r>
            <w:bookmarkStart w:id="170" w:name="OLE_LINK3"/>
            <w:r w:rsidRPr="0049678A">
              <w:rPr>
                <w:rFonts w:ascii="Verdana" w:hAnsi="Verdana" w:cs="Arial"/>
                <w:bCs/>
                <w:sz w:val="20"/>
                <w:szCs w:val="20"/>
              </w:rPr>
              <w:t xml:space="preserve">Real Property Unique Identifier </w:t>
            </w:r>
            <w:bookmarkEnd w:id="170"/>
            <w:r w:rsidRPr="0049678A">
              <w:rPr>
                <w:rFonts w:ascii="Verdana" w:hAnsi="Verdana" w:cs="Arial"/>
                <w:bCs/>
                <w:sz w:val="20"/>
                <w:szCs w:val="20"/>
              </w:rPr>
              <w:t>(RPUID) must be an 18 character integer.</w:t>
            </w:r>
          </w:p>
        </w:tc>
      </w:tr>
      <w:tr w:rsidR="00A10CDF" w:rsidRPr="0049678A" w:rsidTr="00A10CDF">
        <w:tc>
          <w:tcPr>
            <w:tcW w:w="75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CA12</w:t>
            </w:r>
          </w:p>
        </w:tc>
        <w:tc>
          <w:tcPr>
            <w:tcW w:w="8460"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At creation, the web based system-generated Real Property Unique Identifier (RPUID) non-intelligent identifier must be validated and cross-referenced to prevent duplication.</w:t>
            </w:r>
          </w:p>
        </w:tc>
      </w:tr>
      <w:tr w:rsidR="00A10CDF" w:rsidRPr="0049678A" w:rsidTr="00A10CDF">
        <w:tc>
          <w:tcPr>
            <w:tcW w:w="75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lastRenderedPageBreak/>
              <w:t>CA12</w:t>
            </w:r>
          </w:p>
        </w:tc>
        <w:tc>
          <w:tcPr>
            <w:tcW w:w="8460"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The Real Property Unique Identifier (RPUID) must not contain spaces, hyphens, or other edit characters.</w:t>
            </w:r>
          </w:p>
        </w:tc>
      </w:tr>
      <w:tr w:rsidR="00A10CDF" w:rsidRPr="0049678A" w:rsidTr="00A10CDF">
        <w:tc>
          <w:tcPr>
            <w:tcW w:w="75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CA12</w:t>
            </w:r>
          </w:p>
        </w:tc>
        <w:tc>
          <w:tcPr>
            <w:tcW w:w="8460" w:type="dxa"/>
            <w:tcBorders>
              <w:bottom w:val="single" w:sz="4" w:space="0" w:color="auto"/>
            </w:tcBorders>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 Real Property Unique Identifier (RPUID) may be referenced in a parent-child relationship to other RPUIDs for related subsets of assets, as needed for data linkages.</w:t>
            </w:r>
          </w:p>
        </w:tc>
      </w:tr>
      <w:tr w:rsidR="00A10CDF" w:rsidRPr="0049678A" w:rsidTr="00A10CDF">
        <w:tc>
          <w:tcPr>
            <w:tcW w:w="75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CA12</w:t>
            </w:r>
          </w:p>
        </w:tc>
        <w:tc>
          <w:tcPr>
            <w:tcW w:w="8460" w:type="dxa"/>
            <w:shd w:val="clear" w:color="auto" w:fill="auto"/>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Asset Unique ID must be a maximum of 50 alpha-numeric characters.</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Authoritative source:  http://www.acq.osd.mil/dpap/UID/  </w:t>
            </w:r>
          </w:p>
        </w:tc>
      </w:tr>
      <w:tr w:rsidR="00A10CDF" w:rsidRPr="0049678A" w:rsidTr="00A10CDF">
        <w:tc>
          <w:tcPr>
            <w:tcW w:w="75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CA12</w:t>
            </w:r>
          </w:p>
        </w:tc>
        <w:tc>
          <w:tcPr>
            <w:tcW w:w="8460"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Asset Unique ID must be used for asset accountability.    </w:t>
            </w:r>
          </w:p>
        </w:tc>
      </w:tr>
      <w:tr w:rsidR="00A10CDF" w:rsidRPr="0049678A" w:rsidTr="00A10CDF">
        <w:tc>
          <w:tcPr>
            <w:tcW w:w="756"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CA12</w:t>
            </w:r>
          </w:p>
        </w:tc>
        <w:tc>
          <w:tcPr>
            <w:tcW w:w="8460"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Asset Unique ID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3C78BC">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3C78BC">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CO/PS</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Logistics- Plant Maintenance- Equipment-  Display</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IE03</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RM63E</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EQUNR</w:t>
            </w:r>
          </w:p>
        </w:tc>
      </w:tr>
      <w:tr w:rsidR="00A10CDF" w:rsidRPr="0049678A" w:rsidTr="003C78BC">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sz w:val="20"/>
                <w:szCs w:val="20"/>
              </w:rPr>
              <w:t>IE01, IE02</w:t>
            </w:r>
          </w:p>
        </w:tc>
      </w:tr>
    </w:tbl>
    <w:p w:rsidR="00A10CDF" w:rsidRPr="0049678A" w:rsidRDefault="00A10CDF" w:rsidP="00A10CDF">
      <w:pPr>
        <w:pStyle w:val="Heading2"/>
        <w:rPr>
          <w:rFonts w:ascii="Verdana" w:hAnsi="Verdana"/>
          <w:sz w:val="20"/>
          <w:szCs w:val="20"/>
        </w:rPr>
      </w:pPr>
      <w:bookmarkStart w:id="171" w:name="_Toc290534902"/>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“Asset Unique ID” Display Field on Equipment</w:t>
      </w:r>
      <w:bookmarkEnd w:id="171"/>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noProof/>
          <w:sz w:val="20"/>
          <w:szCs w:val="20"/>
        </w:rPr>
      </w:pPr>
      <w:r>
        <w:rPr>
          <w:rFonts w:ascii="Verdana" w:hAnsi="Verdana"/>
          <w:noProof/>
          <w:sz w:val="20"/>
          <w:szCs w:val="20"/>
        </w:rPr>
        <w:pict>
          <v:oval id="Oval 112" o:spid="_x0000_s1175" style="position:absolute;margin-left:66pt;margin-top:153.35pt;width:171.75pt;height:26.4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" strokecolor="red" strokeweight="1.75pt">
            <v:fill opacity="3341f"/>
          </v:oval>
        </w:pict>
      </w:r>
      <w:r w:rsidR="00A10CDF" w:rsidRPr="0049678A">
        <w:rPr>
          <w:rFonts w:ascii="Verdana" w:hAnsi="Verdana"/>
          <w:noProof/>
          <w:sz w:val="20"/>
          <w:szCs w:val="20"/>
        </w:rPr>
        <w:drawing>
          <wp:inline distT="0" distB="0" distL="0" distR="0">
            <wp:extent cx="5943600" cy="2867025"/>
            <wp:effectExtent l="0" t="0" r="0" b="9525"/>
            <wp:docPr id="38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5943600" cy="2867025"/>
                    </a:xfrm>
                    <a:prstGeom prst="rect">
                      <a:avLst/>
                    </a:prstGeom>
                  </pic:spPr>
                </pic:pic>
              </a:graphicData>
            </a:graphic>
          </wp:inline>
        </w:drawing>
      </w:r>
    </w:p>
    <w:p w:rsidR="00A10CDF" w:rsidRPr="0049678A" w:rsidRDefault="00A10CDF" w:rsidP="00A10CDF">
      <w:pPr>
        <w:pStyle w:val="Heading1"/>
        <w:rPr>
          <w:rFonts w:ascii="Verdana" w:hAnsi="Verdana"/>
          <w:noProof/>
          <w:sz w:val="20"/>
          <w:szCs w:val="20"/>
        </w:rPr>
      </w:pPr>
      <w:bookmarkStart w:id="172" w:name="_Toc293321450"/>
      <w:r w:rsidRPr="0049678A">
        <w:rPr>
          <w:rFonts w:ascii="Verdana" w:hAnsi="Verdana"/>
          <w:sz w:val="20"/>
          <w:szCs w:val="20"/>
        </w:rPr>
        <w:t>CA14 - MEPR Code</w:t>
      </w:r>
      <w:bookmarkEnd w:id="172"/>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CA14 - MEPR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4AN</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 xml:space="preserve">SFIS </w:t>
            </w:r>
            <w:r w:rsidRPr="0049678A">
              <w:rPr>
                <w:rFonts w:ascii="Verdana" w:hAnsi="Verdana"/>
                <w:sz w:val="20"/>
                <w:szCs w:val="20"/>
              </w:rPr>
              <w:lastRenderedPageBreak/>
              <w:t>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lastRenderedPageBreak/>
              <w:t>Controlling</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The </w:t>
            </w:r>
            <w:bookmarkStart w:id="173" w:name="OLE_LINK4"/>
            <w:r w:rsidRPr="0049678A">
              <w:rPr>
                <w:rFonts w:ascii="Verdana" w:hAnsi="Verdana"/>
                <w:sz w:val="20"/>
                <w:szCs w:val="20"/>
              </w:rPr>
              <w:t xml:space="preserve">Medical Expense and Performance Reporting </w:t>
            </w:r>
            <w:bookmarkEnd w:id="173"/>
            <w:r w:rsidRPr="0049678A">
              <w:rPr>
                <w:rFonts w:ascii="Verdana" w:hAnsi="Verdana"/>
                <w:sz w:val="20"/>
                <w:szCs w:val="20"/>
              </w:rPr>
              <w:t xml:space="preserve">(MEPR) code represents a functional cost account.  Each position defines a specific 3-level hierarchical structure as prescribed in the </w:t>
            </w:r>
            <w:proofErr w:type="spellStart"/>
            <w:r w:rsidRPr="0049678A">
              <w:rPr>
                <w:rFonts w:ascii="Verdana" w:hAnsi="Verdana"/>
                <w:sz w:val="20"/>
                <w:szCs w:val="20"/>
              </w:rPr>
              <w:t>DoD</w:t>
            </w:r>
            <w:proofErr w:type="spellEnd"/>
            <w:r w:rsidRPr="0049678A">
              <w:rPr>
                <w:rFonts w:ascii="Verdana" w:hAnsi="Verdana"/>
                <w:sz w:val="20"/>
                <w:szCs w:val="20"/>
              </w:rPr>
              <w:t xml:space="preserve"> 6010.13-M, Appendix 3, Table AP3.T1.</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D - ANCILLARY SERVICES</w:t>
            </w:r>
          </w:p>
          <w:p w:rsidR="00A10CDF" w:rsidRPr="0049678A" w:rsidRDefault="00A10CDF" w:rsidP="004F7F27">
            <w:pPr>
              <w:pStyle w:val="NoSpacing"/>
              <w:rPr>
                <w:rFonts w:ascii="Verdana" w:hAnsi="Verdana"/>
                <w:sz w:val="20"/>
                <w:szCs w:val="20"/>
              </w:rPr>
            </w:pPr>
            <w:r w:rsidRPr="0049678A">
              <w:rPr>
                <w:rFonts w:ascii="Verdana" w:hAnsi="Verdana"/>
                <w:sz w:val="20"/>
                <w:szCs w:val="20"/>
              </w:rPr>
              <w:t>DC -    Radiology</w:t>
            </w:r>
          </w:p>
          <w:p w:rsidR="00A10CDF" w:rsidRPr="0049678A" w:rsidRDefault="00A10CDF" w:rsidP="004F7F27">
            <w:pPr>
              <w:pStyle w:val="NoSpacing"/>
              <w:rPr>
                <w:rFonts w:ascii="Verdana" w:hAnsi="Verdana"/>
                <w:sz w:val="20"/>
                <w:szCs w:val="20"/>
              </w:rPr>
            </w:pPr>
            <w:r w:rsidRPr="0049678A">
              <w:rPr>
                <w:rFonts w:ascii="Verdana" w:hAnsi="Verdana"/>
                <w:sz w:val="20"/>
                <w:szCs w:val="20"/>
              </w:rPr>
              <w:t>DCA - Diagnostic Radiology</w:t>
            </w:r>
          </w:p>
          <w:p w:rsidR="00A10CDF" w:rsidRPr="0049678A" w:rsidRDefault="00A10CDF" w:rsidP="004F7F27">
            <w:pPr>
              <w:pStyle w:val="NoSpacing"/>
              <w:rPr>
                <w:rFonts w:ascii="Verdana" w:hAnsi="Verdana"/>
                <w:sz w:val="20"/>
                <w:szCs w:val="20"/>
              </w:rPr>
            </w:pPr>
            <w:r w:rsidRPr="0049678A">
              <w:rPr>
                <w:rFonts w:ascii="Verdana" w:hAnsi="Verdana"/>
                <w:sz w:val="20"/>
                <w:szCs w:val="20"/>
              </w:rPr>
              <w:t>DCB - Inactive</w:t>
            </w:r>
          </w:p>
          <w:p w:rsidR="00A10CDF" w:rsidRPr="0049678A" w:rsidRDefault="00A10CDF" w:rsidP="004F7F27">
            <w:pPr>
              <w:pStyle w:val="NoSpacing"/>
              <w:rPr>
                <w:rFonts w:ascii="Verdana" w:hAnsi="Verdana"/>
                <w:sz w:val="20"/>
                <w:szCs w:val="20"/>
              </w:rPr>
            </w:pPr>
            <w:r w:rsidRPr="0049678A">
              <w:rPr>
                <w:rFonts w:ascii="Verdana" w:hAnsi="Verdana"/>
                <w:sz w:val="20"/>
                <w:szCs w:val="20"/>
              </w:rPr>
              <w:t>DCX - Cost Pool</w:t>
            </w:r>
          </w:p>
          <w:p w:rsidR="00A10CDF" w:rsidRPr="0049678A" w:rsidRDefault="00A10CDF" w:rsidP="004F7F27">
            <w:pPr>
              <w:pStyle w:val="NoSpacing"/>
              <w:rPr>
                <w:rFonts w:ascii="Verdana" w:hAnsi="Verdana"/>
                <w:sz w:val="20"/>
                <w:szCs w:val="20"/>
              </w:rPr>
            </w:pPr>
            <w:r w:rsidRPr="0049678A">
              <w:rPr>
                <w:rFonts w:ascii="Verdana" w:hAnsi="Verdana"/>
                <w:sz w:val="20"/>
                <w:szCs w:val="20"/>
              </w:rPr>
              <w:t>DCZ - Radiology Not Elsewhere Classified</w:t>
            </w:r>
          </w:p>
          <w:p w:rsidR="00A10CDF" w:rsidRPr="0049678A" w:rsidRDefault="00A10CDF" w:rsidP="004F7F27">
            <w:pPr>
              <w:pStyle w:val="NoSpacing"/>
              <w:rPr>
                <w:rFonts w:ascii="Verdana" w:hAnsi="Verdana"/>
                <w:sz w:val="20"/>
                <w:szCs w:val="20"/>
              </w:rPr>
            </w:pPr>
            <w:r w:rsidRPr="0049678A">
              <w:rPr>
                <w:rFonts w:ascii="Verdana" w:hAnsi="Verdana"/>
                <w:sz w:val="20"/>
                <w:szCs w:val="20"/>
              </w:rPr>
              <w:t>DD -   Special Procedure Services</w:t>
            </w:r>
          </w:p>
          <w:p w:rsidR="00A10CDF" w:rsidRPr="0049678A" w:rsidRDefault="00A10CDF" w:rsidP="004F7F27">
            <w:pPr>
              <w:pStyle w:val="NoSpacing"/>
              <w:rPr>
                <w:rFonts w:ascii="Verdana" w:hAnsi="Verdana"/>
                <w:sz w:val="20"/>
                <w:szCs w:val="20"/>
              </w:rPr>
            </w:pPr>
            <w:r w:rsidRPr="0049678A">
              <w:rPr>
                <w:rFonts w:ascii="Verdana" w:hAnsi="Verdana"/>
                <w:sz w:val="20"/>
                <w:szCs w:val="20"/>
              </w:rPr>
              <w:t>DDA - Electrocardiography</w:t>
            </w:r>
          </w:p>
          <w:p w:rsidR="00A10CDF" w:rsidRPr="0049678A" w:rsidRDefault="00A10CDF" w:rsidP="004F7F27">
            <w:pPr>
              <w:pStyle w:val="NoSpacing"/>
              <w:rPr>
                <w:rFonts w:ascii="Verdana" w:hAnsi="Verdana"/>
                <w:sz w:val="20"/>
                <w:szCs w:val="20"/>
              </w:rPr>
            </w:pPr>
            <w:r w:rsidRPr="0049678A">
              <w:rPr>
                <w:rFonts w:ascii="Verdana" w:hAnsi="Verdana"/>
                <w:sz w:val="20"/>
                <w:szCs w:val="20"/>
              </w:rPr>
              <w:t>DDB - Electroencephalography</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DDC - </w:t>
            </w:r>
            <w:proofErr w:type="spellStart"/>
            <w:r w:rsidRPr="0049678A">
              <w:rPr>
                <w:rFonts w:ascii="Verdana" w:hAnsi="Verdana"/>
                <w:sz w:val="20"/>
                <w:szCs w:val="20"/>
              </w:rPr>
              <w:t>Electroneuromyography</w:t>
            </w:r>
            <w:proofErr w:type="spellEnd"/>
          </w:p>
          <w:p w:rsidR="00A10CDF" w:rsidRPr="0049678A" w:rsidRDefault="00A10CDF" w:rsidP="004F7F27">
            <w:pPr>
              <w:pStyle w:val="NoSpacing"/>
              <w:rPr>
                <w:rFonts w:ascii="Verdana" w:hAnsi="Verdana"/>
                <w:sz w:val="20"/>
                <w:szCs w:val="20"/>
              </w:rPr>
            </w:pPr>
            <w:r w:rsidRPr="0049678A">
              <w:rPr>
                <w:rFonts w:ascii="Verdana" w:hAnsi="Verdana"/>
                <w:sz w:val="20"/>
                <w:szCs w:val="20"/>
              </w:rPr>
              <w:t>DDD - Pulmonary Function</w:t>
            </w:r>
          </w:p>
          <w:p w:rsidR="00A10CDF" w:rsidRPr="0049678A" w:rsidRDefault="00A10CDF" w:rsidP="004F7F27">
            <w:pPr>
              <w:pStyle w:val="NoSpacing"/>
              <w:rPr>
                <w:rFonts w:ascii="Verdana" w:hAnsi="Verdana"/>
                <w:sz w:val="20"/>
                <w:szCs w:val="20"/>
              </w:rPr>
            </w:pPr>
            <w:r w:rsidRPr="0049678A">
              <w:rPr>
                <w:rFonts w:ascii="Verdana" w:hAnsi="Verdana"/>
                <w:sz w:val="20"/>
                <w:szCs w:val="20"/>
              </w:rPr>
              <w:t>DDE - Cardiac Catheterization</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
        <w:gridCol w:w="8469"/>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CA14</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Each Medical Treatment Facility (MTF) incurring medical costs will report cost by Medical Expense and Performance Reporting (MEPR) code in accordance with </w:t>
            </w:r>
            <w:proofErr w:type="spellStart"/>
            <w:r w:rsidRPr="0049678A">
              <w:rPr>
                <w:rFonts w:ascii="Verdana" w:hAnsi="Verdana" w:cs="Arial"/>
                <w:bCs/>
                <w:sz w:val="20"/>
                <w:szCs w:val="20"/>
              </w:rPr>
              <w:t>DoD</w:t>
            </w:r>
            <w:proofErr w:type="spellEnd"/>
            <w:r w:rsidRPr="0049678A">
              <w:rPr>
                <w:rFonts w:ascii="Verdana" w:hAnsi="Verdana" w:cs="Arial"/>
                <w:bCs/>
                <w:sz w:val="20"/>
                <w:szCs w:val="20"/>
              </w:rPr>
              <w:t xml:space="preserve"> guidance.</w:t>
            </w:r>
          </w:p>
        </w:tc>
      </w:tr>
      <w:tr w:rsidR="00A10CDF" w:rsidRPr="0049678A" w:rsidTr="003B3BD0">
        <w:tc>
          <w:tcPr>
            <w:tcW w:w="68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CA14</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transaction containing a Medical Expense and Performance Reporting (MEPR) code must be substantiated by auditable source documentation.</w:t>
            </w:r>
          </w:p>
        </w:tc>
      </w:tr>
      <w:tr w:rsidR="00A10CDF" w:rsidRPr="0049678A" w:rsidTr="003B3BD0">
        <w:tc>
          <w:tcPr>
            <w:tcW w:w="68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CA14</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Medical Expense and Performance Reporting (MEPR) code must be 4 alpha-numeric characters where the first 3 positions will correspond to the MEPR code in </w:t>
            </w:r>
            <w:proofErr w:type="spellStart"/>
            <w:r w:rsidRPr="0049678A">
              <w:rPr>
                <w:rFonts w:ascii="Verdana" w:hAnsi="Verdana" w:cs="Arial"/>
                <w:bCs/>
                <w:sz w:val="20"/>
                <w:szCs w:val="20"/>
              </w:rPr>
              <w:t>DoD</w:t>
            </w:r>
            <w:proofErr w:type="spellEnd"/>
            <w:r w:rsidRPr="0049678A">
              <w:rPr>
                <w:rFonts w:ascii="Verdana" w:hAnsi="Verdana" w:cs="Arial"/>
                <w:bCs/>
                <w:sz w:val="20"/>
                <w:szCs w:val="20"/>
              </w:rPr>
              <w:t xml:space="preserve"> guidance and the 4th position will be reserved to accommodate expansion.</w:t>
            </w:r>
          </w:p>
        </w:tc>
      </w:tr>
      <w:tr w:rsidR="00A10CDF" w:rsidRPr="0049678A" w:rsidTr="003B3BD0">
        <w:tc>
          <w:tcPr>
            <w:tcW w:w="68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CA14</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The Medical Expense and Performance Reporting (MEPR) code must be used in accordance with </w:t>
            </w:r>
            <w:proofErr w:type="spellStart"/>
            <w:r w:rsidRPr="0049678A">
              <w:rPr>
                <w:rFonts w:ascii="Verdana" w:hAnsi="Verdana" w:cs="Arial"/>
                <w:bCs/>
                <w:sz w:val="20"/>
                <w:szCs w:val="20"/>
              </w:rPr>
              <w:t>DoD</w:t>
            </w:r>
            <w:proofErr w:type="spellEnd"/>
            <w:r w:rsidRPr="0049678A">
              <w:rPr>
                <w:rFonts w:ascii="Verdana" w:hAnsi="Verdana" w:cs="Arial"/>
                <w:bCs/>
                <w:sz w:val="20"/>
                <w:szCs w:val="20"/>
              </w:rPr>
              <w:t xml:space="preserve"> guidance to identify, record, and report data from fixed Medical Treatment Facilities (MTFs).</w:t>
            </w:r>
          </w:p>
        </w:tc>
      </w:tr>
      <w:tr w:rsidR="00A10CDF" w:rsidRPr="0049678A" w:rsidTr="003B3BD0">
        <w:tc>
          <w:tcPr>
            <w:tcW w:w="68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CA14</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system must store and maintain Medical Expense and Performance Reporting (MEPR) Code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3C78BC">
        <w:tc>
          <w:tcPr>
            <w:tcW w:w="1073"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3C78BC">
        <w:tc>
          <w:tcPr>
            <w:tcW w:w="107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CO</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KS03</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rPr>
          <w:trHeight w:val="395"/>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CSKSZ</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p>
        </w:tc>
      </w:tr>
      <w:tr w:rsidR="00A10CDF" w:rsidRPr="0049678A" w:rsidTr="003C78BC">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lastRenderedPageBreak/>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KS01, KS02</w:t>
            </w:r>
          </w:p>
        </w:tc>
      </w:tr>
    </w:tbl>
    <w:p w:rsidR="00A10CDF" w:rsidRPr="0049678A" w:rsidRDefault="00A10CDF" w:rsidP="00A10CDF">
      <w:pPr>
        <w:spacing w:after="0" w:line="240" w:lineRule="auto"/>
        <w:rPr>
          <w:rFonts w:ascii="Verdana" w:hAnsi="Verdana"/>
          <w:sz w:val="20"/>
          <w:szCs w:val="20"/>
        </w:rPr>
      </w:pPr>
      <w:r w:rsidRPr="0049678A">
        <w:rPr>
          <w:rFonts w:ascii="Verdana" w:hAnsi="Verdana"/>
          <w:noProof/>
          <w:sz w:val="20"/>
          <w:szCs w:val="20"/>
        </w:rPr>
        <w:t xml:space="preserve"> </w:t>
      </w:r>
    </w:p>
    <w:p w:rsidR="00A10CDF" w:rsidRPr="0049678A" w:rsidRDefault="00A10CDF" w:rsidP="00A10CDF">
      <w:pPr>
        <w:spacing w:after="0" w:line="240" w:lineRule="auto"/>
        <w:rPr>
          <w:rFonts w:ascii="Verdana" w:hAnsi="Verdana"/>
          <w:noProof/>
          <w:sz w:val="20"/>
          <w:szCs w:val="20"/>
        </w:rPr>
      </w:pPr>
      <w:r w:rsidRPr="0049678A">
        <w:rPr>
          <w:rFonts w:ascii="Verdana" w:hAnsi="Verdana"/>
          <w:noProof/>
          <w:sz w:val="20"/>
          <w:szCs w:val="20"/>
        </w:rPr>
        <w:t xml:space="preserve">The MEPR code is a customised field and has not been created in the system. </w:t>
      </w:r>
    </w:p>
    <w:p w:rsidR="00A10CDF" w:rsidRPr="0049678A" w:rsidRDefault="00A10CDF" w:rsidP="00A10CDF">
      <w:pPr>
        <w:spacing w:after="0" w:line="240" w:lineRule="auto"/>
        <w:rPr>
          <w:rFonts w:ascii="Verdana" w:hAnsi="Verdana"/>
          <w:noProof/>
          <w:sz w:val="20"/>
          <w:szCs w:val="20"/>
        </w:rPr>
      </w:pPr>
    </w:p>
    <w:p w:rsidR="00A10CDF" w:rsidRPr="0049678A" w:rsidRDefault="00A10CDF" w:rsidP="00A10CDF">
      <w:pPr>
        <w:spacing w:after="0" w:line="240" w:lineRule="auto"/>
        <w:rPr>
          <w:rFonts w:ascii="Verdana" w:hAnsi="Verdana"/>
          <w:noProof/>
          <w:sz w:val="20"/>
          <w:szCs w:val="20"/>
        </w:rPr>
      </w:pPr>
      <w:r w:rsidRPr="0049678A">
        <w:rPr>
          <w:rFonts w:ascii="Verdana" w:hAnsi="Verdana"/>
          <w:noProof/>
          <w:color w:val="002060"/>
          <w:sz w:val="20"/>
          <w:szCs w:val="20"/>
        </w:rPr>
        <w:t xml:space="preserve">Screenshot:  </w:t>
      </w:r>
      <w:r w:rsidRPr="0049678A">
        <w:rPr>
          <w:rFonts w:ascii="Verdana" w:hAnsi="Verdana"/>
          <w:noProof/>
          <w:sz w:val="20"/>
          <w:szCs w:val="20"/>
        </w:rPr>
        <w:t>Location of “MEPR Code” Display Field on Characteristics</w:t>
      </w:r>
    </w:p>
    <w:p w:rsidR="00A10CDF" w:rsidRPr="0049678A" w:rsidRDefault="00A10CDF" w:rsidP="00A10CDF">
      <w:pPr>
        <w:spacing w:after="0" w:line="240" w:lineRule="auto"/>
        <w:rPr>
          <w:rFonts w:ascii="Verdana" w:hAnsi="Verdana"/>
          <w:noProof/>
          <w:sz w:val="20"/>
          <w:szCs w:val="20"/>
        </w:rPr>
      </w:pPr>
    </w:p>
    <w:p w:rsidR="00A10CDF" w:rsidRPr="0049678A" w:rsidRDefault="00A10CDF" w:rsidP="00A10CDF">
      <w:pPr>
        <w:rPr>
          <w:rFonts w:ascii="Verdana" w:hAnsi="Verdana"/>
          <w:noProof/>
          <w:sz w:val="20"/>
          <w:szCs w:val="20"/>
        </w:rPr>
      </w:pPr>
      <w:r w:rsidRPr="0049678A">
        <w:rPr>
          <w:rFonts w:ascii="Verdana" w:hAnsi="Verdana"/>
          <w:noProof/>
          <w:sz w:val="20"/>
          <w:szCs w:val="20"/>
        </w:rPr>
        <w:drawing>
          <wp:inline distT="0" distB="0" distL="0" distR="0">
            <wp:extent cx="5943600" cy="2343150"/>
            <wp:effectExtent l="19050" t="0" r="0" b="0"/>
            <wp:docPr id="3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stretch>
                      <a:fillRect/>
                    </a:stretch>
                  </pic:blipFill>
                  <pic:spPr>
                    <a:xfrm>
                      <a:off x="0" y="0"/>
                      <a:ext cx="5943600" cy="2343150"/>
                    </a:xfrm>
                    <a:prstGeom prst="rect">
                      <a:avLst/>
                    </a:prstGeom>
                  </pic:spPr>
                </pic:pic>
              </a:graphicData>
            </a:graphic>
          </wp:inline>
        </w:drawing>
      </w:r>
    </w:p>
    <w:p w:rsidR="00A10CDF" w:rsidRPr="0049678A" w:rsidRDefault="00402381" w:rsidP="00A10CDF">
      <w:pPr>
        <w:rPr>
          <w:rFonts w:ascii="Verdana" w:hAnsi="Verdana"/>
          <w:noProof/>
          <w:sz w:val="20"/>
          <w:szCs w:val="20"/>
        </w:rPr>
      </w:pPr>
      <w:r>
        <w:rPr>
          <w:rFonts w:ascii="Verdana" w:hAnsi="Verdana"/>
          <w:noProof/>
          <w:sz w:val="20"/>
          <w:szCs w:val="20"/>
        </w:rPr>
        <w:pict>
          <v:oval id="_x0000_s1181" style="position:absolute;margin-left:11.4pt;margin-top:104.45pt;width:47.1pt;height:111.8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" strokecolor="red" strokeweight="1.5pt">
            <v:fill opacity="3341f"/>
          </v:oval>
        </w:pict>
      </w:r>
      <w:r w:rsidR="00A10CDF" w:rsidRPr="0049678A">
        <w:rPr>
          <w:rFonts w:ascii="Verdana" w:hAnsi="Verdana"/>
          <w:noProof/>
          <w:sz w:val="20"/>
          <w:szCs w:val="20"/>
        </w:rPr>
        <w:drawing>
          <wp:inline distT="0" distB="0" distL="0" distR="0">
            <wp:extent cx="5943600" cy="2590800"/>
            <wp:effectExtent l="19050" t="0" r="0" b="0"/>
            <wp:docPr id="3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stretch>
                      <a:fillRect/>
                    </a:stretch>
                  </pic:blipFill>
                  <pic:spPr>
                    <a:xfrm>
                      <a:off x="0" y="0"/>
                      <a:ext cx="5943600" cy="2590800"/>
                    </a:xfrm>
                    <a:prstGeom prst="rect">
                      <a:avLst/>
                    </a:prstGeom>
                  </pic:spPr>
                </pic:pic>
              </a:graphicData>
            </a:graphic>
          </wp:inline>
        </w:drawing>
      </w:r>
    </w:p>
    <w:p w:rsidR="00A10CDF" w:rsidRPr="0049678A" w:rsidRDefault="00A10CDF" w:rsidP="00A10CDF">
      <w:pPr>
        <w:spacing w:after="0" w:line="240" w:lineRule="auto"/>
        <w:rPr>
          <w:rFonts w:ascii="Verdana" w:hAnsi="Verdana"/>
          <w:spacing w:val="5"/>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74" w:name="_Toc293321451"/>
      <w:r w:rsidRPr="0049678A">
        <w:rPr>
          <w:rFonts w:ascii="Verdana" w:hAnsi="Verdana"/>
          <w:sz w:val="20"/>
          <w:szCs w:val="20"/>
        </w:rPr>
        <w:lastRenderedPageBreak/>
        <w:t>O1 - Organization Unique Identifier</w:t>
      </w:r>
      <w:bookmarkEnd w:id="174"/>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O1 - Organization Unique Identifier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16</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Organizational Information</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A character string that identifies a public or private organizational entity that supports a given mission, function, business objective or other criteria. The creation of an </w:t>
            </w:r>
            <w:bookmarkStart w:id="175" w:name="OLE_LINK5"/>
            <w:r w:rsidRPr="0049678A">
              <w:rPr>
                <w:rFonts w:ascii="Verdana" w:hAnsi="Verdana"/>
                <w:sz w:val="20"/>
                <w:szCs w:val="20"/>
              </w:rPr>
              <w:t xml:space="preserve">Organization Unique Identifier </w:t>
            </w:r>
            <w:bookmarkEnd w:id="175"/>
            <w:r w:rsidRPr="0049678A">
              <w:rPr>
                <w:rFonts w:ascii="Verdana" w:hAnsi="Verdana"/>
                <w:sz w:val="20"/>
                <w:szCs w:val="20"/>
              </w:rPr>
              <w:t>(OUID), a unique, simple and non-intelligent (containing no embedded information or smart codes) identifier will support standardized unique identification of organizations as required by the Department of Defense. This identifier will be used to identify all organizations within the DOD and non-DOD organizations to include, but not limited to, U.S. and foreign federal, civil and commercial entities.</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When an Organization Unique Identifier is associated with any element, to include another Organization Unique Identifier, then the relationship must be available throughout the accounting lifecycle.</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An Organization Unique Identifier must be associated with a unique or discrete combination of Department Regular Code, Main Account Code, Period of Availability Fiscal Year Date, Budget Activity Identifier, Budget Sub Activity Identifier, and Budget Line Item Identifier for funds allocation and funds control.</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When an Organization Unique Identifier is created, then it must be associated to one Organization.</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When an Organization is created, then it must have at least one Organization Unique Identifier associated to it.</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When an Organization has a subordinate Organization, then the subordinate Organization(s) accounting information must be associated to the "parent" Organization.</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When financial information is received by the financial data repository or system, then at least one Organization Unique Identifier must be associated with that information.</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When an Organization Unique Identifier equivalent is used, then the equivalent should be used to determine the Organization Unique Identifier.</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Organization Unique Identifier must be a maximum of 16 hexadecimal characters.</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Organization Unique Identifier must be used for accounting classification, financial reporting, budgetary control, and funds control.  </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Organization Unique Identifier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3C78BC">
        <w:tc>
          <w:tcPr>
            <w:tcW w:w="1073"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3C78BC">
        <w:tc>
          <w:tcPr>
            <w:tcW w:w="107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r w:rsidRPr="0049678A">
        <w:rPr>
          <w:rFonts w:ascii="Verdana" w:hAnsi="Verdana"/>
          <w:sz w:val="20"/>
          <w:szCs w:val="20"/>
        </w:rPr>
        <w:lastRenderedPageBreak/>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Cross-Application Components</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Cross-Application Components - Classification System - Master Data -</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Characteristics</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CT04</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rPr>
          <w:trHeight w:val="395"/>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RCTAV</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ATNAM</w:t>
            </w:r>
          </w:p>
        </w:tc>
      </w:tr>
      <w:tr w:rsidR="00A10CDF" w:rsidRPr="0049678A" w:rsidTr="003C78BC">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CT10</w:t>
            </w:r>
          </w:p>
        </w:tc>
      </w:tr>
    </w:tbl>
    <w:p w:rsidR="00A10CDF" w:rsidRPr="0049678A" w:rsidRDefault="00A10CDF" w:rsidP="00A10CDF">
      <w:pPr>
        <w:pStyle w:val="Heading2"/>
        <w:rPr>
          <w:rFonts w:ascii="Verdana" w:hAnsi="Verdana"/>
          <w:noProof/>
          <w:sz w:val="20"/>
          <w:szCs w:val="20"/>
        </w:rPr>
      </w:pPr>
    </w:p>
    <w:p w:rsidR="00A10CDF" w:rsidRPr="0049678A" w:rsidRDefault="00A10CDF" w:rsidP="00A10CDF">
      <w:pPr>
        <w:pStyle w:val="Heading2"/>
        <w:rPr>
          <w:rFonts w:ascii="Verdana" w:hAnsi="Verdana"/>
          <w:color w:val="auto"/>
          <w:sz w:val="20"/>
          <w:szCs w:val="20"/>
        </w:rPr>
      </w:pPr>
      <w:bookmarkStart w:id="176" w:name="_Toc290534904"/>
      <w:r w:rsidRPr="0049678A">
        <w:rPr>
          <w:rFonts w:ascii="Verdana" w:hAnsi="Verdana"/>
          <w:sz w:val="20"/>
          <w:szCs w:val="20"/>
        </w:rPr>
        <w:t xml:space="preserve">Screenshot:  </w:t>
      </w:r>
      <w:r w:rsidRPr="0049678A">
        <w:rPr>
          <w:rFonts w:ascii="Verdana" w:hAnsi="Verdana"/>
          <w:color w:val="auto"/>
          <w:sz w:val="20"/>
          <w:szCs w:val="20"/>
        </w:rPr>
        <w:t>Location of “Organization Unique Identifier” Display Field on Characteristics</w:t>
      </w:r>
      <w:bookmarkEnd w:id="176"/>
    </w:p>
    <w:p w:rsidR="00A10CDF" w:rsidRPr="0049678A" w:rsidRDefault="00A10CDF" w:rsidP="00A10CDF">
      <w:pPr>
        <w:spacing w:after="0" w:line="240" w:lineRule="auto"/>
        <w:rPr>
          <w:rFonts w:ascii="Verdana" w:hAnsi="Verdana"/>
          <w:sz w:val="20"/>
          <w:szCs w:val="20"/>
        </w:rPr>
      </w:pPr>
    </w:p>
    <w:p w:rsidR="00A10CDF" w:rsidRPr="0049678A" w:rsidRDefault="00A10CDF" w:rsidP="00A10CDF">
      <w:pPr>
        <w:rPr>
          <w:rFonts w:ascii="Verdana" w:hAnsi="Verdana"/>
          <w:sz w:val="20"/>
          <w:szCs w:val="20"/>
        </w:rPr>
      </w:pPr>
      <w:r w:rsidRPr="0049678A">
        <w:rPr>
          <w:rFonts w:ascii="Verdana" w:hAnsi="Verdana"/>
          <w:noProof/>
          <w:sz w:val="20"/>
          <w:szCs w:val="20"/>
        </w:rPr>
        <w:drawing>
          <wp:inline distT="0" distB="0" distL="0" distR="0">
            <wp:extent cx="5943600" cy="2305050"/>
            <wp:effectExtent l="0" t="0" r="0" b="0"/>
            <wp:docPr id="223"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305050"/>
                    </a:xfrm>
                    <a:prstGeom prst="rect">
                      <a:avLst/>
                    </a:prstGeom>
                    <a:noFill/>
                    <a:ln>
                      <a:noFill/>
                    </a:ln>
                  </pic:spPr>
                </pic:pic>
              </a:graphicData>
            </a:graphic>
          </wp:inline>
        </w:drawing>
      </w:r>
    </w:p>
    <w:p w:rsidR="00A10CDF" w:rsidRPr="0049678A" w:rsidRDefault="00402381" w:rsidP="00A10CDF">
      <w:pPr>
        <w:rPr>
          <w:rFonts w:ascii="Verdana" w:hAnsi="Verdana"/>
          <w:noProof/>
          <w:sz w:val="20"/>
          <w:szCs w:val="20"/>
        </w:rPr>
      </w:pPr>
      <w:r>
        <w:rPr>
          <w:rFonts w:ascii="Verdana" w:hAnsi="Verdana"/>
          <w:noProof/>
          <w:sz w:val="20"/>
          <w:szCs w:val="20"/>
        </w:rPr>
        <w:pict>
          <v:oval id="Oval 126" o:spid="_x0000_s1176" style="position:absolute;margin-left:12pt;margin-top:152.85pt;width:318pt;height:24.3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" strokecolor="red" strokeweight="1.5pt">
            <v:fill opacity="3855f"/>
          </v:oval>
        </w:pict>
      </w:r>
      <w:r w:rsidR="00A10CDF" w:rsidRPr="0049678A">
        <w:rPr>
          <w:rFonts w:ascii="Verdana" w:hAnsi="Verdana"/>
          <w:noProof/>
          <w:sz w:val="20"/>
          <w:szCs w:val="20"/>
        </w:rPr>
        <w:drawing>
          <wp:inline distT="0" distB="0" distL="0" distR="0">
            <wp:extent cx="5409524" cy="2200000"/>
            <wp:effectExtent l="0" t="0" r="1270" b="0"/>
            <wp:docPr id="38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stretch>
                      <a:fillRect/>
                    </a:stretch>
                  </pic:blipFill>
                  <pic:spPr>
                    <a:xfrm>
                      <a:off x="0" y="0"/>
                      <a:ext cx="5409524" cy="2200000"/>
                    </a:xfrm>
                    <a:prstGeom prst="rect">
                      <a:avLst/>
                    </a:prstGeom>
                  </pic:spPr>
                </pic:pic>
              </a:graphicData>
            </a:graphic>
          </wp:inline>
        </w:drawing>
      </w:r>
    </w:p>
    <w:p w:rsidR="00A10CDF" w:rsidRPr="0049678A" w:rsidRDefault="00A10CDF" w:rsidP="00A10CDF">
      <w:pPr>
        <w:pStyle w:val="Heading1"/>
        <w:rPr>
          <w:rFonts w:ascii="Verdana" w:hAnsi="Verdana"/>
          <w:sz w:val="20"/>
          <w:szCs w:val="20"/>
        </w:rPr>
      </w:pPr>
    </w:p>
    <w:p w:rsidR="00A10CDF" w:rsidRPr="0049678A" w:rsidRDefault="00A10CDF" w:rsidP="00A10CDF">
      <w:pPr>
        <w:pStyle w:val="Heading1"/>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77" w:name="_Toc293321452"/>
      <w:r w:rsidRPr="0049678A">
        <w:rPr>
          <w:rFonts w:ascii="Verdana" w:hAnsi="Verdana"/>
          <w:sz w:val="20"/>
          <w:szCs w:val="20"/>
        </w:rPr>
        <w:lastRenderedPageBreak/>
        <w:t>O2 - Agency Disbursing Identifier Code</w:t>
      </w:r>
      <w:bookmarkEnd w:id="177"/>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O2 - Agency Disbursing Identifier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8</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Organizational Information</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The Agency Disbursing Identifier is assigned to each disbursing office by the Treasury Department.  The Agency Disbursing Identifier is an identification number that indicates authority to receive and disburse public funds and issue checks on the United States Treasury.</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Sample Agency Disbursing Identifiers:</w:t>
            </w:r>
          </w:p>
          <w:p w:rsidR="00A10CDF" w:rsidRPr="0049678A" w:rsidRDefault="00A10CDF" w:rsidP="004F7F27">
            <w:pPr>
              <w:pStyle w:val="NoSpacing"/>
              <w:rPr>
                <w:rFonts w:ascii="Verdana" w:hAnsi="Verdana"/>
                <w:sz w:val="20"/>
                <w:szCs w:val="20"/>
              </w:rPr>
            </w:pPr>
            <w:r w:rsidRPr="0049678A">
              <w:rPr>
                <w:rFonts w:ascii="Verdana" w:hAnsi="Verdana"/>
                <w:sz w:val="20"/>
                <w:szCs w:val="20"/>
              </w:rPr>
              <w:t>DSSN             Installation/Activity</w:t>
            </w:r>
          </w:p>
          <w:p w:rsidR="00A10CDF" w:rsidRPr="0049678A" w:rsidRDefault="00A10CDF" w:rsidP="004F7F27">
            <w:pPr>
              <w:pStyle w:val="NoSpacing"/>
              <w:rPr>
                <w:rFonts w:ascii="Verdana" w:hAnsi="Verdana"/>
                <w:sz w:val="20"/>
                <w:szCs w:val="20"/>
              </w:rPr>
            </w:pPr>
            <w:r w:rsidRPr="0049678A">
              <w:rPr>
                <w:rFonts w:ascii="Verdana" w:hAnsi="Verdana"/>
                <w:sz w:val="20"/>
                <w:szCs w:val="20"/>
              </w:rPr>
              <w:t>1700               Personnel Support Activity Detroit</w:t>
            </w:r>
          </w:p>
          <w:p w:rsidR="00A10CDF" w:rsidRPr="0049678A" w:rsidRDefault="00A10CDF" w:rsidP="004F7F27">
            <w:pPr>
              <w:pStyle w:val="NoSpacing"/>
              <w:rPr>
                <w:rFonts w:ascii="Verdana" w:hAnsi="Verdana"/>
                <w:sz w:val="20"/>
                <w:szCs w:val="20"/>
              </w:rPr>
            </w:pPr>
            <w:r w:rsidRPr="0049678A">
              <w:rPr>
                <w:rFonts w:ascii="Verdana" w:hAnsi="Verdana"/>
                <w:sz w:val="20"/>
                <w:szCs w:val="20"/>
              </w:rPr>
              <w:t>5037               OPLOC Dayton</w:t>
            </w:r>
          </w:p>
          <w:p w:rsidR="00A10CDF" w:rsidRPr="0049678A" w:rsidRDefault="00A10CDF" w:rsidP="004F7F27">
            <w:pPr>
              <w:pStyle w:val="NoSpacing"/>
              <w:rPr>
                <w:rFonts w:ascii="Verdana" w:hAnsi="Verdana"/>
                <w:sz w:val="20"/>
                <w:szCs w:val="20"/>
              </w:rPr>
            </w:pPr>
            <w:r w:rsidRPr="0049678A">
              <w:rPr>
                <w:rFonts w:ascii="Verdana" w:hAnsi="Verdana"/>
                <w:sz w:val="20"/>
                <w:szCs w:val="20"/>
              </w:rPr>
              <w:t>70051514      DEPARTMENT OF HOMELAND   SECURITY</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cs="Arial"/>
                <w:sz w:val="20"/>
                <w:szCs w:val="20"/>
              </w:rPr>
              <w:t>The ALC is required on any transaction involving a "</w:t>
            </w:r>
            <w:bookmarkStart w:id="178" w:name="OLE_LINK6"/>
            <w:r w:rsidRPr="0049678A">
              <w:rPr>
                <w:rFonts w:ascii="Verdana" w:hAnsi="Verdana" w:cs="Arial"/>
                <w:sz w:val="20"/>
                <w:szCs w:val="20"/>
              </w:rPr>
              <w:t>Funds Balance with Treasury</w:t>
            </w:r>
            <w:bookmarkEnd w:id="178"/>
            <w:r w:rsidRPr="0049678A">
              <w:rPr>
                <w:rFonts w:ascii="Verdana" w:hAnsi="Verdana" w:cs="Arial"/>
                <w:sz w:val="20"/>
                <w:szCs w:val="20"/>
              </w:rPr>
              <w:t xml:space="preserve">" (FBT) </w:t>
            </w:r>
            <w:proofErr w:type="gramStart"/>
            <w:r w:rsidRPr="0049678A">
              <w:rPr>
                <w:rFonts w:ascii="Verdana" w:hAnsi="Verdana" w:cs="Arial"/>
                <w:sz w:val="20"/>
                <w:szCs w:val="20"/>
              </w:rPr>
              <w:t>account</w:t>
            </w:r>
            <w:proofErr w:type="gramEnd"/>
            <w:r w:rsidRPr="0049678A">
              <w:rPr>
                <w:rFonts w:ascii="Verdana" w:hAnsi="Verdana" w:cs="Arial"/>
                <w:sz w:val="20"/>
                <w:szCs w:val="20"/>
              </w:rPr>
              <w:t>, and, in the current implementation, this means it is required on the customer/vendor line of invoices, and the "</w:t>
            </w:r>
            <w:bookmarkStart w:id="179" w:name="OLE_LINK7"/>
            <w:r w:rsidRPr="0049678A">
              <w:rPr>
                <w:rFonts w:ascii="Verdana" w:hAnsi="Verdana" w:cs="Arial"/>
                <w:sz w:val="20"/>
                <w:szCs w:val="20"/>
              </w:rPr>
              <w:t>Disbursements-In-Transit</w:t>
            </w:r>
            <w:bookmarkEnd w:id="179"/>
            <w:r w:rsidRPr="0049678A">
              <w:rPr>
                <w:rFonts w:ascii="Verdana" w:hAnsi="Verdana" w:cs="Arial"/>
                <w:sz w:val="20"/>
                <w:szCs w:val="20"/>
              </w:rPr>
              <w:t>" (DIT) account line.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When an Agency Disbursing Identifier Code is associated with any other element, the association must be available throughout accounting lifecycle.</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O2</w:t>
            </w:r>
          </w:p>
        </w:tc>
        <w:tc>
          <w:tcPr>
            <w:tcW w:w="8532" w:type="dxa"/>
          </w:tcPr>
          <w:p w:rsidR="00A10CDF" w:rsidRPr="0049678A" w:rsidRDefault="00A10CDF" w:rsidP="004F7F27">
            <w:pPr>
              <w:spacing w:after="0" w:line="240" w:lineRule="auto"/>
              <w:rPr>
                <w:rFonts w:ascii="Verdana" w:hAnsi="Verdana" w:cs="Arial"/>
                <w:bCs/>
                <w:sz w:val="20"/>
                <w:szCs w:val="20"/>
              </w:rPr>
            </w:pPr>
            <w:bookmarkStart w:id="180" w:name="OLE_LINK9"/>
            <w:r w:rsidRPr="0049678A">
              <w:rPr>
                <w:rFonts w:ascii="Verdana" w:hAnsi="Verdana" w:cs="Arial"/>
                <w:bCs/>
                <w:sz w:val="20"/>
                <w:szCs w:val="20"/>
              </w:rPr>
              <w:t xml:space="preserve">Agency Disbursing Identifier </w:t>
            </w:r>
            <w:bookmarkEnd w:id="180"/>
            <w:r w:rsidRPr="0049678A">
              <w:rPr>
                <w:rFonts w:ascii="Verdana" w:hAnsi="Verdana" w:cs="Arial"/>
                <w:bCs/>
                <w:sz w:val="20"/>
                <w:szCs w:val="20"/>
              </w:rPr>
              <w:t>(</w:t>
            </w:r>
            <w:bookmarkStart w:id="181" w:name="OLE_LINK8"/>
            <w:r w:rsidRPr="0049678A">
              <w:rPr>
                <w:rFonts w:ascii="Verdana" w:hAnsi="Verdana" w:cs="Arial"/>
                <w:bCs/>
                <w:sz w:val="20"/>
                <w:szCs w:val="20"/>
              </w:rPr>
              <w:t>DSSN</w:t>
            </w:r>
            <w:bookmarkEnd w:id="181"/>
            <w:r w:rsidRPr="0049678A">
              <w:rPr>
                <w:rFonts w:ascii="Verdana" w:hAnsi="Verdana" w:cs="Arial"/>
                <w:bCs/>
                <w:sz w:val="20"/>
                <w:szCs w:val="20"/>
              </w:rPr>
              <w:t>/ALC) Code may be up to 8 numeric characters.  ex. 1700</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Authoritative source:  https://beis.csd.disa.mil/beis-xml/sfiscombo.xml</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Agency Disbursing Identifier Code must be used for financial reporting, and funds control.  </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Agency Disbursing Identifier Code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2A5367">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2A5367">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Accounting-Financial Accounting- Accounts Payable-Master record-  Display</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FK03</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rPr>
          <w:trHeight w:val="395"/>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LFA1</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ALC</w:t>
            </w:r>
          </w:p>
        </w:tc>
      </w:tr>
      <w:tr w:rsidR="00A10CDF" w:rsidRPr="0049678A" w:rsidTr="002A5367">
        <w:trPr>
          <w:trHeight w:val="350"/>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sz w:val="20"/>
                <w:szCs w:val="20"/>
              </w:rPr>
              <w:t>FK03, FK01, XK01, XK02, XK03</w:t>
            </w:r>
          </w:p>
        </w:tc>
      </w:tr>
    </w:tbl>
    <w:p w:rsidR="00A10CDF" w:rsidRPr="0049678A" w:rsidRDefault="00A10CDF" w:rsidP="00A10CDF">
      <w:pPr>
        <w:spacing w:after="0"/>
        <w:rPr>
          <w:rFonts w:ascii="Verdana" w:hAnsi="Verdana"/>
          <w:noProof/>
          <w:sz w:val="20"/>
          <w:szCs w:val="20"/>
        </w:rPr>
      </w:pPr>
    </w:p>
    <w:p w:rsidR="00A10CDF" w:rsidRPr="0049678A" w:rsidRDefault="00A10CDF" w:rsidP="00A10CDF">
      <w:pPr>
        <w:spacing w:after="0" w:line="240" w:lineRule="auto"/>
        <w:rPr>
          <w:rFonts w:ascii="Verdana" w:hAnsi="Verdana"/>
          <w:sz w:val="20"/>
          <w:szCs w:val="20"/>
        </w:rPr>
      </w:pPr>
      <w:bookmarkStart w:id="182" w:name="_Toc290534905"/>
      <w:r w:rsidRPr="0049678A">
        <w:rPr>
          <w:rFonts w:ascii="Verdana" w:hAnsi="Verdana"/>
          <w:color w:val="002060"/>
          <w:sz w:val="20"/>
          <w:szCs w:val="20"/>
        </w:rPr>
        <w:t xml:space="preserve">Screenshot:  </w:t>
      </w:r>
      <w:r w:rsidRPr="0049678A">
        <w:rPr>
          <w:rFonts w:ascii="Verdana" w:hAnsi="Verdana"/>
          <w:sz w:val="20"/>
          <w:szCs w:val="20"/>
        </w:rPr>
        <w:t>Location of “Agency Disbursing Identifier Code” Display Field on Vendor Master</w:t>
      </w:r>
      <w:bookmarkEnd w:id="182"/>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sz w:val="20"/>
          <w:szCs w:val="20"/>
        </w:rPr>
      </w:pPr>
      <w:r>
        <w:rPr>
          <w:rFonts w:ascii="Verdana" w:hAnsi="Verdana"/>
          <w:noProof/>
          <w:sz w:val="20"/>
          <w:szCs w:val="20"/>
        </w:rPr>
        <w:pict>
          <v:oval id="Oval 127" o:spid="_x0000_s1177" style="position:absolute;margin-left:126pt;margin-top:88.65pt;width:286.3pt;height:4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" strokecolor="red" strokeweight="1.5pt">
            <v:fill opacity="3855f"/>
          </v:oval>
        </w:pict>
      </w:r>
      <w:r w:rsidR="00A10CDF" w:rsidRPr="0049678A">
        <w:rPr>
          <w:rFonts w:ascii="Verdana" w:hAnsi="Verdana"/>
          <w:noProof/>
          <w:sz w:val="20"/>
          <w:szCs w:val="20"/>
        </w:rPr>
        <w:drawing>
          <wp:inline distT="0" distB="0" distL="0" distR="0">
            <wp:extent cx="5716988" cy="2155127"/>
            <wp:effectExtent l="19050" t="0" r="0" b="0"/>
            <wp:docPr id="38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stretch>
                      <a:fillRect/>
                    </a:stretch>
                  </pic:blipFill>
                  <pic:spPr>
                    <a:xfrm>
                      <a:off x="0" y="0"/>
                      <a:ext cx="5719272" cy="2155988"/>
                    </a:xfrm>
                    <a:prstGeom prst="rect">
                      <a:avLst/>
                    </a:prstGeom>
                  </pic:spPr>
                </pic:pic>
              </a:graphicData>
            </a:graphic>
          </wp:inline>
        </w:drawing>
      </w:r>
    </w:p>
    <w:p w:rsidR="00A10CDF" w:rsidRPr="0049678A" w:rsidRDefault="00402381" w:rsidP="00A10CDF">
      <w:pPr>
        <w:rPr>
          <w:rFonts w:ascii="Verdana" w:hAnsi="Verdana"/>
          <w:sz w:val="20"/>
          <w:szCs w:val="20"/>
        </w:rPr>
      </w:pPr>
      <w:r>
        <w:rPr>
          <w:rFonts w:ascii="Verdana" w:hAnsi="Verdana"/>
          <w:noProof/>
          <w:sz w:val="20"/>
          <w:szCs w:val="20"/>
        </w:rPr>
        <w:pict>
          <v:oval id="_x0000_s1179" style="position:absolute;margin-left:5.25pt;margin-top:104.45pt;width:249.75pt;height:36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" strokecolor="red" strokeweight="1.5pt">
            <v:fill opacity="3855f"/>
          </v:oval>
        </w:pict>
      </w:r>
      <w:r w:rsidR="00A10CDF" w:rsidRPr="0049678A">
        <w:rPr>
          <w:rFonts w:ascii="Verdana" w:hAnsi="Verdana"/>
          <w:noProof/>
          <w:sz w:val="20"/>
          <w:szCs w:val="20"/>
        </w:rPr>
        <w:drawing>
          <wp:inline distT="0" distB="0" distL="0" distR="0">
            <wp:extent cx="5101590" cy="3264304"/>
            <wp:effectExtent l="19050" t="0" r="3810" b="0"/>
            <wp:docPr id="38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stretch>
                      <a:fillRect/>
                    </a:stretch>
                  </pic:blipFill>
                  <pic:spPr>
                    <a:xfrm>
                      <a:off x="0" y="0"/>
                      <a:ext cx="5108784" cy="3268907"/>
                    </a:xfrm>
                    <a:prstGeom prst="rect">
                      <a:avLst/>
                    </a:prstGeom>
                  </pic:spPr>
                </pic:pic>
              </a:graphicData>
            </a:graphic>
          </wp:inline>
        </w:drawing>
      </w:r>
    </w:p>
    <w:p w:rsidR="00A10CDF" w:rsidRPr="0049678A" w:rsidRDefault="00A10CDF" w:rsidP="00A10CDF">
      <w:pPr>
        <w:spacing w:after="0" w:line="240" w:lineRule="auto"/>
        <w:rPr>
          <w:rFonts w:ascii="Verdana" w:hAnsi="Verdana"/>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noProof/>
          <w:sz w:val="20"/>
          <w:szCs w:val="20"/>
        </w:rPr>
      </w:pPr>
      <w:bookmarkStart w:id="183" w:name="_Toc293321453"/>
      <w:r w:rsidRPr="0049678A">
        <w:rPr>
          <w:rFonts w:ascii="Verdana" w:hAnsi="Verdana"/>
          <w:sz w:val="20"/>
          <w:szCs w:val="20"/>
        </w:rPr>
        <w:lastRenderedPageBreak/>
        <w:t>O3 - Agency Accounting Identifier Code</w:t>
      </w:r>
      <w:bookmarkEnd w:id="183"/>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O3 - Agency Accounting Identifier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6</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Organizational Information</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The Agency Accounting Identifier Code identifies the accounting system responsible for recording the accounting event.  The Agency Accounting Identifier Code is intended to be an accounting system identifier, and therefore must be assigned to only one accounting system.</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Sample Accounting Station Identifiers:</w:t>
            </w:r>
          </w:p>
          <w:p w:rsidR="00A10CDF" w:rsidRPr="0049678A" w:rsidRDefault="00A10CDF" w:rsidP="004F7F27">
            <w:pPr>
              <w:pStyle w:val="NoSpacing"/>
              <w:rPr>
                <w:rFonts w:ascii="Verdana" w:hAnsi="Verdana"/>
                <w:sz w:val="20"/>
                <w:szCs w:val="20"/>
              </w:rPr>
            </w:pPr>
            <w:r w:rsidRPr="0049678A">
              <w:rPr>
                <w:rFonts w:ascii="Verdana" w:hAnsi="Verdana"/>
                <w:sz w:val="20"/>
                <w:szCs w:val="20"/>
              </w:rPr>
              <w:t>FSN/AAA/ADSN         Installation</w:t>
            </w:r>
          </w:p>
          <w:p w:rsidR="00A10CDF" w:rsidRPr="0049678A" w:rsidRDefault="00A10CDF" w:rsidP="004F7F27">
            <w:pPr>
              <w:pStyle w:val="NoSpacing"/>
              <w:rPr>
                <w:rFonts w:ascii="Verdana" w:hAnsi="Verdana"/>
                <w:sz w:val="20"/>
                <w:szCs w:val="20"/>
              </w:rPr>
            </w:pPr>
            <w:r w:rsidRPr="0049678A">
              <w:rPr>
                <w:rFonts w:ascii="Verdana" w:hAnsi="Verdana"/>
                <w:sz w:val="20"/>
                <w:szCs w:val="20"/>
              </w:rPr>
              <w:t>044311                       DFAS INDIANAPOLIS DEFENSE AGENCY DAI/BTA ATTN: DFAS-AI-IS</w:t>
            </w:r>
          </w:p>
          <w:p w:rsidR="00A10CDF" w:rsidRPr="0049678A" w:rsidRDefault="00A10CDF" w:rsidP="004F7F27">
            <w:pPr>
              <w:pStyle w:val="NoSpacing"/>
              <w:rPr>
                <w:rFonts w:ascii="Verdana" w:hAnsi="Verdana"/>
                <w:sz w:val="20"/>
                <w:szCs w:val="20"/>
              </w:rPr>
            </w:pPr>
            <w:r w:rsidRPr="0049678A">
              <w:rPr>
                <w:rFonts w:ascii="Verdana" w:hAnsi="Verdana"/>
                <w:sz w:val="20"/>
                <w:szCs w:val="20"/>
              </w:rPr>
              <w:t>021001                       DFAS INDIANAPOLIS (GFEBS)</w:t>
            </w:r>
          </w:p>
          <w:p w:rsidR="00A10CDF" w:rsidRPr="0049678A" w:rsidRDefault="00A10CDF" w:rsidP="004F7F27">
            <w:pPr>
              <w:pStyle w:val="NoSpacing"/>
              <w:rPr>
                <w:rFonts w:ascii="Verdana" w:hAnsi="Verdana"/>
                <w:sz w:val="20"/>
                <w:szCs w:val="20"/>
              </w:rPr>
            </w:pPr>
            <w:r w:rsidRPr="0049678A">
              <w:rPr>
                <w:rFonts w:ascii="Verdana" w:hAnsi="Verdana"/>
                <w:sz w:val="20"/>
                <w:szCs w:val="20"/>
              </w:rPr>
              <w:t>385300                       EXPEDITIONARY COMBAT SUPPORT SYSTEM (ECSS) (DFAS COLUMBUS)</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cs="Arial"/>
                <w:sz w:val="20"/>
                <w:szCs w:val="20"/>
              </w:rPr>
              <w:t xml:space="preserve">The ALC is required on any transaction involving a "Funds Balance with Treasury" (FBT) </w:t>
            </w:r>
            <w:proofErr w:type="gramStart"/>
            <w:r w:rsidRPr="0049678A">
              <w:rPr>
                <w:rFonts w:ascii="Verdana" w:hAnsi="Verdana" w:cs="Arial"/>
                <w:sz w:val="20"/>
                <w:szCs w:val="20"/>
              </w:rPr>
              <w:t>account</w:t>
            </w:r>
            <w:proofErr w:type="gramEnd"/>
            <w:r w:rsidRPr="0049678A">
              <w:rPr>
                <w:rFonts w:ascii="Verdana" w:hAnsi="Verdana" w:cs="Arial"/>
                <w:sz w:val="20"/>
                <w:szCs w:val="20"/>
              </w:rPr>
              <w:t>, and, in the current implementation, this means it is required on the customer/vendor line of invoices, and the "Disbursements-In-Transit" (DIT) account line.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When an Agency Accounting Identifier Code is associated with any other element, the association must be available throughout accounting lifecycle.</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Agency Accounting Identifier Code (FSN/AAA/ADSN) may be 6 numeric characters.  ex. 000318</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Authoritative source: https://beis.csd.disa.mil/beis-xml/sfiscombo.xml</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Agency Accounting Identifier Code must be used for accounting classification and financial reporting.  </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Agency Accounting Identifier Code values.</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there are multiple reporting organizations managing accounting within the system, a single accounting system may have more than one Agency Accounting Identifier Code.</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Different organizations may also use the same Agency Accounting Identifier Code, if managed within the same accounting system.</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be represented by at least one Agency Accounting Identifier Code.</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O3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An Agency Accounting Identifier Code must not represent more than one accounting system.</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3B3BD0">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3B3BD0">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IMG-Functions for US Federal Government -Payment Processing -</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Maintain Fiscal Station Number</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SPRO</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rPr>
          <w:trHeight w:val="395"/>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V_FMFGT_FSN</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FSN</w:t>
            </w:r>
          </w:p>
        </w:tc>
      </w:tr>
      <w:tr w:rsidR="00A10CDF" w:rsidRPr="0049678A" w:rsidTr="00FE6984">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None</w:t>
            </w:r>
          </w:p>
        </w:tc>
      </w:tr>
    </w:tbl>
    <w:p w:rsidR="00A10CDF" w:rsidRPr="0049678A" w:rsidRDefault="00A10CDF" w:rsidP="00A10CDF">
      <w:pPr>
        <w:spacing w:after="0"/>
        <w:rPr>
          <w:rFonts w:ascii="Verdana" w:hAnsi="Verdana"/>
          <w:sz w:val="20"/>
          <w:szCs w:val="20"/>
        </w:rPr>
      </w:pPr>
      <w:r w:rsidRPr="0049678A">
        <w:rPr>
          <w:rFonts w:ascii="Verdana" w:hAnsi="Verdana"/>
          <w:noProof/>
          <w:sz w:val="20"/>
          <w:szCs w:val="20"/>
        </w:rPr>
        <w:t xml:space="preserve"> </w:t>
      </w:r>
    </w:p>
    <w:p w:rsidR="00A10CDF" w:rsidRPr="0049678A" w:rsidRDefault="00A10CDF" w:rsidP="00A10CDF">
      <w:pPr>
        <w:pStyle w:val="Heading2"/>
        <w:rPr>
          <w:rFonts w:ascii="Verdana" w:hAnsi="Verdana"/>
          <w:color w:val="auto"/>
          <w:sz w:val="20"/>
          <w:szCs w:val="20"/>
        </w:rPr>
      </w:pPr>
      <w:bookmarkStart w:id="184" w:name="_Toc290534906"/>
      <w:r w:rsidRPr="0049678A">
        <w:rPr>
          <w:rFonts w:ascii="Verdana" w:hAnsi="Verdana"/>
          <w:sz w:val="20"/>
          <w:szCs w:val="20"/>
        </w:rPr>
        <w:t xml:space="preserve">Screenshot:  </w:t>
      </w:r>
      <w:r w:rsidRPr="0049678A">
        <w:rPr>
          <w:rFonts w:ascii="Verdana" w:hAnsi="Verdana"/>
          <w:color w:val="auto"/>
          <w:sz w:val="20"/>
          <w:szCs w:val="20"/>
        </w:rPr>
        <w:t>Location of “Agency Accounting Identifier Code” Display Field on Vendor Master</w:t>
      </w:r>
      <w:bookmarkEnd w:id="184"/>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sz w:val="20"/>
          <w:szCs w:val="20"/>
        </w:rPr>
      </w:pPr>
      <w:r>
        <w:rPr>
          <w:rFonts w:ascii="Verdana" w:hAnsi="Verdana"/>
          <w:noProof/>
          <w:sz w:val="20"/>
          <w:szCs w:val="20"/>
        </w:rPr>
        <w:pict>
          <v:oval id="Oval 128" o:spid="_x0000_s1178" style="position:absolute;margin-left:-5.25pt;margin-top:88.5pt;width:281.25pt;height:21.7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" strokecolor="red" strokeweight="1.5pt">
            <v:fill opacity="3855f"/>
          </v:oval>
        </w:pict>
      </w:r>
      <w:r w:rsidR="00A10CDF" w:rsidRPr="0049678A">
        <w:rPr>
          <w:rFonts w:ascii="Verdana" w:hAnsi="Verdana"/>
          <w:noProof/>
          <w:sz w:val="20"/>
          <w:szCs w:val="20"/>
        </w:rPr>
        <w:drawing>
          <wp:inline distT="0" distB="0" distL="0" distR="0">
            <wp:extent cx="5809524" cy="1885714"/>
            <wp:effectExtent l="0" t="0" r="1270" b="635"/>
            <wp:docPr id="38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5809524" cy="1885714"/>
                    </a:xfrm>
                    <a:prstGeom prst="rect">
                      <a:avLst/>
                    </a:prstGeom>
                  </pic:spPr>
                </pic:pic>
              </a:graphicData>
            </a:graphic>
          </wp:inline>
        </w:drawing>
      </w:r>
    </w:p>
    <w:p w:rsidR="00A10CDF" w:rsidRPr="0049678A" w:rsidRDefault="00A10CDF" w:rsidP="00A10CDF">
      <w:pPr>
        <w:spacing w:after="0" w:line="240" w:lineRule="auto"/>
        <w:rPr>
          <w:rFonts w:ascii="Verdana" w:hAnsi="Verdana"/>
          <w:spacing w:val="5"/>
          <w:sz w:val="20"/>
          <w:szCs w:val="20"/>
        </w:rPr>
      </w:pPr>
    </w:p>
    <w:p w:rsidR="00A10CDF" w:rsidRPr="0049678A" w:rsidRDefault="00A10CDF" w:rsidP="00A10CDF">
      <w:pPr>
        <w:pStyle w:val="Heading1"/>
        <w:rPr>
          <w:rFonts w:ascii="Verdana" w:hAnsi="Verdana"/>
          <w:sz w:val="20"/>
          <w:szCs w:val="20"/>
        </w:rPr>
      </w:pPr>
      <w:bookmarkStart w:id="185" w:name="_Toc293321454"/>
      <w:r w:rsidRPr="0049678A">
        <w:rPr>
          <w:rFonts w:ascii="Verdana" w:hAnsi="Verdana"/>
          <w:sz w:val="20"/>
          <w:szCs w:val="20"/>
        </w:rPr>
        <w:t>T1 - Transaction Type Code</w:t>
      </w:r>
      <w:bookmarkEnd w:id="185"/>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T1 - Transaction Type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4AN</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Transaction Type - A code to indicate the grouping of like types of business and/or accounting events, i.e., transactions, with general association, but not limited by the US Treasury designated groupings of transactions, as follows:  </w:t>
            </w:r>
          </w:p>
          <w:p w:rsidR="00A10CDF" w:rsidRPr="0049678A" w:rsidRDefault="00A10CDF" w:rsidP="004F7F27">
            <w:pPr>
              <w:pStyle w:val="NoSpacing"/>
              <w:rPr>
                <w:rFonts w:ascii="Verdana" w:hAnsi="Verdana"/>
                <w:sz w:val="20"/>
                <w:szCs w:val="20"/>
              </w:rPr>
            </w:pPr>
            <w:proofErr w:type="spellStart"/>
            <w:r w:rsidRPr="0049678A">
              <w:rPr>
                <w:rFonts w:ascii="Verdana" w:hAnsi="Verdana"/>
                <w:sz w:val="20"/>
                <w:szCs w:val="20"/>
              </w:rPr>
              <w:t>Axxx</w:t>
            </w:r>
            <w:proofErr w:type="spellEnd"/>
            <w:r w:rsidRPr="0049678A">
              <w:rPr>
                <w:rFonts w:ascii="Verdana" w:hAnsi="Verdana"/>
                <w:sz w:val="20"/>
                <w:szCs w:val="20"/>
              </w:rPr>
              <w:t xml:space="preserve"> - Funding </w:t>
            </w:r>
          </w:p>
          <w:p w:rsidR="00A10CDF" w:rsidRPr="0049678A" w:rsidRDefault="00A10CDF" w:rsidP="004F7F27">
            <w:pPr>
              <w:pStyle w:val="NoSpacing"/>
              <w:rPr>
                <w:rFonts w:ascii="Verdana" w:hAnsi="Verdana"/>
                <w:sz w:val="20"/>
                <w:szCs w:val="20"/>
              </w:rPr>
            </w:pPr>
            <w:proofErr w:type="spellStart"/>
            <w:r w:rsidRPr="0049678A">
              <w:rPr>
                <w:rFonts w:ascii="Verdana" w:hAnsi="Verdana"/>
                <w:sz w:val="20"/>
                <w:szCs w:val="20"/>
              </w:rPr>
              <w:t>Bxxx</w:t>
            </w:r>
            <w:proofErr w:type="spellEnd"/>
            <w:r w:rsidRPr="0049678A">
              <w:rPr>
                <w:rFonts w:ascii="Verdana" w:hAnsi="Verdana"/>
                <w:sz w:val="20"/>
                <w:szCs w:val="20"/>
              </w:rPr>
              <w:t xml:space="preserve"> - Disbursements and Payables</w:t>
            </w:r>
          </w:p>
          <w:p w:rsidR="00A10CDF" w:rsidRPr="0049678A" w:rsidRDefault="00A10CDF" w:rsidP="004F7F27">
            <w:pPr>
              <w:pStyle w:val="NoSpacing"/>
              <w:rPr>
                <w:rFonts w:ascii="Verdana" w:hAnsi="Verdana"/>
                <w:sz w:val="20"/>
                <w:szCs w:val="20"/>
              </w:rPr>
            </w:pPr>
            <w:proofErr w:type="spellStart"/>
            <w:r w:rsidRPr="0049678A">
              <w:rPr>
                <w:rFonts w:ascii="Verdana" w:hAnsi="Verdana"/>
                <w:sz w:val="20"/>
                <w:szCs w:val="20"/>
              </w:rPr>
              <w:t>Cxxx</w:t>
            </w:r>
            <w:proofErr w:type="spellEnd"/>
            <w:r w:rsidRPr="0049678A">
              <w:rPr>
                <w:rFonts w:ascii="Verdana" w:hAnsi="Verdana"/>
                <w:sz w:val="20"/>
                <w:szCs w:val="20"/>
              </w:rPr>
              <w:t xml:space="preserve"> - Collections and Receivables </w:t>
            </w:r>
          </w:p>
          <w:p w:rsidR="00A10CDF" w:rsidRPr="0049678A" w:rsidRDefault="00A10CDF" w:rsidP="004F7F27">
            <w:pPr>
              <w:pStyle w:val="NoSpacing"/>
              <w:rPr>
                <w:rFonts w:ascii="Verdana" w:hAnsi="Verdana"/>
                <w:sz w:val="20"/>
                <w:szCs w:val="20"/>
              </w:rPr>
            </w:pPr>
            <w:proofErr w:type="spellStart"/>
            <w:r w:rsidRPr="0049678A">
              <w:rPr>
                <w:rFonts w:ascii="Verdana" w:hAnsi="Verdana"/>
                <w:sz w:val="20"/>
                <w:szCs w:val="20"/>
              </w:rPr>
              <w:t>Dxxx</w:t>
            </w:r>
            <w:proofErr w:type="spellEnd"/>
            <w:r w:rsidRPr="0049678A">
              <w:rPr>
                <w:rFonts w:ascii="Verdana" w:hAnsi="Verdana"/>
                <w:sz w:val="20"/>
                <w:szCs w:val="20"/>
              </w:rPr>
              <w:t xml:space="preserve"> - Adjustments/</w:t>
            </w:r>
            <w:proofErr w:type="spellStart"/>
            <w:r w:rsidRPr="0049678A">
              <w:rPr>
                <w:rFonts w:ascii="Verdana" w:hAnsi="Verdana"/>
                <w:sz w:val="20"/>
                <w:szCs w:val="20"/>
              </w:rPr>
              <w:t>Writeoffs</w:t>
            </w:r>
            <w:proofErr w:type="spellEnd"/>
            <w:r w:rsidRPr="0049678A">
              <w:rPr>
                <w:rFonts w:ascii="Verdana" w:hAnsi="Verdana"/>
                <w:sz w:val="20"/>
                <w:szCs w:val="20"/>
              </w:rPr>
              <w:t>/Reclassifications</w:t>
            </w:r>
          </w:p>
          <w:p w:rsidR="00A10CDF" w:rsidRPr="0049678A" w:rsidRDefault="00A10CDF" w:rsidP="004F7F27">
            <w:pPr>
              <w:pStyle w:val="NoSpacing"/>
              <w:rPr>
                <w:rFonts w:ascii="Verdana" w:hAnsi="Verdana"/>
                <w:sz w:val="20"/>
                <w:szCs w:val="20"/>
              </w:rPr>
            </w:pPr>
            <w:proofErr w:type="spellStart"/>
            <w:r w:rsidRPr="0049678A">
              <w:rPr>
                <w:rFonts w:ascii="Verdana" w:hAnsi="Verdana"/>
                <w:sz w:val="20"/>
                <w:szCs w:val="20"/>
              </w:rPr>
              <w:t>Exxx</w:t>
            </w:r>
            <w:proofErr w:type="spellEnd"/>
            <w:r w:rsidRPr="0049678A">
              <w:rPr>
                <w:rFonts w:ascii="Verdana" w:hAnsi="Verdana"/>
                <w:sz w:val="20"/>
                <w:szCs w:val="20"/>
              </w:rPr>
              <w:t xml:space="preserve"> - Accruals/</w:t>
            </w:r>
            <w:proofErr w:type="spellStart"/>
            <w:r w:rsidRPr="0049678A">
              <w:rPr>
                <w:rFonts w:ascii="Verdana" w:hAnsi="Verdana"/>
                <w:sz w:val="20"/>
                <w:szCs w:val="20"/>
              </w:rPr>
              <w:t>Nonbudgetary</w:t>
            </w:r>
            <w:proofErr w:type="spellEnd"/>
            <w:r w:rsidRPr="0049678A">
              <w:rPr>
                <w:rFonts w:ascii="Verdana" w:hAnsi="Verdana"/>
                <w:sz w:val="20"/>
                <w:szCs w:val="20"/>
              </w:rPr>
              <w:t xml:space="preserve"> Transfers</w:t>
            </w:r>
          </w:p>
          <w:p w:rsidR="00A10CDF" w:rsidRPr="0049678A" w:rsidRDefault="00A10CDF" w:rsidP="004F7F27">
            <w:pPr>
              <w:pStyle w:val="NoSpacing"/>
              <w:rPr>
                <w:rFonts w:ascii="Verdana" w:hAnsi="Verdana"/>
                <w:sz w:val="20"/>
                <w:szCs w:val="20"/>
              </w:rPr>
            </w:pPr>
            <w:proofErr w:type="spellStart"/>
            <w:r w:rsidRPr="0049678A">
              <w:rPr>
                <w:rFonts w:ascii="Verdana" w:hAnsi="Verdana"/>
                <w:sz w:val="20"/>
                <w:szCs w:val="20"/>
              </w:rPr>
              <w:t>Fxxx</w:t>
            </w:r>
            <w:proofErr w:type="spellEnd"/>
            <w:r w:rsidRPr="0049678A">
              <w:rPr>
                <w:rFonts w:ascii="Verdana" w:hAnsi="Verdana"/>
                <w:sz w:val="20"/>
                <w:szCs w:val="20"/>
              </w:rPr>
              <w:t xml:space="preserve"> - Yearend </w:t>
            </w:r>
            <w:proofErr w:type="spellStart"/>
            <w:r w:rsidRPr="0049678A">
              <w:rPr>
                <w:rFonts w:ascii="Verdana" w:hAnsi="Verdana"/>
                <w:sz w:val="20"/>
                <w:szCs w:val="20"/>
              </w:rPr>
              <w:t>Preclosing</w:t>
            </w:r>
            <w:proofErr w:type="spellEnd"/>
            <w:r w:rsidRPr="0049678A">
              <w:rPr>
                <w:rFonts w:ascii="Verdana" w:hAnsi="Verdana"/>
                <w:sz w:val="20"/>
                <w:szCs w:val="20"/>
              </w:rPr>
              <w:t xml:space="preserve"> and Closing Entries</w:t>
            </w:r>
          </w:p>
          <w:p w:rsidR="00A10CDF" w:rsidRPr="0049678A" w:rsidRDefault="00A10CDF" w:rsidP="004F7F27">
            <w:pPr>
              <w:pStyle w:val="NoSpacing"/>
              <w:rPr>
                <w:rFonts w:ascii="Verdana" w:hAnsi="Verdana"/>
                <w:sz w:val="20"/>
                <w:szCs w:val="20"/>
              </w:rPr>
            </w:pPr>
            <w:proofErr w:type="spellStart"/>
            <w:r w:rsidRPr="0049678A">
              <w:rPr>
                <w:rFonts w:ascii="Verdana" w:hAnsi="Verdana"/>
                <w:sz w:val="20"/>
                <w:szCs w:val="20"/>
              </w:rPr>
              <w:t>Gxxx</w:t>
            </w:r>
            <w:proofErr w:type="spellEnd"/>
            <w:r w:rsidRPr="0049678A">
              <w:rPr>
                <w:rFonts w:ascii="Verdana" w:hAnsi="Verdana"/>
                <w:sz w:val="20"/>
                <w:szCs w:val="20"/>
              </w:rPr>
              <w:t xml:space="preserve"> - Memorandum Entries</w:t>
            </w:r>
          </w:p>
          <w:p w:rsidR="00A10CDF" w:rsidRPr="0049678A" w:rsidRDefault="00A10CDF" w:rsidP="004F7F27">
            <w:pPr>
              <w:pStyle w:val="NoSpacing"/>
              <w:rPr>
                <w:rFonts w:ascii="Verdana" w:hAnsi="Verdana"/>
                <w:sz w:val="20"/>
                <w:szCs w:val="20"/>
              </w:rPr>
            </w:pPr>
            <w:proofErr w:type="spellStart"/>
            <w:r w:rsidRPr="0049678A">
              <w:rPr>
                <w:rFonts w:ascii="Verdana" w:hAnsi="Verdana"/>
                <w:sz w:val="20"/>
                <w:szCs w:val="20"/>
              </w:rPr>
              <w:t>Hxxx</w:t>
            </w:r>
            <w:proofErr w:type="spellEnd"/>
            <w:r w:rsidRPr="0049678A">
              <w:rPr>
                <w:rFonts w:ascii="Verdana" w:hAnsi="Verdana"/>
                <w:sz w:val="20"/>
                <w:szCs w:val="20"/>
              </w:rPr>
              <w:t xml:space="preserve"> - Other Specialized Transactions</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Examples of Transaction Types are as follows:</w:t>
            </w:r>
          </w:p>
          <w:p w:rsidR="00A10CDF" w:rsidRPr="0049678A" w:rsidRDefault="00A10CDF" w:rsidP="004F7F27">
            <w:pPr>
              <w:pStyle w:val="NoSpacing"/>
              <w:rPr>
                <w:rFonts w:ascii="Verdana" w:hAnsi="Verdana"/>
                <w:sz w:val="20"/>
                <w:szCs w:val="20"/>
              </w:rPr>
            </w:pPr>
            <w:r w:rsidRPr="0049678A">
              <w:rPr>
                <w:rFonts w:ascii="Verdana" w:hAnsi="Verdana"/>
                <w:sz w:val="20"/>
                <w:szCs w:val="20"/>
              </w:rPr>
              <w:t>Transaction Type Value            Type Name</w:t>
            </w:r>
          </w:p>
          <w:p w:rsidR="00A10CDF" w:rsidRPr="0049678A" w:rsidRDefault="00A10CDF" w:rsidP="004F7F27">
            <w:pPr>
              <w:pStyle w:val="NoSpacing"/>
              <w:rPr>
                <w:rFonts w:ascii="Verdana" w:hAnsi="Verdana"/>
                <w:sz w:val="20"/>
                <w:szCs w:val="20"/>
              </w:rPr>
            </w:pPr>
            <w:r w:rsidRPr="0049678A">
              <w:rPr>
                <w:rFonts w:ascii="Verdana" w:hAnsi="Verdana"/>
                <w:sz w:val="20"/>
                <w:szCs w:val="20"/>
              </w:rPr>
              <w:t>A001                                         Allotment</w:t>
            </w:r>
          </w:p>
          <w:p w:rsidR="00A10CDF" w:rsidRPr="0049678A" w:rsidRDefault="00A10CDF" w:rsidP="004F7F27">
            <w:pPr>
              <w:pStyle w:val="NoSpacing"/>
              <w:rPr>
                <w:rFonts w:ascii="Verdana" w:hAnsi="Verdana"/>
                <w:sz w:val="20"/>
                <w:szCs w:val="20"/>
              </w:rPr>
            </w:pPr>
            <w:r w:rsidRPr="0049678A">
              <w:rPr>
                <w:rFonts w:ascii="Verdana" w:hAnsi="Verdana"/>
                <w:sz w:val="20"/>
                <w:szCs w:val="20"/>
              </w:rPr>
              <w:t>B022                                         Commitment</w:t>
            </w:r>
          </w:p>
          <w:p w:rsidR="00A10CDF" w:rsidRPr="0049678A" w:rsidRDefault="00A10CDF" w:rsidP="004F7F27">
            <w:pPr>
              <w:pStyle w:val="NoSpacing"/>
              <w:rPr>
                <w:rFonts w:ascii="Verdana" w:hAnsi="Verdana"/>
                <w:sz w:val="20"/>
                <w:szCs w:val="20"/>
              </w:rPr>
            </w:pPr>
            <w:r w:rsidRPr="0049678A">
              <w:rPr>
                <w:rFonts w:ascii="Verdana" w:hAnsi="Verdana"/>
                <w:sz w:val="20"/>
                <w:szCs w:val="20"/>
              </w:rPr>
              <w:t>C051                                         Revenue - Previously Accrued</w:t>
            </w:r>
          </w:p>
          <w:p w:rsidR="00A10CDF" w:rsidRPr="0049678A" w:rsidRDefault="00A10CDF" w:rsidP="004F7F27">
            <w:pPr>
              <w:pStyle w:val="NoSpacing"/>
              <w:rPr>
                <w:rFonts w:ascii="Verdana" w:hAnsi="Verdana"/>
                <w:sz w:val="20"/>
                <w:szCs w:val="20"/>
              </w:rPr>
            </w:pPr>
            <w:r w:rsidRPr="0049678A">
              <w:rPr>
                <w:rFonts w:ascii="Verdana" w:hAnsi="Verdana"/>
                <w:sz w:val="20"/>
                <w:szCs w:val="20"/>
              </w:rPr>
              <w:t>D022                                        Adjustment - Financing Sources</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Transaction Type Code may be associated with one or more general ledger transactions.</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general ledger transaction must have only one Transaction Type Code value.</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Transaction Type Code must be 4 alpha-numeric characters.  ex. B201</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Authoritative source:  http://www.bta.mil/SFIS/sfis_resources.html</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Transaction Type Code must be used for general ledger posting.</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maintain a chart of accounts and utilize general ledger posting logic that attains the same results as the United States Standard General Ledger (USSGL) Transaction Library.</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Different Transaction Type Code values may be used only if, the accounting system is posting all applicable transactions using compliant general ledger posting logic.</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3B3BD0">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3B3BD0">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BCS/FI Postings</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Accounting-Public Sector Management-Funds management-Budgeting- Budget Control System (BCS)- Entry Documents--Display </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SPRO</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rPr>
          <w:trHeight w:val="395"/>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BKPF</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BUKRS</w:t>
            </w:r>
          </w:p>
        </w:tc>
      </w:tr>
      <w:tr w:rsidR="00A10CDF" w:rsidRPr="0049678A" w:rsidTr="00FE6984">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FMBB</w:t>
            </w:r>
          </w:p>
        </w:tc>
      </w:tr>
    </w:tbl>
    <w:p w:rsidR="00A10CDF" w:rsidRPr="0049678A" w:rsidRDefault="00A10CDF" w:rsidP="00A10CDF">
      <w:pPr>
        <w:spacing w:after="0"/>
        <w:rPr>
          <w:rFonts w:ascii="Verdana" w:hAnsi="Verdana"/>
          <w:sz w:val="20"/>
          <w:szCs w:val="20"/>
        </w:rPr>
      </w:pPr>
      <w:r w:rsidRPr="0049678A">
        <w:rPr>
          <w:rFonts w:ascii="Verdana" w:hAnsi="Verdana"/>
          <w:noProof/>
          <w:sz w:val="20"/>
          <w:szCs w:val="20"/>
        </w:rPr>
        <w:t xml:space="preserve"> </w:t>
      </w:r>
    </w:p>
    <w:p w:rsidR="00A10CDF" w:rsidRPr="0049678A" w:rsidRDefault="00A10CDF" w:rsidP="00A10CDF">
      <w:pPr>
        <w:pStyle w:val="Heading2"/>
        <w:rPr>
          <w:rFonts w:ascii="Verdana" w:hAnsi="Verdana"/>
          <w:noProof/>
          <w:color w:val="auto"/>
          <w:sz w:val="20"/>
          <w:szCs w:val="20"/>
        </w:rPr>
      </w:pPr>
      <w:r w:rsidRPr="0049678A">
        <w:rPr>
          <w:rFonts w:ascii="Verdana" w:hAnsi="Verdana"/>
          <w:noProof/>
          <w:sz w:val="20"/>
          <w:szCs w:val="20"/>
        </w:rPr>
        <w:t xml:space="preserve">Screenshot:  </w:t>
      </w:r>
      <w:r w:rsidRPr="0049678A">
        <w:rPr>
          <w:rFonts w:ascii="Verdana" w:hAnsi="Verdana"/>
          <w:noProof/>
          <w:color w:val="auto"/>
          <w:sz w:val="20"/>
          <w:szCs w:val="20"/>
        </w:rPr>
        <w:t xml:space="preserve">Location of “Transaction Type Code” Display Field on Document Type Definition </w:t>
      </w:r>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sz w:val="20"/>
          <w:szCs w:val="20"/>
        </w:rPr>
      </w:pPr>
      <w:r>
        <w:rPr>
          <w:rFonts w:ascii="Verdana" w:hAnsi="Verdana"/>
          <w:noProof/>
          <w:sz w:val="20"/>
          <w:szCs w:val="20"/>
        </w:rPr>
        <w:pict>
          <v:oval id="_x0000_s1180" style="position:absolute;margin-left:97.5pt;margin-top:39.25pt;width:365.25pt;height:32.2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" strokecolor="red" strokeweight="1.5pt">
            <v:fill opacity="3855f"/>
          </v:oval>
        </w:pict>
      </w:r>
      <w:r w:rsidR="00A10CDF" w:rsidRPr="0049678A">
        <w:rPr>
          <w:rFonts w:ascii="Verdana" w:hAnsi="Verdana"/>
          <w:noProof/>
          <w:sz w:val="20"/>
          <w:szCs w:val="20"/>
        </w:rPr>
        <w:drawing>
          <wp:inline distT="0" distB="0" distL="0" distR="0">
            <wp:extent cx="5931113" cy="1543050"/>
            <wp:effectExtent l="0" t="0" r="0" b="0"/>
            <wp:docPr id="39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stretch>
                      <a:fillRect/>
                    </a:stretch>
                  </pic:blipFill>
                  <pic:spPr>
                    <a:xfrm>
                      <a:off x="0" y="0"/>
                      <a:ext cx="5943600" cy="1546299"/>
                    </a:xfrm>
                    <a:prstGeom prst="rect">
                      <a:avLst/>
                    </a:prstGeom>
                  </pic:spPr>
                </pic:pic>
              </a:graphicData>
            </a:graphic>
          </wp:inline>
        </w:drawing>
      </w:r>
    </w:p>
    <w:p w:rsidR="00A10CDF" w:rsidRPr="0049678A" w:rsidRDefault="00A10CDF" w:rsidP="00A10CDF">
      <w:pPr>
        <w:pStyle w:val="Heading1"/>
        <w:rPr>
          <w:rFonts w:ascii="Verdana" w:hAnsi="Verdana"/>
          <w:sz w:val="20"/>
          <w:szCs w:val="20"/>
        </w:rPr>
      </w:pPr>
      <w:bookmarkStart w:id="186" w:name="_Toc293321455"/>
      <w:r w:rsidRPr="0049678A">
        <w:rPr>
          <w:rFonts w:ascii="Verdana" w:hAnsi="Verdana"/>
          <w:sz w:val="20"/>
          <w:szCs w:val="20"/>
        </w:rPr>
        <w:t>T2 - USSGL/</w:t>
      </w:r>
      <w:proofErr w:type="spellStart"/>
      <w:r w:rsidRPr="0049678A">
        <w:rPr>
          <w:rFonts w:ascii="Verdana" w:hAnsi="Verdana"/>
          <w:sz w:val="20"/>
          <w:szCs w:val="20"/>
        </w:rPr>
        <w:t>DoD</w:t>
      </w:r>
      <w:proofErr w:type="spellEnd"/>
      <w:r w:rsidRPr="0049678A">
        <w:rPr>
          <w:rFonts w:ascii="Verdana" w:hAnsi="Verdana"/>
          <w:sz w:val="20"/>
          <w:szCs w:val="20"/>
        </w:rPr>
        <w:t xml:space="preserve"> Account Code</w:t>
      </w:r>
      <w:bookmarkEnd w:id="186"/>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T2 - USSGL/</w:t>
            </w:r>
            <w:proofErr w:type="spellStart"/>
            <w:r w:rsidRPr="0049678A">
              <w:rPr>
                <w:rFonts w:ascii="Verdana" w:hAnsi="Verdana"/>
                <w:sz w:val="20"/>
                <w:szCs w:val="20"/>
              </w:rPr>
              <w:t>DoD</w:t>
            </w:r>
            <w:proofErr w:type="spellEnd"/>
            <w:r w:rsidRPr="0049678A">
              <w:rPr>
                <w:rFonts w:ascii="Verdana" w:hAnsi="Verdana"/>
                <w:sz w:val="20"/>
                <w:szCs w:val="20"/>
              </w:rPr>
              <w:t xml:space="preserve"> Account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9</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The USSGL/</w:t>
            </w:r>
            <w:proofErr w:type="spellStart"/>
            <w:r w:rsidRPr="0049678A">
              <w:rPr>
                <w:rFonts w:ascii="Verdana" w:hAnsi="Verdana"/>
                <w:sz w:val="20"/>
                <w:szCs w:val="20"/>
              </w:rPr>
              <w:t>DoD</w:t>
            </w:r>
            <w:proofErr w:type="spellEnd"/>
            <w:r w:rsidRPr="0049678A">
              <w:rPr>
                <w:rFonts w:ascii="Verdana" w:hAnsi="Verdana"/>
                <w:sz w:val="20"/>
                <w:szCs w:val="20"/>
              </w:rPr>
              <w:t xml:space="preserve"> Account Code is a unique code comprised of the four-digit United States Government Standard General Ledger (USSGL) account, as published in the USSGL Chart of Accounts, followed by a decimal and a </w:t>
            </w:r>
            <w:proofErr w:type="spellStart"/>
            <w:r w:rsidRPr="0049678A">
              <w:rPr>
                <w:rFonts w:ascii="Verdana" w:hAnsi="Verdana"/>
                <w:sz w:val="20"/>
                <w:szCs w:val="20"/>
              </w:rPr>
              <w:t>DoD</w:t>
            </w:r>
            <w:proofErr w:type="spellEnd"/>
            <w:r w:rsidRPr="0049678A">
              <w:rPr>
                <w:rFonts w:ascii="Verdana" w:hAnsi="Verdana"/>
                <w:sz w:val="20"/>
                <w:szCs w:val="20"/>
              </w:rPr>
              <w:t xml:space="preserve"> specific four-digit account extension.  The USSGL/</w:t>
            </w:r>
            <w:proofErr w:type="spellStart"/>
            <w:r w:rsidRPr="0049678A">
              <w:rPr>
                <w:rFonts w:ascii="Verdana" w:hAnsi="Verdana"/>
                <w:sz w:val="20"/>
                <w:szCs w:val="20"/>
              </w:rPr>
              <w:t>DoD</w:t>
            </w:r>
            <w:proofErr w:type="spellEnd"/>
            <w:r w:rsidRPr="0049678A">
              <w:rPr>
                <w:rFonts w:ascii="Verdana" w:hAnsi="Verdana"/>
                <w:sz w:val="20"/>
                <w:szCs w:val="20"/>
              </w:rPr>
              <w:t xml:space="preserve"> Account Codes provide the basic structure for the </w:t>
            </w:r>
            <w:proofErr w:type="spellStart"/>
            <w:r w:rsidRPr="0049678A">
              <w:rPr>
                <w:rFonts w:ascii="Verdana" w:hAnsi="Verdana"/>
                <w:sz w:val="20"/>
                <w:szCs w:val="20"/>
              </w:rPr>
              <w:t>DoD</w:t>
            </w:r>
            <w:proofErr w:type="spellEnd"/>
            <w:r w:rsidRPr="0049678A">
              <w:rPr>
                <w:rFonts w:ascii="Verdana" w:hAnsi="Verdana"/>
                <w:sz w:val="20"/>
                <w:szCs w:val="20"/>
              </w:rPr>
              <w:t xml:space="preserve"> Standard Chart of Accounts required for standardized departmental reporting.  USSGL/</w:t>
            </w:r>
            <w:proofErr w:type="spellStart"/>
            <w:r w:rsidRPr="0049678A">
              <w:rPr>
                <w:rFonts w:ascii="Verdana" w:hAnsi="Verdana"/>
                <w:sz w:val="20"/>
                <w:szCs w:val="20"/>
              </w:rPr>
              <w:t>DoD</w:t>
            </w:r>
            <w:proofErr w:type="spellEnd"/>
            <w:r w:rsidRPr="0049678A">
              <w:rPr>
                <w:rFonts w:ascii="Verdana" w:hAnsi="Verdana"/>
                <w:sz w:val="20"/>
                <w:szCs w:val="20"/>
              </w:rPr>
              <w:t xml:space="preserve"> Account Codes are comprised of budgetary, proprietary and memorandum accounts.  </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Examples of USSGL Account Nos. and Nomenclatures:</w:t>
            </w:r>
          </w:p>
          <w:p w:rsidR="00A10CDF" w:rsidRPr="0049678A" w:rsidRDefault="00A10CDF" w:rsidP="004F7F27">
            <w:pPr>
              <w:pStyle w:val="NoSpacing"/>
              <w:rPr>
                <w:rFonts w:ascii="Verdana" w:hAnsi="Verdana"/>
                <w:sz w:val="20"/>
                <w:szCs w:val="20"/>
              </w:rPr>
            </w:pPr>
            <w:r w:rsidRPr="0049678A">
              <w:rPr>
                <w:rFonts w:ascii="Verdana" w:hAnsi="Verdana"/>
                <w:sz w:val="20"/>
                <w:szCs w:val="20"/>
              </w:rPr>
              <w:t>Number                      Nomenclature</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1XXX (1000 Series)    ASSETS </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1010.0110                  Fund Balance With Treasury-Funds Collected</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2XXX                        LIABILITIES </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2211.9000                  Withholdings Payable</w:t>
            </w:r>
          </w:p>
          <w:p w:rsidR="00A10CDF" w:rsidRPr="0049678A" w:rsidRDefault="00A10CDF" w:rsidP="004F7F27">
            <w:pPr>
              <w:pStyle w:val="NoSpacing"/>
              <w:rPr>
                <w:rFonts w:ascii="Verdana" w:hAnsi="Verdana"/>
                <w:sz w:val="20"/>
                <w:szCs w:val="20"/>
              </w:rPr>
            </w:pPr>
            <w:r w:rsidRPr="0049678A">
              <w:rPr>
                <w:rFonts w:ascii="Verdana" w:hAnsi="Verdana"/>
                <w:sz w:val="20"/>
                <w:szCs w:val="20"/>
              </w:rPr>
              <w:t>3XXX                        NET POSITION</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3100.9000                  Unexpended Appropriations - Cumulative</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4XXX                        BUDGETARY ACCOUNTS </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4032.9000                  Estimated Indefinite Contract Authority</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5XXX                        REVENUE and OTHER FINANCING SOURCES </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ACCOUNTS </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5100.0300                 Revenue From Goods Sold - Sales at Exchange</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6XXX                        EXPENSES </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6100.9000                 Operating Expenses/Program Costs</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7XXX                        GAINS/LOSSES ACCOUNTS </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7110.9000                  Gains on Disposition of Assets - Other</w:t>
            </w:r>
          </w:p>
          <w:p w:rsidR="00A10CDF" w:rsidRPr="0049678A" w:rsidRDefault="00A10CDF" w:rsidP="004F7F27">
            <w:pPr>
              <w:pStyle w:val="NoSpacing"/>
              <w:rPr>
                <w:rFonts w:ascii="Verdana" w:hAnsi="Verdana"/>
                <w:sz w:val="20"/>
                <w:szCs w:val="20"/>
              </w:rPr>
            </w:pPr>
            <w:r w:rsidRPr="0049678A">
              <w:rPr>
                <w:rFonts w:ascii="Verdana" w:hAnsi="Verdana"/>
                <w:sz w:val="20"/>
                <w:szCs w:val="20"/>
              </w:rPr>
              <w:t>8XXX                        MEMORANDUM ACCOUNTS</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8801.9000                  Offset for Purchase of Assets</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General Ledger Account in the Accounting System must be associated with one and only one USSGL Account</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Authoritative source:  http://www.bta.mil/SFIS/sfis_resources.html</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All general ledger accounts within the accounting system used for posting must begin with a valid 4-digit USSGL account number, but may be extended up to 10 alpha numeric characters.   Ex.  1010.1000A</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 "Reporting" Chart of Accounts must exist within the accounting system which enforces the following:  Every "Posting" general ledger account must roll up to, or be subordinate to one and only one General Ledger Account Code within the Reporting Chart of Accounts with this linkage occurring at "time of transaction.".</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The system Reporting Chart of Accounts must contain only accounts contained within the current OSD Comptroller Memorandum identifying the individual accounts within the Reporting Chart of Accounts.   </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Note:  An exception to this requirement is that the system may contain memorandum accounts not used in financial reporting which are used for local purposes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lastRenderedPageBreak/>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3B3BD0">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3B3BD0">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Funds Management</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 -Financial Accounting- General Ledger- Master Records</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  G/L Accounts- Individual Processing -Centrally</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FS00</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FB20A3">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BSEG</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SAKNR</w:t>
            </w:r>
          </w:p>
        </w:tc>
      </w:tr>
      <w:tr w:rsidR="00A10CDF" w:rsidRPr="0049678A" w:rsidTr="00FB20A3">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FSP0</w:t>
            </w:r>
          </w:p>
        </w:tc>
        <w:tc>
          <w:tcPr>
            <w:tcW w:w="1950" w:type="dxa"/>
            <w:tcBorders>
              <w:bottom w:val="single" w:sz="4" w:space="0" w:color="auto"/>
            </w:tcBorders>
            <w:shd w:val="clear" w:color="auto" w:fill="EEECE1"/>
          </w:tcPr>
          <w:p w:rsidR="00A10CDF" w:rsidRPr="0049678A" w:rsidRDefault="00A10CDF" w:rsidP="004F7F27">
            <w:pPr>
              <w:spacing w:after="0" w:line="240" w:lineRule="auto"/>
              <w:jc w:val="right"/>
              <w:rPr>
                <w:rFonts w:ascii="Verdana" w:hAnsi="Verdana"/>
                <w:sz w:val="20"/>
                <w:szCs w:val="20"/>
              </w:rPr>
            </w:pP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spacing w:after="0" w:line="240" w:lineRule="auto"/>
        <w:rPr>
          <w:rFonts w:ascii="Verdana" w:hAnsi="Verdana"/>
          <w:noProof/>
          <w:sz w:val="20"/>
          <w:szCs w:val="20"/>
        </w:rPr>
      </w:pPr>
      <w:r w:rsidRPr="0049678A">
        <w:rPr>
          <w:rFonts w:ascii="Verdana" w:hAnsi="Verdana"/>
          <w:noProof/>
          <w:sz w:val="20"/>
          <w:szCs w:val="20"/>
        </w:rPr>
        <w:t xml:space="preserve"> </w:t>
      </w:r>
    </w:p>
    <w:p w:rsidR="00A10CDF" w:rsidRPr="0049678A" w:rsidRDefault="00A10CDF" w:rsidP="00A10CDF">
      <w:pPr>
        <w:spacing w:after="0" w:line="240" w:lineRule="auto"/>
        <w:rPr>
          <w:rFonts w:ascii="Verdana" w:hAnsi="Verdana"/>
          <w:sz w:val="20"/>
          <w:szCs w:val="20"/>
        </w:rPr>
      </w:pPr>
      <w:r w:rsidRPr="0049678A">
        <w:rPr>
          <w:rFonts w:ascii="Verdana" w:hAnsi="Verdana"/>
          <w:color w:val="002060"/>
          <w:sz w:val="20"/>
          <w:szCs w:val="20"/>
        </w:rPr>
        <w:t xml:space="preserve">Screenshot:  </w:t>
      </w:r>
      <w:r w:rsidRPr="0049678A">
        <w:rPr>
          <w:rFonts w:ascii="Verdana" w:hAnsi="Verdana"/>
          <w:sz w:val="20"/>
          <w:szCs w:val="20"/>
        </w:rPr>
        <w:t>Location of “USSGL/</w:t>
      </w:r>
      <w:proofErr w:type="spellStart"/>
      <w:r w:rsidRPr="0049678A">
        <w:rPr>
          <w:rFonts w:ascii="Verdana" w:hAnsi="Verdana"/>
          <w:sz w:val="20"/>
          <w:szCs w:val="20"/>
        </w:rPr>
        <w:t>DoD</w:t>
      </w:r>
      <w:proofErr w:type="spellEnd"/>
      <w:r w:rsidRPr="0049678A">
        <w:rPr>
          <w:rFonts w:ascii="Verdana" w:hAnsi="Verdana"/>
          <w:sz w:val="20"/>
          <w:szCs w:val="20"/>
        </w:rPr>
        <w:t xml:space="preserve"> Account Code” Display Field on GL Account </w:t>
      </w:r>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noProof/>
          <w:sz w:val="20"/>
          <w:szCs w:val="20"/>
        </w:rPr>
      </w:pPr>
      <w:r>
        <w:rPr>
          <w:rFonts w:ascii="Verdana" w:hAnsi="Verdana"/>
          <w:noProof/>
          <w:sz w:val="20"/>
          <w:szCs w:val="20"/>
        </w:rPr>
        <w:pict>
          <v:oval id="Oval 145" o:spid="_x0000_s1157" style="position:absolute;margin-left:9.75pt;margin-top:7.25pt;width:75pt;height:206.2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" strokecolor="red" strokeweight="1.5pt">
            <v:fill opacity="4626f"/>
          </v:oval>
        </w:pict>
      </w:r>
      <w:r w:rsidR="00A10CDF" w:rsidRPr="0049678A">
        <w:rPr>
          <w:rFonts w:ascii="Verdana" w:hAnsi="Verdana"/>
          <w:noProof/>
          <w:sz w:val="20"/>
          <w:szCs w:val="20"/>
        </w:rPr>
        <w:drawing>
          <wp:inline distT="0" distB="0" distL="0" distR="0">
            <wp:extent cx="5924550" cy="2524125"/>
            <wp:effectExtent l="0" t="0" r="0" b="9525"/>
            <wp:docPr id="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4550" cy="2524125"/>
                    </a:xfrm>
                    <a:prstGeom prst="rect">
                      <a:avLst/>
                    </a:prstGeom>
                    <a:noFill/>
                    <a:ln>
                      <a:noFill/>
                    </a:ln>
                  </pic:spPr>
                </pic:pic>
              </a:graphicData>
            </a:graphic>
          </wp:inline>
        </w:drawing>
      </w:r>
    </w:p>
    <w:p w:rsidR="00A10CDF" w:rsidRPr="0049678A" w:rsidRDefault="00A10CDF" w:rsidP="00A10CDF">
      <w:pPr>
        <w:pStyle w:val="Heading1"/>
        <w:rPr>
          <w:rFonts w:ascii="Verdana" w:hAnsi="Verdana"/>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187" w:name="_Toc293321456"/>
      <w:r w:rsidRPr="0049678A">
        <w:rPr>
          <w:rFonts w:ascii="Verdana" w:hAnsi="Verdana"/>
          <w:sz w:val="20"/>
          <w:szCs w:val="20"/>
        </w:rPr>
        <w:lastRenderedPageBreak/>
        <w:t>T3 - Debit/Credit Indicator</w:t>
      </w:r>
      <w:bookmarkEnd w:id="187"/>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T3 - Debit/Credit Indicator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Indicator identifies whether the GL balance included in an automated trial balance is a debit or credit balance.  </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the balance being reported is a net debit balance, then the value will be "D".</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Debit/Credit Indicator must be 1 alpha character.  ex. D</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Data values:  D - Debit</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                     C - Credit</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T3</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Systems may use posting keys which represent debits and credits.</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Debit/Credit Indicator must be used for general ledger posting, and financial reporting.</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FE6984">
        <w:tc>
          <w:tcPr>
            <w:tcW w:w="1073"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FE6984">
        <w:tc>
          <w:tcPr>
            <w:tcW w:w="1073"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General ledger</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 Financial Accounting- General Ledger- Posting-  Enter G/L Account Document</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FB50</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B55CB6">
        <w:trPr>
          <w:trHeight w:val="36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ACGL_HEAD</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SHKZG</w:t>
            </w:r>
          </w:p>
        </w:tc>
      </w:tr>
      <w:tr w:rsidR="00A10CDF" w:rsidRPr="0049678A" w:rsidTr="00B55CB6">
        <w:trPr>
          <w:trHeight w:val="350"/>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bottom w:val="single" w:sz="4" w:space="0" w:color="auto"/>
            </w:tcBorders>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FB01, FB02, FB03</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DD2837">
      <w:pPr>
        <w:rPr>
          <w:rFonts w:ascii="Verdana" w:hAnsi="Verdana"/>
          <w:sz w:val="20"/>
          <w:szCs w:val="20"/>
        </w:rPr>
      </w:pPr>
      <w:r w:rsidRPr="0049678A">
        <w:rPr>
          <w:rFonts w:ascii="Verdana" w:hAnsi="Verdana"/>
          <w:noProof/>
          <w:sz w:val="20"/>
          <w:szCs w:val="20"/>
        </w:rPr>
        <w:t xml:space="preserve"> </w:t>
      </w: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 xml:space="preserve">Location of “Debit/Credit Indicator” Field on Enter GL Account Document </w:t>
      </w:r>
    </w:p>
    <w:p w:rsidR="00A10CDF" w:rsidRPr="0049678A" w:rsidRDefault="00402381" w:rsidP="00A10CDF">
      <w:pPr>
        <w:rPr>
          <w:rFonts w:ascii="Verdana" w:hAnsi="Verdana"/>
          <w:noProof/>
          <w:sz w:val="20"/>
          <w:szCs w:val="20"/>
        </w:rPr>
      </w:pPr>
      <w:r>
        <w:rPr>
          <w:rFonts w:ascii="Verdana" w:hAnsi="Verdana"/>
          <w:noProof/>
          <w:sz w:val="20"/>
          <w:szCs w:val="20"/>
        </w:rPr>
        <w:lastRenderedPageBreak/>
        <w:pict>
          <v:oval id="Oval 146" o:spid="_x0000_s1158" style="position:absolute;margin-left:132.75pt;margin-top:188pt;width:46.65pt;height:26.2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" strokecolor="red" strokeweight="1.5pt">
            <v:fill opacity="4626f"/>
          </v:oval>
        </w:pict>
      </w:r>
      <w:r w:rsidR="00A10CDF" w:rsidRPr="0049678A">
        <w:rPr>
          <w:rFonts w:ascii="Verdana" w:hAnsi="Verdana"/>
          <w:noProof/>
          <w:sz w:val="20"/>
          <w:szCs w:val="20"/>
        </w:rPr>
        <w:drawing>
          <wp:inline distT="0" distB="0" distL="0" distR="0">
            <wp:extent cx="5943600" cy="3019425"/>
            <wp:effectExtent l="0" t="0" r="0" b="9525"/>
            <wp:docPr id="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019425"/>
                    </a:xfrm>
                    <a:prstGeom prst="rect">
                      <a:avLst/>
                    </a:prstGeom>
                    <a:noFill/>
                    <a:ln>
                      <a:noFill/>
                    </a:ln>
                  </pic:spPr>
                </pic:pic>
              </a:graphicData>
            </a:graphic>
          </wp:inline>
        </w:drawing>
      </w:r>
    </w:p>
    <w:p w:rsidR="00A10CDF" w:rsidRPr="0049678A" w:rsidRDefault="00A10CDF" w:rsidP="00A10CDF">
      <w:pPr>
        <w:rPr>
          <w:rFonts w:ascii="Verdana" w:hAnsi="Verdana"/>
          <w:noProof/>
          <w:sz w:val="20"/>
          <w:szCs w:val="20"/>
        </w:rPr>
      </w:pPr>
      <w:r w:rsidRPr="0049678A">
        <w:rPr>
          <w:rFonts w:ascii="Verdana" w:hAnsi="Verdana"/>
          <w:noProof/>
          <w:sz w:val="20"/>
          <w:szCs w:val="20"/>
        </w:rPr>
        <w:drawing>
          <wp:inline distT="0" distB="0" distL="0" distR="0">
            <wp:extent cx="5943600" cy="2600960"/>
            <wp:effectExtent l="0" t="0" r="0" b="8890"/>
            <wp:docPr id="39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stretch>
                      <a:fillRect/>
                    </a:stretch>
                  </pic:blipFill>
                  <pic:spPr>
                    <a:xfrm>
                      <a:off x="0" y="0"/>
                      <a:ext cx="5943600" cy="2600960"/>
                    </a:xfrm>
                    <a:prstGeom prst="rect">
                      <a:avLst/>
                    </a:prstGeom>
                  </pic:spPr>
                </pic:pic>
              </a:graphicData>
            </a:graphic>
          </wp:inline>
        </w:drawing>
      </w:r>
    </w:p>
    <w:p w:rsidR="00A10CDF" w:rsidRPr="0049678A" w:rsidRDefault="00A10CDF" w:rsidP="00A10CDF">
      <w:pPr>
        <w:spacing w:after="0" w:line="240" w:lineRule="auto"/>
        <w:rPr>
          <w:rFonts w:ascii="Verdana" w:hAnsi="Verdana"/>
          <w:spacing w:val="5"/>
          <w:sz w:val="20"/>
          <w:szCs w:val="20"/>
        </w:rPr>
      </w:pPr>
    </w:p>
    <w:p w:rsidR="00A10CDF" w:rsidRPr="0049678A" w:rsidRDefault="00A10CDF" w:rsidP="00A10CDF">
      <w:pPr>
        <w:pStyle w:val="Heading1"/>
        <w:rPr>
          <w:rFonts w:ascii="Verdana" w:hAnsi="Verdana"/>
          <w:sz w:val="20"/>
          <w:szCs w:val="20"/>
        </w:rPr>
      </w:pPr>
      <w:bookmarkStart w:id="188" w:name="_Toc293321457"/>
      <w:r w:rsidRPr="0049678A">
        <w:rPr>
          <w:rFonts w:ascii="Verdana" w:hAnsi="Verdana"/>
          <w:sz w:val="20"/>
          <w:szCs w:val="20"/>
        </w:rPr>
        <w:t>T4 - Begin/End Indicator</w:t>
      </w:r>
      <w:bookmarkEnd w:id="188"/>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T4 - Begin/End Indicator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The Begin/End Indicator identifies a general ledger account balance as of the point in time that it represents.  For instance, the balance of a general ledger account at the beginning of the reporting period, versus the balance at the end of the reporting period.    </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a reported general ledger account balance represents the beginning balance, then the value will be "B".</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As is the case with the individual mandatory reports, within SAP, the </w:t>
            </w:r>
            <w:r w:rsidRPr="0049678A">
              <w:rPr>
                <w:rFonts w:ascii="Verdana" w:hAnsi="Verdana"/>
                <w:sz w:val="20"/>
                <w:szCs w:val="20"/>
              </w:rPr>
              <w:lastRenderedPageBreak/>
              <w:t>begin/end indicator is specified on the report basis. The example provided in the screen shot is only used for the Total resources calculation done during the FACTS II edit check process.</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T4</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reported financial account balance must be associated with only one Begin/End Indicator.</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T4</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Begin/End Indicator must be 1 alpha character.  ex. B</w:t>
            </w:r>
          </w:p>
          <w:p w:rsidR="00A10CDF" w:rsidRPr="0049678A" w:rsidRDefault="00A10CDF" w:rsidP="004F7F27">
            <w:pPr>
              <w:pStyle w:val="NoSpacing"/>
              <w:rPr>
                <w:rFonts w:ascii="Verdana" w:hAnsi="Verdana"/>
                <w:sz w:val="20"/>
                <w:szCs w:val="20"/>
              </w:rPr>
            </w:pPr>
            <w:r w:rsidRPr="0049678A">
              <w:rPr>
                <w:rFonts w:ascii="Verdana" w:hAnsi="Verdana"/>
                <w:sz w:val="20"/>
                <w:szCs w:val="20"/>
              </w:rPr>
              <w:t>Data values:  B - Beginning Balance</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E - Ending Balance</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T4</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Begin/End Indicator must be used for financial reporting.</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T4</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Derivation of the Begin/End Indicator based upon the status of the general ledger account balance with respect to the beginning or ending of the accounting period in the accounting system is an acceptable practice</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FE6984">
        <w:tc>
          <w:tcPr>
            <w:tcW w:w="1073"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FE6984">
        <w:tc>
          <w:tcPr>
            <w:tcW w:w="1073"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FM-Reporting</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S_KI4_38000323</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 Public Sector Management- Functions for the US Federal Government- Information System- Other- Trial Balance by Fund at SGL Account Level</w:t>
            </w:r>
          </w:p>
        </w:tc>
      </w:tr>
      <w:tr w:rsidR="00A10CDF" w:rsidRPr="0049678A" w:rsidTr="004A048B">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FMUSFGT</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r>
      <w:tr w:rsidR="00A10CDF" w:rsidRPr="0049678A" w:rsidTr="004A048B">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rPr>
          <w:rFonts w:ascii="Verdana" w:hAnsi="Verdana"/>
          <w:sz w:val="20"/>
          <w:szCs w:val="20"/>
        </w:rPr>
      </w:pPr>
      <w:r w:rsidRPr="0049678A">
        <w:rPr>
          <w:rFonts w:ascii="Verdana" w:hAnsi="Verdana"/>
          <w:noProof/>
          <w:sz w:val="20"/>
          <w:szCs w:val="20"/>
        </w:rPr>
        <w:t xml:space="preserve"> </w:t>
      </w: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“Begin/End Indicator” Display Field on Trial Balance by Fund at SGL Account Level</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rPr>
          <w:rFonts w:ascii="Verdana" w:hAnsi="Verdana"/>
          <w:noProof/>
          <w:sz w:val="20"/>
          <w:szCs w:val="20"/>
          <w:u w:val="single"/>
        </w:rPr>
      </w:pPr>
      <w:r w:rsidRPr="0049678A">
        <w:rPr>
          <w:rFonts w:ascii="Verdana" w:hAnsi="Verdana"/>
          <w:noProof/>
          <w:sz w:val="20"/>
          <w:szCs w:val="20"/>
        </w:rPr>
        <w:lastRenderedPageBreak/>
        <w:drawing>
          <wp:inline distT="0" distB="0" distL="0" distR="0">
            <wp:extent cx="5943600" cy="2695575"/>
            <wp:effectExtent l="19050" t="0" r="0" b="0"/>
            <wp:docPr id="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srcRect/>
                    <a:stretch>
                      <a:fillRect/>
                    </a:stretch>
                  </pic:blipFill>
                  <pic:spPr bwMode="auto">
                    <a:xfrm>
                      <a:off x="0" y="0"/>
                      <a:ext cx="5943600" cy="2695575"/>
                    </a:xfrm>
                    <a:prstGeom prst="rect">
                      <a:avLst/>
                    </a:prstGeom>
                    <a:noFill/>
                    <a:ln w="9525">
                      <a:noFill/>
                      <a:miter lim="800000"/>
                      <a:headEnd/>
                      <a:tailEnd/>
                    </a:ln>
                  </pic:spPr>
                </pic:pic>
              </a:graphicData>
            </a:graphic>
          </wp:inline>
        </w:drawing>
      </w:r>
    </w:p>
    <w:p w:rsidR="00A10CDF" w:rsidRPr="0049678A" w:rsidRDefault="00402381" w:rsidP="00A10CDF">
      <w:pPr>
        <w:rPr>
          <w:rFonts w:ascii="Verdana" w:hAnsi="Verdana"/>
          <w:noProof/>
          <w:sz w:val="20"/>
          <w:szCs w:val="20"/>
        </w:rPr>
      </w:pPr>
      <w:r>
        <w:rPr>
          <w:rFonts w:ascii="Verdana" w:hAnsi="Verdana"/>
          <w:noProof/>
          <w:sz w:val="20"/>
          <w:szCs w:val="20"/>
        </w:rPr>
        <w:pict>
          <v:oval id="_x0000_s1174" style="position:absolute;margin-left:-6pt;margin-top:62.05pt;width:46.5pt;height:7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" strokecolor="red" strokeweight="1.5pt">
            <v:fill opacity="3341f"/>
          </v:oval>
        </w:pict>
      </w:r>
      <w:r w:rsidR="00A10CDF" w:rsidRPr="0049678A">
        <w:rPr>
          <w:rFonts w:ascii="Verdana" w:hAnsi="Verdana"/>
          <w:noProof/>
          <w:sz w:val="20"/>
          <w:szCs w:val="20"/>
        </w:rPr>
        <w:drawing>
          <wp:inline distT="0" distB="0" distL="0" distR="0">
            <wp:extent cx="5943600" cy="1704975"/>
            <wp:effectExtent l="19050" t="0" r="0" b="0"/>
            <wp:docPr id="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srcRect/>
                    <a:stretch>
                      <a:fillRect/>
                    </a:stretch>
                  </pic:blipFill>
                  <pic:spPr bwMode="auto">
                    <a:xfrm>
                      <a:off x="0" y="0"/>
                      <a:ext cx="5943600" cy="1704975"/>
                    </a:xfrm>
                    <a:prstGeom prst="rect">
                      <a:avLst/>
                    </a:prstGeom>
                    <a:noFill/>
                    <a:ln w="9525">
                      <a:noFill/>
                      <a:miter lim="800000"/>
                      <a:headEnd/>
                      <a:tailEnd/>
                    </a:ln>
                  </pic:spPr>
                </pic:pic>
              </a:graphicData>
            </a:graphic>
          </wp:inline>
        </w:drawing>
      </w:r>
    </w:p>
    <w:p w:rsidR="00A10CDF" w:rsidRPr="0049678A" w:rsidRDefault="00A10CDF" w:rsidP="00A10CDF">
      <w:pPr>
        <w:rPr>
          <w:rFonts w:ascii="Verdana" w:hAnsi="Verdana"/>
          <w:noProof/>
          <w:sz w:val="20"/>
          <w:szCs w:val="20"/>
        </w:rPr>
      </w:pPr>
    </w:p>
    <w:p w:rsidR="00A10CDF" w:rsidRPr="0049678A" w:rsidRDefault="00A10CDF" w:rsidP="00A10CDF">
      <w:pPr>
        <w:pStyle w:val="Heading1"/>
        <w:rPr>
          <w:rFonts w:ascii="Verdana" w:hAnsi="Verdana"/>
          <w:sz w:val="20"/>
          <w:szCs w:val="20"/>
        </w:rPr>
      </w:pPr>
      <w:bookmarkStart w:id="189" w:name="_Toc293321458"/>
      <w:r w:rsidRPr="0049678A">
        <w:rPr>
          <w:rFonts w:ascii="Verdana" w:hAnsi="Verdana"/>
          <w:sz w:val="20"/>
          <w:szCs w:val="20"/>
        </w:rPr>
        <w:t>T5 - Transaction Effective Date</w:t>
      </w:r>
      <w:bookmarkEnd w:id="189"/>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T5 - Transaction Effective Date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8</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The effective date for a business event represented by a transaction type/transaction code.  Although, this date frequently equals the Transaction Post Date, it is not always equal.  As an example: an obligation that exists at the end of a reporting period is discovered just after the period ends.  The obligation would be posted in the general ledger on a date after the end of the period; however, the transaction would be effective for a date prior to the period end, and would be included in the reports for that period.</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an obligation  was authorized/executed on March 14, 2005 the appropriate value will be: "03142005", where 03 = Month, 14=Day, 2005 = Calendar Year</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T5</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Transaction Effective Date must specify a Day, Month, and Year.  ex. 03142005</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Data values:  There is no list of values applicable for this element.</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T5</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Transaction Effective Date must be used for general ledger posting and financial reporting.  </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T5</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Transaction Effective Date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FE6984">
        <w:tc>
          <w:tcPr>
            <w:tcW w:w="1073"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FE6984">
        <w:tc>
          <w:tcPr>
            <w:tcW w:w="1073"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General Ledger</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 Accounting- Financial Accounting- General Ledger- Posting-  Enter G/L Account Document</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FB50</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402381" w:rsidP="004F7F27">
            <w:pPr>
              <w:spacing w:after="0" w:line="240" w:lineRule="auto"/>
              <w:rPr>
                <w:rFonts w:ascii="Verdana" w:hAnsi="Verdana"/>
                <w:sz w:val="20"/>
                <w:szCs w:val="20"/>
              </w:rPr>
            </w:pPr>
            <w:r>
              <w:rPr>
                <w:rFonts w:ascii="Verdana" w:hAnsi="Verdana"/>
                <w:noProof/>
                <w:sz w:val="20"/>
                <w:szCs w:val="20"/>
              </w:rPr>
              <w:pict>
                <v:oval id="Oval 149" o:spid="_x0000_s1159" style="position:absolute;margin-left:415.3pt;margin-top:11.55pt;width:114.7pt;height:125.65pt;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">
                  <v:fill opacity="4626f"/>
                </v:oval>
              </w:pict>
            </w:r>
          </w:p>
        </w:tc>
      </w:tr>
      <w:tr w:rsidR="00A10CDF" w:rsidRPr="0049678A" w:rsidTr="003B3BD0">
        <w:trPr>
          <w:trHeight w:val="395"/>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ACGL_HEAD</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BUDAT</w:t>
            </w:r>
          </w:p>
        </w:tc>
      </w:tr>
      <w:tr w:rsidR="00A10CDF" w:rsidRPr="0049678A" w:rsidTr="00FE6984">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FB01, FB02, FB03</w:t>
            </w:r>
          </w:p>
        </w:tc>
      </w:tr>
    </w:tbl>
    <w:p w:rsidR="00A10CDF" w:rsidRPr="0049678A" w:rsidRDefault="00A10CDF" w:rsidP="00A10CDF">
      <w:pPr>
        <w:rPr>
          <w:rFonts w:ascii="Verdana" w:hAnsi="Verdana"/>
          <w:noProof/>
          <w:sz w:val="20"/>
          <w:szCs w:val="20"/>
        </w:rPr>
      </w:pPr>
    </w:p>
    <w:p w:rsidR="00A10CDF" w:rsidRPr="0049678A" w:rsidRDefault="00A10CDF" w:rsidP="00A10CDF">
      <w:pPr>
        <w:rPr>
          <w:rFonts w:ascii="Verdana" w:hAnsi="Verdana"/>
          <w:noProof/>
          <w:sz w:val="20"/>
          <w:szCs w:val="20"/>
        </w:rPr>
      </w:pPr>
    </w:p>
    <w:p w:rsidR="00A10CDF" w:rsidRPr="0049678A" w:rsidRDefault="00A10CDF" w:rsidP="00A10CDF">
      <w:pPr>
        <w:pStyle w:val="Heading2"/>
        <w:rPr>
          <w:rFonts w:ascii="Verdana" w:hAnsi="Verdana"/>
          <w:noProof/>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 xml:space="preserve">Location of “Transaction Effective Date” Field on Enter GL Account Document  </w:t>
      </w:r>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noProof/>
          <w:sz w:val="20"/>
          <w:szCs w:val="20"/>
        </w:rPr>
      </w:pPr>
      <w:r>
        <w:rPr>
          <w:rFonts w:ascii="Verdana" w:hAnsi="Verdana"/>
          <w:noProof/>
          <w:sz w:val="20"/>
          <w:szCs w:val="20"/>
        </w:rPr>
        <w:pict>
          <v:oval id="Oval 151" o:spid="_x0000_s1160" style="position:absolute;margin-left:81pt;margin-top:60.25pt;width:66.75pt;height:20.6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" strokecolor="red" strokeweight="1.5pt">
            <v:fill opacity="4626f"/>
          </v:oval>
        </w:pict>
      </w:r>
      <w:r w:rsidR="00A10CDF" w:rsidRPr="0049678A">
        <w:rPr>
          <w:rFonts w:ascii="Verdana" w:hAnsi="Verdana"/>
          <w:noProof/>
          <w:sz w:val="20"/>
          <w:szCs w:val="20"/>
        </w:rPr>
        <w:drawing>
          <wp:inline distT="0" distB="0" distL="0" distR="0">
            <wp:extent cx="5943600" cy="3019425"/>
            <wp:effectExtent l="0" t="0" r="0" b="9525"/>
            <wp:docPr id="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019425"/>
                    </a:xfrm>
                    <a:prstGeom prst="rect">
                      <a:avLst/>
                    </a:prstGeom>
                    <a:noFill/>
                    <a:ln>
                      <a:noFill/>
                    </a:ln>
                  </pic:spPr>
                </pic:pic>
              </a:graphicData>
            </a:graphic>
          </wp:inline>
        </w:drawing>
      </w:r>
    </w:p>
    <w:p w:rsidR="00A10CDF" w:rsidRPr="0049678A" w:rsidRDefault="00A10CDF" w:rsidP="00A10CDF">
      <w:pPr>
        <w:spacing w:after="0" w:line="240" w:lineRule="auto"/>
        <w:rPr>
          <w:rFonts w:ascii="Verdana" w:hAnsi="Verdana"/>
          <w:spacing w:val="5"/>
          <w:sz w:val="20"/>
          <w:szCs w:val="20"/>
        </w:rPr>
      </w:pPr>
    </w:p>
    <w:p w:rsidR="00A10CDF" w:rsidRPr="0049678A" w:rsidRDefault="00A10CDF" w:rsidP="00A10CDF">
      <w:pPr>
        <w:pStyle w:val="Heading1"/>
        <w:rPr>
          <w:rFonts w:ascii="Verdana" w:hAnsi="Verdana"/>
          <w:sz w:val="20"/>
          <w:szCs w:val="20"/>
        </w:rPr>
      </w:pPr>
      <w:bookmarkStart w:id="190" w:name="_Toc293321459"/>
      <w:r w:rsidRPr="0049678A">
        <w:rPr>
          <w:rFonts w:ascii="Verdana" w:hAnsi="Verdana"/>
          <w:sz w:val="20"/>
          <w:szCs w:val="20"/>
        </w:rPr>
        <w:t>T6 - Transaction Post Date</w:t>
      </w:r>
      <w:bookmarkEnd w:id="190"/>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T6 - Transaction Post Date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8</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The Transaction Post Date is the date that an accounting transaction is actually posted to a general ledger.  This date does not represent creation of a draft transaction that is merely saved, but not posted.  It also does not indicate the period, or date, for which the transaction applies for reporting purposes, although these dates may be the same in some cases.  As an example, an obligation that exists at the end of a reporting period is discovered just after the period ends.  The obligation would be posted in the general ledger on a date after the end of the period; however, the transaction would be effective for a date prior to the period end, and would be included in the reports for that period.</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A transaction record, such as recording a commitment, was posted in a general ledger system on May 14, 2005.  The Transaction Post Date value would be: "05142005", where 05 = Month, 14=Day, 2005 = Calendar Year.</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T6</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Transaction Post Date must specify a Day, Month, and Year.  ex. 05142005</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Data values:  There is no list of values applicable for this element...</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T6</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Transaction Post Date must be used for general ledger posting and financial reporting.  .  </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T6</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Transaction Post Date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FE6984">
        <w:tc>
          <w:tcPr>
            <w:tcW w:w="1073"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FE6984">
        <w:tc>
          <w:tcPr>
            <w:tcW w:w="1073"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General Ledger</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 Accounting- Financial Accounting- General Ledger- Posting-  Enter G/L Account Document</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FB50</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402381" w:rsidP="004F7F27">
            <w:pPr>
              <w:spacing w:after="0" w:line="240" w:lineRule="auto"/>
              <w:rPr>
                <w:rFonts w:ascii="Verdana" w:hAnsi="Verdana"/>
                <w:sz w:val="20"/>
                <w:szCs w:val="20"/>
              </w:rPr>
            </w:pPr>
            <w:r>
              <w:rPr>
                <w:rFonts w:ascii="Verdana" w:hAnsi="Verdana"/>
                <w:noProof/>
                <w:sz w:val="20"/>
                <w:szCs w:val="20"/>
              </w:rPr>
              <w:pict>
                <v:oval id="Oval 152" o:spid="_x0000_s1161" style="position:absolute;margin-left:415.3pt;margin-top:11.55pt;width:114.7pt;height:125.65pt;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">
                  <v:fill opacity="4626f"/>
                </v:oval>
              </w:pict>
            </w:r>
          </w:p>
        </w:tc>
      </w:tr>
      <w:tr w:rsidR="00A10CDF" w:rsidRPr="0049678A" w:rsidTr="003B3BD0">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ACGL_HEAD</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BUDAT</w:t>
            </w:r>
          </w:p>
        </w:tc>
      </w:tr>
      <w:tr w:rsidR="00A10CDF" w:rsidRPr="0049678A" w:rsidTr="003B3BD0">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FB01, FB02, FB03</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rPr>
          <w:rFonts w:ascii="Verdana" w:hAnsi="Verdana"/>
          <w:sz w:val="20"/>
          <w:szCs w:val="20"/>
        </w:rPr>
      </w:pPr>
      <w:r w:rsidRPr="0049678A">
        <w:rPr>
          <w:rFonts w:ascii="Verdana" w:hAnsi="Verdana"/>
          <w:noProof/>
          <w:sz w:val="20"/>
          <w:szCs w:val="20"/>
        </w:rPr>
        <w:t xml:space="preserve"> </w:t>
      </w: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lastRenderedPageBreak/>
        <w:t xml:space="preserve">Screenshot:  </w:t>
      </w:r>
      <w:r w:rsidRPr="0049678A">
        <w:rPr>
          <w:rFonts w:ascii="Verdana" w:hAnsi="Verdana"/>
          <w:color w:val="auto"/>
          <w:sz w:val="20"/>
          <w:szCs w:val="20"/>
        </w:rPr>
        <w:t xml:space="preserve">Location of “Transaction Post Date” Field on Enter GL Account Document </w:t>
      </w:r>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noProof/>
          <w:sz w:val="20"/>
          <w:szCs w:val="20"/>
        </w:rPr>
      </w:pPr>
      <w:r>
        <w:rPr>
          <w:rFonts w:ascii="Verdana" w:hAnsi="Verdana"/>
          <w:noProof/>
          <w:sz w:val="20"/>
          <w:szCs w:val="20"/>
        </w:rPr>
        <w:pict>
          <v:oval id="Oval 153" o:spid="_x0000_s1162" style="position:absolute;margin-left:81.2pt;margin-top:76.55pt;width:51.9pt;height:15.4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" strokecolor="red" strokeweight="1.5pt">
            <v:fill opacity="4626f"/>
          </v:oval>
        </w:pict>
      </w:r>
      <w:r w:rsidR="00A10CDF" w:rsidRPr="0049678A">
        <w:rPr>
          <w:rFonts w:ascii="Verdana" w:hAnsi="Verdana"/>
          <w:noProof/>
          <w:sz w:val="20"/>
          <w:szCs w:val="20"/>
        </w:rPr>
        <w:drawing>
          <wp:inline distT="0" distB="0" distL="0" distR="0">
            <wp:extent cx="5943600" cy="3019425"/>
            <wp:effectExtent l="0" t="0" r="0" b="9525"/>
            <wp:docPr id="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019425"/>
                    </a:xfrm>
                    <a:prstGeom prst="rect">
                      <a:avLst/>
                    </a:prstGeom>
                    <a:noFill/>
                    <a:ln>
                      <a:noFill/>
                    </a:ln>
                  </pic:spPr>
                </pic:pic>
              </a:graphicData>
            </a:graphic>
          </wp:inline>
        </w:drawing>
      </w:r>
    </w:p>
    <w:p w:rsidR="00A10CDF" w:rsidRPr="0049678A" w:rsidRDefault="00A10CDF" w:rsidP="00A10CDF">
      <w:pPr>
        <w:spacing w:after="0" w:line="240" w:lineRule="auto"/>
        <w:rPr>
          <w:rFonts w:ascii="Verdana" w:hAnsi="Verdana"/>
          <w:spacing w:val="5"/>
          <w:sz w:val="20"/>
          <w:szCs w:val="20"/>
        </w:rPr>
      </w:pPr>
    </w:p>
    <w:p w:rsidR="00A10CDF" w:rsidRPr="0049678A" w:rsidRDefault="00A10CDF" w:rsidP="00A10CDF">
      <w:pPr>
        <w:pStyle w:val="Heading1"/>
        <w:rPr>
          <w:rFonts w:ascii="Verdana" w:hAnsi="Verdana"/>
          <w:sz w:val="20"/>
          <w:szCs w:val="20"/>
        </w:rPr>
      </w:pPr>
      <w:bookmarkStart w:id="191" w:name="_Toc293321460"/>
      <w:r w:rsidRPr="0049678A">
        <w:rPr>
          <w:rFonts w:ascii="Verdana" w:hAnsi="Verdana"/>
          <w:sz w:val="20"/>
          <w:szCs w:val="20"/>
        </w:rPr>
        <w:t>T7 - Transaction Amount</w:t>
      </w:r>
      <w:bookmarkEnd w:id="191"/>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T7 - Transaction Amount</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17</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The Transaction Amount is the signed value of an accounting general ledger transaction, expressed in U.S. dollars.</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a Transaction Amount is $53,000,000.00 then the value will be:</w:t>
            </w:r>
          </w:p>
          <w:p w:rsidR="00A10CDF" w:rsidRPr="0049678A" w:rsidRDefault="00A10CDF" w:rsidP="004F7F27">
            <w:pPr>
              <w:pStyle w:val="NoSpacing"/>
              <w:rPr>
                <w:rFonts w:ascii="Verdana" w:hAnsi="Verdana"/>
                <w:sz w:val="20"/>
                <w:szCs w:val="20"/>
              </w:rPr>
            </w:pPr>
            <w:r w:rsidRPr="0049678A">
              <w:rPr>
                <w:rFonts w:ascii="Verdana" w:hAnsi="Verdana"/>
                <w:sz w:val="20"/>
                <w:szCs w:val="20"/>
              </w:rPr>
              <w:t>53,000,000.00</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pStyle w:val="NormalWeb"/>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T7</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Transaction Amount may be up to 17 numeric characters in dollars and cents format separated by a decimal, for example “53000000.00”.</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Data values:  There is no list of values applicable for this element.</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T7</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Transaction Amount must be used for general ledger posting, financial reporting, budgetary control, and funds control.    </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T7</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Transaction Amount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FE6984">
        <w:tc>
          <w:tcPr>
            <w:tcW w:w="1073"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FE6984">
        <w:tc>
          <w:tcPr>
            <w:tcW w:w="1073"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lastRenderedPageBreak/>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General Ledger</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 Financial Accounting- General Ledger- Posting-  Enter G/L Account Document</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FB50</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402381" w:rsidP="004F7F27">
            <w:pPr>
              <w:spacing w:after="0" w:line="240" w:lineRule="auto"/>
              <w:rPr>
                <w:rFonts w:ascii="Verdana" w:hAnsi="Verdana"/>
                <w:sz w:val="20"/>
                <w:szCs w:val="20"/>
              </w:rPr>
            </w:pPr>
            <w:r>
              <w:rPr>
                <w:rFonts w:ascii="Verdana" w:hAnsi="Verdana"/>
                <w:noProof/>
                <w:sz w:val="20"/>
                <w:szCs w:val="20"/>
              </w:rPr>
              <w:pict>
                <v:oval id="Oval 154" o:spid="_x0000_s1163" style="position:absolute;margin-left:415.3pt;margin-top:11.55pt;width:114.7pt;height:125.65pt;z-index:251717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">
                  <v:fill opacity="4626f"/>
                </v:oval>
              </w:pict>
            </w:r>
          </w:p>
        </w:tc>
      </w:tr>
      <w:tr w:rsidR="00A10CDF" w:rsidRPr="0049678A" w:rsidTr="003B3BD0">
        <w:trPr>
          <w:trHeight w:val="395"/>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ACGL_ITEM</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WRBTR</w:t>
            </w:r>
          </w:p>
        </w:tc>
      </w:tr>
      <w:tr w:rsidR="00A10CDF" w:rsidRPr="0049678A" w:rsidTr="00FE6984">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sz w:val="20"/>
                <w:szCs w:val="20"/>
              </w:rPr>
              <w:t>FB01, FB02, FB03</w:t>
            </w:r>
          </w:p>
        </w:tc>
      </w:tr>
    </w:tbl>
    <w:p w:rsidR="00A10CDF" w:rsidRPr="0049678A" w:rsidRDefault="00A10CDF" w:rsidP="00DD2837">
      <w:pPr>
        <w:spacing w:after="0"/>
        <w:rPr>
          <w:rFonts w:ascii="Verdana" w:hAnsi="Verdana"/>
          <w:sz w:val="20"/>
          <w:szCs w:val="20"/>
        </w:rPr>
      </w:pPr>
      <w:r w:rsidRPr="0049678A">
        <w:rPr>
          <w:rFonts w:ascii="Verdana" w:hAnsi="Verdana"/>
          <w:noProof/>
          <w:sz w:val="20"/>
          <w:szCs w:val="20"/>
        </w:rPr>
        <w:t xml:space="preserve"> </w:t>
      </w:r>
    </w:p>
    <w:p w:rsidR="00A10CDF" w:rsidRPr="00DD2837" w:rsidRDefault="00A10CDF" w:rsidP="00DD2837">
      <w:pPr>
        <w:pStyle w:val="Heading2"/>
        <w:rPr>
          <w:rFonts w:ascii="Verdana" w:hAnsi="Verdana"/>
          <w:noProof/>
          <w:sz w:val="20"/>
          <w:szCs w:val="20"/>
        </w:rPr>
      </w:pPr>
      <w:r w:rsidRPr="0049678A">
        <w:rPr>
          <w:rFonts w:ascii="Verdana" w:hAnsi="Verdana"/>
          <w:sz w:val="20"/>
          <w:szCs w:val="20"/>
        </w:rPr>
        <w:t xml:space="preserve">Screenshot:  </w:t>
      </w:r>
      <w:r w:rsidRPr="0049678A">
        <w:rPr>
          <w:rFonts w:ascii="Verdana" w:hAnsi="Verdana"/>
          <w:color w:val="auto"/>
          <w:sz w:val="20"/>
          <w:szCs w:val="20"/>
        </w:rPr>
        <w:t xml:space="preserve">Location of “Transaction Amount” Field on Enter GL Account Document </w:t>
      </w:r>
      <w:r w:rsidRPr="0049678A">
        <w:rPr>
          <w:rFonts w:ascii="Verdana" w:hAnsi="Verdana"/>
          <w:noProof/>
          <w:color w:val="auto"/>
          <w:sz w:val="20"/>
          <w:szCs w:val="20"/>
        </w:rPr>
        <w:t xml:space="preserve"> </w:t>
      </w:r>
      <w:r w:rsidR="00402381" w:rsidRPr="00402381">
        <w:rPr>
          <w:rFonts w:ascii="Verdana" w:hAnsi="Verdana"/>
          <w:noProof/>
          <w:color w:val="auto"/>
          <w:sz w:val="20"/>
          <w:szCs w:val="20"/>
        </w:rPr>
        <w:pict>
          <v:oval id="Oval 156" o:spid="_x0000_s1164" style="position:absolute;margin-left:91.65pt;margin-top:183.2pt;width:213pt;height:46.5pt;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" strokecolor="red" strokeweight="1.5pt">
            <v:fill opacity="4626f"/>
          </v:oval>
        </w:pict>
      </w:r>
      <w:r w:rsidRPr="0049678A">
        <w:rPr>
          <w:rFonts w:ascii="Verdana" w:hAnsi="Verdana"/>
          <w:noProof/>
          <w:sz w:val="20"/>
          <w:szCs w:val="20"/>
        </w:rPr>
        <w:drawing>
          <wp:inline distT="0" distB="0" distL="0" distR="0">
            <wp:extent cx="5943600" cy="2773680"/>
            <wp:effectExtent l="0" t="0" r="0" b="7620"/>
            <wp:docPr id="39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5943600" cy="2773680"/>
                    </a:xfrm>
                    <a:prstGeom prst="rect">
                      <a:avLst/>
                    </a:prstGeom>
                  </pic:spPr>
                </pic:pic>
              </a:graphicData>
            </a:graphic>
          </wp:inline>
        </w:drawing>
      </w:r>
    </w:p>
    <w:p w:rsidR="00A10CDF" w:rsidRPr="0049678A" w:rsidRDefault="00A10CDF" w:rsidP="00A10CDF">
      <w:pPr>
        <w:pStyle w:val="Heading1"/>
        <w:rPr>
          <w:rFonts w:ascii="Verdana" w:hAnsi="Verdana"/>
          <w:sz w:val="20"/>
          <w:szCs w:val="20"/>
        </w:rPr>
      </w:pPr>
      <w:bookmarkStart w:id="192" w:name="_Toc293321461"/>
      <w:r w:rsidRPr="0049678A">
        <w:rPr>
          <w:rFonts w:ascii="Verdana" w:hAnsi="Verdana"/>
          <w:sz w:val="20"/>
          <w:szCs w:val="20"/>
        </w:rPr>
        <w:t>T9 - Exchange/Non-Exchange Indicator</w:t>
      </w:r>
      <w:bookmarkEnd w:id="192"/>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T9 - Exchange/Non-Exchange Indicator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The Exchange/ Non-Exchange Indicator </w:t>
            </w:r>
            <w:proofErr w:type="gramStart"/>
            <w:r w:rsidRPr="0049678A">
              <w:rPr>
                <w:rFonts w:ascii="Verdana" w:hAnsi="Verdana"/>
                <w:sz w:val="20"/>
                <w:szCs w:val="20"/>
              </w:rPr>
              <w:t>identifies</w:t>
            </w:r>
            <w:proofErr w:type="gramEnd"/>
            <w:r w:rsidRPr="0049678A">
              <w:rPr>
                <w:rFonts w:ascii="Verdana" w:hAnsi="Verdana"/>
                <w:sz w:val="20"/>
                <w:szCs w:val="20"/>
              </w:rPr>
              <w:t xml:space="preserve"> those revenues that are, or are not, the result of the provision of a good or service.   An example of exchange revenue is revenue that is received by a working capital fund for provision of depot services.  An example of non-exchange revenue would be a grant.</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revenue is received by a working capital fund for provision of depot services then the Exchange/Non-Exchange Indicator value will be "X".</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pStyle w:val="NormalWeb"/>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T9</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The Exchange/Non-Exchange Indicator must only be used, if recording revenue general ledger transactions.</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T9</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Exchange/Non-Exchange Indicator must be 1 alpha character.  ex. X</w:t>
            </w:r>
          </w:p>
          <w:p w:rsidR="00A10CDF" w:rsidRPr="0049678A" w:rsidRDefault="00A10CDF" w:rsidP="004F7F27">
            <w:pPr>
              <w:pStyle w:val="NoSpacing"/>
              <w:rPr>
                <w:rFonts w:ascii="Verdana" w:hAnsi="Verdana"/>
                <w:sz w:val="20"/>
                <w:szCs w:val="20"/>
              </w:rPr>
            </w:pPr>
            <w:r w:rsidRPr="0049678A">
              <w:rPr>
                <w:rFonts w:ascii="Verdana" w:hAnsi="Verdana"/>
                <w:sz w:val="20"/>
                <w:szCs w:val="20"/>
              </w:rPr>
              <w:lastRenderedPageBreak/>
              <w:t>Data values:  X - Exchange</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T - Non-exchange</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T9</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Exchange/Non-Exchange must be used for general ledger posting and financial reporting.   </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T9</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Exchange/Non-Exchange Indicator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FE6984">
        <w:tc>
          <w:tcPr>
            <w:tcW w:w="1073"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FE6984">
        <w:tc>
          <w:tcPr>
            <w:tcW w:w="1073"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 </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402381" w:rsidP="004F7F27">
            <w:pPr>
              <w:spacing w:after="0" w:line="240" w:lineRule="auto"/>
              <w:rPr>
                <w:rFonts w:ascii="Verdana" w:hAnsi="Verdana"/>
                <w:sz w:val="20"/>
                <w:szCs w:val="20"/>
              </w:rPr>
            </w:pPr>
            <w:r>
              <w:rPr>
                <w:rFonts w:ascii="Verdana" w:hAnsi="Verdana"/>
                <w:noProof/>
                <w:sz w:val="20"/>
                <w:szCs w:val="20"/>
              </w:rPr>
              <w:pict>
                <v:oval id="Oval 157" o:spid="_x0000_s1165" style="position:absolute;margin-left:415.3pt;margin-top:11.55pt;width:114.7pt;height:125.65pt;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">
                  <v:fill opacity="4626f"/>
                </v:oval>
              </w:pict>
            </w:r>
          </w:p>
        </w:tc>
      </w:tr>
      <w:tr w:rsidR="00A10CDF" w:rsidRPr="0049678A" w:rsidTr="00DF577C">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TABADRSF</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TARGET_FLD</w:t>
            </w:r>
          </w:p>
        </w:tc>
      </w:tr>
      <w:tr w:rsidR="00A10CDF" w:rsidRPr="0049678A" w:rsidTr="00DF577C">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c>
          <w:tcPr>
            <w:tcW w:w="1950" w:type="dxa"/>
            <w:tcBorders>
              <w:bottom w:val="single" w:sz="4" w:space="0" w:color="auto"/>
            </w:tcBorders>
            <w:shd w:val="clear" w:color="auto" w:fill="EEECE1"/>
          </w:tcPr>
          <w:p w:rsidR="00A10CDF" w:rsidRPr="0049678A" w:rsidRDefault="00A10CDF" w:rsidP="004F7F27">
            <w:pPr>
              <w:spacing w:after="0" w:line="240" w:lineRule="auto"/>
              <w:jc w:val="right"/>
              <w:rPr>
                <w:rFonts w:ascii="Verdana" w:hAnsi="Verdana"/>
                <w:sz w:val="20"/>
                <w:szCs w:val="20"/>
              </w:rPr>
            </w:pP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rPr>
          <w:rFonts w:ascii="Verdana" w:hAnsi="Verdana"/>
          <w:noProof/>
          <w:sz w:val="20"/>
          <w:szCs w:val="20"/>
        </w:rPr>
      </w:pPr>
      <w:r w:rsidRPr="0049678A">
        <w:rPr>
          <w:rFonts w:ascii="Verdana" w:hAnsi="Verdana"/>
          <w:noProof/>
          <w:sz w:val="20"/>
          <w:szCs w:val="20"/>
        </w:rPr>
        <w:t xml:space="preserve"> </w:t>
      </w: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 xml:space="preserve">Location of “Exchange/Non-Exchange Indicator” Display Field on FACTS I and FACTS II Derivation of Attributes </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rPr>
          <w:rFonts w:ascii="Verdana" w:hAnsi="Verdana"/>
          <w:noProof/>
          <w:sz w:val="20"/>
          <w:szCs w:val="20"/>
        </w:rPr>
      </w:pPr>
      <w:r w:rsidRPr="0049678A">
        <w:rPr>
          <w:rFonts w:ascii="Verdana" w:hAnsi="Verdana"/>
          <w:noProof/>
          <w:sz w:val="20"/>
          <w:szCs w:val="20"/>
        </w:rPr>
        <w:drawing>
          <wp:inline distT="0" distB="0" distL="0" distR="0">
            <wp:extent cx="5943600" cy="2809875"/>
            <wp:effectExtent l="0" t="0" r="0" b="9525"/>
            <wp:docPr id="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809875"/>
                    </a:xfrm>
                    <a:prstGeom prst="rect">
                      <a:avLst/>
                    </a:prstGeom>
                    <a:noFill/>
                    <a:ln>
                      <a:noFill/>
                    </a:ln>
                  </pic:spPr>
                </pic:pic>
              </a:graphicData>
            </a:graphic>
          </wp:inline>
        </w:drawing>
      </w:r>
    </w:p>
    <w:p w:rsidR="00A10CDF" w:rsidRPr="0049678A" w:rsidRDefault="00402381" w:rsidP="00A10CDF">
      <w:pPr>
        <w:rPr>
          <w:rFonts w:ascii="Verdana" w:hAnsi="Verdana"/>
          <w:noProof/>
          <w:sz w:val="20"/>
          <w:szCs w:val="20"/>
        </w:rPr>
      </w:pPr>
      <w:r>
        <w:rPr>
          <w:rFonts w:ascii="Verdana" w:hAnsi="Verdana"/>
          <w:noProof/>
          <w:sz w:val="20"/>
          <w:szCs w:val="20"/>
        </w:rPr>
        <w:lastRenderedPageBreak/>
        <w:pict>
          <v:oval id="Oval 159" o:spid="_x0000_s1166" style="position:absolute;margin-left:-10.5pt;margin-top:103.75pt;width:218.55pt;height:39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" strokecolor="red" strokeweight="1.5pt">
            <v:fill opacity="4626f"/>
          </v:oval>
        </w:pict>
      </w:r>
      <w:r w:rsidR="00A10CDF" w:rsidRPr="0049678A">
        <w:rPr>
          <w:rFonts w:ascii="Verdana" w:hAnsi="Verdana"/>
          <w:noProof/>
          <w:sz w:val="20"/>
          <w:szCs w:val="20"/>
        </w:rPr>
        <w:t xml:space="preserve"> </w:t>
      </w:r>
      <w:r w:rsidR="00A10CDF" w:rsidRPr="0049678A">
        <w:rPr>
          <w:rFonts w:ascii="Verdana" w:hAnsi="Verdana"/>
          <w:noProof/>
          <w:sz w:val="20"/>
          <w:szCs w:val="20"/>
        </w:rPr>
        <w:drawing>
          <wp:inline distT="0" distB="0" distL="0" distR="0">
            <wp:extent cx="5190477" cy="1704762"/>
            <wp:effectExtent l="0" t="0" r="0" b="0"/>
            <wp:docPr id="39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5190477" cy="1704762"/>
                    </a:xfrm>
                    <a:prstGeom prst="rect">
                      <a:avLst/>
                    </a:prstGeom>
                  </pic:spPr>
                </pic:pic>
              </a:graphicData>
            </a:graphic>
          </wp:inline>
        </w:drawing>
      </w:r>
    </w:p>
    <w:p w:rsidR="00A10CDF" w:rsidRPr="0049678A" w:rsidRDefault="00A10CDF" w:rsidP="00A10CDF">
      <w:pPr>
        <w:rPr>
          <w:rFonts w:ascii="Verdana" w:hAnsi="Verdana"/>
          <w:noProof/>
          <w:sz w:val="20"/>
          <w:szCs w:val="20"/>
          <w:u w:val="single"/>
        </w:rPr>
      </w:pPr>
    </w:p>
    <w:p w:rsidR="00A10CDF" w:rsidRPr="0049678A" w:rsidRDefault="00A10CDF" w:rsidP="00A10CDF">
      <w:pPr>
        <w:rPr>
          <w:rFonts w:ascii="Verdana" w:hAnsi="Verdana"/>
          <w:noProof/>
          <w:sz w:val="20"/>
          <w:szCs w:val="20"/>
        </w:rPr>
      </w:pPr>
      <w:r w:rsidRPr="0049678A">
        <w:rPr>
          <w:rFonts w:ascii="Verdana" w:hAnsi="Verdana"/>
          <w:noProof/>
          <w:sz w:val="20"/>
          <w:szCs w:val="20"/>
        </w:rPr>
        <w:t xml:space="preserve">  </w:t>
      </w:r>
    </w:p>
    <w:p w:rsidR="00A10CDF" w:rsidRPr="0049678A" w:rsidRDefault="00A10CDF" w:rsidP="00A10CDF">
      <w:pPr>
        <w:rPr>
          <w:rFonts w:ascii="Verdana" w:hAnsi="Verdana"/>
          <w:noProof/>
          <w:sz w:val="20"/>
          <w:szCs w:val="20"/>
        </w:rPr>
      </w:pPr>
    </w:p>
    <w:p w:rsidR="00A10CDF" w:rsidRPr="0049678A" w:rsidRDefault="00A10CDF" w:rsidP="00A10CDF">
      <w:pPr>
        <w:rPr>
          <w:rFonts w:ascii="Verdana" w:hAnsi="Verdana"/>
          <w:noProof/>
          <w:sz w:val="20"/>
          <w:szCs w:val="20"/>
        </w:rPr>
      </w:pPr>
    </w:p>
    <w:p w:rsidR="00A10CDF" w:rsidRPr="0049678A" w:rsidRDefault="00A10CDF" w:rsidP="00A10CDF">
      <w:pPr>
        <w:rPr>
          <w:rFonts w:ascii="Verdana" w:hAnsi="Verdana"/>
          <w:noProof/>
          <w:sz w:val="20"/>
          <w:szCs w:val="20"/>
        </w:rPr>
      </w:pPr>
    </w:p>
    <w:p w:rsidR="00A10CDF" w:rsidRPr="0049678A" w:rsidRDefault="00A10CDF" w:rsidP="00DD2837">
      <w:pPr>
        <w:spacing w:after="0" w:line="240" w:lineRule="auto"/>
        <w:rPr>
          <w:rFonts w:ascii="Verdana" w:hAnsi="Verdana"/>
          <w:sz w:val="20"/>
          <w:szCs w:val="20"/>
        </w:rPr>
      </w:pPr>
      <w:bookmarkStart w:id="193" w:name="_Toc293321462"/>
      <w:r w:rsidRPr="0049678A">
        <w:rPr>
          <w:rStyle w:val="Heading1Char"/>
          <w:rFonts w:ascii="Verdana" w:hAnsi="Verdana"/>
          <w:sz w:val="20"/>
          <w:szCs w:val="20"/>
        </w:rPr>
        <w:t xml:space="preserve">10 </w:t>
      </w:r>
      <w:r w:rsidRPr="0049678A">
        <w:rPr>
          <w:rFonts w:ascii="Verdana" w:hAnsi="Verdana"/>
          <w:sz w:val="20"/>
          <w:szCs w:val="20"/>
        </w:rPr>
        <w:t xml:space="preserve">- </w:t>
      </w:r>
      <w:r w:rsidRPr="0049678A">
        <w:rPr>
          <w:rStyle w:val="Heading1Char"/>
          <w:rFonts w:ascii="Verdana" w:hAnsi="Verdana"/>
          <w:sz w:val="20"/>
          <w:szCs w:val="20"/>
        </w:rPr>
        <w:t>Custodial/Non-Custodial Indicato</w:t>
      </w:r>
      <w:r w:rsidRPr="0049678A">
        <w:rPr>
          <w:rFonts w:ascii="Verdana" w:hAnsi="Verdana"/>
          <w:sz w:val="20"/>
          <w:szCs w:val="20"/>
        </w:rPr>
        <w:t>r</w:t>
      </w:r>
      <w:bookmarkEnd w:id="193"/>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T10 - Custodial/Non-Custodial Indicator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Indicates whether the balance reported is custodial in nature (S) or noncustodial in nature (A), and is reported in a separate footnote of custodial activity.  For example, revenue/receipts collected on behalf of another Agency represent custodial activity (S).</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the balance in a general ledger revenue account represents an amount that is custodial in nature and is reported in a separate footnote in the financial statements then the value for that account will be "S".</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T10</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The Custodial/Non-Custodial Indicator must only be used when recording receivable, payable, revenue, and expense general ledger transactions.</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T10</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Custodial/Non-Custodial Indicator must be 1 alpha character.  ex. S</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Data values:  S - Custodial</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                    A - Non-custodial</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T10</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Custodial/Non-Custodial Indicator must be used for general ledger posting, and financial reporting.</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T10</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Custodial/Non-Custodial Indicator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FE6984">
        <w:tc>
          <w:tcPr>
            <w:tcW w:w="1073"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w:t>
            </w:r>
            <w:r w:rsidRPr="0049678A">
              <w:rPr>
                <w:rFonts w:ascii="Verdana" w:hAnsi="Verdana"/>
                <w:sz w:val="20"/>
                <w:szCs w:val="20"/>
              </w:rPr>
              <w:lastRenderedPageBreak/>
              <w: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Fun</w:t>
            </w:r>
            <w:r w:rsidRPr="0049678A">
              <w:rPr>
                <w:rFonts w:ascii="Verdana" w:hAnsi="Verdana"/>
                <w:sz w:val="20"/>
                <w:szCs w:val="20"/>
              </w:rPr>
              <w:lastRenderedPageBreak/>
              <w:t>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 xml:space="preserve">Fund </w:t>
            </w:r>
            <w:r w:rsidRPr="0049678A">
              <w:rPr>
                <w:rFonts w:ascii="Verdana" w:hAnsi="Verdana"/>
                <w:sz w:val="20"/>
                <w:szCs w:val="20"/>
              </w:rPr>
              <w:lastRenderedPageBreak/>
              <w:t>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Commitme</w:t>
            </w:r>
            <w:r w:rsidRPr="0049678A">
              <w:rPr>
                <w:rFonts w:ascii="Verdana" w:hAnsi="Verdana"/>
                <w:sz w:val="20"/>
                <w:szCs w:val="20"/>
              </w:rPr>
              <w:lastRenderedPageBreak/>
              <w:t>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Function</w:t>
            </w:r>
            <w:r w:rsidRPr="0049678A">
              <w:rPr>
                <w:rFonts w:ascii="Verdana" w:hAnsi="Verdana"/>
                <w:sz w:val="20"/>
                <w:szCs w:val="20"/>
              </w:rPr>
              <w:lastRenderedPageBreak/>
              <w:t>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 xml:space="preserve">Funded </w:t>
            </w:r>
            <w:r w:rsidRPr="0049678A">
              <w:rPr>
                <w:rFonts w:ascii="Verdana" w:hAnsi="Verdana"/>
                <w:sz w:val="20"/>
                <w:szCs w:val="20"/>
              </w:rPr>
              <w:lastRenderedPageBreak/>
              <w:t>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Applicatio</w:t>
            </w:r>
            <w:r w:rsidRPr="0049678A">
              <w:rPr>
                <w:rFonts w:ascii="Verdana" w:hAnsi="Verdana"/>
                <w:sz w:val="20"/>
                <w:szCs w:val="20"/>
              </w:rPr>
              <w:lastRenderedPageBreak/>
              <w:t>n of Funds</w:t>
            </w:r>
          </w:p>
        </w:tc>
      </w:tr>
      <w:tr w:rsidR="00A10CDF" w:rsidRPr="0049678A" w:rsidTr="00FE6984">
        <w:tc>
          <w:tcPr>
            <w:tcW w:w="107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ABADRHELP</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TARGET_FLD</w:t>
            </w:r>
          </w:p>
        </w:tc>
      </w:tr>
      <w:tr w:rsidR="00A10CDF" w:rsidRPr="0049678A" w:rsidTr="003B3BD0">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rPr>
          <w:rFonts w:ascii="Verdana" w:hAnsi="Verdana"/>
          <w:sz w:val="20"/>
          <w:szCs w:val="20"/>
        </w:rPr>
      </w:pPr>
      <w:r w:rsidRPr="0049678A">
        <w:rPr>
          <w:rFonts w:ascii="Verdana" w:hAnsi="Verdana"/>
          <w:noProof/>
          <w:sz w:val="20"/>
          <w:szCs w:val="20"/>
        </w:rPr>
        <w:t xml:space="preserve"> </w:t>
      </w:r>
    </w:p>
    <w:p w:rsidR="00A10CDF" w:rsidRPr="0049678A" w:rsidRDefault="00A10CDF" w:rsidP="00A10CDF">
      <w:pPr>
        <w:pStyle w:val="Heading2"/>
        <w:rPr>
          <w:rFonts w:ascii="Verdana" w:hAnsi="Verdana"/>
          <w:noProof/>
          <w:sz w:val="20"/>
          <w:szCs w:val="20"/>
        </w:rPr>
      </w:pPr>
      <w:r w:rsidRPr="0049678A">
        <w:rPr>
          <w:rFonts w:ascii="Verdana" w:hAnsi="Verdana"/>
          <w:noProof/>
          <w:sz w:val="20"/>
          <w:szCs w:val="20"/>
        </w:rPr>
        <w:t xml:space="preserve"> </w:t>
      </w:r>
      <w:bookmarkStart w:id="194" w:name="_Toc290534908"/>
    </w:p>
    <w:p w:rsidR="00A10CDF" w:rsidRPr="0049678A" w:rsidRDefault="00A10CDF" w:rsidP="00A10CDF">
      <w:pPr>
        <w:pStyle w:val="Heading2"/>
        <w:rPr>
          <w:rFonts w:ascii="Verdana" w:hAnsi="Verdana"/>
          <w:noProof/>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“Custodial/Non-Custodial Indicator” Display Field on Entry Document</w:t>
      </w:r>
      <w:bookmarkEnd w:id="194"/>
    </w:p>
    <w:p w:rsidR="00A10CDF" w:rsidRPr="0049678A" w:rsidRDefault="00A10CDF" w:rsidP="00A10CDF">
      <w:pPr>
        <w:spacing w:after="0" w:line="240" w:lineRule="auto"/>
        <w:rPr>
          <w:rFonts w:ascii="Verdana" w:hAnsi="Verdana"/>
          <w:sz w:val="20"/>
          <w:szCs w:val="20"/>
        </w:rPr>
      </w:pPr>
    </w:p>
    <w:p w:rsidR="00A10CDF" w:rsidRPr="0049678A" w:rsidRDefault="00A10CDF" w:rsidP="00A10CDF">
      <w:pPr>
        <w:rPr>
          <w:rFonts w:ascii="Verdana" w:hAnsi="Verdana"/>
          <w:noProof/>
          <w:sz w:val="20"/>
          <w:szCs w:val="20"/>
        </w:rPr>
      </w:pPr>
      <w:r w:rsidRPr="0049678A">
        <w:rPr>
          <w:rFonts w:ascii="Verdana" w:hAnsi="Verdana"/>
          <w:noProof/>
          <w:sz w:val="20"/>
          <w:szCs w:val="20"/>
        </w:rPr>
        <w:drawing>
          <wp:inline distT="0" distB="0" distL="0" distR="0">
            <wp:extent cx="5943600" cy="3067050"/>
            <wp:effectExtent l="0" t="0" r="0" b="0"/>
            <wp:docPr id="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067050"/>
                    </a:xfrm>
                    <a:prstGeom prst="rect">
                      <a:avLst/>
                    </a:prstGeom>
                    <a:noFill/>
                    <a:ln>
                      <a:noFill/>
                    </a:ln>
                  </pic:spPr>
                </pic:pic>
              </a:graphicData>
            </a:graphic>
          </wp:inline>
        </w:drawing>
      </w:r>
    </w:p>
    <w:p w:rsidR="00A10CDF" w:rsidRPr="00DD2837" w:rsidRDefault="00402381" w:rsidP="00DD2837">
      <w:pPr>
        <w:rPr>
          <w:rFonts w:ascii="Verdana" w:hAnsi="Verdana"/>
          <w:noProof/>
          <w:sz w:val="20"/>
          <w:szCs w:val="20"/>
        </w:rPr>
      </w:pPr>
      <w:r>
        <w:rPr>
          <w:rFonts w:ascii="Verdana" w:hAnsi="Verdana"/>
          <w:noProof/>
          <w:sz w:val="20"/>
          <w:szCs w:val="20"/>
        </w:rPr>
        <w:lastRenderedPageBreak/>
        <w:pict>
          <v:oval id="Oval 130" o:spid="_x0000_s1149" style="position:absolute;margin-left:-12pt;margin-top:110pt;width:347.65pt;height:55.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" strokecolor="red" strokeweight="1.5pt">
            <v:fill opacity="3855f"/>
          </v:oval>
        </w:pict>
      </w:r>
      <w:r w:rsidR="00A10CDF" w:rsidRPr="0049678A">
        <w:rPr>
          <w:rFonts w:ascii="Verdana" w:hAnsi="Verdana"/>
          <w:noProof/>
          <w:sz w:val="20"/>
          <w:szCs w:val="20"/>
        </w:rPr>
        <w:drawing>
          <wp:inline distT="0" distB="0" distL="0" distR="0">
            <wp:extent cx="5561905" cy="2161905"/>
            <wp:effectExtent l="0" t="0" r="1270" b="0"/>
            <wp:docPr id="39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stretch>
                      <a:fillRect/>
                    </a:stretch>
                  </pic:blipFill>
                  <pic:spPr>
                    <a:xfrm>
                      <a:off x="0" y="0"/>
                      <a:ext cx="5561905" cy="2161905"/>
                    </a:xfrm>
                    <a:prstGeom prst="rect">
                      <a:avLst/>
                    </a:prstGeom>
                  </pic:spPr>
                </pic:pic>
              </a:graphicData>
            </a:graphic>
          </wp:inline>
        </w:drawing>
      </w:r>
    </w:p>
    <w:p w:rsidR="00A10CDF" w:rsidRPr="0049678A" w:rsidRDefault="00A10CDF" w:rsidP="00A10CDF">
      <w:pPr>
        <w:pStyle w:val="Heading1"/>
        <w:rPr>
          <w:rFonts w:ascii="Verdana" w:hAnsi="Verdana"/>
          <w:sz w:val="20"/>
          <w:szCs w:val="20"/>
        </w:rPr>
      </w:pPr>
      <w:bookmarkStart w:id="195" w:name="_Toc293321463"/>
      <w:r w:rsidRPr="0049678A">
        <w:rPr>
          <w:rFonts w:ascii="Verdana" w:hAnsi="Verdana"/>
          <w:sz w:val="20"/>
          <w:szCs w:val="20"/>
        </w:rPr>
        <w:t>T11 - Foreign Currency Code</w:t>
      </w:r>
      <w:bookmarkEnd w:id="195"/>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T11: Foreign Currency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3AN</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The Foreign Currency Code is the primary code used to separately identify the foreign currency in which accounts payable will be disbursed when that disbursement will not be paid in U. S. dollars.</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Sample Foreign Currency Codes (Per ISO Standard):</w:t>
            </w:r>
          </w:p>
          <w:p w:rsidR="00A10CDF" w:rsidRPr="0049678A" w:rsidRDefault="00A10CDF" w:rsidP="004F7F27">
            <w:pPr>
              <w:pStyle w:val="NoSpacing"/>
              <w:rPr>
                <w:rFonts w:ascii="Verdana" w:hAnsi="Verdana"/>
                <w:sz w:val="20"/>
                <w:szCs w:val="20"/>
              </w:rPr>
            </w:pPr>
            <w:r w:rsidRPr="0049678A">
              <w:rPr>
                <w:rFonts w:ascii="Verdana" w:hAnsi="Verdana"/>
                <w:sz w:val="20"/>
                <w:szCs w:val="20"/>
              </w:rPr>
              <w:t>Code:       Country-Currency  (Alpha Designator)</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971           Afghanistan (AFN)</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036           Australian Dollar (AUD)</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156           China  (CNY)</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978           France (EUR)</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566           Nigeria (NGN)</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Foreign Currency Code must be used when processing a disbursement or collection in other than US Dollars.  ISO standard 4217 will be used to represent foreign currency code.</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Foreign Currency Code must be 3 alpha-numeric characters.  ex. 250</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Authoritative source: http://www.currency-iso.org/iso_index/iso_tables/iso_tables_a1.htm</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Foreign Currency Code must be used for financial reporting and budgetary control.  </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Foreign Currency Code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FE6984">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FE6984">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General Ledger</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Accounting-Financial Accounting-General Ledger- Posting- Enter G/L Account Document</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FB50</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rPr>
          <w:trHeight w:val="395"/>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BKPF</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WAERS</w:t>
            </w:r>
          </w:p>
        </w:tc>
      </w:tr>
      <w:tr w:rsidR="00A10CDF" w:rsidRPr="0049678A" w:rsidTr="00FE6984">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FB01, FB02, FB03</w:t>
            </w:r>
          </w:p>
        </w:tc>
      </w:tr>
    </w:tbl>
    <w:p w:rsidR="00A10CDF" w:rsidRPr="0049678A" w:rsidRDefault="00A10CDF" w:rsidP="00A10CDF">
      <w:pPr>
        <w:pStyle w:val="Heading2"/>
        <w:rPr>
          <w:rFonts w:ascii="Verdana" w:hAnsi="Verdana"/>
          <w:noProof/>
          <w:sz w:val="20"/>
          <w:szCs w:val="20"/>
        </w:rPr>
      </w:pPr>
      <w:bookmarkStart w:id="196" w:name="_Toc290534909"/>
      <w:r w:rsidRPr="0049678A">
        <w:rPr>
          <w:rFonts w:ascii="Verdana" w:hAnsi="Verdana"/>
          <w:noProof/>
          <w:sz w:val="20"/>
          <w:szCs w:val="20"/>
        </w:rPr>
        <w:t xml:space="preserve"> </w:t>
      </w: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“Foreign Currency Code” Field on Enter GL Document</w:t>
      </w:r>
      <w:bookmarkEnd w:id="196"/>
      <w:r w:rsidRPr="0049678A">
        <w:rPr>
          <w:rFonts w:ascii="Verdana" w:hAnsi="Verdana"/>
          <w:color w:val="auto"/>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402381" w:rsidP="00A10CDF">
      <w:pPr>
        <w:spacing w:after="0" w:line="240" w:lineRule="auto"/>
        <w:rPr>
          <w:rFonts w:ascii="Verdana" w:hAnsi="Verdana"/>
          <w:noProof/>
          <w:sz w:val="20"/>
          <w:szCs w:val="20"/>
        </w:rPr>
      </w:pPr>
      <w:r>
        <w:rPr>
          <w:rFonts w:ascii="Verdana" w:hAnsi="Verdana"/>
          <w:noProof/>
          <w:sz w:val="20"/>
          <w:szCs w:val="20"/>
        </w:rPr>
        <w:pict>
          <v:oval id="Oval 131" o:spid="_x0000_s1150" style="position:absolute;margin-left:183pt;margin-top:157.7pt;width:99.75pt;height:140.2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" strokecolor="red" strokeweight="1.5pt">
            <v:fill opacity="3855f"/>
          </v:oval>
        </w:pict>
      </w:r>
      <w:r>
        <w:rPr>
          <w:rFonts w:ascii="Verdana" w:hAnsi="Verdana"/>
          <w:noProof/>
          <w:sz w:val="20"/>
          <w:szCs w:val="20"/>
        </w:rPr>
        <w:pict>
          <v:shape id="AutoShape 132" o:spid="_x0000_s1151" type="#_x0000_t32" style="position:absolute;margin-left:197.25pt;margin-top:107.45pt;width:30.75pt;height:50.2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" strokecolor="red" strokeweight="1.5pt">
            <v:stroke endarrow="block"/>
          </v:shape>
        </w:pict>
      </w:r>
      <w:r w:rsidR="00A10CDF" w:rsidRPr="0049678A">
        <w:rPr>
          <w:rFonts w:ascii="Verdana" w:hAnsi="Verdana"/>
          <w:noProof/>
          <w:sz w:val="20"/>
          <w:szCs w:val="20"/>
        </w:rPr>
        <w:drawing>
          <wp:inline distT="0" distB="0" distL="0" distR="0">
            <wp:extent cx="5943600" cy="3583940"/>
            <wp:effectExtent l="0" t="0" r="0" b="0"/>
            <wp:docPr id="40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stretch>
                      <a:fillRect/>
                    </a:stretch>
                  </pic:blipFill>
                  <pic:spPr>
                    <a:xfrm>
                      <a:off x="0" y="0"/>
                      <a:ext cx="5943600" cy="3583940"/>
                    </a:xfrm>
                    <a:prstGeom prst="rect">
                      <a:avLst/>
                    </a:prstGeom>
                  </pic:spPr>
                </pic:pic>
              </a:graphicData>
            </a:graphic>
          </wp:inline>
        </w:drawing>
      </w:r>
    </w:p>
    <w:p w:rsidR="00A10CDF" w:rsidRPr="0049678A" w:rsidRDefault="00A10CDF" w:rsidP="00A10CDF">
      <w:pPr>
        <w:spacing w:after="0" w:line="240" w:lineRule="auto"/>
        <w:rPr>
          <w:rFonts w:ascii="Verdana" w:hAnsi="Verdana"/>
          <w:spacing w:val="5"/>
          <w:sz w:val="20"/>
          <w:szCs w:val="20"/>
        </w:rPr>
      </w:pPr>
    </w:p>
    <w:p w:rsidR="00A10CDF" w:rsidRPr="0049678A" w:rsidRDefault="00A10CDF" w:rsidP="00A10CDF">
      <w:pPr>
        <w:pStyle w:val="Heading1"/>
        <w:rPr>
          <w:rFonts w:ascii="Verdana" w:hAnsi="Verdana"/>
          <w:sz w:val="20"/>
          <w:szCs w:val="20"/>
        </w:rPr>
      </w:pPr>
      <w:bookmarkStart w:id="197" w:name="_Toc293321464"/>
      <w:r w:rsidRPr="0049678A">
        <w:rPr>
          <w:rFonts w:ascii="Verdana" w:hAnsi="Verdana"/>
          <w:sz w:val="20"/>
          <w:szCs w:val="20"/>
        </w:rPr>
        <w:t>T12 - Country Code</w:t>
      </w:r>
      <w:bookmarkEnd w:id="197"/>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T12 - Country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6AN</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A code representing Countries, Dependencies, Areas of Special Sovereignty, and their Principal Administrative Divisions.  Codes include former countries which have been divided or merged.</w:t>
            </w:r>
          </w:p>
        </w:tc>
      </w:tr>
      <w:tr w:rsidR="00A10CDF" w:rsidRPr="0049678A" w:rsidTr="00E42334">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Code:             Name:</w:t>
            </w:r>
          </w:p>
          <w:p w:rsidR="00A10CDF" w:rsidRPr="0049678A" w:rsidRDefault="00A10CDF" w:rsidP="004F7F27">
            <w:pPr>
              <w:pStyle w:val="NoSpacing"/>
              <w:rPr>
                <w:rFonts w:ascii="Verdana" w:hAnsi="Verdana"/>
                <w:sz w:val="20"/>
                <w:szCs w:val="20"/>
              </w:rPr>
            </w:pPr>
            <w:r w:rsidRPr="0049678A">
              <w:rPr>
                <w:rFonts w:ascii="Verdana" w:hAnsi="Verdana"/>
                <w:sz w:val="20"/>
                <w:szCs w:val="20"/>
              </w:rPr>
              <w:t>CYM               Cayman Islands</w:t>
            </w:r>
          </w:p>
          <w:p w:rsidR="00A10CDF" w:rsidRPr="0049678A" w:rsidRDefault="00A10CDF" w:rsidP="004F7F27">
            <w:pPr>
              <w:pStyle w:val="NoSpacing"/>
              <w:rPr>
                <w:rFonts w:ascii="Verdana" w:hAnsi="Verdana"/>
                <w:sz w:val="20"/>
                <w:szCs w:val="20"/>
              </w:rPr>
            </w:pPr>
            <w:r w:rsidRPr="0049678A">
              <w:rPr>
                <w:rFonts w:ascii="Verdana" w:hAnsi="Verdana"/>
                <w:sz w:val="20"/>
                <w:szCs w:val="20"/>
              </w:rPr>
              <w:t>CAN               Canada</w:t>
            </w:r>
          </w:p>
          <w:p w:rsidR="00A10CDF" w:rsidRPr="0049678A" w:rsidRDefault="00A10CDF" w:rsidP="004F7F27">
            <w:pPr>
              <w:pStyle w:val="NoSpacing"/>
              <w:rPr>
                <w:rFonts w:ascii="Verdana" w:hAnsi="Verdana"/>
                <w:sz w:val="20"/>
                <w:szCs w:val="20"/>
              </w:rPr>
            </w:pPr>
            <w:r w:rsidRPr="0049678A">
              <w:rPr>
                <w:rFonts w:ascii="Verdana" w:hAnsi="Verdana"/>
                <w:sz w:val="20"/>
                <w:szCs w:val="20"/>
              </w:rPr>
              <w:t>CRI                 Costa Rica</w:t>
            </w:r>
          </w:p>
          <w:p w:rsidR="00A10CDF" w:rsidRPr="0049678A" w:rsidRDefault="00A10CDF" w:rsidP="004F7F27">
            <w:pPr>
              <w:pStyle w:val="NoSpacing"/>
              <w:rPr>
                <w:rFonts w:ascii="Verdana" w:hAnsi="Verdana"/>
                <w:sz w:val="20"/>
                <w:szCs w:val="20"/>
              </w:rPr>
            </w:pPr>
            <w:r w:rsidRPr="0049678A">
              <w:rPr>
                <w:rFonts w:ascii="Verdana" w:hAnsi="Verdana"/>
                <w:sz w:val="20"/>
                <w:szCs w:val="20"/>
              </w:rPr>
              <w:lastRenderedPageBreak/>
              <w:t>IRQ                 Iraq</w:t>
            </w:r>
          </w:p>
          <w:p w:rsidR="00A10CDF" w:rsidRPr="0049678A" w:rsidRDefault="00A10CDF" w:rsidP="004F7F27">
            <w:pPr>
              <w:pStyle w:val="NoSpacing"/>
              <w:rPr>
                <w:rFonts w:ascii="Verdana" w:hAnsi="Verdana"/>
                <w:sz w:val="20"/>
                <w:szCs w:val="20"/>
              </w:rPr>
            </w:pPr>
            <w:r w:rsidRPr="0049678A">
              <w:rPr>
                <w:rFonts w:ascii="Verdana" w:hAnsi="Verdana"/>
                <w:sz w:val="20"/>
                <w:szCs w:val="20"/>
              </w:rPr>
              <w:t>AFG                Afghanistan</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ISO 3166-1 contains a two-letter code which may be used as the general purpose code.</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script independence of Country Code is important, then ISO 3166-1 may be used which contains an alpha-3 country code having better mnemonic properties and a numeric-3 country code.</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an organization does business directly with administrative divisions of a country, then ISO 3166-2 codes may be used which consist of two parts separated by a hyphen; the first part is the ISO 3166-1 alpha-2 code element; the second part, based on national standards, is a maximum of three alpha or numeric characters.</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Country Code must be a maximum of 5 alpha-numeric characters.  ex. CA</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Country Code must be used for financial reporting.</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Country Code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FE6984">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FE6984">
        <w:tc>
          <w:tcPr>
            <w:tcW w:w="1073"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General Ledger</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Accounting-Financial Accounting-Accounts Payables-Document Entry - Invoice</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FB60 &amp; Fk03</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rPr>
          <w:trHeight w:val="395"/>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ADDR1_DATA</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COUNTRY</w:t>
            </w:r>
          </w:p>
        </w:tc>
      </w:tr>
      <w:tr w:rsidR="00A10CDF" w:rsidRPr="0049678A" w:rsidTr="00FE6984">
        <w:trPr>
          <w:trHeight w:val="287"/>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r w:rsidRPr="0049678A">
              <w:rPr>
                <w:rFonts w:ascii="Verdana" w:hAnsi="Verdana"/>
                <w:bCs/>
                <w:sz w:val="20"/>
                <w:szCs w:val="20"/>
              </w:rPr>
              <w:t>FB01, FB02, FB03, FK01, FK02</w:t>
            </w:r>
          </w:p>
        </w:tc>
      </w:tr>
    </w:tbl>
    <w:p w:rsidR="00A10CDF" w:rsidRPr="0049678A" w:rsidRDefault="00A10CDF" w:rsidP="00A10CDF">
      <w:pPr>
        <w:pStyle w:val="Heading2"/>
        <w:rPr>
          <w:rFonts w:ascii="Verdana" w:hAnsi="Verdana"/>
          <w:sz w:val="20"/>
          <w:szCs w:val="20"/>
        </w:rPr>
      </w:pPr>
      <w:bookmarkStart w:id="198" w:name="_Toc290534910"/>
    </w:p>
    <w:p w:rsidR="00A10CDF" w:rsidRPr="0049678A" w:rsidRDefault="00A10CDF" w:rsidP="00A10CDF">
      <w:pPr>
        <w:pStyle w:val="Heading2"/>
        <w:rPr>
          <w:rFonts w:ascii="Verdana" w:hAnsi="Verdana"/>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“Country Code” Field on Enter GL Document</w:t>
      </w:r>
      <w:bookmarkEnd w:id="198"/>
      <w:r w:rsidRPr="0049678A">
        <w:rPr>
          <w:rFonts w:ascii="Verdana" w:hAnsi="Verdana"/>
          <w:color w:val="auto"/>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noProof/>
          <w:sz w:val="20"/>
          <w:szCs w:val="20"/>
        </w:rPr>
      </w:pPr>
      <w:r>
        <w:rPr>
          <w:rFonts w:ascii="Verdana" w:hAnsi="Verdana"/>
          <w:noProof/>
          <w:sz w:val="20"/>
          <w:szCs w:val="20"/>
        </w:rPr>
        <w:lastRenderedPageBreak/>
        <w:pict>
          <v:oval id="Oval 138" o:spid="_x0000_s1154" style="position:absolute;margin-left:51.75pt;margin-top:147.5pt;width:138pt;height:41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" strokecolor="red" strokeweight="1.5pt">
            <v:fill opacity="3855f"/>
          </v:oval>
        </w:pict>
      </w:r>
      <w:r w:rsidR="00A10CDF" w:rsidRPr="0049678A">
        <w:rPr>
          <w:rFonts w:ascii="Verdana" w:hAnsi="Verdana"/>
          <w:noProof/>
          <w:sz w:val="20"/>
          <w:szCs w:val="20"/>
        </w:rPr>
        <w:drawing>
          <wp:inline distT="0" distB="0" distL="0" distR="0">
            <wp:extent cx="3667125" cy="2238375"/>
            <wp:effectExtent l="0" t="0" r="9525" b="9525"/>
            <wp:docPr id="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67125" cy="2238375"/>
                    </a:xfrm>
                    <a:prstGeom prst="rect">
                      <a:avLst/>
                    </a:prstGeom>
                    <a:noFill/>
                    <a:ln>
                      <a:noFill/>
                    </a:ln>
                  </pic:spPr>
                </pic:pic>
              </a:graphicData>
            </a:graphic>
          </wp:inline>
        </w:drawing>
      </w:r>
      <w:r w:rsidR="00A10CDF" w:rsidRPr="0049678A">
        <w:rPr>
          <w:rFonts w:ascii="Verdana" w:hAnsi="Verdana"/>
          <w:noProof/>
          <w:sz w:val="20"/>
          <w:szCs w:val="20"/>
        </w:rPr>
        <w:drawing>
          <wp:inline distT="0" distB="0" distL="0" distR="0">
            <wp:extent cx="2266950" cy="2181225"/>
            <wp:effectExtent l="0" t="0" r="0" b="9525"/>
            <wp:docPr id="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6950" cy="2181225"/>
                    </a:xfrm>
                    <a:prstGeom prst="rect">
                      <a:avLst/>
                    </a:prstGeom>
                    <a:noFill/>
                    <a:ln>
                      <a:noFill/>
                    </a:ln>
                  </pic:spPr>
                </pic:pic>
              </a:graphicData>
            </a:graphic>
          </wp:inline>
        </w:drawing>
      </w:r>
    </w:p>
    <w:p w:rsidR="00A10CDF" w:rsidRPr="00DD2837" w:rsidRDefault="00402381" w:rsidP="00DD2837">
      <w:pPr>
        <w:rPr>
          <w:rFonts w:ascii="Verdana" w:hAnsi="Verdana"/>
          <w:noProof/>
          <w:sz w:val="20"/>
          <w:szCs w:val="20"/>
        </w:rPr>
      </w:pPr>
      <w:r>
        <w:rPr>
          <w:rFonts w:ascii="Verdana" w:hAnsi="Verdana"/>
          <w:noProof/>
          <w:sz w:val="20"/>
          <w:szCs w:val="20"/>
        </w:rPr>
        <w:pict>
          <v:oval id="Oval 135" o:spid="_x0000_s1152" style="position:absolute;margin-left:88.5pt;margin-top:168.3pt;width:110.25pt;height:12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" strokecolor="red" strokeweight="1.5pt">
            <v:fill opacity="3855f"/>
          </v:oval>
        </w:pict>
      </w:r>
      <w:r w:rsidR="00A10CDF" w:rsidRPr="0049678A">
        <w:rPr>
          <w:rFonts w:ascii="Verdana" w:hAnsi="Verdana"/>
          <w:noProof/>
          <w:sz w:val="20"/>
          <w:szCs w:val="20"/>
        </w:rPr>
        <w:drawing>
          <wp:inline distT="0" distB="0" distL="0" distR="0">
            <wp:extent cx="5943600" cy="2457450"/>
            <wp:effectExtent l="0" t="0" r="0" b="0"/>
            <wp:docPr id="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457450"/>
                    </a:xfrm>
                    <a:prstGeom prst="rect">
                      <a:avLst/>
                    </a:prstGeom>
                    <a:noFill/>
                    <a:ln>
                      <a:noFill/>
                    </a:ln>
                  </pic:spPr>
                </pic:pic>
              </a:graphicData>
            </a:graphic>
          </wp:inline>
        </w:drawing>
      </w:r>
    </w:p>
    <w:p w:rsidR="00A10CDF" w:rsidRPr="0049678A" w:rsidRDefault="00A10CDF" w:rsidP="00A10CDF">
      <w:pPr>
        <w:pStyle w:val="Heading1"/>
        <w:rPr>
          <w:rFonts w:ascii="Verdana" w:hAnsi="Verdana"/>
          <w:sz w:val="20"/>
          <w:szCs w:val="20"/>
        </w:rPr>
      </w:pPr>
      <w:bookmarkStart w:id="199" w:name="_Toc293321465"/>
      <w:r w:rsidRPr="0049678A">
        <w:rPr>
          <w:rFonts w:ascii="Verdana" w:hAnsi="Verdana"/>
          <w:sz w:val="20"/>
          <w:szCs w:val="20"/>
        </w:rPr>
        <w:t>T13 - Entity/Non-Entity Indicator</w:t>
      </w:r>
      <w:bookmarkEnd w:id="199"/>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T13 - Entity/Non-Entity Indicator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The Entity/ Non-Entity Indicator identifies assets as either those that the reporting entity has authority to use in its operations (Entity Assets), or held by an entity but are not available to the entity to use in its operations (Non-Entity Assets).  The authority to use funds in an entity's operations means that entity's management has the authority to decide how funds are used, or management is legally obligated to use funds to meet entity obligations, e.g., repay loans from Treasury.    An example of non-entity assets is income tax receivables, which the Internal Revenue Service collects for the U.S. Government but has no authority to spend.</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If </w:t>
            </w:r>
            <w:proofErr w:type="spellStart"/>
            <w:r w:rsidRPr="0049678A">
              <w:rPr>
                <w:rFonts w:ascii="Verdana" w:hAnsi="Verdana"/>
                <w:sz w:val="20"/>
                <w:szCs w:val="20"/>
              </w:rPr>
              <w:t>DoD</w:t>
            </w:r>
            <w:proofErr w:type="spellEnd"/>
            <w:r w:rsidRPr="0049678A">
              <w:rPr>
                <w:rFonts w:ascii="Verdana" w:hAnsi="Verdana"/>
                <w:sz w:val="20"/>
                <w:szCs w:val="20"/>
              </w:rPr>
              <w:t xml:space="preserve"> does not have the authority to use an asset, such as cash or a building, in its operations then the Entity/Non-Entity Indicator value will be "O".</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The Entity/Non-Entity Indicator must only be used when recording assets postings.</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T13</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Entity/Non-Entity Indicator must be 1 alpha character.  ex. E</w:t>
            </w:r>
          </w:p>
          <w:p w:rsidR="00A10CDF" w:rsidRPr="0049678A" w:rsidRDefault="00A10CDF" w:rsidP="004F7F27">
            <w:pPr>
              <w:pStyle w:val="NoSpacing"/>
              <w:rPr>
                <w:rFonts w:ascii="Verdana" w:hAnsi="Verdana"/>
                <w:sz w:val="20"/>
                <w:szCs w:val="20"/>
              </w:rPr>
            </w:pPr>
            <w:r w:rsidRPr="0049678A">
              <w:rPr>
                <w:rFonts w:ascii="Verdana" w:hAnsi="Verdana"/>
                <w:sz w:val="20"/>
                <w:szCs w:val="20"/>
              </w:rPr>
              <w:t>Authoritative source: http://fms.treas.gov/ussgl/selection_page.html</w:t>
            </w:r>
          </w:p>
          <w:p w:rsidR="00A10CDF" w:rsidRPr="0049678A" w:rsidRDefault="00A10CDF" w:rsidP="004F7F27">
            <w:pPr>
              <w:pStyle w:val="NoSpacing"/>
              <w:rPr>
                <w:rFonts w:ascii="Verdana" w:hAnsi="Verdana"/>
                <w:sz w:val="20"/>
                <w:szCs w:val="20"/>
              </w:rPr>
            </w:pPr>
            <w:r w:rsidRPr="0049678A">
              <w:rPr>
                <w:rFonts w:ascii="Verdana" w:hAnsi="Verdana"/>
                <w:sz w:val="20"/>
                <w:szCs w:val="20"/>
              </w:rPr>
              <w:t>Data values:  E - Entity</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O - Non-Entity</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Entity/Non-Entity Indicator must be used for financial reporting.  </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Entity/Non-Entity Indicator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FE6984">
        <w:tc>
          <w:tcPr>
            <w:tcW w:w="1073"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FE6984">
        <w:tc>
          <w:tcPr>
            <w:tcW w:w="107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FF1DB8">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ABADRHELP</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FLG_ENTITY</w:t>
            </w:r>
          </w:p>
        </w:tc>
      </w:tr>
      <w:tr w:rsidR="00A10CDF" w:rsidRPr="0049678A" w:rsidTr="00FF1DB8">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rPr>
          <w:rFonts w:ascii="Verdana" w:hAnsi="Verdana"/>
          <w:noProof/>
          <w:color w:val="002060"/>
          <w:sz w:val="20"/>
          <w:szCs w:val="20"/>
        </w:rPr>
      </w:pPr>
      <w:r w:rsidRPr="0049678A">
        <w:rPr>
          <w:rFonts w:ascii="Verdana" w:hAnsi="Verdana"/>
          <w:noProof/>
          <w:color w:val="002060"/>
          <w:sz w:val="20"/>
          <w:szCs w:val="20"/>
        </w:rPr>
        <w:t xml:space="preserve">  </w:t>
      </w:r>
      <w:bookmarkStart w:id="200" w:name="_Toc290534911"/>
    </w:p>
    <w:p w:rsidR="00A10CDF" w:rsidRPr="0049678A" w:rsidRDefault="00A10CDF" w:rsidP="00A10CDF">
      <w:pPr>
        <w:spacing w:after="0" w:line="240" w:lineRule="auto"/>
        <w:rPr>
          <w:rFonts w:ascii="Verdana" w:hAnsi="Verdana"/>
          <w:color w:val="002060"/>
          <w:sz w:val="20"/>
          <w:szCs w:val="20"/>
        </w:rPr>
      </w:pPr>
    </w:p>
    <w:p w:rsidR="00A10CDF" w:rsidRPr="0049678A" w:rsidRDefault="00A10CDF" w:rsidP="00A10CDF">
      <w:pPr>
        <w:spacing w:after="0" w:line="240" w:lineRule="auto"/>
        <w:rPr>
          <w:rFonts w:ascii="Verdana" w:hAnsi="Verdana"/>
          <w:sz w:val="20"/>
          <w:szCs w:val="20"/>
        </w:rPr>
      </w:pPr>
      <w:r w:rsidRPr="0049678A">
        <w:rPr>
          <w:rFonts w:ascii="Verdana" w:hAnsi="Verdana"/>
          <w:color w:val="002060"/>
          <w:sz w:val="20"/>
          <w:szCs w:val="20"/>
        </w:rPr>
        <w:t xml:space="preserve">Screenshot:  </w:t>
      </w:r>
      <w:r w:rsidRPr="0049678A">
        <w:rPr>
          <w:rFonts w:ascii="Verdana" w:hAnsi="Verdana"/>
          <w:sz w:val="20"/>
          <w:szCs w:val="20"/>
        </w:rPr>
        <w:t>Location of “Entity/Non-Entity Indicator” Display Field on FACTS1 and II Derivation</w:t>
      </w:r>
      <w:bookmarkEnd w:id="200"/>
      <w:r w:rsidRPr="0049678A">
        <w:rPr>
          <w:rFonts w:ascii="Verdana" w:hAnsi="Verdana"/>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rPr>
          <w:rFonts w:ascii="Verdana" w:hAnsi="Verdana"/>
          <w:noProof/>
          <w:sz w:val="20"/>
          <w:szCs w:val="20"/>
        </w:rPr>
      </w:pPr>
      <w:r w:rsidRPr="0049678A">
        <w:rPr>
          <w:rFonts w:ascii="Verdana" w:hAnsi="Verdana"/>
          <w:noProof/>
          <w:sz w:val="20"/>
          <w:szCs w:val="20"/>
        </w:rPr>
        <w:drawing>
          <wp:inline distT="0" distB="0" distL="0" distR="0">
            <wp:extent cx="5734050" cy="1228725"/>
            <wp:effectExtent l="0" t="0" r="0" b="9525"/>
            <wp:docPr id="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4050" cy="1228725"/>
                    </a:xfrm>
                    <a:prstGeom prst="rect">
                      <a:avLst/>
                    </a:prstGeom>
                    <a:noFill/>
                    <a:ln>
                      <a:noFill/>
                    </a:ln>
                  </pic:spPr>
                </pic:pic>
              </a:graphicData>
            </a:graphic>
          </wp:inline>
        </w:drawing>
      </w:r>
    </w:p>
    <w:p w:rsidR="00A10CDF" w:rsidRPr="0049678A" w:rsidRDefault="00A10CDF" w:rsidP="00A10CDF">
      <w:pPr>
        <w:rPr>
          <w:rFonts w:ascii="Verdana" w:hAnsi="Verdana"/>
          <w:noProof/>
          <w:sz w:val="20"/>
          <w:szCs w:val="20"/>
        </w:rPr>
      </w:pPr>
      <w:r w:rsidRPr="0049678A">
        <w:rPr>
          <w:rFonts w:ascii="Verdana" w:hAnsi="Verdana"/>
          <w:noProof/>
          <w:sz w:val="20"/>
          <w:szCs w:val="20"/>
        </w:rPr>
        <w:lastRenderedPageBreak/>
        <w:drawing>
          <wp:inline distT="0" distB="0" distL="0" distR="0">
            <wp:extent cx="5943600" cy="2476500"/>
            <wp:effectExtent l="0" t="0" r="0" b="0"/>
            <wp:docPr id="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476500"/>
                    </a:xfrm>
                    <a:prstGeom prst="rect">
                      <a:avLst/>
                    </a:prstGeom>
                    <a:noFill/>
                    <a:ln>
                      <a:noFill/>
                    </a:ln>
                  </pic:spPr>
                </pic:pic>
              </a:graphicData>
            </a:graphic>
          </wp:inline>
        </w:drawing>
      </w:r>
    </w:p>
    <w:p w:rsidR="00A10CDF" w:rsidRPr="0049678A" w:rsidRDefault="00402381" w:rsidP="00DD2837">
      <w:pPr>
        <w:rPr>
          <w:rFonts w:ascii="Verdana" w:hAnsi="Verdana"/>
          <w:spacing w:val="5"/>
          <w:sz w:val="20"/>
          <w:szCs w:val="20"/>
        </w:rPr>
      </w:pPr>
      <w:r>
        <w:rPr>
          <w:rFonts w:ascii="Verdana" w:hAnsi="Verdana"/>
          <w:noProof/>
          <w:sz w:val="20"/>
          <w:szCs w:val="20"/>
        </w:rPr>
        <w:pict>
          <v:oval id="Oval 137" o:spid="_x0000_s1153" style="position:absolute;margin-left:9pt;margin-top:34.95pt;width:445.2pt;height:41.2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" strokecolor="red" strokeweight="1.5pt">
            <v:fill opacity="3855f"/>
          </v:oval>
        </w:pict>
      </w:r>
      <w:r w:rsidR="00A10CDF" w:rsidRPr="0049678A">
        <w:rPr>
          <w:rFonts w:ascii="Verdana" w:hAnsi="Verdana"/>
          <w:noProof/>
          <w:sz w:val="20"/>
          <w:szCs w:val="20"/>
        </w:rPr>
        <w:drawing>
          <wp:inline distT="0" distB="0" distL="0" distR="0">
            <wp:extent cx="5943600" cy="838200"/>
            <wp:effectExtent l="0" t="0" r="0" b="0"/>
            <wp:docPr id="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838200"/>
                    </a:xfrm>
                    <a:prstGeom prst="rect">
                      <a:avLst/>
                    </a:prstGeom>
                    <a:noFill/>
                    <a:ln>
                      <a:noFill/>
                    </a:ln>
                  </pic:spPr>
                </pic:pic>
              </a:graphicData>
            </a:graphic>
          </wp:inline>
        </w:drawing>
      </w:r>
    </w:p>
    <w:p w:rsidR="00A10CDF" w:rsidRPr="0049678A" w:rsidRDefault="00A10CDF" w:rsidP="00A10CDF">
      <w:pPr>
        <w:pStyle w:val="Heading1"/>
        <w:rPr>
          <w:rFonts w:ascii="Verdana" w:hAnsi="Verdana"/>
          <w:sz w:val="20"/>
          <w:szCs w:val="20"/>
        </w:rPr>
      </w:pPr>
      <w:bookmarkStart w:id="201" w:name="_Toc293321466"/>
      <w:r w:rsidRPr="0049678A">
        <w:rPr>
          <w:rFonts w:ascii="Verdana" w:hAnsi="Verdana"/>
          <w:sz w:val="20"/>
          <w:szCs w:val="20"/>
        </w:rPr>
        <w:t>T14 - Covered/Uncovered Indicator</w:t>
      </w:r>
      <w:bookmarkEnd w:id="201"/>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T14 - Covered/Uncovered Indicator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Covered (C) liabilities are those covered by budgetary resources.  Uncovered (U) Liabilities are those not covered by budgetary resources.  As an example, there will generally be congressionally approved budget resource earmarked for liquidation of the current portion of environmental liabilities.  This is an example of a covered liability.  On the other hand, there will generally not be budgetary resources in place for the liquidation of the long-term portion of environmental liabilities (resources will be allocated as the liability becomes more immediate).  The latter is an example of an uncovered liability.    </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budgetary resources have not been earmarked to liquidate a long-term liability, such as the non-current portion of an environmental liability, then the liability is considered uncovered and will use the value "U".</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T14</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a liability is not supported by an appropriation as of the fiscal year end, then it must be classified as uncovered, else classify as covered.</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T14</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Covered/Uncovered Indicator must be 1 alpha character.  ex. C</w:t>
            </w:r>
          </w:p>
          <w:p w:rsidR="00A10CDF" w:rsidRPr="0049678A" w:rsidRDefault="00A10CDF" w:rsidP="004F7F27">
            <w:pPr>
              <w:pStyle w:val="NoSpacing"/>
              <w:rPr>
                <w:rFonts w:ascii="Verdana" w:hAnsi="Verdana"/>
                <w:sz w:val="20"/>
                <w:szCs w:val="20"/>
              </w:rPr>
            </w:pPr>
            <w:r w:rsidRPr="0049678A">
              <w:rPr>
                <w:rFonts w:ascii="Verdana" w:hAnsi="Verdana"/>
                <w:sz w:val="20"/>
                <w:szCs w:val="20"/>
              </w:rPr>
              <w:t>Authoritative source:  http://fms.treas.gov/ussgl/selection_page.html</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Data values:  C - Covered </w:t>
            </w:r>
          </w:p>
          <w:p w:rsidR="00A10CDF" w:rsidRPr="0049678A" w:rsidRDefault="00A10CDF" w:rsidP="004F7F27">
            <w:pPr>
              <w:pStyle w:val="NoSpacing"/>
              <w:rPr>
                <w:rFonts w:ascii="Verdana" w:hAnsi="Verdana"/>
                <w:sz w:val="20"/>
                <w:szCs w:val="20"/>
              </w:rPr>
            </w:pPr>
            <w:r w:rsidRPr="0049678A">
              <w:rPr>
                <w:rFonts w:ascii="Verdana" w:hAnsi="Verdana"/>
                <w:sz w:val="20"/>
                <w:szCs w:val="20"/>
              </w:rPr>
              <w:lastRenderedPageBreak/>
              <w:t xml:space="preserve">                     U - Uncovered</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T14</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Covered/Uncovered Indicator must be used for financial reporting.</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T14</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Covered/Uncovered Indicator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C65E76">
        <w:tc>
          <w:tcPr>
            <w:tcW w:w="1073"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C65E76">
        <w:tc>
          <w:tcPr>
            <w:tcW w:w="107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F920AA">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ABADRHELP</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FLG_ENTITY</w:t>
            </w:r>
          </w:p>
        </w:tc>
      </w:tr>
      <w:tr w:rsidR="00A10CDF" w:rsidRPr="0049678A" w:rsidTr="00F920AA">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pStyle w:val="Heading2"/>
        <w:rPr>
          <w:rFonts w:ascii="Verdana" w:hAnsi="Verdana"/>
          <w:sz w:val="20"/>
          <w:szCs w:val="20"/>
        </w:rPr>
      </w:pPr>
      <w:bookmarkStart w:id="202" w:name="_Toc290534912"/>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b/>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“Covered/Uncovered Indicator” Display Field on FACTS I and II Derivation</w:t>
      </w:r>
      <w:bookmarkEnd w:id="202"/>
      <w:r w:rsidRPr="0049678A">
        <w:rPr>
          <w:rFonts w:ascii="Verdana" w:hAnsi="Verdana"/>
          <w:color w:val="auto"/>
          <w:sz w:val="20"/>
          <w:szCs w:val="20"/>
        </w:rPr>
        <w:t xml:space="preserve"> </w:t>
      </w:r>
    </w:p>
    <w:p w:rsidR="00A10CDF" w:rsidRPr="0049678A" w:rsidRDefault="00A10CDF" w:rsidP="00A10CDF">
      <w:pPr>
        <w:spacing w:after="0" w:line="240" w:lineRule="auto"/>
        <w:rPr>
          <w:rFonts w:ascii="Verdana" w:hAnsi="Verdana"/>
          <w:sz w:val="20"/>
          <w:szCs w:val="20"/>
        </w:rPr>
      </w:pPr>
    </w:p>
    <w:p w:rsidR="00A10CDF" w:rsidRPr="0049678A" w:rsidRDefault="00402381" w:rsidP="00A10CDF">
      <w:pPr>
        <w:rPr>
          <w:rFonts w:ascii="Verdana" w:hAnsi="Verdana"/>
          <w:noProof/>
          <w:sz w:val="20"/>
          <w:szCs w:val="20"/>
        </w:rPr>
      </w:pPr>
      <w:r>
        <w:rPr>
          <w:rFonts w:ascii="Verdana" w:hAnsi="Verdana"/>
          <w:noProof/>
          <w:sz w:val="20"/>
          <w:szCs w:val="20"/>
        </w:rPr>
        <w:pict>
          <v:oval id="Oval 140" o:spid="_x0000_s1156" style="position:absolute;margin-left:-.65pt;margin-top:166.45pt;width:445.2pt;height:26.7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" strokecolor="red" strokeweight="1.5pt">
            <v:fill opacity="3855f"/>
          </v:oval>
        </w:pict>
      </w:r>
      <w:r w:rsidR="00A10CDF" w:rsidRPr="0049678A">
        <w:rPr>
          <w:rFonts w:ascii="Verdana" w:hAnsi="Verdana"/>
          <w:noProof/>
          <w:sz w:val="20"/>
          <w:szCs w:val="20"/>
        </w:rPr>
        <w:drawing>
          <wp:inline distT="0" distB="0" distL="0" distR="0">
            <wp:extent cx="5953125" cy="2447925"/>
            <wp:effectExtent l="0" t="0" r="9525" b="9525"/>
            <wp:docPr id="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3125" cy="2447925"/>
                    </a:xfrm>
                    <a:prstGeom prst="rect">
                      <a:avLst/>
                    </a:prstGeom>
                    <a:noFill/>
                    <a:ln>
                      <a:noFill/>
                    </a:ln>
                  </pic:spPr>
                </pic:pic>
              </a:graphicData>
            </a:graphic>
          </wp:inline>
        </w:drawing>
      </w:r>
    </w:p>
    <w:p w:rsidR="00A10CDF" w:rsidRPr="0049678A" w:rsidRDefault="00402381" w:rsidP="00A10CDF">
      <w:pPr>
        <w:rPr>
          <w:rFonts w:ascii="Verdana" w:hAnsi="Verdana"/>
          <w:noProof/>
          <w:sz w:val="20"/>
          <w:szCs w:val="20"/>
        </w:rPr>
      </w:pPr>
      <w:r>
        <w:rPr>
          <w:rFonts w:ascii="Verdana" w:hAnsi="Verdana"/>
          <w:noProof/>
          <w:sz w:val="20"/>
          <w:szCs w:val="20"/>
        </w:rPr>
        <w:pict>
          <v:oval id="Oval 139" o:spid="_x0000_s1155" style="position:absolute;margin-left:-8.95pt;margin-top:64.8pt;width:406.65pt;height:39.3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" strokecolor="red" strokeweight="1.5pt">
            <v:fill opacity="3855f"/>
          </v:oval>
        </w:pict>
      </w:r>
      <w:r w:rsidR="00A10CDF" w:rsidRPr="0049678A">
        <w:rPr>
          <w:rFonts w:ascii="Verdana" w:hAnsi="Verdana"/>
          <w:noProof/>
          <w:sz w:val="20"/>
          <w:szCs w:val="20"/>
        </w:rPr>
        <w:drawing>
          <wp:inline distT="0" distB="0" distL="0" distR="0">
            <wp:extent cx="5972175" cy="1352550"/>
            <wp:effectExtent l="0" t="0" r="9525" b="0"/>
            <wp:docPr id="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2175" cy="1352550"/>
                    </a:xfrm>
                    <a:prstGeom prst="rect">
                      <a:avLst/>
                    </a:prstGeom>
                    <a:noFill/>
                    <a:ln>
                      <a:noFill/>
                    </a:ln>
                  </pic:spPr>
                </pic:pic>
              </a:graphicData>
            </a:graphic>
          </wp:inline>
        </w:drawing>
      </w:r>
    </w:p>
    <w:p w:rsidR="00A10CDF" w:rsidRPr="0049678A" w:rsidRDefault="00A10CDF" w:rsidP="00A10CDF">
      <w:pPr>
        <w:spacing w:after="0" w:line="240" w:lineRule="auto"/>
        <w:rPr>
          <w:rFonts w:ascii="Verdana" w:hAnsi="Verdana"/>
          <w:spacing w:val="5"/>
          <w:sz w:val="20"/>
          <w:szCs w:val="20"/>
        </w:rPr>
      </w:pPr>
    </w:p>
    <w:p w:rsidR="00A10CDF" w:rsidRPr="0049678A" w:rsidRDefault="00A10CDF" w:rsidP="00A10CDF">
      <w:pPr>
        <w:pStyle w:val="Heading1"/>
        <w:rPr>
          <w:rFonts w:ascii="Verdana" w:hAnsi="Verdana"/>
          <w:sz w:val="20"/>
          <w:szCs w:val="20"/>
        </w:rPr>
      </w:pPr>
      <w:bookmarkStart w:id="203" w:name="_Toc293321467"/>
      <w:r w:rsidRPr="0049678A">
        <w:rPr>
          <w:rFonts w:ascii="Verdana" w:hAnsi="Verdana"/>
          <w:sz w:val="20"/>
          <w:szCs w:val="20"/>
        </w:rPr>
        <w:t>T15 - Current/Non-current Indicator</w:t>
      </w:r>
      <w:bookmarkEnd w:id="203"/>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F15BD6">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T15 - Current/Non-current Indicator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F15BD6">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F15BD6">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shd w:val="clear" w:color="auto" w:fill="auto"/>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Current/ Non-Current indicates those liabilities that will be liquidated with current resources.  For instance, liabilities that are expected to become due and payable within a year are generally considered to be a current liability.  </w:t>
            </w:r>
          </w:p>
        </w:tc>
      </w:tr>
      <w:tr w:rsidR="00A10CDF" w:rsidRPr="0049678A" w:rsidTr="00F15BD6">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a liability will be liquidated within the next 12 months from the end of the reporting date, then it is considered a current liability and will use the value "C."</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T15</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a liability is to be liquidated within 12 months from the time of reporting, then the value must be “C”, else the value will be “N”.</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T15</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Current/Non-Current Indicator must be 1 alpha character.  ex. C</w:t>
            </w:r>
          </w:p>
          <w:p w:rsidR="00A10CDF" w:rsidRPr="0049678A" w:rsidRDefault="00A10CDF" w:rsidP="004F7F27">
            <w:pPr>
              <w:pStyle w:val="NoSpacing"/>
              <w:rPr>
                <w:rFonts w:ascii="Verdana" w:hAnsi="Verdana"/>
                <w:sz w:val="20"/>
                <w:szCs w:val="20"/>
              </w:rPr>
            </w:pPr>
            <w:r w:rsidRPr="0049678A">
              <w:rPr>
                <w:rFonts w:ascii="Verdana" w:hAnsi="Verdana"/>
                <w:sz w:val="20"/>
                <w:szCs w:val="20"/>
              </w:rPr>
              <w:t>Authoritative source:  http://www.whitehouse.gov/omb/circulars_index-ffm/</w:t>
            </w:r>
          </w:p>
          <w:p w:rsidR="00A10CDF" w:rsidRPr="0049678A" w:rsidRDefault="00A10CDF" w:rsidP="004F7F27">
            <w:pPr>
              <w:pStyle w:val="NoSpacing"/>
              <w:rPr>
                <w:rFonts w:ascii="Verdana" w:hAnsi="Verdana"/>
                <w:sz w:val="20"/>
                <w:szCs w:val="20"/>
              </w:rPr>
            </w:pPr>
            <w:r w:rsidRPr="0049678A">
              <w:rPr>
                <w:rFonts w:ascii="Verdana" w:hAnsi="Verdana"/>
                <w:sz w:val="20"/>
                <w:szCs w:val="20"/>
              </w:rPr>
              <w:t>Data values:  C - Current</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N - Non-current</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T15</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Current/Non-Current Indicator must be used for financial reporting.</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T15</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Current/Non-Current Indicator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C65E76">
        <w:tc>
          <w:tcPr>
            <w:tcW w:w="1073"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C65E76">
        <w:tc>
          <w:tcPr>
            <w:tcW w:w="107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C14F2B">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ABADRHELP</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FLG_ENTITY</w:t>
            </w:r>
          </w:p>
        </w:tc>
      </w:tr>
      <w:tr w:rsidR="00A10CDF" w:rsidRPr="0049678A" w:rsidTr="00C14F2B">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bCs/>
                <w:sz w:val="20"/>
                <w:szCs w:val="20"/>
              </w:rPr>
              <w:t>Related Transactions:</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rPr>
          <w:rFonts w:ascii="Verdana" w:hAnsi="Verdana" w:cs="Calibri"/>
          <w:b/>
          <w:i/>
          <w:noProof/>
          <w:sz w:val="20"/>
          <w:szCs w:val="20"/>
        </w:rPr>
      </w:pPr>
    </w:p>
    <w:p w:rsidR="00A10CDF" w:rsidRPr="0049678A" w:rsidRDefault="00A10CDF" w:rsidP="00A10CDF">
      <w:pPr>
        <w:spacing w:after="0" w:line="240" w:lineRule="auto"/>
        <w:rPr>
          <w:rFonts w:ascii="Verdana" w:hAnsi="Verdana" w:cs="Calibri"/>
          <w:noProof/>
          <w:sz w:val="20"/>
          <w:szCs w:val="20"/>
        </w:rPr>
      </w:pPr>
    </w:p>
    <w:p w:rsidR="00A10CDF" w:rsidRPr="0049678A" w:rsidRDefault="00A10CDF" w:rsidP="00A10CDF">
      <w:pPr>
        <w:spacing w:after="0" w:line="240" w:lineRule="auto"/>
        <w:rPr>
          <w:rFonts w:ascii="Verdana" w:hAnsi="Verdana" w:cs="Calibri"/>
          <w:noProof/>
          <w:sz w:val="20"/>
          <w:szCs w:val="20"/>
        </w:rPr>
      </w:pPr>
    </w:p>
    <w:p w:rsidR="00A10CDF" w:rsidRPr="0049678A" w:rsidRDefault="00A10CDF" w:rsidP="00A10CDF">
      <w:pPr>
        <w:spacing w:after="0" w:line="240" w:lineRule="auto"/>
        <w:rPr>
          <w:rFonts w:ascii="Verdana" w:hAnsi="Verdana" w:cs="Calibri"/>
          <w:noProof/>
          <w:sz w:val="20"/>
          <w:szCs w:val="20"/>
        </w:rPr>
      </w:pPr>
    </w:p>
    <w:p w:rsidR="00A10CDF" w:rsidRPr="0049678A" w:rsidRDefault="00A10CDF" w:rsidP="00A10CDF">
      <w:pPr>
        <w:spacing w:after="0" w:line="240" w:lineRule="auto"/>
        <w:rPr>
          <w:rFonts w:ascii="Verdana" w:hAnsi="Verdana" w:cs="Calibri"/>
          <w:noProof/>
          <w:sz w:val="20"/>
          <w:szCs w:val="20"/>
        </w:rPr>
      </w:pPr>
    </w:p>
    <w:p w:rsidR="00A10CDF" w:rsidRPr="0049678A" w:rsidRDefault="00A10CDF" w:rsidP="00A10CDF">
      <w:pPr>
        <w:spacing w:after="0" w:line="240" w:lineRule="auto"/>
        <w:rPr>
          <w:rFonts w:ascii="Verdana" w:hAnsi="Verdana" w:cs="Calibri"/>
          <w:noProof/>
          <w:sz w:val="20"/>
          <w:szCs w:val="20"/>
        </w:rPr>
      </w:pPr>
    </w:p>
    <w:p w:rsidR="00A10CDF" w:rsidRPr="0049678A" w:rsidRDefault="00A10CDF" w:rsidP="00A10CDF">
      <w:pPr>
        <w:pStyle w:val="Heading2"/>
        <w:rPr>
          <w:rFonts w:ascii="Verdana" w:hAnsi="Verdana"/>
          <w:b/>
          <w:color w:val="auto"/>
          <w:sz w:val="20"/>
          <w:szCs w:val="20"/>
        </w:rPr>
      </w:pPr>
      <w:r w:rsidRPr="0049678A">
        <w:rPr>
          <w:rFonts w:ascii="Verdana" w:hAnsi="Verdana"/>
          <w:sz w:val="20"/>
          <w:szCs w:val="20"/>
        </w:rPr>
        <w:lastRenderedPageBreak/>
        <w:t xml:space="preserve">Screenshot:  </w:t>
      </w:r>
      <w:r w:rsidRPr="0049678A">
        <w:rPr>
          <w:rFonts w:ascii="Verdana" w:hAnsi="Verdana"/>
          <w:color w:val="auto"/>
          <w:sz w:val="20"/>
          <w:szCs w:val="20"/>
        </w:rPr>
        <w:t xml:space="preserve">Location of “Current / Non-Current Indicator” Display Field on FACTS I and II Derivation </w:t>
      </w:r>
    </w:p>
    <w:p w:rsidR="00A10CDF" w:rsidRPr="0049678A" w:rsidRDefault="00A10CDF" w:rsidP="00A10CDF">
      <w:pPr>
        <w:rPr>
          <w:rFonts w:ascii="Verdana" w:hAnsi="Verdana"/>
          <w:noProof/>
          <w:sz w:val="20"/>
          <w:szCs w:val="20"/>
        </w:rPr>
      </w:pPr>
    </w:p>
    <w:p w:rsidR="00A10CDF" w:rsidRPr="0049678A" w:rsidRDefault="00402381" w:rsidP="00A10CDF">
      <w:pPr>
        <w:rPr>
          <w:rFonts w:ascii="Verdana" w:hAnsi="Verdana"/>
          <w:noProof/>
          <w:sz w:val="20"/>
          <w:szCs w:val="20"/>
        </w:rPr>
      </w:pPr>
      <w:r>
        <w:rPr>
          <w:rFonts w:ascii="Verdana" w:hAnsi="Verdana"/>
          <w:noProof/>
          <w:sz w:val="20"/>
          <w:szCs w:val="20"/>
        </w:rPr>
        <w:pict>
          <v:oval id="_x0000_s1173" style="position:absolute;margin-left:7.5pt;margin-top:269.25pt;width:116.25pt;height:29.2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" strokecolor="red" strokeweight="1.5pt">
            <v:fill opacity="3341f"/>
          </v:oval>
        </w:pict>
      </w:r>
      <w:r w:rsidR="00A10CDF" w:rsidRPr="0049678A">
        <w:rPr>
          <w:rFonts w:ascii="Verdana" w:hAnsi="Verdana"/>
          <w:noProof/>
          <w:sz w:val="20"/>
          <w:szCs w:val="20"/>
        </w:rPr>
        <w:drawing>
          <wp:inline distT="0" distB="0" distL="0" distR="0">
            <wp:extent cx="5676900" cy="3771900"/>
            <wp:effectExtent l="19050" t="0" r="0" b="0"/>
            <wp:docPr id="409"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0" cstate="print"/>
                    <a:srcRect/>
                    <a:stretch>
                      <a:fillRect/>
                    </a:stretch>
                  </pic:blipFill>
                  <pic:spPr bwMode="auto">
                    <a:xfrm>
                      <a:off x="0" y="0"/>
                      <a:ext cx="5676900" cy="3771900"/>
                    </a:xfrm>
                    <a:prstGeom prst="rect">
                      <a:avLst/>
                    </a:prstGeom>
                    <a:noFill/>
                    <a:ln w="9525">
                      <a:noFill/>
                      <a:miter lim="800000"/>
                      <a:headEnd/>
                      <a:tailEnd/>
                    </a:ln>
                  </pic:spPr>
                </pic:pic>
              </a:graphicData>
            </a:graphic>
          </wp:inline>
        </w:drawing>
      </w: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204" w:name="_Toc293321468"/>
      <w:r w:rsidRPr="0049678A">
        <w:rPr>
          <w:rFonts w:ascii="Verdana" w:hAnsi="Verdana"/>
          <w:sz w:val="20"/>
          <w:szCs w:val="20"/>
        </w:rPr>
        <w:lastRenderedPageBreak/>
        <w:t>T20 - Business Event Type Code</w:t>
      </w:r>
      <w:bookmarkEnd w:id="204"/>
      <w:r w:rsidRPr="0049678A">
        <w:rPr>
          <w:rFonts w:ascii="Verdana" w:hAnsi="Verdana"/>
          <w:sz w:val="20"/>
          <w:szCs w:val="20"/>
        </w:rPr>
        <w:t xml:space="preserve"> </w:t>
      </w:r>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T20 - Business Event Type Code (BETC)</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8</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Indicates the type of financial activity, such as payments, collections, borrowings, etc., being reported in the Government wide Accounting and Reporting (GWA) system.  BETC in effect replaces the Treasury's transaction codes and standard sub-classes that are currently used on central accounting reports.  New U.S. Treasury requirement effective 08/01/2006 per TFM Bulletin No. 2006-04, Volume I.</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Examples of Business Event Type Codes are as follows:</w:t>
            </w:r>
          </w:p>
          <w:p w:rsidR="00A10CDF" w:rsidRPr="0049678A" w:rsidRDefault="00A10CDF" w:rsidP="004F7F27">
            <w:pPr>
              <w:pStyle w:val="NoSpacing"/>
              <w:rPr>
                <w:rFonts w:ascii="Verdana" w:hAnsi="Verdana"/>
                <w:sz w:val="20"/>
                <w:szCs w:val="20"/>
              </w:rPr>
            </w:pPr>
            <w:r w:rsidRPr="0049678A">
              <w:rPr>
                <w:rFonts w:ascii="Verdana" w:hAnsi="Verdana"/>
                <w:sz w:val="20"/>
                <w:szCs w:val="20"/>
              </w:rPr>
              <w:t>BETC Value        Business Event</w:t>
            </w:r>
          </w:p>
          <w:p w:rsidR="00A10CDF" w:rsidRPr="0049678A" w:rsidRDefault="00A10CDF" w:rsidP="004F7F27">
            <w:pPr>
              <w:pStyle w:val="NoSpacing"/>
              <w:rPr>
                <w:rFonts w:ascii="Verdana" w:hAnsi="Verdana"/>
                <w:sz w:val="20"/>
                <w:szCs w:val="20"/>
              </w:rPr>
            </w:pPr>
            <w:r w:rsidRPr="0049678A">
              <w:rPr>
                <w:rFonts w:ascii="Verdana" w:hAnsi="Verdana"/>
                <w:sz w:val="20"/>
                <w:szCs w:val="20"/>
              </w:rPr>
              <w:t>COLL                  Offsetting Collection</w:t>
            </w:r>
          </w:p>
          <w:p w:rsidR="00A10CDF" w:rsidRPr="0049678A" w:rsidRDefault="00A10CDF" w:rsidP="004F7F27">
            <w:pPr>
              <w:pStyle w:val="NoSpacing"/>
              <w:rPr>
                <w:rFonts w:ascii="Verdana" w:hAnsi="Verdana"/>
                <w:sz w:val="20"/>
                <w:szCs w:val="20"/>
              </w:rPr>
            </w:pPr>
            <w:r w:rsidRPr="0049678A">
              <w:rPr>
                <w:rFonts w:ascii="Verdana" w:hAnsi="Verdana"/>
                <w:sz w:val="20"/>
                <w:szCs w:val="20"/>
              </w:rPr>
              <w:t>UNRLDISC         Unrealized Discount</w:t>
            </w:r>
          </w:p>
          <w:p w:rsidR="00A10CDF" w:rsidRPr="0049678A" w:rsidRDefault="00A10CDF" w:rsidP="004F7F27">
            <w:pPr>
              <w:pStyle w:val="NoSpacing"/>
              <w:rPr>
                <w:rFonts w:ascii="Verdana" w:hAnsi="Verdana"/>
                <w:sz w:val="20"/>
                <w:szCs w:val="20"/>
              </w:rPr>
            </w:pPr>
            <w:r w:rsidRPr="0049678A">
              <w:rPr>
                <w:rFonts w:ascii="Verdana" w:hAnsi="Verdana"/>
                <w:sz w:val="20"/>
                <w:szCs w:val="20"/>
              </w:rPr>
              <w:t>DISB                   Gross Disbursement</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T20</w:t>
            </w:r>
          </w:p>
        </w:tc>
        <w:tc>
          <w:tcPr>
            <w:tcW w:w="8532" w:type="dxa"/>
          </w:tcPr>
          <w:p w:rsidR="00A10CDF" w:rsidRPr="0049678A" w:rsidRDefault="00A10CDF" w:rsidP="004F7F27">
            <w:pPr>
              <w:spacing w:after="0" w:line="240" w:lineRule="auto"/>
              <w:rPr>
                <w:rFonts w:ascii="Verdana" w:hAnsi="Verdana" w:cs="Arial"/>
                <w:bCs/>
                <w:sz w:val="20"/>
                <w:szCs w:val="20"/>
              </w:rPr>
            </w:pPr>
            <w:bookmarkStart w:id="205" w:name="OLE_LINK10"/>
            <w:r w:rsidRPr="0049678A">
              <w:rPr>
                <w:rFonts w:ascii="Verdana" w:hAnsi="Verdana" w:cs="Arial"/>
                <w:bCs/>
                <w:sz w:val="20"/>
                <w:szCs w:val="20"/>
              </w:rPr>
              <w:t xml:space="preserve">Business Event Type Code </w:t>
            </w:r>
            <w:bookmarkEnd w:id="205"/>
            <w:r w:rsidRPr="0049678A">
              <w:rPr>
                <w:rFonts w:ascii="Verdana" w:hAnsi="Verdana" w:cs="Arial"/>
                <w:bCs/>
                <w:sz w:val="20"/>
                <w:szCs w:val="20"/>
              </w:rPr>
              <w:t>(BETC) must be no more than 8 alpha characters.  ex. COLL</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Authoritative source: http://fms.treas.gov/gwa/factsheet_betc.html</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T20</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Each system must store and maintain Business Event Type Code (BETC) values.</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T20</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Business Event Type Code (BETC) must be used for general ledger posting, and financial reporting.</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C65E76">
        <w:tc>
          <w:tcPr>
            <w:tcW w:w="1073"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shd w:val="clear" w:color="auto" w:fill="EEECE1"/>
          </w:tcPr>
          <w:p w:rsidR="00A10CDF" w:rsidRPr="0049678A" w:rsidRDefault="00A10CDF" w:rsidP="004F7F27">
            <w:pPr>
              <w:spacing w:after="0" w:line="240" w:lineRule="auto"/>
              <w:rPr>
                <w:rFonts w:ascii="Verdana" w:hAnsi="Verdana"/>
                <w:sz w:val="20"/>
                <w:szCs w:val="20"/>
              </w:rPr>
            </w:pPr>
          </w:p>
        </w:tc>
        <w:tc>
          <w:tcPr>
            <w:tcW w:w="825"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C65E76">
        <w:tc>
          <w:tcPr>
            <w:tcW w:w="1073"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37"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25"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 Accounting  - Public Sector Management - Functions for the US Federal Government-  Payment Processing – IPAC - Outgoing Payments and Collections - Upload File Creation  </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FMFG_IPAC</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rPr>
          <w:trHeight w:val="395"/>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BSEG</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KIDNO</w:t>
            </w:r>
          </w:p>
        </w:tc>
      </w:tr>
      <w:tr w:rsidR="00A10CDF" w:rsidRPr="0049678A" w:rsidTr="00C65E76">
        <w:trPr>
          <w:trHeight w:val="278"/>
        </w:trPr>
        <w:tc>
          <w:tcPr>
            <w:tcW w:w="2268" w:type="dxa"/>
            <w:shd w:val="clear" w:color="auto" w:fill="EEECE1"/>
          </w:tcPr>
          <w:p w:rsidR="00A10CDF" w:rsidRPr="0049678A" w:rsidRDefault="00A10CDF" w:rsidP="004F7F27">
            <w:pPr>
              <w:spacing w:after="0"/>
              <w:jc w:val="center"/>
              <w:rPr>
                <w:rFonts w:ascii="Verdana" w:hAnsi="Verdana"/>
                <w:bCs/>
                <w:sz w:val="20"/>
                <w:szCs w:val="20"/>
              </w:rPr>
            </w:pPr>
            <w:r w:rsidRPr="0049678A">
              <w:rPr>
                <w:rFonts w:ascii="Verdana" w:hAnsi="Verdana"/>
                <w:bCs/>
                <w:sz w:val="20"/>
                <w:szCs w:val="20"/>
              </w:rPr>
              <w:t>Related Transactions:</w:t>
            </w:r>
          </w:p>
        </w:tc>
        <w:tc>
          <w:tcPr>
            <w:tcW w:w="6948" w:type="dxa"/>
            <w:gridSpan w:val="3"/>
          </w:tcPr>
          <w:p w:rsidR="00A10CDF" w:rsidRPr="0049678A" w:rsidRDefault="00A10CDF" w:rsidP="004F7F27">
            <w:pPr>
              <w:spacing w:after="0" w:line="240" w:lineRule="auto"/>
              <w:rPr>
                <w:rFonts w:ascii="Verdana" w:hAnsi="Verdana"/>
                <w:bCs/>
                <w:sz w:val="20"/>
                <w:szCs w:val="20"/>
              </w:rPr>
            </w:pPr>
          </w:p>
        </w:tc>
      </w:tr>
    </w:tbl>
    <w:p w:rsidR="00A10CDF" w:rsidRPr="0049678A" w:rsidRDefault="00A10CDF" w:rsidP="00A10CDF">
      <w:pPr>
        <w:spacing w:after="0"/>
        <w:rPr>
          <w:rFonts w:ascii="Verdana" w:hAnsi="Verdana"/>
          <w:sz w:val="20"/>
          <w:szCs w:val="20"/>
        </w:rPr>
      </w:pPr>
      <w:r w:rsidRPr="0049678A">
        <w:rPr>
          <w:rFonts w:ascii="Verdana" w:hAnsi="Verdana"/>
          <w:noProof/>
          <w:sz w:val="20"/>
          <w:szCs w:val="20"/>
        </w:rPr>
        <w:t xml:space="preserve"> </w:t>
      </w:r>
    </w:p>
    <w:p w:rsidR="00A10CDF" w:rsidRPr="0049678A" w:rsidRDefault="00A10CDF" w:rsidP="00A10CDF">
      <w:pPr>
        <w:spacing w:after="0" w:line="240" w:lineRule="auto"/>
        <w:rPr>
          <w:rFonts w:ascii="Verdana" w:hAnsi="Verdana"/>
          <w:noProof/>
          <w:sz w:val="20"/>
          <w:szCs w:val="20"/>
        </w:rPr>
      </w:pPr>
      <w:r w:rsidRPr="0049678A">
        <w:rPr>
          <w:rFonts w:ascii="Verdana" w:hAnsi="Verdana"/>
          <w:noProof/>
          <w:sz w:val="20"/>
          <w:szCs w:val="20"/>
        </w:rPr>
        <w:t>This element is being added to the standard SAP software and will be available for backport, when it becomes available.</w:t>
      </w: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206" w:name="_Toc293321469"/>
      <w:r w:rsidRPr="0049678A">
        <w:rPr>
          <w:rFonts w:ascii="Verdana" w:hAnsi="Verdana"/>
          <w:sz w:val="20"/>
          <w:szCs w:val="20"/>
        </w:rPr>
        <w:lastRenderedPageBreak/>
        <w:t>T21 - FMS Customer Code</w:t>
      </w:r>
      <w:bookmarkEnd w:id="206"/>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T21 - FMS Customer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2AN</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FMS Customer represents the country receiving the product and/or service in the FMS transaction.</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Code            Customer</w:t>
            </w:r>
          </w:p>
          <w:p w:rsidR="00A10CDF" w:rsidRPr="0049678A" w:rsidRDefault="00A10CDF" w:rsidP="004F7F27">
            <w:pPr>
              <w:pStyle w:val="NoSpacing"/>
              <w:rPr>
                <w:rFonts w:ascii="Verdana" w:hAnsi="Verdana"/>
                <w:sz w:val="20"/>
                <w:szCs w:val="20"/>
              </w:rPr>
            </w:pPr>
            <w:r w:rsidRPr="0049678A">
              <w:rPr>
                <w:rFonts w:ascii="Verdana" w:hAnsi="Verdana"/>
                <w:sz w:val="20"/>
                <w:szCs w:val="20"/>
              </w:rPr>
              <w:t>S3                 SLOVENIA</w:t>
            </w:r>
          </w:p>
          <w:p w:rsidR="00A10CDF" w:rsidRPr="0049678A" w:rsidRDefault="00A10CDF" w:rsidP="004F7F27">
            <w:pPr>
              <w:pStyle w:val="NoSpacing"/>
              <w:rPr>
                <w:rFonts w:ascii="Verdana" w:hAnsi="Verdana"/>
                <w:sz w:val="20"/>
                <w:szCs w:val="20"/>
              </w:rPr>
            </w:pPr>
            <w:r w:rsidRPr="0049678A">
              <w:rPr>
                <w:rFonts w:ascii="Verdana" w:hAnsi="Verdana"/>
                <w:sz w:val="20"/>
                <w:szCs w:val="20"/>
              </w:rPr>
              <w:t>EI                 IRELAND</w:t>
            </w:r>
          </w:p>
          <w:p w:rsidR="00A10CDF" w:rsidRPr="0049678A" w:rsidRDefault="00A10CDF" w:rsidP="004F7F27">
            <w:pPr>
              <w:pStyle w:val="NoSpacing"/>
              <w:rPr>
                <w:rFonts w:ascii="Verdana" w:hAnsi="Verdana"/>
                <w:sz w:val="20"/>
                <w:szCs w:val="20"/>
              </w:rPr>
            </w:pPr>
            <w:r w:rsidRPr="0049678A">
              <w:rPr>
                <w:rFonts w:ascii="Verdana" w:hAnsi="Verdana"/>
                <w:sz w:val="20"/>
                <w:szCs w:val="20"/>
              </w:rPr>
              <w:t>UK               UNITED KINGDOM</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Foreign Military Sales (FMS) Customer Code must be 2 alpha-numeric characters.  ex. EI</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Authoritative source: http://www.dsca.mil/samm/</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T21</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Foreign Military Sales (FMS) Customer Code must be used for financial reporting, budgetary control, and funds control.  </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the system executes Foreign Military Sales (FMS) transactions, then each system must store and maintain FMS Customer Code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C65E76">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C65E76">
        <w:tc>
          <w:tcPr>
            <w:tcW w:w="107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 </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CT04 </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6F3C48">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CAWN</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ATWRT</w:t>
            </w:r>
          </w:p>
        </w:tc>
      </w:tr>
      <w:tr w:rsidR="00A10CDF" w:rsidRPr="0049678A" w:rsidTr="006F3C48">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Related Transactions:</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CT10</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spacing w:after="0"/>
        <w:rPr>
          <w:rFonts w:ascii="Verdana" w:hAnsi="Verdana"/>
          <w:sz w:val="20"/>
          <w:szCs w:val="20"/>
        </w:rPr>
      </w:pPr>
      <w:r w:rsidRPr="0049678A">
        <w:rPr>
          <w:rFonts w:ascii="Verdana" w:hAnsi="Verdana"/>
          <w:noProof/>
          <w:sz w:val="20"/>
          <w:szCs w:val="20"/>
        </w:rPr>
        <w:t xml:space="preserve"> </w:t>
      </w:r>
    </w:p>
    <w:p w:rsidR="00A10CDF" w:rsidRPr="0049678A" w:rsidRDefault="00A10CDF" w:rsidP="00A10CDF">
      <w:pPr>
        <w:rPr>
          <w:rFonts w:ascii="Verdana" w:hAnsi="Verdana"/>
          <w:noProof/>
          <w:sz w:val="20"/>
          <w:szCs w:val="20"/>
        </w:rPr>
      </w:pPr>
      <w:r w:rsidRPr="0049678A">
        <w:rPr>
          <w:rFonts w:ascii="Verdana" w:hAnsi="Verdana"/>
          <w:noProof/>
          <w:sz w:val="20"/>
          <w:szCs w:val="20"/>
        </w:rPr>
        <w:t xml:space="preserve"> </w:t>
      </w:r>
    </w:p>
    <w:p w:rsidR="00A10CDF" w:rsidRPr="0049678A" w:rsidRDefault="00A10CDF" w:rsidP="00A10CDF">
      <w:pPr>
        <w:rPr>
          <w:rFonts w:ascii="Verdana" w:hAnsi="Verdana"/>
          <w:noProof/>
          <w:sz w:val="20"/>
          <w:szCs w:val="20"/>
        </w:rPr>
      </w:pPr>
    </w:p>
    <w:p w:rsidR="00A10CDF" w:rsidRPr="0049678A" w:rsidRDefault="00A10CDF" w:rsidP="00A10CDF">
      <w:pPr>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Style w:val="Heading3Char"/>
          <w:rFonts w:ascii="Verdana" w:hAnsi="Verdana"/>
          <w:iCs w:val="0"/>
          <w:smallCaps w:val="0"/>
          <w:spacing w:val="0"/>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b/>
          <w:color w:val="auto"/>
          <w:sz w:val="20"/>
          <w:szCs w:val="20"/>
        </w:rPr>
      </w:pPr>
      <w:r w:rsidRPr="0049678A">
        <w:rPr>
          <w:rStyle w:val="Heading3Char"/>
          <w:rFonts w:ascii="Verdana" w:hAnsi="Verdana"/>
          <w:iCs w:val="0"/>
          <w:smallCaps w:val="0"/>
          <w:spacing w:val="0"/>
          <w:sz w:val="20"/>
          <w:szCs w:val="20"/>
        </w:rPr>
        <w:lastRenderedPageBreak/>
        <w:t xml:space="preserve">Screenshot:  </w:t>
      </w:r>
      <w:r w:rsidRPr="0049678A">
        <w:rPr>
          <w:rStyle w:val="Heading3Char"/>
          <w:rFonts w:ascii="Verdana" w:hAnsi="Verdana"/>
          <w:iCs w:val="0"/>
          <w:smallCaps w:val="0"/>
          <w:color w:val="auto"/>
          <w:spacing w:val="0"/>
          <w:sz w:val="20"/>
          <w:szCs w:val="20"/>
        </w:rPr>
        <w:t>Location of “FMS Customer Code” Display Field on Characterist</w:t>
      </w:r>
      <w:r w:rsidRPr="0049678A">
        <w:rPr>
          <w:rFonts w:ascii="Verdana" w:hAnsi="Verdana"/>
          <w:color w:val="auto"/>
          <w:sz w:val="20"/>
          <w:szCs w:val="20"/>
        </w:rPr>
        <w:t>ics</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rPr>
          <w:rFonts w:ascii="Verdana" w:hAnsi="Verdana"/>
          <w:sz w:val="20"/>
          <w:szCs w:val="20"/>
        </w:rPr>
      </w:pPr>
      <w:r w:rsidRPr="0049678A">
        <w:rPr>
          <w:rFonts w:ascii="Verdana" w:hAnsi="Verdana"/>
          <w:noProof/>
          <w:sz w:val="20"/>
          <w:szCs w:val="20"/>
        </w:rPr>
        <w:drawing>
          <wp:inline distT="0" distB="0" distL="0" distR="0">
            <wp:extent cx="5943600" cy="2914650"/>
            <wp:effectExtent l="0" t="0" r="0" b="0"/>
            <wp:docPr id="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914650"/>
                    </a:xfrm>
                    <a:prstGeom prst="rect">
                      <a:avLst/>
                    </a:prstGeom>
                    <a:noFill/>
                    <a:ln>
                      <a:noFill/>
                    </a:ln>
                  </pic:spPr>
                </pic:pic>
              </a:graphicData>
            </a:graphic>
          </wp:inline>
        </w:drawing>
      </w:r>
    </w:p>
    <w:p w:rsidR="00A10CDF" w:rsidRPr="0049678A" w:rsidRDefault="00402381" w:rsidP="00A10CDF">
      <w:pPr>
        <w:rPr>
          <w:rFonts w:ascii="Verdana" w:hAnsi="Verdana"/>
          <w:noProof/>
          <w:sz w:val="20"/>
          <w:szCs w:val="20"/>
        </w:rPr>
      </w:pPr>
      <w:r>
        <w:rPr>
          <w:rFonts w:ascii="Verdana" w:hAnsi="Verdana"/>
          <w:noProof/>
          <w:sz w:val="20"/>
          <w:szCs w:val="20"/>
        </w:rPr>
        <w:pict>
          <v:oval id="Oval 163" o:spid="_x0000_s1167" style="position:absolute;margin-left:-6.85pt;margin-top:79.2pt;width:82.2pt;height:204.4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" strokecolor="red" strokeweight="1.5pt">
            <v:fill opacity="7196f"/>
          </v:oval>
        </w:pict>
      </w:r>
      <w:r w:rsidR="00A10CDF" w:rsidRPr="0049678A">
        <w:rPr>
          <w:rFonts w:ascii="Verdana" w:hAnsi="Verdana"/>
          <w:noProof/>
          <w:sz w:val="20"/>
          <w:szCs w:val="20"/>
        </w:rPr>
        <w:drawing>
          <wp:inline distT="0" distB="0" distL="0" distR="0">
            <wp:extent cx="5934075" cy="3524250"/>
            <wp:effectExtent l="0" t="0" r="9525" b="0"/>
            <wp:docPr id="4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524250"/>
                    </a:xfrm>
                    <a:prstGeom prst="rect">
                      <a:avLst/>
                    </a:prstGeom>
                    <a:noFill/>
                    <a:ln>
                      <a:noFill/>
                    </a:ln>
                  </pic:spPr>
                </pic:pic>
              </a:graphicData>
            </a:graphic>
          </wp:inline>
        </w:drawing>
      </w: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207" w:name="_Toc293321470"/>
      <w:r w:rsidRPr="0049678A">
        <w:rPr>
          <w:rFonts w:ascii="Verdana" w:hAnsi="Verdana"/>
          <w:sz w:val="20"/>
          <w:szCs w:val="20"/>
        </w:rPr>
        <w:lastRenderedPageBreak/>
        <w:t>T22 - FMS Case Identifier</w:t>
      </w:r>
      <w:bookmarkEnd w:id="207"/>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T22: FMS Case Identifier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3AN</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FMS Case is used to reflect an FMS contractual sales agreement (Letter of Offer and Acceptance) between the U.S. and an eligible foreign country.</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Foreign Military Sales (FMS) Case Identifier must be 3 alpha-numeric characters.</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Authoritative source: http://www.dod.mil/comptroller/fmr/15/15_02.pdf</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T22</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Foreign Military Sales (FMS) Case Identifier must be used for financial reporting, budgetary control, and funds control.</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the system executes Foreign Military Sales (FMS) transactions, then each system must store and maintain FMS Case Identifier values.</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Foreign Military Sales (FMS) Case Identifier must have at least one Foreign Military Sales (FMS) Customer.</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Foreign Military Sales (FMS) Case Identifier must have at least one Foreign Military Sales (FMS) Case Line Item Identifier.</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C65E76">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C65E76">
        <w:tc>
          <w:tcPr>
            <w:tcW w:w="107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 Cross-Application Components - Classification System - Master Data -</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Characteristics</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CT04 </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2A427B">
        <w:trPr>
          <w:trHeight w:val="422"/>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CAWN</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ATWRT</w:t>
            </w:r>
          </w:p>
        </w:tc>
      </w:tr>
      <w:tr w:rsidR="00A10CDF" w:rsidRPr="0049678A" w:rsidTr="00C65E76">
        <w:trPr>
          <w:trHeight w:val="278"/>
        </w:trPr>
        <w:tc>
          <w:tcPr>
            <w:tcW w:w="2268" w:type="dxa"/>
            <w:shd w:val="clear" w:color="auto" w:fill="EEECE1"/>
          </w:tcPr>
          <w:p w:rsidR="00A10CDF" w:rsidRPr="0049678A" w:rsidRDefault="00A10CDF" w:rsidP="004F7F27">
            <w:pPr>
              <w:spacing w:after="0"/>
              <w:jc w:val="center"/>
              <w:rPr>
                <w:rFonts w:ascii="Verdana" w:hAnsi="Verdana"/>
                <w:sz w:val="20"/>
                <w:szCs w:val="20"/>
              </w:rPr>
            </w:pPr>
            <w:r w:rsidRPr="0049678A">
              <w:rPr>
                <w:rFonts w:ascii="Verdana" w:hAnsi="Verdana"/>
                <w:sz w:val="20"/>
                <w:szCs w:val="20"/>
              </w:rPr>
              <w:t>Related Transactions:</w:t>
            </w:r>
          </w:p>
        </w:tc>
        <w:tc>
          <w:tcPr>
            <w:tcW w:w="6948" w:type="dxa"/>
            <w:gridSpan w:val="3"/>
          </w:tcPr>
          <w:p w:rsidR="00A10CDF" w:rsidRPr="0049678A" w:rsidRDefault="00A10CDF" w:rsidP="004F7F27">
            <w:pPr>
              <w:spacing w:after="0"/>
              <w:rPr>
                <w:rFonts w:ascii="Verdana" w:hAnsi="Verdana"/>
                <w:sz w:val="20"/>
                <w:szCs w:val="20"/>
              </w:rPr>
            </w:pPr>
            <w:r w:rsidRPr="0049678A">
              <w:rPr>
                <w:rFonts w:ascii="Verdana" w:hAnsi="Verdana"/>
                <w:sz w:val="20"/>
                <w:szCs w:val="20"/>
              </w:rPr>
              <w:t>FM_FUNCTION, CT10</w:t>
            </w:r>
          </w:p>
        </w:tc>
      </w:tr>
    </w:tbl>
    <w:p w:rsidR="00A10CDF" w:rsidRPr="0049678A" w:rsidRDefault="00A10CDF" w:rsidP="00A10CDF">
      <w:pPr>
        <w:spacing w:after="0"/>
        <w:rPr>
          <w:rFonts w:ascii="Verdana" w:hAnsi="Verdana"/>
          <w:noProof/>
          <w:sz w:val="20"/>
          <w:szCs w:val="20"/>
        </w:rPr>
      </w:pPr>
      <w:r w:rsidRPr="0049678A">
        <w:rPr>
          <w:rFonts w:ascii="Verdana" w:hAnsi="Verdana"/>
          <w:noProof/>
          <w:sz w:val="20"/>
          <w:szCs w:val="20"/>
        </w:rPr>
        <w:t xml:space="preserve"> </w:t>
      </w: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b/>
          <w:color w:val="auto"/>
          <w:sz w:val="20"/>
          <w:szCs w:val="20"/>
        </w:rPr>
      </w:pPr>
      <w:r w:rsidRPr="0049678A">
        <w:rPr>
          <w:rFonts w:ascii="Verdana" w:hAnsi="Verdana"/>
          <w:sz w:val="20"/>
          <w:szCs w:val="20"/>
        </w:rPr>
        <w:lastRenderedPageBreak/>
        <w:t xml:space="preserve">Screenshot:  </w:t>
      </w:r>
      <w:r w:rsidRPr="0049678A">
        <w:rPr>
          <w:rFonts w:ascii="Verdana" w:hAnsi="Verdana"/>
          <w:color w:val="auto"/>
          <w:sz w:val="20"/>
          <w:szCs w:val="20"/>
        </w:rPr>
        <w:t>Location of “FMS Case Identifier” Display Field on Characteristics</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rPr>
          <w:rFonts w:ascii="Verdana" w:hAnsi="Verdana"/>
          <w:sz w:val="20"/>
          <w:szCs w:val="20"/>
        </w:rPr>
      </w:pPr>
      <w:r w:rsidRPr="0049678A">
        <w:rPr>
          <w:rFonts w:ascii="Verdana" w:hAnsi="Verdana"/>
          <w:noProof/>
          <w:sz w:val="20"/>
          <w:szCs w:val="20"/>
        </w:rPr>
        <w:drawing>
          <wp:inline distT="0" distB="0" distL="0" distR="0">
            <wp:extent cx="5943600" cy="3571875"/>
            <wp:effectExtent l="0" t="0" r="0" b="9525"/>
            <wp:docPr id="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571875"/>
                    </a:xfrm>
                    <a:prstGeom prst="rect">
                      <a:avLst/>
                    </a:prstGeom>
                    <a:noFill/>
                    <a:ln>
                      <a:noFill/>
                    </a:ln>
                  </pic:spPr>
                </pic:pic>
              </a:graphicData>
            </a:graphic>
          </wp:inline>
        </w:drawing>
      </w:r>
    </w:p>
    <w:p w:rsidR="00A10CDF" w:rsidRPr="0049678A" w:rsidRDefault="00402381" w:rsidP="00A10CDF">
      <w:pPr>
        <w:rPr>
          <w:rFonts w:ascii="Verdana" w:hAnsi="Verdana"/>
          <w:noProof/>
          <w:sz w:val="20"/>
          <w:szCs w:val="20"/>
        </w:rPr>
      </w:pPr>
      <w:r>
        <w:rPr>
          <w:rFonts w:ascii="Verdana" w:hAnsi="Verdana"/>
          <w:noProof/>
          <w:sz w:val="20"/>
          <w:szCs w:val="20"/>
        </w:rPr>
        <w:pict>
          <v:oval id="Oval 164" o:spid="_x0000_s1168" style="position:absolute;margin-left:6.75pt;margin-top:93.65pt;width:58.5pt;height:135.7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" strokecolor="red" strokeweight="1.5pt">
            <v:fill opacity="7196f"/>
          </v:oval>
        </w:pict>
      </w:r>
      <w:r w:rsidR="00A10CDF" w:rsidRPr="0049678A">
        <w:rPr>
          <w:rFonts w:ascii="Verdana" w:hAnsi="Verdana"/>
          <w:noProof/>
          <w:sz w:val="20"/>
          <w:szCs w:val="20"/>
        </w:rPr>
        <w:drawing>
          <wp:inline distT="0" distB="0" distL="0" distR="0">
            <wp:extent cx="5943600" cy="2771775"/>
            <wp:effectExtent l="0" t="0" r="0" b="9525"/>
            <wp:docPr id="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771775"/>
                    </a:xfrm>
                    <a:prstGeom prst="rect">
                      <a:avLst/>
                    </a:prstGeom>
                    <a:noFill/>
                    <a:ln>
                      <a:noFill/>
                    </a:ln>
                  </pic:spPr>
                </pic:pic>
              </a:graphicData>
            </a:graphic>
          </wp:inline>
        </w:drawing>
      </w:r>
    </w:p>
    <w:p w:rsidR="00A10CDF" w:rsidRPr="0049678A" w:rsidRDefault="00A10CDF" w:rsidP="00A10CDF">
      <w:pPr>
        <w:spacing w:after="0" w:line="240" w:lineRule="auto"/>
        <w:rPr>
          <w:rFonts w:ascii="Verdana" w:hAnsi="Verdana"/>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208" w:name="_Toc293321471"/>
      <w:r w:rsidRPr="0049678A">
        <w:rPr>
          <w:rFonts w:ascii="Verdana" w:hAnsi="Verdana"/>
          <w:sz w:val="20"/>
          <w:szCs w:val="20"/>
        </w:rPr>
        <w:lastRenderedPageBreak/>
        <w:t>T23 - FMS Case Line Item Identifier</w:t>
      </w:r>
      <w:bookmarkEnd w:id="208"/>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T23 - FMS Case Line Item Identifier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3AN</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Transactional Information</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The FMS Line is used to identify a detailed line item requirement contained within the (Letter of Offer and Acceptance).</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Foreign Military Sales (FMS) Case Line Item Identifier must be 3 alpha-numeric characters.</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Authoritative source: http://www.dod.mil/comptroller/fmr/15/15_02.pdf  </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T23</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Foreign Military Sales (FMS) Case Line Item Identifier must be used for financial reporting, budgetary control, and funds control.</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the system executes Foreign Military Sales (FMS) transactions, then each system must store and maintain FMS Case Line Item Identifier values.</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T23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Foreign Military Sales (FMS) Case Line Item Identifier must be associated with only one FMS Case Identifier.</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C65E76">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C65E76">
        <w:tc>
          <w:tcPr>
            <w:tcW w:w="107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 Cross-Application Components - Classification System - Master Data -</w:t>
            </w:r>
          </w:p>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Characteristics</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CT04 </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3B3BD0">
        <w:trPr>
          <w:trHeight w:val="395"/>
        </w:trPr>
        <w:tc>
          <w:tcPr>
            <w:tcW w:w="2268"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CAWN</w:t>
            </w:r>
          </w:p>
        </w:tc>
        <w:tc>
          <w:tcPr>
            <w:tcW w:w="1950" w:type="dxa"/>
            <w:tcBorders>
              <w:bottom w:val="nil"/>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nil"/>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ATWRT</w:t>
            </w:r>
          </w:p>
        </w:tc>
      </w:tr>
      <w:tr w:rsidR="00A10CDF" w:rsidRPr="0049678A" w:rsidTr="00C65E76">
        <w:trPr>
          <w:trHeight w:val="278"/>
        </w:trPr>
        <w:tc>
          <w:tcPr>
            <w:tcW w:w="2268" w:type="dxa"/>
            <w:shd w:val="clear" w:color="auto" w:fill="EEECE1"/>
          </w:tcPr>
          <w:p w:rsidR="00A10CDF" w:rsidRPr="0049678A" w:rsidRDefault="00A10CDF" w:rsidP="004F7F27">
            <w:pPr>
              <w:spacing w:after="0"/>
              <w:jc w:val="center"/>
              <w:rPr>
                <w:rFonts w:ascii="Verdana" w:hAnsi="Verdana"/>
                <w:sz w:val="20"/>
                <w:szCs w:val="20"/>
              </w:rPr>
            </w:pPr>
            <w:r w:rsidRPr="0049678A">
              <w:rPr>
                <w:rFonts w:ascii="Verdana" w:hAnsi="Verdana"/>
                <w:sz w:val="20"/>
                <w:szCs w:val="20"/>
              </w:rPr>
              <w:t>Related Transactions:</w:t>
            </w:r>
          </w:p>
        </w:tc>
        <w:tc>
          <w:tcPr>
            <w:tcW w:w="6948" w:type="dxa"/>
            <w:gridSpan w:val="3"/>
          </w:tcPr>
          <w:p w:rsidR="00A10CDF" w:rsidRPr="0049678A" w:rsidRDefault="00A10CDF" w:rsidP="004F7F27">
            <w:pPr>
              <w:spacing w:after="0"/>
              <w:rPr>
                <w:rFonts w:ascii="Verdana" w:hAnsi="Verdana"/>
                <w:sz w:val="20"/>
                <w:szCs w:val="20"/>
              </w:rPr>
            </w:pPr>
            <w:r w:rsidRPr="0049678A">
              <w:rPr>
                <w:rFonts w:ascii="Verdana" w:hAnsi="Verdana"/>
                <w:sz w:val="20"/>
                <w:szCs w:val="20"/>
              </w:rPr>
              <w:t>FM_FUNCTION</w:t>
            </w:r>
          </w:p>
        </w:tc>
      </w:tr>
    </w:tbl>
    <w:p w:rsidR="00A10CDF" w:rsidRPr="0049678A" w:rsidRDefault="00A10CDF" w:rsidP="00A10CDF">
      <w:pPr>
        <w:spacing w:after="0"/>
        <w:rPr>
          <w:rFonts w:ascii="Verdana" w:hAnsi="Verdana"/>
          <w:noProof/>
          <w:sz w:val="20"/>
          <w:szCs w:val="20"/>
        </w:rPr>
      </w:pPr>
      <w:r w:rsidRPr="0049678A">
        <w:rPr>
          <w:rFonts w:ascii="Verdana" w:hAnsi="Verdana"/>
          <w:noProof/>
          <w:sz w:val="20"/>
          <w:szCs w:val="20"/>
        </w:rPr>
        <w:t xml:space="preserve"> </w:t>
      </w:r>
    </w:p>
    <w:p w:rsidR="00A10CDF" w:rsidRPr="0049678A" w:rsidRDefault="00A10CDF" w:rsidP="00A10CDF">
      <w:pPr>
        <w:rPr>
          <w:rFonts w:ascii="Verdana" w:hAnsi="Verdana"/>
          <w:noProof/>
          <w:sz w:val="20"/>
          <w:szCs w:val="20"/>
        </w:rPr>
      </w:pPr>
    </w:p>
    <w:p w:rsidR="00A10CDF" w:rsidRPr="0049678A" w:rsidRDefault="00A10CDF" w:rsidP="00A10CDF">
      <w:pPr>
        <w:rPr>
          <w:rFonts w:ascii="Verdana" w:hAnsi="Verdana"/>
          <w:b/>
          <w:color w:val="002060"/>
          <w:sz w:val="20"/>
          <w:szCs w:val="20"/>
        </w:rPr>
      </w:pPr>
    </w:p>
    <w:p w:rsidR="00A10CDF" w:rsidRPr="0049678A" w:rsidRDefault="00A10CDF" w:rsidP="00A10CDF">
      <w:pPr>
        <w:rPr>
          <w:rFonts w:ascii="Verdana" w:hAnsi="Verdana"/>
          <w:b/>
          <w:color w:val="002060"/>
          <w:sz w:val="20"/>
          <w:szCs w:val="20"/>
        </w:rPr>
      </w:pPr>
    </w:p>
    <w:p w:rsidR="00A10CDF" w:rsidRPr="0049678A" w:rsidRDefault="00A10CDF" w:rsidP="00A10CDF">
      <w:pPr>
        <w:rPr>
          <w:rFonts w:ascii="Verdana" w:hAnsi="Verdana"/>
          <w:b/>
          <w:color w:val="002060"/>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b/>
          <w:color w:val="auto"/>
          <w:sz w:val="20"/>
          <w:szCs w:val="20"/>
        </w:rPr>
      </w:pPr>
      <w:r w:rsidRPr="0049678A">
        <w:rPr>
          <w:rFonts w:ascii="Verdana" w:hAnsi="Verdana"/>
          <w:sz w:val="20"/>
          <w:szCs w:val="20"/>
        </w:rPr>
        <w:lastRenderedPageBreak/>
        <w:t xml:space="preserve">Screenshot:  </w:t>
      </w:r>
      <w:r w:rsidRPr="0049678A">
        <w:rPr>
          <w:rFonts w:ascii="Verdana" w:hAnsi="Verdana"/>
          <w:color w:val="auto"/>
          <w:sz w:val="20"/>
          <w:szCs w:val="20"/>
        </w:rPr>
        <w:t>Location of “FMS Case Line Item Identifier” Display Field on Characteristics</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rPr>
          <w:rFonts w:ascii="Verdana" w:hAnsi="Verdana"/>
          <w:noProof/>
          <w:sz w:val="20"/>
          <w:szCs w:val="20"/>
        </w:rPr>
      </w:pPr>
      <w:r w:rsidRPr="0049678A">
        <w:rPr>
          <w:rFonts w:ascii="Verdana" w:hAnsi="Verdana"/>
          <w:noProof/>
          <w:sz w:val="20"/>
          <w:szCs w:val="20"/>
        </w:rPr>
        <w:drawing>
          <wp:inline distT="0" distB="0" distL="0" distR="0">
            <wp:extent cx="5943600" cy="3400425"/>
            <wp:effectExtent l="0" t="0" r="0" b="9525"/>
            <wp:docPr id="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400425"/>
                    </a:xfrm>
                    <a:prstGeom prst="rect">
                      <a:avLst/>
                    </a:prstGeom>
                    <a:noFill/>
                    <a:ln>
                      <a:noFill/>
                    </a:ln>
                  </pic:spPr>
                </pic:pic>
              </a:graphicData>
            </a:graphic>
          </wp:inline>
        </w:drawing>
      </w:r>
    </w:p>
    <w:p w:rsidR="00A10CDF" w:rsidRPr="0049678A" w:rsidRDefault="00402381" w:rsidP="00A10CDF">
      <w:pPr>
        <w:rPr>
          <w:rFonts w:ascii="Verdana" w:hAnsi="Verdana"/>
          <w:noProof/>
          <w:sz w:val="20"/>
          <w:szCs w:val="20"/>
        </w:rPr>
      </w:pPr>
      <w:r>
        <w:rPr>
          <w:rFonts w:ascii="Verdana" w:hAnsi="Verdana"/>
          <w:noProof/>
          <w:sz w:val="20"/>
          <w:szCs w:val="20"/>
        </w:rPr>
        <w:pict>
          <v:oval id="Oval 165" o:spid="_x0000_s1169" style="position:absolute;margin-left:8.25pt;margin-top:144.5pt;width:47.25pt;height:80.2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" strokecolor="red" strokeweight="1.5pt">
            <v:fill opacity="7196f"/>
          </v:oval>
        </w:pict>
      </w:r>
      <w:r w:rsidR="00A10CDF" w:rsidRPr="0049678A">
        <w:rPr>
          <w:rFonts w:ascii="Verdana" w:hAnsi="Verdana"/>
          <w:noProof/>
          <w:sz w:val="20"/>
          <w:szCs w:val="20"/>
        </w:rPr>
        <w:drawing>
          <wp:inline distT="0" distB="0" distL="0" distR="0">
            <wp:extent cx="5943600" cy="3038475"/>
            <wp:effectExtent l="0" t="0" r="0" b="9525"/>
            <wp:docPr id="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038475"/>
                    </a:xfrm>
                    <a:prstGeom prst="rect">
                      <a:avLst/>
                    </a:prstGeom>
                    <a:noFill/>
                    <a:ln>
                      <a:noFill/>
                    </a:ln>
                  </pic:spPr>
                </pic:pic>
              </a:graphicData>
            </a:graphic>
          </wp:inline>
        </w:drawing>
      </w:r>
    </w:p>
    <w:p w:rsidR="00A10CDF" w:rsidRPr="0049678A" w:rsidRDefault="00A10CDF" w:rsidP="00A10CDF">
      <w:pPr>
        <w:rPr>
          <w:rFonts w:ascii="Verdana" w:hAnsi="Verdana"/>
          <w:noProof/>
          <w:sz w:val="20"/>
          <w:szCs w:val="20"/>
        </w:rPr>
      </w:pP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209" w:name="_Toc293321472"/>
      <w:r w:rsidRPr="0049678A">
        <w:rPr>
          <w:rFonts w:ascii="Verdana" w:hAnsi="Verdana"/>
          <w:sz w:val="20"/>
          <w:szCs w:val="20"/>
        </w:rPr>
        <w:lastRenderedPageBreak/>
        <w:t>TP1 - Federal/Non-Federal Indicator</w:t>
      </w:r>
      <w:bookmarkEnd w:id="209"/>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TP1 - FMS Case Line Item Identifier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1</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Trading Partner Information</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Indicates the type of entity involved in transactions with the reporting entity (that is, other Federal entities (F) or Non Federal entities such as private or local/state/tribal/foreign governments (N)).  For FACTS I reporting, "F" equates to Federal and "N" equates to Non-Federal.  For FACTS II reporting, "F" equates to Federal, "N" equates to Non-Federal, and "E" equates to Non-Federal Exception.</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If the Navy records revenue for services performed for the Department of State, then the Navy would use the Federal/Non-Federal Indicator value of "F" for the transaction.</w:t>
            </w:r>
          </w:p>
          <w:p w:rsidR="00A10CDF" w:rsidRPr="0049678A" w:rsidRDefault="00A10CDF" w:rsidP="004F7F27">
            <w:pPr>
              <w:pStyle w:val="NoSpacing"/>
              <w:rPr>
                <w:rFonts w:ascii="Verdana" w:hAnsi="Verdana"/>
                <w:sz w:val="20"/>
                <w:szCs w:val="20"/>
              </w:rPr>
            </w:pPr>
          </w:p>
          <w:p w:rsidR="00A10CDF" w:rsidRPr="0049678A" w:rsidRDefault="00A10CDF" w:rsidP="004F7F27">
            <w:pPr>
              <w:pStyle w:val="NoSpacing"/>
              <w:rPr>
                <w:rFonts w:ascii="Verdana" w:hAnsi="Verdana"/>
                <w:sz w:val="20"/>
                <w:szCs w:val="20"/>
              </w:rPr>
            </w:pPr>
            <w:r w:rsidRPr="0049678A">
              <w:rPr>
                <w:rFonts w:ascii="Verdana" w:hAnsi="Verdana"/>
                <w:sz w:val="20"/>
                <w:szCs w:val="20"/>
              </w:rPr>
              <w:t>If a State or local government has a statute or another legal requirement prohibiting advancing funds for reimbursable work.</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TP1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If the Trading Partner Number has a value, Federal/Non-Federal Indicator Code value must be “F”.</w:t>
            </w:r>
          </w:p>
        </w:tc>
      </w:tr>
      <w:tr w:rsidR="00A10CDF" w:rsidRPr="0049678A" w:rsidTr="003B3BD0">
        <w:tc>
          <w:tcPr>
            <w:tcW w:w="68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TP1</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Federal/Non-Federal Indicator must be 1 alpha character.  ex. F</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Data values:  F - Federal </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N - Nonfederal </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                     E - Non-Federal Exception</w:t>
            </w:r>
          </w:p>
        </w:tc>
      </w:tr>
      <w:tr w:rsidR="00A10CDF" w:rsidRPr="0049678A" w:rsidTr="003B3BD0">
        <w:tc>
          <w:tcPr>
            <w:tcW w:w="68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TP1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Federal/Non-Federal Indicator must be used for general ledger posting and financial reporting.  </w:t>
            </w:r>
          </w:p>
        </w:tc>
      </w:tr>
      <w:tr w:rsidR="00A10CDF" w:rsidRPr="0049678A" w:rsidTr="003B3BD0">
        <w:tc>
          <w:tcPr>
            <w:tcW w:w="684" w:type="dxa"/>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TP1</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Federal/Non-Federal Indicator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2242A6">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2242A6">
        <w:tc>
          <w:tcPr>
            <w:tcW w:w="107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 </w:t>
            </w:r>
          </w:p>
          <w:p w:rsidR="00A10CDF" w:rsidRPr="0049678A" w:rsidRDefault="00A10CDF" w:rsidP="004F7F27">
            <w:pPr>
              <w:spacing w:after="0" w:line="240" w:lineRule="auto"/>
              <w:rPr>
                <w:rFonts w:ascii="Verdana" w:hAnsi="Verdana"/>
                <w:sz w:val="20"/>
                <w:szCs w:val="20"/>
              </w:rPr>
            </w:pP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Borders>
              <w:bottom w:val="single" w:sz="4" w:space="0" w:color="auto"/>
            </w:tcBorders>
          </w:tcPr>
          <w:p w:rsidR="00A10CDF" w:rsidRPr="0049678A" w:rsidRDefault="00A10CDF" w:rsidP="004F7F27">
            <w:pPr>
              <w:spacing w:after="0" w:line="240" w:lineRule="auto"/>
              <w:rPr>
                <w:rFonts w:ascii="Verdana" w:hAnsi="Verdana"/>
                <w:sz w:val="20"/>
                <w:szCs w:val="20"/>
              </w:rPr>
            </w:pPr>
          </w:p>
        </w:tc>
      </w:tr>
      <w:tr w:rsidR="00A10CDF" w:rsidRPr="0049678A" w:rsidTr="003B3BD0">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IUSFGFDERIVE</w:t>
            </w:r>
          </w:p>
        </w:tc>
        <w:tc>
          <w:tcPr>
            <w:tcW w:w="195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FLG_FEDERAL</w:t>
            </w:r>
          </w:p>
        </w:tc>
      </w:tr>
      <w:tr w:rsidR="00A10CDF" w:rsidRPr="0049678A" w:rsidTr="002242A6">
        <w:trPr>
          <w:trHeight w:val="278"/>
        </w:trPr>
        <w:tc>
          <w:tcPr>
            <w:tcW w:w="2268" w:type="dxa"/>
            <w:tcBorders>
              <w:top w:val="single" w:sz="4" w:space="0" w:color="auto"/>
            </w:tcBorders>
            <w:shd w:val="clear" w:color="auto" w:fill="EEECE1"/>
          </w:tcPr>
          <w:p w:rsidR="00A10CDF" w:rsidRPr="0049678A" w:rsidRDefault="00A10CDF" w:rsidP="004F7F27">
            <w:pPr>
              <w:spacing w:after="0"/>
              <w:jc w:val="center"/>
              <w:rPr>
                <w:rFonts w:ascii="Verdana" w:hAnsi="Verdana"/>
                <w:sz w:val="20"/>
                <w:szCs w:val="20"/>
              </w:rPr>
            </w:pPr>
            <w:r w:rsidRPr="0049678A">
              <w:rPr>
                <w:rFonts w:ascii="Verdana" w:hAnsi="Verdana"/>
                <w:sz w:val="20"/>
                <w:szCs w:val="20"/>
              </w:rPr>
              <w:t>Related Transactions:</w:t>
            </w:r>
          </w:p>
        </w:tc>
        <w:tc>
          <w:tcPr>
            <w:tcW w:w="6948" w:type="dxa"/>
            <w:gridSpan w:val="3"/>
            <w:tcBorders>
              <w:top w:val="single" w:sz="4" w:space="0" w:color="auto"/>
            </w:tcBorders>
          </w:tcPr>
          <w:p w:rsidR="00A10CDF" w:rsidRPr="0049678A" w:rsidRDefault="00A10CDF" w:rsidP="004F7F27">
            <w:pPr>
              <w:spacing w:after="0"/>
              <w:rPr>
                <w:rFonts w:ascii="Verdana" w:hAnsi="Verdana"/>
                <w:sz w:val="20"/>
                <w:szCs w:val="20"/>
              </w:rPr>
            </w:pPr>
            <w:r w:rsidRPr="0049678A">
              <w:rPr>
                <w:rFonts w:ascii="Verdana" w:hAnsi="Verdana"/>
                <w:sz w:val="20"/>
                <w:szCs w:val="20"/>
              </w:rPr>
              <w:t>FM_FUNCTION</w:t>
            </w:r>
          </w:p>
        </w:tc>
      </w:tr>
    </w:tbl>
    <w:p w:rsidR="00A10CDF" w:rsidRPr="0049678A" w:rsidRDefault="00A10CDF" w:rsidP="00A10CDF">
      <w:pPr>
        <w:pStyle w:val="Heading3"/>
        <w:spacing w:before="0" w:line="240" w:lineRule="auto"/>
        <w:rPr>
          <w:rFonts w:ascii="Verdana" w:hAnsi="Verdana"/>
          <w:b/>
          <w:noProof/>
          <w:sz w:val="20"/>
          <w:szCs w:val="20"/>
        </w:rPr>
      </w:pPr>
      <w:r w:rsidRPr="0049678A">
        <w:rPr>
          <w:rFonts w:ascii="Verdana" w:hAnsi="Verdana"/>
          <w:b/>
          <w:noProof/>
          <w:sz w:val="20"/>
          <w:szCs w:val="20"/>
        </w:rPr>
        <w:t xml:space="preserve"> </w:t>
      </w:r>
    </w:p>
    <w:p w:rsidR="00A10CDF" w:rsidRPr="0049678A" w:rsidRDefault="00A10CDF" w:rsidP="00A10CDF">
      <w:pPr>
        <w:pStyle w:val="Heading2"/>
        <w:rPr>
          <w:rFonts w:ascii="Verdana" w:hAnsi="Verdana"/>
          <w:b/>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“Federal / Non-Federal Indicator” Display Field on Characteristics</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pStyle w:val="Heading3"/>
        <w:rPr>
          <w:rFonts w:ascii="Verdana" w:hAnsi="Verdana"/>
          <w:noProof/>
          <w:sz w:val="20"/>
          <w:szCs w:val="20"/>
        </w:rPr>
      </w:pPr>
      <w:r w:rsidRPr="0049678A">
        <w:rPr>
          <w:rFonts w:ascii="Verdana" w:hAnsi="Verdana"/>
          <w:noProof/>
          <w:sz w:val="20"/>
          <w:szCs w:val="20"/>
        </w:rPr>
        <w:drawing>
          <wp:inline distT="0" distB="0" distL="0" distR="0">
            <wp:extent cx="5591175" cy="3409950"/>
            <wp:effectExtent l="0" t="0" r="9525" b="0"/>
            <wp:docPr id="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91175" cy="3409950"/>
                    </a:xfrm>
                    <a:prstGeom prst="rect">
                      <a:avLst/>
                    </a:prstGeom>
                    <a:noFill/>
                    <a:ln>
                      <a:noFill/>
                    </a:ln>
                  </pic:spPr>
                </pic:pic>
              </a:graphicData>
            </a:graphic>
          </wp:inline>
        </w:drawing>
      </w:r>
    </w:p>
    <w:p w:rsidR="00A10CDF" w:rsidRPr="0049678A" w:rsidRDefault="00402381" w:rsidP="00A10CDF">
      <w:pPr>
        <w:rPr>
          <w:rFonts w:ascii="Verdana" w:hAnsi="Verdana"/>
          <w:noProof/>
          <w:sz w:val="20"/>
          <w:szCs w:val="20"/>
        </w:rPr>
      </w:pPr>
      <w:r>
        <w:rPr>
          <w:rFonts w:ascii="Verdana" w:hAnsi="Verdana"/>
          <w:noProof/>
          <w:sz w:val="20"/>
          <w:szCs w:val="20"/>
        </w:rPr>
        <w:pict>
          <v:oval id="Oval 167" o:spid="_x0000_s1170" style="position:absolute;margin-left:347.35pt;margin-top:48.95pt;width:40.5pt;height:98.8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" strokecolor="red" strokeweight="1.5pt">
            <v:fill opacity="7196f"/>
          </v:oval>
        </w:pict>
      </w:r>
      <w:r w:rsidR="00A10CDF" w:rsidRPr="0049678A">
        <w:rPr>
          <w:rFonts w:ascii="Verdana" w:hAnsi="Verdana"/>
          <w:noProof/>
          <w:sz w:val="20"/>
          <w:szCs w:val="20"/>
        </w:rPr>
        <w:drawing>
          <wp:inline distT="0" distB="0" distL="0" distR="0">
            <wp:extent cx="5943600" cy="1704975"/>
            <wp:effectExtent l="0" t="0" r="0" b="9525"/>
            <wp:docPr id="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704975"/>
                    </a:xfrm>
                    <a:prstGeom prst="rect">
                      <a:avLst/>
                    </a:prstGeom>
                    <a:noFill/>
                    <a:ln>
                      <a:noFill/>
                    </a:ln>
                  </pic:spPr>
                </pic:pic>
              </a:graphicData>
            </a:graphic>
          </wp:inline>
        </w:drawing>
      </w:r>
    </w:p>
    <w:p w:rsidR="00A10CDF" w:rsidRPr="0049678A" w:rsidRDefault="00A10CDF" w:rsidP="00A10CDF">
      <w:pPr>
        <w:spacing w:after="0" w:line="240" w:lineRule="auto"/>
        <w:rPr>
          <w:rFonts w:ascii="Verdana" w:hAnsi="Verdana"/>
          <w:spacing w:val="5"/>
          <w:sz w:val="20"/>
          <w:szCs w:val="20"/>
        </w:rPr>
      </w:pPr>
      <w:r w:rsidRPr="0049678A">
        <w:rPr>
          <w:rFonts w:ascii="Verdana" w:hAnsi="Verdana"/>
          <w:sz w:val="20"/>
          <w:szCs w:val="20"/>
        </w:rPr>
        <w:br w:type="page"/>
      </w:r>
    </w:p>
    <w:p w:rsidR="00A10CDF" w:rsidRPr="0049678A" w:rsidRDefault="00A10CDF" w:rsidP="00A10CDF">
      <w:pPr>
        <w:pStyle w:val="Heading1"/>
        <w:rPr>
          <w:rFonts w:ascii="Verdana" w:hAnsi="Verdana"/>
          <w:sz w:val="20"/>
          <w:szCs w:val="20"/>
        </w:rPr>
      </w:pPr>
      <w:bookmarkStart w:id="210" w:name="_Toc293321473"/>
      <w:r w:rsidRPr="0049678A">
        <w:rPr>
          <w:rFonts w:ascii="Verdana" w:hAnsi="Verdana"/>
          <w:sz w:val="20"/>
          <w:szCs w:val="20"/>
        </w:rPr>
        <w:lastRenderedPageBreak/>
        <w:t>TP2 - Trading Partner Indicator Code</w:t>
      </w:r>
      <w:bookmarkEnd w:id="210"/>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TP2 - Trading Partner Indicator Code</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3</w:t>
            </w:r>
          </w:p>
        </w:tc>
      </w:tr>
      <w:tr w:rsidR="00A10CDF" w:rsidRPr="0049678A" w:rsidTr="003B3BD0">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Trading Partner Information</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The Trading Partner Indicator represents the Department Regular Code of the other Federal entity involved in transactions with the reporting entity.  Used in conjunction with the Federal/Nonfederal attribute of "F".   For example, the Department of the Navy records revenue for services performed for Department of State.  For the Navy revenue transaction, the Department of State will be considered a trading partner, and its Department Regular Code will be used as the Trading Partner Indicator.</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Examples of Federal (F) Trading Partner Indicators Using the Department Regular Code of the Agency:</w:t>
            </w:r>
          </w:p>
          <w:p w:rsidR="00A10CDF" w:rsidRPr="0049678A" w:rsidRDefault="00A10CDF" w:rsidP="004F7F27">
            <w:pPr>
              <w:pStyle w:val="NoSpacing"/>
              <w:rPr>
                <w:rFonts w:ascii="Verdana" w:hAnsi="Verdana"/>
                <w:sz w:val="20"/>
                <w:szCs w:val="20"/>
              </w:rPr>
            </w:pPr>
            <w:r w:rsidRPr="0049678A">
              <w:rPr>
                <w:rFonts w:ascii="Verdana" w:hAnsi="Verdana"/>
                <w:sz w:val="20"/>
                <w:szCs w:val="20"/>
              </w:rPr>
              <w:t>013 -Department of Commerce</w:t>
            </w:r>
          </w:p>
          <w:p w:rsidR="00A10CDF" w:rsidRPr="0049678A" w:rsidRDefault="00A10CDF" w:rsidP="004F7F27">
            <w:pPr>
              <w:pStyle w:val="NoSpacing"/>
              <w:rPr>
                <w:rFonts w:ascii="Verdana" w:hAnsi="Verdana"/>
                <w:sz w:val="20"/>
                <w:szCs w:val="20"/>
              </w:rPr>
            </w:pPr>
            <w:r w:rsidRPr="0049678A">
              <w:rPr>
                <w:rFonts w:ascii="Verdana" w:hAnsi="Verdana"/>
                <w:sz w:val="20"/>
                <w:szCs w:val="20"/>
              </w:rPr>
              <w:t>017- Department of the Navy</w:t>
            </w:r>
          </w:p>
          <w:p w:rsidR="00A10CDF" w:rsidRPr="0049678A" w:rsidRDefault="00A10CDF" w:rsidP="004F7F27">
            <w:pPr>
              <w:pStyle w:val="NoSpacing"/>
              <w:rPr>
                <w:rFonts w:ascii="Verdana" w:hAnsi="Verdana"/>
                <w:sz w:val="20"/>
                <w:szCs w:val="20"/>
              </w:rPr>
            </w:pPr>
            <w:r w:rsidRPr="0049678A">
              <w:rPr>
                <w:rFonts w:ascii="Verdana" w:hAnsi="Verdana"/>
                <w:sz w:val="20"/>
                <w:szCs w:val="20"/>
              </w:rPr>
              <w:t>011-Executive Office of the President</w:t>
            </w:r>
          </w:p>
          <w:p w:rsidR="00A10CDF" w:rsidRPr="0049678A" w:rsidRDefault="00A10CDF" w:rsidP="004F7F27">
            <w:pPr>
              <w:pStyle w:val="NoSpacing"/>
              <w:rPr>
                <w:rFonts w:ascii="Verdana" w:hAnsi="Verdana"/>
                <w:sz w:val="20"/>
                <w:szCs w:val="20"/>
              </w:rPr>
            </w:pPr>
            <w:r w:rsidRPr="0049678A">
              <w:rPr>
                <w:rFonts w:ascii="Verdana" w:hAnsi="Verdana"/>
                <w:sz w:val="20"/>
                <w:szCs w:val="20"/>
              </w:rPr>
              <w:t>019-Department of State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TP2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 Trading Partner Indicator Code value is required, whenever the trading partner is a federal entity.</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TP2</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Trading Partner Indicator Code must be 3 numeric characters.  ex. 017</w:t>
            </w:r>
          </w:p>
          <w:p w:rsidR="00A10CDF" w:rsidRPr="0049678A" w:rsidRDefault="00A10CDF" w:rsidP="004F7F27">
            <w:pPr>
              <w:pStyle w:val="NoSpacing"/>
              <w:rPr>
                <w:rFonts w:ascii="Verdana" w:hAnsi="Verdana"/>
                <w:sz w:val="20"/>
                <w:szCs w:val="20"/>
              </w:rPr>
            </w:pPr>
            <w:r w:rsidRPr="0049678A">
              <w:rPr>
                <w:rFonts w:ascii="Verdana" w:hAnsi="Verdana"/>
                <w:sz w:val="20"/>
                <w:szCs w:val="20"/>
              </w:rPr>
              <w:t>(Note:  Programs may use the two character code and derive the three character version - with a leading zero - at time of reporting if the software system in use has not yet been updated).</w:t>
            </w:r>
          </w:p>
          <w:p w:rsidR="00A10CDF" w:rsidRPr="0049678A" w:rsidRDefault="00A10CDF" w:rsidP="004F7F27">
            <w:pPr>
              <w:pStyle w:val="NoSpacing"/>
              <w:rPr>
                <w:rFonts w:ascii="Verdana" w:hAnsi="Verdana"/>
                <w:sz w:val="20"/>
                <w:szCs w:val="20"/>
              </w:rPr>
            </w:pPr>
            <w:r w:rsidRPr="0049678A">
              <w:rPr>
                <w:rFonts w:ascii="Verdana" w:hAnsi="Verdana"/>
                <w:sz w:val="20"/>
                <w:szCs w:val="20"/>
              </w:rPr>
              <w:t>Authoritative source:  http://fms.treas.gov/fastbook/</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TP2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Trading Partner Indicator Code must be used for general ledger posting and financial reporting.  </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TP2</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Trading Partner Indicator Code values.</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2242A6">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2242A6">
        <w:tc>
          <w:tcPr>
            <w:tcW w:w="107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768"/>
        <w:gridCol w:w="1950"/>
        <w:gridCol w:w="2230"/>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 </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FMUSFG1</w:t>
            </w:r>
          </w:p>
        </w:tc>
      </w:tr>
      <w:tr w:rsidR="00A10CDF" w:rsidRPr="0049678A" w:rsidTr="00112868">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Borders>
              <w:bottom w:val="single" w:sz="4" w:space="0" w:color="auto"/>
            </w:tcBorders>
          </w:tcPr>
          <w:p w:rsidR="00A10CDF" w:rsidRPr="0049678A" w:rsidRDefault="00A10CDF" w:rsidP="004F7F27">
            <w:pPr>
              <w:spacing w:after="0" w:line="240" w:lineRule="auto"/>
              <w:rPr>
                <w:rFonts w:ascii="Verdana" w:hAnsi="Verdana"/>
                <w:sz w:val="20"/>
                <w:szCs w:val="20"/>
              </w:rPr>
            </w:pPr>
          </w:p>
        </w:tc>
      </w:tr>
      <w:tr w:rsidR="00A10CDF" w:rsidRPr="0049678A" w:rsidTr="00112868">
        <w:trPr>
          <w:trHeight w:val="395"/>
        </w:trPr>
        <w:tc>
          <w:tcPr>
            <w:tcW w:w="2268" w:type="dxa"/>
            <w:tcBorders>
              <w:top w:val="single" w:sz="4" w:space="0" w:color="auto"/>
              <w:left w:val="single" w:sz="4" w:space="0" w:color="auto"/>
              <w:bottom w:val="single" w:sz="4" w:space="0" w:color="auto"/>
              <w:right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2768" w:type="dxa"/>
            <w:tcBorders>
              <w:top w:val="single" w:sz="4" w:space="0" w:color="auto"/>
              <w:left w:val="single" w:sz="4" w:space="0" w:color="auto"/>
              <w:bottom w:val="single" w:sz="4" w:space="0" w:color="auto"/>
              <w:right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IUSFGFDERIVE</w:t>
            </w:r>
          </w:p>
        </w:tc>
        <w:tc>
          <w:tcPr>
            <w:tcW w:w="1950" w:type="dxa"/>
            <w:tcBorders>
              <w:top w:val="single" w:sz="4" w:space="0" w:color="auto"/>
              <w:left w:val="single" w:sz="4" w:space="0" w:color="auto"/>
              <w:bottom w:val="single" w:sz="4" w:space="0" w:color="auto"/>
              <w:right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230" w:type="dxa"/>
            <w:tcBorders>
              <w:top w:val="single" w:sz="4" w:space="0" w:color="auto"/>
              <w:left w:val="single" w:sz="4" w:space="0" w:color="auto"/>
              <w:bottom w:val="single" w:sz="4" w:space="0" w:color="auto"/>
              <w:right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FLG_FEDERAL</w:t>
            </w:r>
          </w:p>
        </w:tc>
      </w:tr>
      <w:tr w:rsidR="00A10CDF" w:rsidRPr="0049678A" w:rsidTr="00112868">
        <w:trPr>
          <w:trHeight w:val="395"/>
        </w:trPr>
        <w:tc>
          <w:tcPr>
            <w:tcW w:w="2268" w:type="dxa"/>
            <w:tcBorders>
              <w:top w:val="single" w:sz="4" w:space="0" w:color="auto"/>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Related Transactions:</w:t>
            </w:r>
          </w:p>
        </w:tc>
        <w:tc>
          <w:tcPr>
            <w:tcW w:w="2768" w:type="dxa"/>
            <w:tcBorders>
              <w:top w:val="single" w:sz="4" w:space="0" w:color="auto"/>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FM_FUNCTION</w:t>
            </w:r>
          </w:p>
        </w:tc>
        <w:tc>
          <w:tcPr>
            <w:tcW w:w="1950" w:type="dxa"/>
            <w:tcBorders>
              <w:top w:val="single" w:sz="4" w:space="0" w:color="auto"/>
              <w:bottom w:val="single" w:sz="4" w:space="0" w:color="auto"/>
            </w:tcBorders>
            <w:shd w:val="clear" w:color="auto" w:fill="EEECE1"/>
          </w:tcPr>
          <w:p w:rsidR="00A10CDF" w:rsidRPr="0049678A" w:rsidRDefault="00A10CDF" w:rsidP="004F7F27">
            <w:pPr>
              <w:spacing w:after="0" w:line="240" w:lineRule="auto"/>
              <w:jc w:val="right"/>
              <w:rPr>
                <w:rFonts w:ascii="Verdana" w:hAnsi="Verdana"/>
                <w:sz w:val="20"/>
                <w:szCs w:val="20"/>
              </w:rPr>
            </w:pPr>
          </w:p>
        </w:tc>
        <w:tc>
          <w:tcPr>
            <w:tcW w:w="2230" w:type="dxa"/>
            <w:tcBorders>
              <w:top w:val="single" w:sz="4" w:space="0" w:color="auto"/>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b/>
          <w:color w:val="auto"/>
          <w:sz w:val="20"/>
          <w:szCs w:val="20"/>
        </w:rPr>
      </w:pPr>
      <w:r w:rsidRPr="0049678A">
        <w:rPr>
          <w:rFonts w:ascii="Verdana" w:hAnsi="Verdana"/>
          <w:sz w:val="20"/>
          <w:szCs w:val="20"/>
        </w:rPr>
        <w:t xml:space="preserve">Screenshot:  </w:t>
      </w:r>
      <w:r w:rsidRPr="0049678A">
        <w:rPr>
          <w:rFonts w:ascii="Verdana" w:hAnsi="Verdana"/>
          <w:color w:val="auto"/>
          <w:sz w:val="20"/>
          <w:szCs w:val="20"/>
        </w:rPr>
        <w:t>Location of “Trading Partner Indicator Code” Display Field on Characteristics</w:t>
      </w:r>
    </w:p>
    <w:p w:rsidR="00A10CDF" w:rsidRPr="0049678A" w:rsidRDefault="00A10CDF" w:rsidP="00A10CDF">
      <w:pPr>
        <w:spacing w:after="0" w:line="240" w:lineRule="auto"/>
        <w:rPr>
          <w:rFonts w:ascii="Verdana" w:hAnsi="Verdana"/>
          <w:sz w:val="20"/>
          <w:szCs w:val="20"/>
        </w:rPr>
      </w:pPr>
    </w:p>
    <w:p w:rsidR="00A10CDF" w:rsidRPr="00A64AA7" w:rsidRDefault="00402381" w:rsidP="00A64AA7">
      <w:pPr>
        <w:rPr>
          <w:rFonts w:ascii="Verdana" w:hAnsi="Verdana"/>
          <w:noProof/>
          <w:sz w:val="20"/>
          <w:szCs w:val="20"/>
        </w:rPr>
      </w:pPr>
      <w:r>
        <w:rPr>
          <w:rFonts w:ascii="Verdana" w:hAnsi="Verdana"/>
          <w:noProof/>
          <w:sz w:val="20"/>
          <w:szCs w:val="20"/>
        </w:rPr>
        <w:pict>
          <v:oval id="Oval 168" o:spid="_x0000_s1171" style="position:absolute;margin-left:323.25pt;margin-top:288.7pt;width:43.5pt;height:78.7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" strokecolor="red" strokeweight="1.5pt">
            <v:fill opacity="7196f"/>
          </v:oval>
        </w:pict>
      </w:r>
      <w:r w:rsidR="00A10CDF" w:rsidRPr="0049678A">
        <w:rPr>
          <w:rFonts w:ascii="Verdana" w:hAnsi="Verdana"/>
          <w:noProof/>
          <w:sz w:val="20"/>
          <w:szCs w:val="20"/>
        </w:rPr>
        <w:t xml:space="preserve"> </w:t>
      </w:r>
      <w:r w:rsidR="00A10CDF" w:rsidRPr="0049678A">
        <w:rPr>
          <w:rFonts w:ascii="Verdana" w:hAnsi="Verdana"/>
          <w:noProof/>
          <w:sz w:val="20"/>
          <w:szCs w:val="20"/>
        </w:rPr>
        <w:drawing>
          <wp:inline distT="0" distB="0" distL="0" distR="0">
            <wp:extent cx="5610225" cy="2371725"/>
            <wp:effectExtent l="0" t="0" r="9525" b="9525"/>
            <wp:docPr id="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2371725"/>
                    </a:xfrm>
                    <a:prstGeom prst="rect">
                      <a:avLst/>
                    </a:prstGeom>
                    <a:noFill/>
                    <a:ln>
                      <a:noFill/>
                    </a:ln>
                  </pic:spPr>
                </pic:pic>
              </a:graphicData>
            </a:graphic>
          </wp:inline>
        </w:drawing>
      </w:r>
      <w:r w:rsidR="00A10CDF" w:rsidRPr="0049678A">
        <w:rPr>
          <w:rFonts w:ascii="Verdana" w:hAnsi="Verdana"/>
          <w:noProof/>
          <w:sz w:val="20"/>
          <w:szCs w:val="20"/>
        </w:rPr>
        <w:t xml:space="preserve"> </w:t>
      </w:r>
      <w:r w:rsidR="00A10CDF" w:rsidRPr="0049678A">
        <w:rPr>
          <w:rFonts w:ascii="Verdana" w:hAnsi="Verdana"/>
          <w:noProof/>
          <w:sz w:val="20"/>
          <w:szCs w:val="20"/>
        </w:rPr>
        <w:drawing>
          <wp:inline distT="0" distB="0" distL="0" distR="0">
            <wp:extent cx="5943600" cy="2261870"/>
            <wp:effectExtent l="0" t="0" r="0" b="5080"/>
            <wp:docPr id="9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print"/>
                    <a:stretch>
                      <a:fillRect/>
                    </a:stretch>
                  </pic:blipFill>
                  <pic:spPr>
                    <a:xfrm>
                      <a:off x="0" y="0"/>
                      <a:ext cx="5943600" cy="2261870"/>
                    </a:xfrm>
                    <a:prstGeom prst="rect">
                      <a:avLst/>
                    </a:prstGeom>
                  </pic:spPr>
                </pic:pic>
              </a:graphicData>
            </a:graphic>
          </wp:inline>
        </w:drawing>
      </w:r>
    </w:p>
    <w:p w:rsidR="00A10CDF" w:rsidRPr="0049678A" w:rsidRDefault="00A10CDF" w:rsidP="00A10CDF">
      <w:pPr>
        <w:pStyle w:val="Heading1"/>
        <w:rPr>
          <w:rFonts w:ascii="Verdana" w:hAnsi="Verdana"/>
          <w:sz w:val="20"/>
          <w:szCs w:val="20"/>
        </w:rPr>
      </w:pPr>
      <w:bookmarkStart w:id="211" w:name="_Toc293321474"/>
      <w:r w:rsidRPr="0049678A">
        <w:rPr>
          <w:rFonts w:ascii="Verdana" w:hAnsi="Verdana"/>
          <w:sz w:val="20"/>
          <w:szCs w:val="20"/>
        </w:rPr>
        <w:t>TP3 - Business Partner Number</w:t>
      </w:r>
      <w:bookmarkEnd w:id="211"/>
    </w:p>
    <w:tbl>
      <w:tblPr>
        <w:tblW w:w="48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420"/>
        <w:gridCol w:w="1400"/>
        <w:gridCol w:w="1400"/>
      </w:tblGrid>
      <w:tr w:rsidR="00A10CDF" w:rsidRPr="0049678A" w:rsidTr="003B3BD0">
        <w:tc>
          <w:tcPr>
            <w:tcW w:w="2000" w:type="dxa"/>
            <w:tcBorders>
              <w:bottom w:val="single" w:sz="4" w:space="0" w:color="auto"/>
            </w:tcBorders>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Element:</w:t>
            </w:r>
          </w:p>
        </w:tc>
        <w:tc>
          <w:tcPr>
            <w:tcW w:w="4420" w:type="dxa"/>
            <w:shd w:val="clear" w:color="auto" w:fill="95B3D7"/>
          </w:tcPr>
          <w:p w:rsidR="00A10CDF" w:rsidRPr="0049678A" w:rsidRDefault="00A10CDF" w:rsidP="004F7F27">
            <w:pPr>
              <w:pStyle w:val="NoSpacing"/>
              <w:jc w:val="center"/>
              <w:rPr>
                <w:rFonts w:ascii="Verdana" w:hAnsi="Verdana"/>
                <w:sz w:val="20"/>
                <w:szCs w:val="20"/>
              </w:rPr>
            </w:pPr>
            <w:r w:rsidRPr="0049678A">
              <w:rPr>
                <w:rFonts w:ascii="Verdana" w:hAnsi="Verdana"/>
                <w:sz w:val="20"/>
                <w:szCs w:val="20"/>
              </w:rPr>
              <w:t>TP3 - Business Partner Number</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Length:</w:t>
            </w:r>
          </w:p>
        </w:tc>
        <w:tc>
          <w:tcPr>
            <w:tcW w:w="1400" w:type="dxa"/>
            <w:shd w:val="clear" w:color="auto" w:fill="95B3D7"/>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9AN</w:t>
            </w:r>
          </w:p>
        </w:tc>
      </w:tr>
      <w:tr w:rsidR="00A10CDF" w:rsidRPr="0049678A" w:rsidTr="00806861">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SFIS Component: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Trading Partner Information</w:t>
            </w:r>
          </w:p>
        </w:tc>
      </w:tr>
      <w:tr w:rsidR="00A10CDF" w:rsidRPr="0049678A" w:rsidTr="00691805">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Description:</w:t>
            </w:r>
          </w:p>
        </w:tc>
        <w:tc>
          <w:tcPr>
            <w:tcW w:w="7220" w:type="dxa"/>
            <w:gridSpan w:val="3"/>
          </w:tcPr>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The Business Partner Network number is a unique, 9-character alpha-numeric identifier.  It is primarily used to identify buying or selling entities processing intra-governmental transactions.  The Federal Agency Registration (Fed </w:t>
            </w:r>
            <w:proofErr w:type="spellStart"/>
            <w:r w:rsidRPr="0049678A">
              <w:rPr>
                <w:rFonts w:ascii="Verdana" w:hAnsi="Verdana"/>
                <w:sz w:val="20"/>
                <w:szCs w:val="20"/>
              </w:rPr>
              <w:t>Reg</w:t>
            </w:r>
            <w:proofErr w:type="spellEnd"/>
            <w:r w:rsidRPr="0049678A">
              <w:rPr>
                <w:rFonts w:ascii="Verdana" w:hAnsi="Verdana"/>
                <w:sz w:val="20"/>
                <w:szCs w:val="20"/>
              </w:rPr>
              <w:t xml:space="preserve">) site is the registration point and authoritative source for BPN numbers and associated registration data. Federal civilian agencies have obtained Data </w:t>
            </w:r>
            <w:r w:rsidRPr="0049678A">
              <w:rPr>
                <w:rFonts w:ascii="Verdana" w:hAnsi="Verdana"/>
                <w:sz w:val="20"/>
                <w:szCs w:val="20"/>
              </w:rPr>
              <w:lastRenderedPageBreak/>
              <w:t xml:space="preserve">Universal Numbering System (DUNS) numbers from Dun and Bradstreet for use as </w:t>
            </w:r>
            <w:bookmarkStart w:id="212" w:name="OLE_LINK11"/>
            <w:r w:rsidRPr="0049678A">
              <w:rPr>
                <w:rFonts w:ascii="Verdana" w:hAnsi="Verdana"/>
                <w:sz w:val="20"/>
                <w:szCs w:val="20"/>
              </w:rPr>
              <w:t xml:space="preserve">Business Partner Number </w:t>
            </w:r>
            <w:bookmarkEnd w:id="212"/>
            <w:r w:rsidRPr="0049678A">
              <w:rPr>
                <w:rFonts w:ascii="Verdana" w:hAnsi="Verdana"/>
                <w:sz w:val="20"/>
                <w:szCs w:val="20"/>
              </w:rPr>
              <w:t xml:space="preserve">(BPN) numbers.  </w:t>
            </w:r>
            <w:proofErr w:type="spellStart"/>
            <w:r w:rsidRPr="0049678A">
              <w:rPr>
                <w:rFonts w:ascii="Verdana" w:hAnsi="Verdana"/>
                <w:sz w:val="20"/>
                <w:szCs w:val="20"/>
              </w:rPr>
              <w:t>DoD</w:t>
            </w:r>
            <w:proofErr w:type="spellEnd"/>
            <w:r w:rsidRPr="0049678A">
              <w:rPr>
                <w:rFonts w:ascii="Verdana" w:hAnsi="Verdana"/>
                <w:sz w:val="20"/>
                <w:szCs w:val="20"/>
              </w:rPr>
              <w:t xml:space="preserve"> uses an equivalent BPN, which consists of the letters “DOD” and the 6-character Department of Defense Activity Address Code (</w:t>
            </w:r>
            <w:proofErr w:type="spellStart"/>
            <w:r w:rsidRPr="0049678A">
              <w:rPr>
                <w:rFonts w:ascii="Verdana" w:hAnsi="Verdana"/>
                <w:sz w:val="20"/>
                <w:szCs w:val="20"/>
              </w:rPr>
              <w:t>DoDAAC</w:t>
            </w:r>
            <w:proofErr w:type="spellEnd"/>
            <w:r w:rsidRPr="0049678A">
              <w:rPr>
                <w:rFonts w:ascii="Verdana" w:hAnsi="Verdana"/>
                <w:sz w:val="20"/>
                <w:szCs w:val="20"/>
              </w:rPr>
              <w:t xml:space="preserve">).  Both the DUNS and TPN are considered BPN numbers as they meet Fed </w:t>
            </w:r>
            <w:proofErr w:type="spellStart"/>
            <w:r w:rsidRPr="0049678A">
              <w:rPr>
                <w:rFonts w:ascii="Verdana" w:hAnsi="Verdana"/>
                <w:sz w:val="20"/>
                <w:szCs w:val="20"/>
              </w:rPr>
              <w:t>Reg</w:t>
            </w:r>
            <w:proofErr w:type="spellEnd"/>
            <w:r w:rsidRPr="0049678A">
              <w:rPr>
                <w:rFonts w:ascii="Verdana" w:hAnsi="Verdana"/>
                <w:sz w:val="20"/>
                <w:szCs w:val="20"/>
              </w:rPr>
              <w:t xml:space="preserve"> requirements and are unique identifiers.</w:t>
            </w:r>
          </w:p>
        </w:tc>
      </w:tr>
      <w:tr w:rsidR="00A10CDF" w:rsidRPr="0049678A" w:rsidTr="00806861">
        <w:tc>
          <w:tcPr>
            <w:tcW w:w="200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Example:</w:t>
            </w:r>
          </w:p>
        </w:tc>
        <w:tc>
          <w:tcPr>
            <w:tcW w:w="7220" w:type="dxa"/>
            <w:gridSpan w:val="3"/>
            <w:shd w:val="clear" w:color="auto" w:fill="FFFFFF"/>
          </w:tcPr>
          <w:p w:rsidR="00A10CDF" w:rsidRPr="0049678A" w:rsidRDefault="00A10CDF" w:rsidP="004F7F27">
            <w:pPr>
              <w:pStyle w:val="NoSpacing"/>
              <w:rPr>
                <w:rFonts w:ascii="Verdana" w:hAnsi="Verdana"/>
                <w:sz w:val="20"/>
                <w:szCs w:val="20"/>
              </w:rPr>
            </w:pPr>
            <w:r w:rsidRPr="0049678A">
              <w:rPr>
                <w:rFonts w:ascii="Verdana" w:hAnsi="Verdana"/>
                <w:sz w:val="20"/>
                <w:szCs w:val="20"/>
              </w:rPr>
              <w:t>Sample DOD Business Partner Numbers (DOD+DODAAC No.):</w:t>
            </w:r>
          </w:p>
          <w:p w:rsidR="00A10CDF" w:rsidRPr="0049678A" w:rsidRDefault="00A10CDF" w:rsidP="004F7F27">
            <w:pPr>
              <w:pStyle w:val="NoSpacing"/>
              <w:rPr>
                <w:rFonts w:ascii="Verdana" w:hAnsi="Verdana"/>
                <w:sz w:val="20"/>
                <w:szCs w:val="20"/>
              </w:rPr>
            </w:pPr>
            <w:r w:rsidRPr="0049678A">
              <w:rPr>
                <w:rFonts w:ascii="Verdana" w:hAnsi="Verdana"/>
                <w:sz w:val="20"/>
                <w:szCs w:val="20"/>
              </w:rPr>
              <w:t>"DODF28500 - HQ AFCEE/ERB"</w:t>
            </w:r>
          </w:p>
          <w:p w:rsidR="00A10CDF" w:rsidRPr="0049678A" w:rsidRDefault="00A10CDF" w:rsidP="004F7F27">
            <w:pPr>
              <w:pStyle w:val="NoSpacing"/>
              <w:rPr>
                <w:rFonts w:ascii="Verdana" w:hAnsi="Verdana"/>
                <w:sz w:val="20"/>
                <w:szCs w:val="20"/>
              </w:rPr>
            </w:pPr>
            <w:r w:rsidRPr="0049678A">
              <w:rPr>
                <w:rFonts w:ascii="Verdana" w:hAnsi="Verdana"/>
                <w:sz w:val="20"/>
                <w:szCs w:val="20"/>
              </w:rPr>
              <w:t>"DODHC1016- Defense Information Systems Agency"</w:t>
            </w:r>
          </w:p>
          <w:p w:rsidR="00A10CDF" w:rsidRPr="0049678A" w:rsidRDefault="00A10CDF" w:rsidP="004F7F27">
            <w:pPr>
              <w:pStyle w:val="NoSpacing"/>
              <w:rPr>
                <w:rFonts w:ascii="Verdana" w:hAnsi="Verdana"/>
                <w:sz w:val="20"/>
                <w:szCs w:val="20"/>
              </w:rPr>
            </w:pPr>
            <w:r w:rsidRPr="0049678A">
              <w:rPr>
                <w:rFonts w:ascii="Verdana" w:hAnsi="Verdana"/>
                <w:sz w:val="20"/>
                <w:szCs w:val="20"/>
              </w:rPr>
              <w:t>"DODN31698 - Office of the Secretary of the Navy"</w:t>
            </w:r>
          </w:p>
          <w:p w:rsidR="00A10CDF" w:rsidRPr="0049678A" w:rsidRDefault="00A10CDF" w:rsidP="004F7F27">
            <w:pPr>
              <w:pStyle w:val="NoSpacing"/>
              <w:rPr>
                <w:rFonts w:ascii="Verdana" w:hAnsi="Verdana"/>
                <w:sz w:val="20"/>
                <w:szCs w:val="20"/>
              </w:rPr>
            </w:pPr>
            <w:r w:rsidRPr="0049678A">
              <w:rPr>
                <w:rFonts w:ascii="Verdana" w:hAnsi="Verdana"/>
                <w:sz w:val="20"/>
                <w:szCs w:val="20"/>
              </w:rPr>
              <w:t xml:space="preserve">Sample Business Partner Numbers Outside of </w:t>
            </w:r>
            <w:proofErr w:type="spellStart"/>
            <w:r w:rsidRPr="0049678A">
              <w:rPr>
                <w:rFonts w:ascii="Verdana" w:hAnsi="Verdana"/>
                <w:sz w:val="20"/>
                <w:szCs w:val="20"/>
              </w:rPr>
              <w:t>DoD</w:t>
            </w:r>
            <w:proofErr w:type="spellEnd"/>
            <w:r w:rsidRPr="0049678A">
              <w:rPr>
                <w:rFonts w:ascii="Verdana" w:hAnsi="Verdana"/>
                <w:sz w:val="20"/>
                <w:szCs w:val="20"/>
              </w:rPr>
              <w:t xml:space="preserve"> </w:t>
            </w:r>
          </w:p>
          <w:p w:rsidR="00A10CDF" w:rsidRPr="0049678A" w:rsidRDefault="00A10CDF" w:rsidP="004F7F27">
            <w:pPr>
              <w:pStyle w:val="NoSpacing"/>
              <w:rPr>
                <w:rFonts w:ascii="Verdana" w:hAnsi="Verdana"/>
                <w:sz w:val="20"/>
                <w:szCs w:val="20"/>
              </w:rPr>
            </w:pPr>
            <w:r w:rsidRPr="0049678A">
              <w:rPr>
                <w:rFonts w:ascii="Verdana" w:hAnsi="Verdana"/>
                <w:sz w:val="20"/>
                <w:szCs w:val="20"/>
              </w:rPr>
              <w:t>"DUNS No. (9 Digits)" + 4 Digits (to designate a location or unit within the organization identified by the DUNS No.)</w:t>
            </w:r>
          </w:p>
        </w:tc>
      </w:tr>
      <w:tr w:rsidR="00A10CDF" w:rsidRPr="0049678A" w:rsidTr="00806861">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Comment:</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None</w:t>
            </w:r>
          </w:p>
        </w:tc>
      </w:tr>
      <w:tr w:rsidR="00A10CDF" w:rsidRPr="0049678A" w:rsidTr="003B3BD0">
        <w:tc>
          <w:tcPr>
            <w:tcW w:w="20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Source:</w:t>
            </w:r>
          </w:p>
        </w:tc>
        <w:tc>
          <w:tcPr>
            <w:tcW w:w="7220"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http://fms.treas.gov/fastbook/</w:t>
            </w: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BUSINESS RULES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8532"/>
      </w:tblGrid>
      <w:tr w:rsidR="00A10CDF" w:rsidRPr="0049678A" w:rsidTr="003B3BD0">
        <w:tc>
          <w:tcPr>
            <w:tcW w:w="684"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w:t>
            </w:r>
          </w:p>
        </w:tc>
        <w:tc>
          <w:tcPr>
            <w:tcW w:w="853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Business Rule</w:t>
            </w:r>
          </w:p>
        </w:tc>
      </w:tr>
      <w:tr w:rsidR="00A10CDF" w:rsidRPr="0049678A" w:rsidTr="003B3BD0">
        <w:trPr>
          <w:trHeight w:val="305"/>
        </w:trPr>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TP3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BPN Number from the Business Partner Network must be used in conjunction with Department Regular Code, Main Account Code and Sub-Account Code for eliminations.</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TP3</w:t>
            </w:r>
          </w:p>
        </w:tc>
        <w:tc>
          <w:tcPr>
            <w:tcW w:w="8532" w:type="dxa"/>
          </w:tcPr>
          <w:p w:rsidR="00A10CDF" w:rsidRPr="0049678A" w:rsidRDefault="00A10CDF" w:rsidP="004F7F27">
            <w:pPr>
              <w:pStyle w:val="NoSpacing"/>
              <w:rPr>
                <w:rFonts w:ascii="Verdana" w:hAnsi="Verdana"/>
                <w:sz w:val="20"/>
                <w:szCs w:val="20"/>
              </w:rPr>
            </w:pPr>
            <w:r w:rsidRPr="0049678A">
              <w:rPr>
                <w:rFonts w:ascii="Verdana" w:hAnsi="Verdana"/>
                <w:sz w:val="20"/>
                <w:szCs w:val="20"/>
              </w:rPr>
              <w:t>The Business Partner Network (BPN) Number for each Federal civilian agency, or Non-government entity, must be the nine digit Data Universal Numbering System (DUNS).</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TP3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The Business Partner Network (BPN) Number for </w:t>
            </w:r>
            <w:proofErr w:type="spellStart"/>
            <w:r w:rsidRPr="0049678A">
              <w:rPr>
                <w:rFonts w:ascii="Verdana" w:hAnsi="Verdana" w:cs="Arial"/>
                <w:bCs/>
                <w:sz w:val="20"/>
                <w:szCs w:val="20"/>
              </w:rPr>
              <w:t>DoD</w:t>
            </w:r>
            <w:proofErr w:type="spellEnd"/>
            <w:r w:rsidRPr="0049678A">
              <w:rPr>
                <w:rFonts w:ascii="Verdana" w:hAnsi="Verdana" w:cs="Arial"/>
                <w:bCs/>
                <w:sz w:val="20"/>
                <w:szCs w:val="20"/>
              </w:rPr>
              <w:t xml:space="preserve"> must be </w:t>
            </w:r>
            <w:proofErr w:type="spellStart"/>
            <w:r w:rsidRPr="0049678A">
              <w:rPr>
                <w:rFonts w:ascii="Verdana" w:hAnsi="Verdana" w:cs="Arial"/>
                <w:bCs/>
                <w:sz w:val="20"/>
                <w:szCs w:val="20"/>
              </w:rPr>
              <w:t>DoD</w:t>
            </w:r>
            <w:proofErr w:type="spellEnd"/>
            <w:r w:rsidRPr="0049678A">
              <w:rPr>
                <w:rFonts w:ascii="Verdana" w:hAnsi="Verdana" w:cs="Arial"/>
                <w:bCs/>
                <w:sz w:val="20"/>
                <w:szCs w:val="20"/>
              </w:rPr>
              <w:t xml:space="preserve"> plus the six characters </w:t>
            </w:r>
            <w:proofErr w:type="spellStart"/>
            <w:r w:rsidRPr="0049678A">
              <w:rPr>
                <w:rFonts w:ascii="Verdana" w:hAnsi="Verdana" w:cs="Arial"/>
                <w:bCs/>
                <w:sz w:val="20"/>
                <w:szCs w:val="20"/>
              </w:rPr>
              <w:t>DoD</w:t>
            </w:r>
            <w:proofErr w:type="spellEnd"/>
            <w:r w:rsidRPr="0049678A">
              <w:rPr>
                <w:rFonts w:ascii="Verdana" w:hAnsi="Verdana" w:cs="Arial"/>
                <w:bCs/>
                <w:sz w:val="20"/>
                <w:szCs w:val="20"/>
              </w:rPr>
              <w:t xml:space="preserve"> Activity Address Code (</w:t>
            </w:r>
            <w:proofErr w:type="spellStart"/>
            <w:r w:rsidRPr="0049678A">
              <w:rPr>
                <w:rFonts w:ascii="Verdana" w:hAnsi="Verdana" w:cs="Arial"/>
                <w:bCs/>
                <w:sz w:val="20"/>
                <w:szCs w:val="20"/>
              </w:rPr>
              <w:t>DoDAAC</w:t>
            </w:r>
            <w:proofErr w:type="spellEnd"/>
            <w:r w:rsidRPr="0049678A">
              <w:rPr>
                <w:rFonts w:ascii="Verdana" w:hAnsi="Verdana" w:cs="Arial"/>
                <w:bCs/>
                <w:sz w:val="20"/>
                <w:szCs w:val="20"/>
              </w:rPr>
              <w:t>).</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TP3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System must ensure that all Intra-government Transactions contain a BPN Number.</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TP3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Business Partner Number must be 9 alpha-numeric characters.  ex. DoDN31698</w:t>
            </w:r>
          </w:p>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Authoritative source:  http://www.bpn.gov/</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TP3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Business Partner Number must be used for general ledger posting and financial reporting for any transaction involving a Federal Government/Non-Federal Exception vendor or customer.</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TP3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Each accounting system must store and maintain Business Partner Number values.</w:t>
            </w:r>
          </w:p>
        </w:tc>
      </w:tr>
      <w:tr w:rsidR="00A10CDF" w:rsidRPr="0049678A" w:rsidTr="003B3BD0">
        <w:tc>
          <w:tcPr>
            <w:tcW w:w="684" w:type="dxa"/>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TP3</w:t>
            </w:r>
          </w:p>
        </w:tc>
        <w:tc>
          <w:tcPr>
            <w:tcW w:w="8532" w:type="dxa"/>
          </w:tcPr>
          <w:p w:rsidR="00A10CDF" w:rsidRPr="0049678A" w:rsidRDefault="00A10CDF" w:rsidP="004F7F27">
            <w:pPr>
              <w:spacing w:after="0" w:line="240" w:lineRule="auto"/>
              <w:rPr>
                <w:rFonts w:ascii="Verdana" w:hAnsi="Verdana" w:cs="Arial"/>
                <w:bCs/>
                <w:sz w:val="20"/>
                <w:szCs w:val="20"/>
              </w:rPr>
            </w:pPr>
            <w:r w:rsidRPr="0049678A">
              <w:rPr>
                <w:rFonts w:ascii="Verdana" w:hAnsi="Verdana" w:cs="Arial"/>
                <w:bCs/>
                <w:sz w:val="20"/>
                <w:szCs w:val="20"/>
              </w:rPr>
              <w:t xml:space="preserve">The system may derive the proper BPN value off of the </w:t>
            </w:r>
            <w:proofErr w:type="spellStart"/>
            <w:r w:rsidRPr="0049678A">
              <w:rPr>
                <w:rFonts w:ascii="Verdana" w:hAnsi="Verdana" w:cs="Arial"/>
                <w:bCs/>
                <w:sz w:val="20"/>
                <w:szCs w:val="20"/>
              </w:rPr>
              <w:t>DoDAAC</w:t>
            </w:r>
            <w:proofErr w:type="spellEnd"/>
            <w:r w:rsidRPr="0049678A">
              <w:rPr>
                <w:rFonts w:ascii="Verdana" w:hAnsi="Verdana" w:cs="Arial"/>
                <w:bCs/>
                <w:sz w:val="20"/>
                <w:szCs w:val="20"/>
              </w:rPr>
              <w:t xml:space="preserve"> when communicating outside the system by appending the characters “DOD” to the </w:t>
            </w:r>
            <w:proofErr w:type="spellStart"/>
            <w:r w:rsidRPr="0049678A">
              <w:rPr>
                <w:rFonts w:ascii="Verdana" w:hAnsi="Verdana" w:cs="Arial"/>
                <w:bCs/>
                <w:sz w:val="20"/>
                <w:szCs w:val="20"/>
              </w:rPr>
              <w:t>DoDAAC</w:t>
            </w:r>
            <w:proofErr w:type="spellEnd"/>
            <w:r w:rsidRPr="0049678A">
              <w:rPr>
                <w:rFonts w:ascii="Verdana" w:hAnsi="Verdana" w:cs="Arial"/>
                <w:bCs/>
                <w:sz w:val="20"/>
                <w:szCs w:val="20"/>
              </w:rPr>
              <w:t>.</w:t>
            </w:r>
          </w:p>
        </w:tc>
      </w:tr>
    </w:tbl>
    <w:p w:rsidR="00A10CDF" w:rsidRPr="0049678A" w:rsidRDefault="00A10CDF" w:rsidP="00A10CDF">
      <w:pPr>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DESIGN CONSIDERATIONS</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937"/>
        <w:gridCol w:w="822"/>
        <w:gridCol w:w="674"/>
        <w:gridCol w:w="838"/>
        <w:gridCol w:w="1427"/>
        <w:gridCol w:w="1172"/>
        <w:gridCol w:w="1008"/>
        <w:gridCol w:w="1240"/>
      </w:tblGrid>
      <w:tr w:rsidR="00A10CDF" w:rsidRPr="0049678A" w:rsidTr="003B3BD0">
        <w:tc>
          <w:tcPr>
            <w:tcW w:w="1073"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Delivered Field</w:t>
            </w:r>
          </w:p>
        </w:tc>
        <w:tc>
          <w:tcPr>
            <w:tcW w:w="937" w:type="dxa"/>
            <w:vMerge w:val="restart"/>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Derived Field</w:t>
            </w:r>
          </w:p>
        </w:tc>
        <w:tc>
          <w:tcPr>
            <w:tcW w:w="7206" w:type="dxa"/>
            <w:gridSpan w:val="7"/>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Characteristics</w:t>
            </w:r>
          </w:p>
        </w:tc>
      </w:tr>
      <w:tr w:rsidR="00A10CDF" w:rsidRPr="0049678A" w:rsidTr="002242A6">
        <w:tc>
          <w:tcPr>
            <w:tcW w:w="1073" w:type="dxa"/>
            <w:vMerge/>
            <w:shd w:val="clear" w:color="auto" w:fill="EEECE1"/>
          </w:tcPr>
          <w:p w:rsidR="00A10CDF" w:rsidRPr="0049678A" w:rsidRDefault="00A10CDF" w:rsidP="004F7F27">
            <w:pPr>
              <w:spacing w:after="0" w:line="240" w:lineRule="auto"/>
              <w:rPr>
                <w:rFonts w:ascii="Verdana" w:hAnsi="Verdana"/>
                <w:sz w:val="20"/>
                <w:szCs w:val="20"/>
              </w:rPr>
            </w:pPr>
          </w:p>
        </w:tc>
        <w:tc>
          <w:tcPr>
            <w:tcW w:w="937" w:type="dxa"/>
            <w:vMerge/>
            <w:tcBorders>
              <w:bottom w:val="single" w:sz="4" w:space="0" w:color="auto"/>
            </w:tcBorders>
            <w:shd w:val="clear" w:color="auto" w:fill="EEECE1"/>
          </w:tcPr>
          <w:p w:rsidR="00A10CDF" w:rsidRPr="0049678A" w:rsidRDefault="00A10CDF" w:rsidP="004F7F27">
            <w:pPr>
              <w:spacing w:after="0" w:line="240" w:lineRule="auto"/>
              <w:rPr>
                <w:rFonts w:ascii="Verdana" w:hAnsi="Verdana"/>
                <w:sz w:val="20"/>
                <w:szCs w:val="20"/>
              </w:rPr>
            </w:pPr>
          </w:p>
        </w:tc>
        <w:tc>
          <w:tcPr>
            <w:tcW w:w="825"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FACTS I &amp; II</w:t>
            </w:r>
          </w:p>
        </w:tc>
        <w:tc>
          <w:tcPr>
            <w:tcW w:w="742"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w:t>
            </w:r>
          </w:p>
        </w:tc>
        <w:tc>
          <w:tcPr>
            <w:tcW w:w="86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 Center</w:t>
            </w:r>
          </w:p>
        </w:tc>
        <w:tc>
          <w:tcPr>
            <w:tcW w:w="140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Commitment Item</w:t>
            </w:r>
          </w:p>
        </w:tc>
        <w:tc>
          <w:tcPr>
            <w:tcW w:w="115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Functional Area</w:t>
            </w:r>
          </w:p>
        </w:tc>
        <w:tc>
          <w:tcPr>
            <w:tcW w:w="993"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Funded Program</w:t>
            </w:r>
          </w:p>
        </w:tc>
        <w:tc>
          <w:tcPr>
            <w:tcW w:w="1230" w:type="dxa"/>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Application of Funds</w:t>
            </w:r>
          </w:p>
        </w:tc>
      </w:tr>
      <w:tr w:rsidR="00A10CDF" w:rsidRPr="0049678A" w:rsidTr="002242A6">
        <w:tc>
          <w:tcPr>
            <w:tcW w:w="107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37"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825" w:type="dxa"/>
            <w:shd w:val="clear" w:color="auto" w:fill="auto"/>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X</w:t>
            </w:r>
          </w:p>
        </w:tc>
        <w:tc>
          <w:tcPr>
            <w:tcW w:w="742"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86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400"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15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993" w:type="dxa"/>
            <w:shd w:val="clear" w:color="auto" w:fill="D9D9D9"/>
          </w:tcPr>
          <w:p w:rsidR="00A10CDF" w:rsidRPr="0049678A" w:rsidRDefault="00A10CDF" w:rsidP="004F7F27">
            <w:pPr>
              <w:spacing w:after="0" w:line="240" w:lineRule="auto"/>
              <w:jc w:val="center"/>
              <w:rPr>
                <w:rFonts w:ascii="Verdana" w:hAnsi="Verdana"/>
                <w:sz w:val="20"/>
                <w:szCs w:val="20"/>
              </w:rPr>
            </w:pPr>
          </w:p>
        </w:tc>
        <w:tc>
          <w:tcPr>
            <w:tcW w:w="1230" w:type="dxa"/>
            <w:shd w:val="clear" w:color="auto" w:fill="D9D9D9"/>
          </w:tcPr>
          <w:p w:rsidR="00A10CDF" w:rsidRPr="0049678A" w:rsidRDefault="00A10CDF" w:rsidP="004F7F27">
            <w:pPr>
              <w:spacing w:after="0" w:line="240" w:lineRule="auto"/>
              <w:jc w:val="center"/>
              <w:rPr>
                <w:rFonts w:ascii="Verdana" w:hAnsi="Verdana"/>
                <w:sz w:val="20"/>
                <w:szCs w:val="20"/>
              </w:rPr>
            </w:pPr>
          </w:p>
        </w:tc>
      </w:tr>
    </w:tbl>
    <w:p w:rsidR="00A10CDF" w:rsidRPr="0049678A" w:rsidRDefault="00A10CDF" w:rsidP="00A10CDF">
      <w:pPr>
        <w:pStyle w:val="Heading2"/>
        <w:rPr>
          <w:rFonts w:ascii="Verdana" w:hAnsi="Verdana"/>
          <w:sz w:val="20"/>
          <w:szCs w:val="20"/>
        </w:rPr>
      </w:pPr>
    </w:p>
    <w:p w:rsidR="00A10CDF" w:rsidRPr="0049678A" w:rsidRDefault="00A10CDF" w:rsidP="00A10CDF">
      <w:pPr>
        <w:pStyle w:val="Heading2"/>
        <w:rPr>
          <w:rFonts w:ascii="Verdana" w:hAnsi="Verdana"/>
          <w:sz w:val="20"/>
          <w:szCs w:val="20"/>
        </w:rPr>
      </w:pPr>
      <w:r w:rsidRPr="0049678A">
        <w:rPr>
          <w:rFonts w:ascii="Verdana" w:hAnsi="Verdana"/>
          <w:sz w:val="20"/>
          <w:szCs w:val="20"/>
        </w:rPr>
        <w:t>PROCESS WALKTHRU</w:t>
      </w:r>
    </w:p>
    <w:tbl>
      <w:tblPr>
        <w:tblW w:w="4812"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3420"/>
        <w:gridCol w:w="1440"/>
        <w:gridCol w:w="2088"/>
      </w:tblGrid>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Module: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AP</w:t>
            </w:r>
          </w:p>
        </w:tc>
      </w:tr>
      <w:tr w:rsidR="00A10CDF" w:rsidRPr="0049678A" w:rsidTr="003B3BD0">
        <w:trPr>
          <w:trHeight w:val="188"/>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Navigation:</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 xml:space="preserve">Accounting -  Financial Accounting - Accounts Payable- Master </w:t>
            </w:r>
            <w:r w:rsidRPr="0049678A">
              <w:rPr>
                <w:rFonts w:ascii="Verdana" w:hAnsi="Verdana"/>
                <w:sz w:val="20"/>
                <w:szCs w:val="20"/>
              </w:rPr>
              <w:lastRenderedPageBreak/>
              <w:t>Records-Display</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lastRenderedPageBreak/>
              <w:t>SAP Trans Code:</w:t>
            </w:r>
          </w:p>
        </w:tc>
        <w:tc>
          <w:tcPr>
            <w:tcW w:w="6948" w:type="dxa"/>
            <w:gridSpan w:val="3"/>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XK03</w:t>
            </w:r>
          </w:p>
        </w:tc>
      </w:tr>
      <w:tr w:rsidR="00A10CDF" w:rsidRPr="0049678A" w:rsidTr="003B3BD0">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Form Field Name:</w:t>
            </w:r>
          </w:p>
        </w:tc>
        <w:tc>
          <w:tcPr>
            <w:tcW w:w="6948" w:type="dxa"/>
            <w:gridSpan w:val="3"/>
          </w:tcPr>
          <w:p w:rsidR="00A10CDF" w:rsidRPr="0049678A" w:rsidRDefault="00A10CDF" w:rsidP="004F7F27">
            <w:pPr>
              <w:spacing w:after="0" w:line="240" w:lineRule="auto"/>
              <w:rPr>
                <w:rFonts w:ascii="Verdana" w:hAnsi="Verdana"/>
                <w:sz w:val="20"/>
                <w:szCs w:val="20"/>
              </w:rPr>
            </w:pPr>
          </w:p>
        </w:tc>
      </w:tr>
      <w:tr w:rsidR="00A10CDF" w:rsidRPr="0049678A" w:rsidTr="00B55CB6">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Table Name:</w:t>
            </w:r>
          </w:p>
        </w:tc>
        <w:tc>
          <w:tcPr>
            <w:tcW w:w="342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RF02K</w:t>
            </w:r>
          </w:p>
        </w:tc>
        <w:tc>
          <w:tcPr>
            <w:tcW w:w="144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Field Name:</w:t>
            </w:r>
          </w:p>
        </w:tc>
        <w:tc>
          <w:tcPr>
            <w:tcW w:w="2088"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LIFNR</w:t>
            </w:r>
          </w:p>
        </w:tc>
      </w:tr>
      <w:tr w:rsidR="00A10CDF" w:rsidRPr="0049678A" w:rsidTr="00B55CB6">
        <w:trPr>
          <w:trHeight w:val="395"/>
        </w:trPr>
        <w:tc>
          <w:tcPr>
            <w:tcW w:w="2268"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r w:rsidRPr="0049678A">
              <w:rPr>
                <w:rFonts w:ascii="Verdana" w:hAnsi="Verdana"/>
                <w:sz w:val="20"/>
                <w:szCs w:val="20"/>
              </w:rPr>
              <w:t>Related Transactions:</w:t>
            </w:r>
          </w:p>
        </w:tc>
        <w:tc>
          <w:tcPr>
            <w:tcW w:w="3420" w:type="dxa"/>
            <w:tcBorders>
              <w:bottom w:val="single" w:sz="4" w:space="0" w:color="auto"/>
            </w:tcBorders>
          </w:tcPr>
          <w:p w:rsidR="00A10CDF" w:rsidRPr="0049678A" w:rsidRDefault="00A10CDF" w:rsidP="004F7F27">
            <w:pPr>
              <w:spacing w:after="0" w:line="240" w:lineRule="auto"/>
              <w:rPr>
                <w:rFonts w:ascii="Verdana" w:hAnsi="Verdana"/>
                <w:sz w:val="20"/>
                <w:szCs w:val="20"/>
              </w:rPr>
            </w:pPr>
            <w:r w:rsidRPr="0049678A">
              <w:rPr>
                <w:rFonts w:ascii="Verdana" w:hAnsi="Verdana"/>
                <w:sz w:val="20"/>
                <w:szCs w:val="20"/>
              </w:rPr>
              <w:t>XK01, XK02, FK01, FK02, FK03</w:t>
            </w:r>
          </w:p>
        </w:tc>
        <w:tc>
          <w:tcPr>
            <w:tcW w:w="1440" w:type="dxa"/>
            <w:tcBorders>
              <w:bottom w:val="single" w:sz="4" w:space="0" w:color="auto"/>
            </w:tcBorders>
            <w:shd w:val="clear" w:color="auto" w:fill="EEECE1"/>
          </w:tcPr>
          <w:p w:rsidR="00A10CDF" w:rsidRPr="0049678A" w:rsidRDefault="00A10CDF" w:rsidP="004F7F27">
            <w:pPr>
              <w:spacing w:after="0" w:line="240" w:lineRule="auto"/>
              <w:jc w:val="center"/>
              <w:rPr>
                <w:rFonts w:ascii="Verdana" w:hAnsi="Verdana"/>
                <w:sz w:val="20"/>
                <w:szCs w:val="20"/>
              </w:rPr>
            </w:pPr>
          </w:p>
        </w:tc>
        <w:tc>
          <w:tcPr>
            <w:tcW w:w="2088" w:type="dxa"/>
            <w:tcBorders>
              <w:bottom w:val="single" w:sz="4" w:space="0" w:color="auto"/>
            </w:tcBorders>
          </w:tcPr>
          <w:p w:rsidR="00A10CDF" w:rsidRPr="0049678A" w:rsidRDefault="00A10CDF" w:rsidP="004F7F27">
            <w:pPr>
              <w:spacing w:after="0" w:line="240" w:lineRule="auto"/>
              <w:rPr>
                <w:rFonts w:ascii="Verdana" w:hAnsi="Verdana"/>
                <w:sz w:val="20"/>
                <w:szCs w:val="20"/>
              </w:rPr>
            </w:pPr>
          </w:p>
        </w:tc>
      </w:tr>
    </w:tbl>
    <w:p w:rsidR="00A10CDF" w:rsidRPr="0049678A" w:rsidRDefault="00A10CDF" w:rsidP="00A10CDF">
      <w:pPr>
        <w:spacing w:after="0" w:line="240" w:lineRule="auto"/>
        <w:rPr>
          <w:rFonts w:ascii="Verdana" w:hAnsi="Verdana"/>
          <w:noProof/>
          <w:sz w:val="20"/>
          <w:szCs w:val="20"/>
        </w:rPr>
      </w:pPr>
      <w:r w:rsidRPr="0049678A">
        <w:rPr>
          <w:rFonts w:ascii="Verdana" w:hAnsi="Verdana"/>
          <w:noProof/>
          <w:sz w:val="20"/>
          <w:szCs w:val="20"/>
        </w:rPr>
        <w:t xml:space="preserve"> </w:t>
      </w:r>
    </w:p>
    <w:p w:rsidR="00A10CDF" w:rsidRPr="0049678A" w:rsidRDefault="00A10CDF" w:rsidP="00A10CDF">
      <w:pPr>
        <w:spacing w:after="0" w:line="240" w:lineRule="auto"/>
        <w:rPr>
          <w:rFonts w:ascii="Verdana" w:hAnsi="Verdana"/>
          <w:sz w:val="20"/>
          <w:szCs w:val="20"/>
        </w:rPr>
      </w:pPr>
      <w:r w:rsidRPr="0049678A">
        <w:rPr>
          <w:rFonts w:ascii="Verdana" w:hAnsi="Verdana"/>
          <w:color w:val="002060"/>
          <w:sz w:val="20"/>
          <w:szCs w:val="20"/>
        </w:rPr>
        <w:t xml:space="preserve">Screenshot:  </w:t>
      </w:r>
      <w:r w:rsidRPr="0049678A">
        <w:rPr>
          <w:rFonts w:ascii="Verdana" w:hAnsi="Verdana"/>
          <w:sz w:val="20"/>
          <w:szCs w:val="20"/>
        </w:rPr>
        <w:t xml:space="preserve">Location of “Business Partner Number” Display Field on Vendor Master </w:t>
      </w:r>
    </w:p>
    <w:p w:rsidR="00A10CDF" w:rsidRPr="0049678A" w:rsidRDefault="00A10CDF" w:rsidP="00A10CDF">
      <w:pPr>
        <w:spacing w:after="0" w:line="240" w:lineRule="auto"/>
        <w:rPr>
          <w:rFonts w:ascii="Verdana" w:hAnsi="Verdana"/>
          <w:sz w:val="20"/>
          <w:szCs w:val="20"/>
        </w:rPr>
      </w:pPr>
    </w:p>
    <w:p w:rsidR="00A10CDF" w:rsidRPr="0049678A" w:rsidRDefault="00A10CDF" w:rsidP="00A10CDF">
      <w:pPr>
        <w:rPr>
          <w:rFonts w:ascii="Verdana" w:hAnsi="Verdana"/>
          <w:sz w:val="20"/>
          <w:szCs w:val="20"/>
        </w:rPr>
      </w:pPr>
      <w:r w:rsidRPr="0049678A">
        <w:rPr>
          <w:rFonts w:ascii="Verdana" w:hAnsi="Verdana"/>
          <w:noProof/>
          <w:sz w:val="20"/>
          <w:szCs w:val="20"/>
        </w:rPr>
        <w:drawing>
          <wp:inline distT="0" distB="0" distL="0" distR="0">
            <wp:extent cx="5943600" cy="2124075"/>
            <wp:effectExtent l="0" t="0" r="0" b="9525"/>
            <wp:docPr id="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124075"/>
                    </a:xfrm>
                    <a:prstGeom prst="rect">
                      <a:avLst/>
                    </a:prstGeom>
                    <a:noFill/>
                    <a:ln>
                      <a:noFill/>
                    </a:ln>
                  </pic:spPr>
                </pic:pic>
              </a:graphicData>
            </a:graphic>
          </wp:inline>
        </w:drawing>
      </w:r>
    </w:p>
    <w:p w:rsidR="00A10CDF" w:rsidRPr="0049678A" w:rsidRDefault="00402381" w:rsidP="00A10CDF">
      <w:pPr>
        <w:rPr>
          <w:rFonts w:ascii="Verdana" w:hAnsi="Verdana"/>
          <w:sz w:val="20"/>
          <w:szCs w:val="20"/>
        </w:rPr>
      </w:pPr>
      <w:r>
        <w:rPr>
          <w:rFonts w:ascii="Verdana" w:hAnsi="Verdana"/>
          <w:noProof/>
          <w:sz w:val="20"/>
          <w:szCs w:val="20"/>
        </w:rPr>
        <w:pict>
          <v:oval id="Oval 172" o:spid="_x0000_s1172" style="position:absolute;margin-left:14.25pt;margin-top:119.8pt;width:202.5pt;height:34.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" strokecolor="red" strokeweight="1.5pt">
            <v:fill opacity="7196f"/>
          </v:oval>
        </w:pict>
      </w:r>
      <w:r w:rsidR="00A10CDF" w:rsidRPr="0049678A">
        <w:rPr>
          <w:rFonts w:ascii="Verdana" w:hAnsi="Verdana"/>
          <w:noProof/>
          <w:sz w:val="20"/>
          <w:szCs w:val="20"/>
        </w:rPr>
        <w:drawing>
          <wp:inline distT="0" distB="0" distL="0" distR="0">
            <wp:extent cx="5943600" cy="2466975"/>
            <wp:effectExtent l="0" t="0" r="0" b="9525"/>
            <wp:docPr id="10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stretch>
                      <a:fillRect/>
                    </a:stretch>
                  </pic:blipFill>
                  <pic:spPr>
                    <a:xfrm>
                      <a:off x="0" y="0"/>
                      <a:ext cx="5942857" cy="2466667"/>
                    </a:xfrm>
                    <a:prstGeom prst="rect">
                      <a:avLst/>
                    </a:prstGeom>
                  </pic:spPr>
                </pic:pic>
              </a:graphicData>
            </a:graphic>
          </wp:inline>
        </w:drawing>
      </w:r>
      <w:bookmarkStart w:id="213" w:name="_GoBack"/>
      <w:bookmarkEnd w:id="213"/>
    </w:p>
    <w:p w:rsidR="008B4A55" w:rsidRPr="0049678A" w:rsidRDefault="008B4A55">
      <w:pPr>
        <w:rPr>
          <w:rFonts w:ascii="Verdana" w:hAnsi="Verdana"/>
          <w:sz w:val="20"/>
          <w:szCs w:val="20"/>
        </w:rPr>
      </w:pPr>
    </w:p>
    <w:sectPr w:rsidR="008B4A55" w:rsidRPr="0049678A" w:rsidSect="008B4A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Franklin Gothic Demi Cond">
    <w:altName w:val="Impact"/>
    <w:charset w:val="00"/>
    <w:family w:val="swiss"/>
    <w:pitch w:val="variable"/>
    <w:sig w:usb0="00000001"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63B"/>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69719C"/>
    <w:multiLevelType w:val="hybridMultilevel"/>
    <w:tmpl w:val="5D9C9F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EF6A06"/>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F66DDE"/>
    <w:multiLevelType w:val="hybridMultilevel"/>
    <w:tmpl w:val="517C5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433628"/>
    <w:multiLevelType w:val="hybridMultilevel"/>
    <w:tmpl w:val="C92C31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D925A1"/>
    <w:multiLevelType w:val="hybridMultilevel"/>
    <w:tmpl w:val="79F2AE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C728A3"/>
    <w:multiLevelType w:val="multilevel"/>
    <w:tmpl w:val="744AAF42"/>
    <w:lvl w:ilvl="0">
      <w:start w:val="1"/>
      <w:numFmt w:val="bullet"/>
      <w:lvlText w:val=""/>
      <w:lvlJc w:val="left"/>
      <w:pPr>
        <w:ind w:left="360" w:hanging="360"/>
      </w:pPr>
      <w:rPr>
        <w:rFonts w:ascii="Symbol" w:hAnsi="Symbol" w:hint="default"/>
      </w:rPr>
    </w:lvl>
    <w:lvl w:ilvl="1">
      <w:start w:val="1"/>
      <w:numFmt w:val="bullet"/>
      <w:lvlText w:val=""/>
      <w:lvlJc w:val="left"/>
      <w:pPr>
        <w:ind w:left="936" w:hanging="576"/>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27C6245"/>
    <w:multiLevelType w:val="hybridMultilevel"/>
    <w:tmpl w:val="8F2C24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B36AB5"/>
    <w:multiLevelType w:val="hybridMultilevel"/>
    <w:tmpl w:val="D8BC31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CE6CFD"/>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0F63E91"/>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1EB7BC6"/>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23C7DAF"/>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3524048"/>
    <w:multiLevelType w:val="multilevel"/>
    <w:tmpl w:val="BD642B44"/>
    <w:lvl w:ilvl="0">
      <w:start w:val="1"/>
      <w:numFmt w:val="bullet"/>
      <w:lvlText w:val=""/>
      <w:lvlJc w:val="left"/>
      <w:pPr>
        <w:ind w:left="360" w:hanging="360"/>
      </w:pPr>
      <w:rPr>
        <w:rFonts w:ascii="Symbol" w:hAnsi="Symbol" w:hint="default"/>
      </w:rPr>
    </w:lvl>
    <w:lvl w:ilvl="1">
      <w:start w:val="1"/>
      <w:numFmt w:val="bullet"/>
      <w:lvlText w:val=""/>
      <w:lvlJc w:val="left"/>
      <w:pPr>
        <w:ind w:left="936" w:hanging="576"/>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E11B8F"/>
    <w:multiLevelType w:val="hybridMultilevel"/>
    <w:tmpl w:val="E31C54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9C6655"/>
    <w:multiLevelType w:val="multilevel"/>
    <w:tmpl w:val="D96A525C"/>
    <w:lvl w:ilvl="0">
      <w:start w:val="1"/>
      <w:numFmt w:val="bullet"/>
      <w:lvlText w:val=""/>
      <w:lvlJc w:val="left"/>
      <w:pPr>
        <w:ind w:left="540" w:hanging="360"/>
      </w:pPr>
      <w:rPr>
        <w:rFonts w:ascii="Symbol" w:hAnsi="Symbol" w:hint="default"/>
      </w:rPr>
    </w:lvl>
    <w:lvl w:ilvl="1">
      <w:start w:val="1"/>
      <w:numFmt w:val="decimal"/>
      <w:lvlText w:val="%1.%2."/>
      <w:lvlJc w:val="left"/>
      <w:pPr>
        <w:ind w:left="972" w:hanging="432"/>
      </w:pPr>
    </w:lvl>
    <w:lvl w:ilvl="2">
      <w:start w:val="1"/>
      <w:numFmt w:val="decimal"/>
      <w:lvlText w:val="%1.%2.%3."/>
      <w:lvlJc w:val="left"/>
      <w:pPr>
        <w:ind w:left="1404" w:hanging="504"/>
      </w:pPr>
    </w:lvl>
    <w:lvl w:ilvl="3">
      <w:start w:val="1"/>
      <w:numFmt w:val="decimal"/>
      <w:lvlText w:val="%1.%2.%3.%4."/>
      <w:lvlJc w:val="left"/>
      <w:pPr>
        <w:ind w:left="1908" w:hanging="648"/>
      </w:pPr>
    </w:lvl>
    <w:lvl w:ilvl="4">
      <w:start w:val="1"/>
      <w:numFmt w:val="decimal"/>
      <w:lvlText w:val="%1.%2.%3.%4.%5."/>
      <w:lvlJc w:val="left"/>
      <w:pPr>
        <w:ind w:left="2412" w:hanging="792"/>
      </w:pPr>
    </w:lvl>
    <w:lvl w:ilvl="5">
      <w:start w:val="1"/>
      <w:numFmt w:val="decimal"/>
      <w:lvlText w:val="%1.%2.%3.%4.%5.%6."/>
      <w:lvlJc w:val="left"/>
      <w:pPr>
        <w:ind w:left="2916" w:hanging="936"/>
      </w:pPr>
    </w:lvl>
    <w:lvl w:ilvl="6">
      <w:start w:val="1"/>
      <w:numFmt w:val="decimal"/>
      <w:lvlText w:val="%1.%2.%3.%4.%5.%6.%7."/>
      <w:lvlJc w:val="left"/>
      <w:pPr>
        <w:ind w:left="3420" w:hanging="1080"/>
      </w:pPr>
    </w:lvl>
    <w:lvl w:ilvl="7">
      <w:start w:val="1"/>
      <w:numFmt w:val="decimal"/>
      <w:lvlText w:val="%1.%2.%3.%4.%5.%6.%7.%8."/>
      <w:lvlJc w:val="left"/>
      <w:pPr>
        <w:ind w:left="3924" w:hanging="1224"/>
      </w:pPr>
    </w:lvl>
    <w:lvl w:ilvl="8">
      <w:start w:val="1"/>
      <w:numFmt w:val="decimal"/>
      <w:lvlText w:val="%1.%2.%3.%4.%5.%6.%7.%8.%9."/>
      <w:lvlJc w:val="left"/>
      <w:pPr>
        <w:ind w:left="4500" w:hanging="1440"/>
      </w:pPr>
    </w:lvl>
  </w:abstractNum>
  <w:abstractNum w:abstractNumId="16">
    <w:nsid w:val="2B883602"/>
    <w:multiLevelType w:val="hybridMultilevel"/>
    <w:tmpl w:val="6FDEFE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CE17C95"/>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0E74FB4"/>
    <w:multiLevelType w:val="hybridMultilevel"/>
    <w:tmpl w:val="FE34C4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862EC0"/>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3D21548C"/>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18D7E56"/>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3486946"/>
    <w:multiLevelType w:val="hybridMultilevel"/>
    <w:tmpl w:val="D4B26F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2676E9"/>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5D11771"/>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A560166"/>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AF27A4D"/>
    <w:multiLevelType w:val="hybridMultilevel"/>
    <w:tmpl w:val="5880C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215406A"/>
    <w:multiLevelType w:val="hybridMultilevel"/>
    <w:tmpl w:val="4746B3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32C1014"/>
    <w:multiLevelType w:val="multilevel"/>
    <w:tmpl w:val="F0661630"/>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7B44FBC"/>
    <w:multiLevelType w:val="hybridMultilevel"/>
    <w:tmpl w:val="57DAA8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3F5CCA"/>
    <w:multiLevelType w:val="multilevel"/>
    <w:tmpl w:val="BD642B44"/>
    <w:lvl w:ilvl="0">
      <w:start w:val="1"/>
      <w:numFmt w:val="bullet"/>
      <w:lvlText w:val=""/>
      <w:lvlJc w:val="left"/>
      <w:pPr>
        <w:ind w:left="360" w:hanging="360"/>
      </w:pPr>
      <w:rPr>
        <w:rFonts w:ascii="Symbol" w:hAnsi="Symbol" w:hint="default"/>
      </w:rPr>
    </w:lvl>
    <w:lvl w:ilvl="1">
      <w:start w:val="1"/>
      <w:numFmt w:val="bullet"/>
      <w:lvlText w:val=""/>
      <w:lvlJc w:val="left"/>
      <w:pPr>
        <w:ind w:left="936" w:hanging="576"/>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F1909A4"/>
    <w:multiLevelType w:val="hybridMultilevel"/>
    <w:tmpl w:val="08D64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CC71D8"/>
    <w:multiLevelType w:val="multilevel"/>
    <w:tmpl w:val="744AAF42"/>
    <w:lvl w:ilvl="0">
      <w:start w:val="1"/>
      <w:numFmt w:val="bullet"/>
      <w:lvlText w:val=""/>
      <w:lvlJc w:val="left"/>
      <w:pPr>
        <w:ind w:left="360" w:hanging="360"/>
      </w:pPr>
      <w:rPr>
        <w:rFonts w:ascii="Symbol" w:hAnsi="Symbol" w:hint="default"/>
      </w:rPr>
    </w:lvl>
    <w:lvl w:ilvl="1">
      <w:start w:val="1"/>
      <w:numFmt w:val="bullet"/>
      <w:lvlText w:val=""/>
      <w:lvlJc w:val="left"/>
      <w:pPr>
        <w:ind w:left="936" w:hanging="576"/>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0E174BA"/>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2B74522"/>
    <w:multiLevelType w:val="hybridMultilevel"/>
    <w:tmpl w:val="E16A2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CA736B"/>
    <w:multiLevelType w:val="hybridMultilevel"/>
    <w:tmpl w:val="1D4AE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96F1366"/>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D912D2A"/>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F334E08"/>
    <w:multiLevelType w:val="multilevel"/>
    <w:tmpl w:val="00364E00"/>
    <w:lvl w:ilvl="0">
      <w:start w:val="1"/>
      <w:numFmt w:val="bullet"/>
      <w:lvlText w:val=""/>
      <w:lvlJc w:val="left"/>
      <w:pPr>
        <w:ind w:left="360" w:hanging="360"/>
      </w:pPr>
      <w:rPr>
        <w:rFonts w:ascii="Symbol" w:hAnsi="Symbol" w:hint="default"/>
      </w:rPr>
    </w:lvl>
    <w:lvl w:ilvl="1">
      <w:start w:val="1"/>
      <w:numFmt w:val="bullet"/>
      <w:lvlText w:val=""/>
      <w:lvlJc w:val="left"/>
      <w:pPr>
        <w:ind w:left="756" w:hanging="576"/>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775559DD"/>
    <w:multiLevelType w:val="multilevel"/>
    <w:tmpl w:val="BD642B44"/>
    <w:lvl w:ilvl="0">
      <w:start w:val="1"/>
      <w:numFmt w:val="bullet"/>
      <w:lvlText w:val=""/>
      <w:lvlJc w:val="left"/>
      <w:pPr>
        <w:ind w:left="360" w:hanging="360"/>
      </w:pPr>
      <w:rPr>
        <w:rFonts w:ascii="Symbol" w:hAnsi="Symbol" w:hint="default"/>
      </w:rPr>
    </w:lvl>
    <w:lvl w:ilvl="1">
      <w:start w:val="1"/>
      <w:numFmt w:val="bullet"/>
      <w:lvlText w:val=""/>
      <w:lvlJc w:val="left"/>
      <w:pPr>
        <w:ind w:left="936" w:hanging="576"/>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8233BAF"/>
    <w:multiLevelType w:val="hybridMultilevel"/>
    <w:tmpl w:val="CCBA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F40758"/>
    <w:multiLevelType w:val="multilevel"/>
    <w:tmpl w:val="F6220654"/>
    <w:lvl w:ilvl="0">
      <w:start w:val="1"/>
      <w:numFmt w:val="bullet"/>
      <w:lvlText w:val=""/>
      <w:lvlJc w:val="left"/>
      <w:pPr>
        <w:ind w:left="360" w:hanging="360"/>
      </w:pPr>
      <w:rPr>
        <w:rFonts w:ascii="Symbol" w:hAnsi="Symbol" w:hint="default"/>
      </w:rPr>
    </w:lvl>
    <w:lvl w:ilvl="1">
      <w:start w:val="1"/>
      <w:numFmt w:val="lowerLetter"/>
      <w:lvlText w:val="%1.%2."/>
      <w:lvlJc w:val="left"/>
      <w:pPr>
        <w:ind w:left="93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D417304"/>
    <w:multiLevelType w:val="multilevel"/>
    <w:tmpl w:val="BD642B44"/>
    <w:lvl w:ilvl="0">
      <w:start w:val="1"/>
      <w:numFmt w:val="bullet"/>
      <w:lvlText w:val=""/>
      <w:lvlJc w:val="left"/>
      <w:pPr>
        <w:ind w:left="360" w:hanging="360"/>
      </w:pPr>
      <w:rPr>
        <w:rFonts w:ascii="Symbol" w:hAnsi="Symbol" w:hint="default"/>
      </w:rPr>
    </w:lvl>
    <w:lvl w:ilvl="1">
      <w:start w:val="1"/>
      <w:numFmt w:val="bullet"/>
      <w:lvlText w:val=""/>
      <w:lvlJc w:val="left"/>
      <w:pPr>
        <w:ind w:left="936" w:hanging="576"/>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8"/>
  </w:num>
  <w:num w:numId="2">
    <w:abstractNumId w:val="15"/>
  </w:num>
  <w:num w:numId="3">
    <w:abstractNumId w:val="28"/>
  </w:num>
  <w:num w:numId="4">
    <w:abstractNumId w:val="7"/>
  </w:num>
  <w:num w:numId="5">
    <w:abstractNumId w:val="22"/>
  </w:num>
  <w:num w:numId="6">
    <w:abstractNumId w:val="5"/>
  </w:num>
  <w:num w:numId="7">
    <w:abstractNumId w:val="32"/>
  </w:num>
  <w:num w:numId="8">
    <w:abstractNumId w:val="8"/>
  </w:num>
  <w:num w:numId="9">
    <w:abstractNumId w:val="13"/>
  </w:num>
  <w:num w:numId="10">
    <w:abstractNumId w:val="30"/>
  </w:num>
  <w:num w:numId="11">
    <w:abstractNumId w:val="21"/>
  </w:num>
  <w:num w:numId="12">
    <w:abstractNumId w:val="39"/>
  </w:num>
  <w:num w:numId="13">
    <w:abstractNumId w:val="41"/>
  </w:num>
  <w:num w:numId="14">
    <w:abstractNumId w:val="36"/>
  </w:num>
  <w:num w:numId="15">
    <w:abstractNumId w:val="23"/>
  </w:num>
  <w:num w:numId="16">
    <w:abstractNumId w:val="24"/>
  </w:num>
  <w:num w:numId="17">
    <w:abstractNumId w:val="29"/>
  </w:num>
  <w:num w:numId="18">
    <w:abstractNumId w:val="0"/>
  </w:num>
  <w:num w:numId="19">
    <w:abstractNumId w:val="11"/>
  </w:num>
  <w:num w:numId="20">
    <w:abstractNumId w:val="33"/>
  </w:num>
  <w:num w:numId="21">
    <w:abstractNumId w:val="10"/>
  </w:num>
  <w:num w:numId="22">
    <w:abstractNumId w:val="42"/>
  </w:num>
  <w:num w:numId="23">
    <w:abstractNumId w:val="1"/>
  </w:num>
  <w:num w:numId="24">
    <w:abstractNumId w:val="18"/>
  </w:num>
  <w:num w:numId="25">
    <w:abstractNumId w:val="9"/>
  </w:num>
  <w:num w:numId="26">
    <w:abstractNumId w:val="17"/>
  </w:num>
  <w:num w:numId="27">
    <w:abstractNumId w:val="37"/>
  </w:num>
  <w:num w:numId="28">
    <w:abstractNumId w:val="12"/>
  </w:num>
  <w:num w:numId="29">
    <w:abstractNumId w:val="20"/>
  </w:num>
  <w:num w:numId="30">
    <w:abstractNumId w:val="31"/>
  </w:num>
  <w:num w:numId="31">
    <w:abstractNumId w:val="19"/>
  </w:num>
  <w:num w:numId="32">
    <w:abstractNumId w:val="2"/>
  </w:num>
  <w:num w:numId="33">
    <w:abstractNumId w:val="25"/>
  </w:num>
  <w:num w:numId="34">
    <w:abstractNumId w:val="4"/>
  </w:num>
  <w:num w:numId="35">
    <w:abstractNumId w:val="40"/>
  </w:num>
  <w:num w:numId="36">
    <w:abstractNumId w:val="6"/>
  </w:num>
  <w:num w:numId="37">
    <w:abstractNumId w:val="3"/>
  </w:num>
  <w:num w:numId="38">
    <w:abstractNumId w:val="14"/>
  </w:num>
  <w:num w:numId="39">
    <w:abstractNumId w:val="35"/>
  </w:num>
  <w:num w:numId="40">
    <w:abstractNumId w:val="26"/>
  </w:num>
  <w:num w:numId="41">
    <w:abstractNumId w:val="27"/>
  </w:num>
  <w:num w:numId="42">
    <w:abstractNumId w:val="16"/>
  </w:num>
  <w:num w:numId="43">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A10CDF"/>
    <w:rsid w:val="002B6E3D"/>
    <w:rsid w:val="00402381"/>
    <w:rsid w:val="0049678A"/>
    <w:rsid w:val="008B4A55"/>
    <w:rsid w:val="00A10CDF"/>
    <w:rsid w:val="00A64AA7"/>
    <w:rsid w:val="00DD28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Straight Arrow Connector 46"/>
        <o:r id="V:Rule4" type="connector" idref="#AutoShape 1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CDF"/>
    <w:rPr>
      <w:rFonts w:ascii="Franklin Gothic Medium" w:eastAsia="Calibri" w:hAnsi="Franklin Gothic Medium" w:cs="Times New Roman"/>
      <w:sz w:val="24"/>
    </w:rPr>
  </w:style>
  <w:style w:type="paragraph" w:styleId="Heading1">
    <w:name w:val="heading 1"/>
    <w:basedOn w:val="Normal"/>
    <w:next w:val="Normal"/>
    <w:link w:val="Heading1Char"/>
    <w:autoRedefine/>
    <w:uiPriority w:val="9"/>
    <w:qFormat/>
    <w:rsid w:val="00A10CDF"/>
    <w:pPr>
      <w:spacing w:before="120" w:after="100" w:afterAutospacing="1" w:line="240" w:lineRule="auto"/>
      <w:contextualSpacing/>
      <w:outlineLvl w:val="0"/>
    </w:pPr>
    <w:rPr>
      <w:spacing w:val="5"/>
      <w:sz w:val="28"/>
      <w:szCs w:val="36"/>
    </w:rPr>
  </w:style>
  <w:style w:type="paragraph" w:styleId="Heading2">
    <w:name w:val="heading 2"/>
    <w:basedOn w:val="Normal"/>
    <w:next w:val="Normal"/>
    <w:link w:val="Heading2Char"/>
    <w:autoRedefine/>
    <w:uiPriority w:val="9"/>
    <w:unhideWhenUsed/>
    <w:qFormat/>
    <w:rsid w:val="00A10CDF"/>
    <w:pPr>
      <w:spacing w:after="0" w:line="240" w:lineRule="auto"/>
      <w:outlineLvl w:val="1"/>
    </w:pPr>
    <w:rPr>
      <w:rFonts w:ascii="Garamond" w:hAnsi="Garamond"/>
      <w:color w:val="002060"/>
    </w:rPr>
  </w:style>
  <w:style w:type="paragraph" w:styleId="Heading3">
    <w:name w:val="heading 3"/>
    <w:basedOn w:val="Normal"/>
    <w:next w:val="Normal"/>
    <w:link w:val="Heading3Char"/>
    <w:uiPriority w:val="9"/>
    <w:unhideWhenUsed/>
    <w:qFormat/>
    <w:rsid w:val="00A10CDF"/>
    <w:pPr>
      <w:spacing w:before="200" w:after="0" w:line="271" w:lineRule="auto"/>
      <w:outlineLvl w:val="2"/>
    </w:pPr>
    <w:rPr>
      <w:iCs/>
      <w:smallCaps/>
      <w:spacing w:val="5"/>
      <w:szCs w:val="26"/>
    </w:rPr>
  </w:style>
  <w:style w:type="paragraph" w:styleId="Heading4">
    <w:name w:val="heading 4"/>
    <w:basedOn w:val="Normal"/>
    <w:next w:val="Normal"/>
    <w:link w:val="Heading4Char"/>
    <w:uiPriority w:val="9"/>
    <w:semiHidden/>
    <w:unhideWhenUsed/>
    <w:qFormat/>
    <w:rsid w:val="00A10CDF"/>
    <w:pPr>
      <w:spacing w:after="0" w:line="271" w:lineRule="auto"/>
      <w:outlineLvl w:val="3"/>
    </w:pPr>
    <w:rPr>
      <w:b/>
      <w:bCs/>
      <w:spacing w:val="5"/>
      <w:szCs w:val="24"/>
    </w:rPr>
  </w:style>
  <w:style w:type="paragraph" w:styleId="Heading5">
    <w:name w:val="heading 5"/>
    <w:basedOn w:val="Normal"/>
    <w:next w:val="Normal"/>
    <w:link w:val="Heading5Char"/>
    <w:uiPriority w:val="9"/>
    <w:semiHidden/>
    <w:unhideWhenUsed/>
    <w:qFormat/>
    <w:rsid w:val="00A10CDF"/>
    <w:pPr>
      <w:spacing w:after="0" w:line="271" w:lineRule="auto"/>
      <w:outlineLvl w:val="4"/>
    </w:pPr>
    <w:rPr>
      <w:i/>
      <w:iCs/>
      <w:szCs w:val="24"/>
    </w:rPr>
  </w:style>
  <w:style w:type="paragraph" w:styleId="Heading6">
    <w:name w:val="heading 6"/>
    <w:basedOn w:val="Normal"/>
    <w:next w:val="Normal"/>
    <w:link w:val="Heading6Char"/>
    <w:uiPriority w:val="9"/>
    <w:semiHidden/>
    <w:unhideWhenUsed/>
    <w:qFormat/>
    <w:rsid w:val="00A10CDF"/>
    <w:pPr>
      <w:shd w:val="clear" w:color="auto" w:fill="FFFFFF"/>
      <w:spacing w:after="0" w:line="271" w:lineRule="auto"/>
      <w:outlineLvl w:val="5"/>
    </w:pPr>
    <w:rPr>
      <w:b/>
      <w:bCs/>
      <w:color w:val="595959"/>
      <w:spacing w:val="5"/>
    </w:rPr>
  </w:style>
  <w:style w:type="paragraph" w:styleId="Heading7">
    <w:name w:val="heading 7"/>
    <w:basedOn w:val="Normal"/>
    <w:next w:val="Normal"/>
    <w:link w:val="Heading7Char"/>
    <w:uiPriority w:val="9"/>
    <w:semiHidden/>
    <w:unhideWhenUsed/>
    <w:qFormat/>
    <w:rsid w:val="00A10CDF"/>
    <w:pPr>
      <w:spacing w:after="0"/>
      <w:outlineLvl w:val="6"/>
    </w:pPr>
    <w:rPr>
      <w:b/>
      <w:bCs/>
      <w:i/>
      <w:iCs/>
      <w:color w:val="5A5A5A"/>
      <w:sz w:val="20"/>
      <w:szCs w:val="20"/>
    </w:rPr>
  </w:style>
  <w:style w:type="paragraph" w:styleId="Heading8">
    <w:name w:val="heading 8"/>
    <w:basedOn w:val="Normal"/>
    <w:next w:val="Normal"/>
    <w:link w:val="Heading8Char"/>
    <w:uiPriority w:val="9"/>
    <w:semiHidden/>
    <w:unhideWhenUsed/>
    <w:qFormat/>
    <w:rsid w:val="00A10CDF"/>
    <w:pPr>
      <w:spacing w:after="0"/>
      <w:outlineLvl w:val="7"/>
    </w:pPr>
    <w:rPr>
      <w:b/>
      <w:bCs/>
      <w:color w:val="7F7F7F"/>
      <w:sz w:val="20"/>
      <w:szCs w:val="20"/>
    </w:rPr>
  </w:style>
  <w:style w:type="paragraph" w:styleId="Heading9">
    <w:name w:val="heading 9"/>
    <w:basedOn w:val="Normal"/>
    <w:next w:val="Normal"/>
    <w:link w:val="Heading9Char"/>
    <w:uiPriority w:val="9"/>
    <w:semiHidden/>
    <w:unhideWhenUsed/>
    <w:qFormat/>
    <w:rsid w:val="00A10CDF"/>
    <w:pPr>
      <w:spacing w:after="0" w:line="271" w:lineRule="auto"/>
      <w:outlineLvl w:val="8"/>
    </w:pPr>
    <w:rPr>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CDF"/>
    <w:rPr>
      <w:rFonts w:ascii="Franklin Gothic Medium" w:eastAsia="Calibri" w:hAnsi="Franklin Gothic Medium" w:cs="Times New Roman"/>
      <w:spacing w:val="5"/>
      <w:sz w:val="28"/>
      <w:szCs w:val="36"/>
    </w:rPr>
  </w:style>
  <w:style w:type="character" w:customStyle="1" w:styleId="Heading2Char">
    <w:name w:val="Heading 2 Char"/>
    <w:basedOn w:val="DefaultParagraphFont"/>
    <w:link w:val="Heading2"/>
    <w:uiPriority w:val="9"/>
    <w:rsid w:val="00A10CDF"/>
    <w:rPr>
      <w:rFonts w:ascii="Garamond" w:eastAsia="Calibri" w:hAnsi="Garamond" w:cs="Times New Roman"/>
      <w:color w:val="002060"/>
      <w:sz w:val="24"/>
    </w:rPr>
  </w:style>
  <w:style w:type="character" w:customStyle="1" w:styleId="Heading3Char">
    <w:name w:val="Heading 3 Char"/>
    <w:basedOn w:val="DefaultParagraphFont"/>
    <w:link w:val="Heading3"/>
    <w:uiPriority w:val="9"/>
    <w:rsid w:val="00A10CDF"/>
    <w:rPr>
      <w:rFonts w:ascii="Franklin Gothic Medium" w:eastAsia="Calibri" w:hAnsi="Franklin Gothic Medium" w:cs="Times New Roman"/>
      <w:iCs/>
      <w:smallCaps/>
      <w:spacing w:val="5"/>
      <w:sz w:val="24"/>
      <w:szCs w:val="26"/>
    </w:rPr>
  </w:style>
  <w:style w:type="character" w:customStyle="1" w:styleId="Heading4Char">
    <w:name w:val="Heading 4 Char"/>
    <w:basedOn w:val="DefaultParagraphFont"/>
    <w:link w:val="Heading4"/>
    <w:uiPriority w:val="9"/>
    <w:semiHidden/>
    <w:rsid w:val="00A10CDF"/>
    <w:rPr>
      <w:rFonts w:ascii="Franklin Gothic Medium" w:eastAsia="Calibri" w:hAnsi="Franklin Gothic Medium" w:cs="Times New Roman"/>
      <w:b/>
      <w:bCs/>
      <w:spacing w:val="5"/>
      <w:sz w:val="24"/>
      <w:szCs w:val="24"/>
    </w:rPr>
  </w:style>
  <w:style w:type="character" w:customStyle="1" w:styleId="Heading5Char">
    <w:name w:val="Heading 5 Char"/>
    <w:basedOn w:val="DefaultParagraphFont"/>
    <w:link w:val="Heading5"/>
    <w:uiPriority w:val="9"/>
    <w:semiHidden/>
    <w:rsid w:val="00A10CDF"/>
    <w:rPr>
      <w:rFonts w:ascii="Franklin Gothic Medium" w:eastAsia="Calibri" w:hAnsi="Franklin Gothic Medium" w:cs="Times New Roman"/>
      <w:i/>
      <w:iCs/>
      <w:sz w:val="24"/>
      <w:szCs w:val="24"/>
    </w:rPr>
  </w:style>
  <w:style w:type="character" w:customStyle="1" w:styleId="Heading6Char">
    <w:name w:val="Heading 6 Char"/>
    <w:basedOn w:val="DefaultParagraphFont"/>
    <w:link w:val="Heading6"/>
    <w:uiPriority w:val="9"/>
    <w:semiHidden/>
    <w:rsid w:val="00A10CDF"/>
    <w:rPr>
      <w:rFonts w:ascii="Franklin Gothic Medium" w:eastAsia="Calibri" w:hAnsi="Franklin Gothic Medium" w:cs="Times New Roman"/>
      <w:b/>
      <w:bCs/>
      <w:color w:val="595959"/>
      <w:spacing w:val="5"/>
      <w:sz w:val="24"/>
      <w:shd w:val="clear" w:color="auto" w:fill="FFFFFF"/>
    </w:rPr>
  </w:style>
  <w:style w:type="character" w:customStyle="1" w:styleId="Heading7Char">
    <w:name w:val="Heading 7 Char"/>
    <w:basedOn w:val="DefaultParagraphFont"/>
    <w:link w:val="Heading7"/>
    <w:uiPriority w:val="9"/>
    <w:semiHidden/>
    <w:rsid w:val="00A10CDF"/>
    <w:rPr>
      <w:rFonts w:ascii="Franklin Gothic Medium" w:eastAsia="Calibri" w:hAnsi="Franklin Gothic Medium" w:cs="Times New Roman"/>
      <w:b/>
      <w:bCs/>
      <w:i/>
      <w:iCs/>
      <w:color w:val="5A5A5A"/>
      <w:sz w:val="20"/>
      <w:szCs w:val="20"/>
    </w:rPr>
  </w:style>
  <w:style w:type="character" w:customStyle="1" w:styleId="Heading8Char">
    <w:name w:val="Heading 8 Char"/>
    <w:basedOn w:val="DefaultParagraphFont"/>
    <w:link w:val="Heading8"/>
    <w:uiPriority w:val="9"/>
    <w:semiHidden/>
    <w:rsid w:val="00A10CDF"/>
    <w:rPr>
      <w:rFonts w:ascii="Franklin Gothic Medium" w:eastAsia="Calibri" w:hAnsi="Franklin Gothic Medium" w:cs="Times New Roman"/>
      <w:b/>
      <w:bCs/>
      <w:color w:val="7F7F7F"/>
      <w:sz w:val="20"/>
      <w:szCs w:val="20"/>
    </w:rPr>
  </w:style>
  <w:style w:type="character" w:customStyle="1" w:styleId="Heading9Char">
    <w:name w:val="Heading 9 Char"/>
    <w:basedOn w:val="DefaultParagraphFont"/>
    <w:link w:val="Heading9"/>
    <w:uiPriority w:val="9"/>
    <w:semiHidden/>
    <w:rsid w:val="00A10CDF"/>
    <w:rPr>
      <w:rFonts w:ascii="Franklin Gothic Medium" w:eastAsia="Calibri" w:hAnsi="Franklin Gothic Medium" w:cs="Times New Roman"/>
      <w:b/>
      <w:bCs/>
      <w:i/>
      <w:iCs/>
      <w:color w:val="7F7F7F"/>
      <w:sz w:val="18"/>
      <w:szCs w:val="18"/>
    </w:rPr>
  </w:style>
  <w:style w:type="paragraph" w:styleId="Title">
    <w:name w:val="Title"/>
    <w:basedOn w:val="Normal"/>
    <w:next w:val="Normal"/>
    <w:link w:val="TitleChar"/>
    <w:uiPriority w:val="10"/>
    <w:qFormat/>
    <w:rsid w:val="00A10CD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A10CDF"/>
    <w:rPr>
      <w:rFonts w:ascii="Franklin Gothic Medium" w:eastAsia="Calibri" w:hAnsi="Franklin Gothic Medium" w:cs="Times New Roman"/>
      <w:smallCaps/>
      <w:sz w:val="52"/>
      <w:szCs w:val="52"/>
    </w:rPr>
  </w:style>
  <w:style w:type="paragraph" w:styleId="Subtitle">
    <w:name w:val="Subtitle"/>
    <w:basedOn w:val="Normal"/>
    <w:next w:val="Normal"/>
    <w:link w:val="SubtitleChar"/>
    <w:uiPriority w:val="11"/>
    <w:qFormat/>
    <w:rsid w:val="00A10CDF"/>
    <w:rPr>
      <w:i/>
      <w:iCs/>
      <w:smallCaps/>
      <w:spacing w:val="10"/>
      <w:sz w:val="28"/>
      <w:szCs w:val="28"/>
    </w:rPr>
  </w:style>
  <w:style w:type="character" w:customStyle="1" w:styleId="SubtitleChar">
    <w:name w:val="Subtitle Char"/>
    <w:basedOn w:val="DefaultParagraphFont"/>
    <w:link w:val="Subtitle"/>
    <w:uiPriority w:val="11"/>
    <w:rsid w:val="00A10CDF"/>
    <w:rPr>
      <w:rFonts w:ascii="Franklin Gothic Medium" w:eastAsia="Calibri" w:hAnsi="Franklin Gothic Medium" w:cs="Times New Roman"/>
      <w:i/>
      <w:iCs/>
      <w:smallCaps/>
      <w:spacing w:val="10"/>
      <w:sz w:val="28"/>
      <w:szCs w:val="28"/>
    </w:rPr>
  </w:style>
  <w:style w:type="character" w:styleId="Strong">
    <w:name w:val="Strong"/>
    <w:uiPriority w:val="22"/>
    <w:qFormat/>
    <w:rsid w:val="00A10CDF"/>
    <w:rPr>
      <w:b/>
      <w:bCs/>
    </w:rPr>
  </w:style>
  <w:style w:type="character" w:styleId="Emphasis">
    <w:name w:val="Emphasis"/>
    <w:uiPriority w:val="20"/>
    <w:qFormat/>
    <w:rsid w:val="00A10CDF"/>
    <w:rPr>
      <w:b/>
      <w:bCs/>
      <w:i/>
      <w:iCs/>
      <w:spacing w:val="10"/>
    </w:rPr>
  </w:style>
  <w:style w:type="paragraph" w:styleId="NoSpacing">
    <w:name w:val="No Spacing"/>
    <w:basedOn w:val="Normal"/>
    <w:link w:val="NoSpacingChar"/>
    <w:uiPriority w:val="1"/>
    <w:qFormat/>
    <w:rsid w:val="00A10CDF"/>
    <w:pPr>
      <w:spacing w:after="0" w:line="240" w:lineRule="auto"/>
    </w:pPr>
  </w:style>
  <w:style w:type="character" w:customStyle="1" w:styleId="NoSpacingChar">
    <w:name w:val="No Spacing Char"/>
    <w:link w:val="NoSpacing"/>
    <w:uiPriority w:val="1"/>
    <w:rsid w:val="00A10CDF"/>
    <w:rPr>
      <w:rFonts w:ascii="Franklin Gothic Medium" w:eastAsia="Calibri" w:hAnsi="Franklin Gothic Medium" w:cs="Times New Roman"/>
      <w:sz w:val="24"/>
    </w:rPr>
  </w:style>
  <w:style w:type="paragraph" w:styleId="ListParagraph">
    <w:name w:val="List Paragraph"/>
    <w:basedOn w:val="Normal"/>
    <w:uiPriority w:val="34"/>
    <w:qFormat/>
    <w:rsid w:val="00A10CDF"/>
    <w:pPr>
      <w:ind w:left="720"/>
      <w:contextualSpacing/>
    </w:pPr>
  </w:style>
  <w:style w:type="paragraph" w:styleId="Quote">
    <w:name w:val="Quote"/>
    <w:basedOn w:val="Normal"/>
    <w:next w:val="Normal"/>
    <w:link w:val="QuoteChar"/>
    <w:uiPriority w:val="29"/>
    <w:qFormat/>
    <w:rsid w:val="00A10CDF"/>
    <w:rPr>
      <w:i/>
      <w:iCs/>
    </w:rPr>
  </w:style>
  <w:style w:type="character" w:customStyle="1" w:styleId="QuoteChar">
    <w:name w:val="Quote Char"/>
    <w:basedOn w:val="DefaultParagraphFont"/>
    <w:link w:val="Quote"/>
    <w:uiPriority w:val="29"/>
    <w:rsid w:val="00A10CDF"/>
    <w:rPr>
      <w:rFonts w:ascii="Franklin Gothic Medium" w:eastAsia="Calibri" w:hAnsi="Franklin Gothic Medium" w:cs="Times New Roman"/>
      <w:i/>
      <w:iCs/>
      <w:sz w:val="24"/>
    </w:rPr>
  </w:style>
  <w:style w:type="paragraph" w:styleId="IntenseQuote">
    <w:name w:val="Intense Quote"/>
    <w:basedOn w:val="Normal"/>
    <w:next w:val="Normal"/>
    <w:link w:val="IntenseQuoteChar"/>
    <w:uiPriority w:val="30"/>
    <w:qFormat/>
    <w:rsid w:val="00A10CD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A10CDF"/>
    <w:rPr>
      <w:rFonts w:ascii="Franklin Gothic Medium" w:eastAsia="Calibri" w:hAnsi="Franklin Gothic Medium" w:cs="Times New Roman"/>
      <w:i/>
      <w:iCs/>
      <w:sz w:val="24"/>
    </w:rPr>
  </w:style>
  <w:style w:type="character" w:styleId="SubtleEmphasis">
    <w:name w:val="Subtle Emphasis"/>
    <w:uiPriority w:val="19"/>
    <w:qFormat/>
    <w:rsid w:val="00A10CDF"/>
    <w:rPr>
      <w:i/>
      <w:iCs/>
    </w:rPr>
  </w:style>
  <w:style w:type="character" w:styleId="IntenseEmphasis">
    <w:name w:val="Intense Emphasis"/>
    <w:uiPriority w:val="21"/>
    <w:qFormat/>
    <w:rsid w:val="00A10CDF"/>
    <w:rPr>
      <w:b/>
      <w:bCs/>
      <w:i/>
      <w:iCs/>
    </w:rPr>
  </w:style>
  <w:style w:type="character" w:styleId="SubtleReference">
    <w:name w:val="Subtle Reference"/>
    <w:uiPriority w:val="31"/>
    <w:qFormat/>
    <w:rsid w:val="00A10CDF"/>
    <w:rPr>
      <w:smallCaps/>
    </w:rPr>
  </w:style>
  <w:style w:type="character" w:styleId="IntenseReference">
    <w:name w:val="Intense Reference"/>
    <w:uiPriority w:val="32"/>
    <w:qFormat/>
    <w:rsid w:val="00A10CDF"/>
    <w:rPr>
      <w:b/>
      <w:bCs/>
      <w:smallCaps/>
    </w:rPr>
  </w:style>
  <w:style w:type="character" w:styleId="BookTitle">
    <w:name w:val="Book Title"/>
    <w:uiPriority w:val="33"/>
    <w:qFormat/>
    <w:rsid w:val="00A10CDF"/>
    <w:rPr>
      <w:i/>
      <w:iCs/>
      <w:smallCaps/>
      <w:spacing w:val="5"/>
    </w:rPr>
  </w:style>
  <w:style w:type="paragraph" w:styleId="TOCHeading">
    <w:name w:val="TOC Heading"/>
    <w:basedOn w:val="Heading1"/>
    <w:next w:val="Normal"/>
    <w:uiPriority w:val="39"/>
    <w:semiHidden/>
    <w:unhideWhenUsed/>
    <w:qFormat/>
    <w:rsid w:val="00A10CDF"/>
    <w:pPr>
      <w:outlineLvl w:val="9"/>
    </w:pPr>
    <w:rPr>
      <w:lang w:bidi="en-US"/>
    </w:rPr>
  </w:style>
  <w:style w:type="paragraph" w:styleId="TOC2">
    <w:name w:val="toc 2"/>
    <w:basedOn w:val="Normal"/>
    <w:next w:val="Normal"/>
    <w:autoRedefine/>
    <w:uiPriority w:val="39"/>
    <w:unhideWhenUsed/>
    <w:rsid w:val="00A10CDF"/>
    <w:pPr>
      <w:ind w:left="220"/>
    </w:pPr>
  </w:style>
  <w:style w:type="paragraph" w:styleId="TOC1">
    <w:name w:val="toc 1"/>
    <w:basedOn w:val="Normal"/>
    <w:next w:val="Normal"/>
    <w:autoRedefine/>
    <w:uiPriority w:val="39"/>
    <w:unhideWhenUsed/>
    <w:rsid w:val="00A10CDF"/>
    <w:pPr>
      <w:tabs>
        <w:tab w:val="right" w:leader="dot" w:pos="9350"/>
      </w:tabs>
      <w:spacing w:after="0" w:line="240" w:lineRule="auto"/>
    </w:pPr>
  </w:style>
  <w:style w:type="paragraph" w:styleId="TOC3">
    <w:name w:val="toc 3"/>
    <w:basedOn w:val="Normal"/>
    <w:next w:val="Normal"/>
    <w:autoRedefine/>
    <w:uiPriority w:val="39"/>
    <w:unhideWhenUsed/>
    <w:rsid w:val="00A10CDF"/>
    <w:pPr>
      <w:ind w:left="440"/>
    </w:pPr>
  </w:style>
  <w:style w:type="table" w:styleId="TableGrid">
    <w:name w:val="Table Grid"/>
    <w:basedOn w:val="TableNormal"/>
    <w:uiPriority w:val="59"/>
    <w:rsid w:val="00A10CDF"/>
    <w:rPr>
      <w:rFonts w:ascii="Cambria" w:eastAsia="Times New Roman" w:hAnsi="Cambr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10CDF"/>
    <w:pPr>
      <w:tabs>
        <w:tab w:val="center" w:pos="4680"/>
        <w:tab w:val="right" w:pos="9360"/>
      </w:tabs>
    </w:pPr>
    <w:rPr>
      <w:rFonts w:eastAsia="Times New Roman"/>
    </w:rPr>
  </w:style>
  <w:style w:type="character" w:customStyle="1" w:styleId="HeaderChar">
    <w:name w:val="Header Char"/>
    <w:basedOn w:val="DefaultParagraphFont"/>
    <w:link w:val="Header"/>
    <w:uiPriority w:val="99"/>
    <w:rsid w:val="00A10CDF"/>
    <w:rPr>
      <w:rFonts w:ascii="Franklin Gothic Medium" w:eastAsia="Times New Roman" w:hAnsi="Franklin Gothic Medium" w:cs="Times New Roman"/>
      <w:sz w:val="24"/>
    </w:rPr>
  </w:style>
  <w:style w:type="paragraph" w:styleId="Footer">
    <w:name w:val="footer"/>
    <w:basedOn w:val="Normal"/>
    <w:link w:val="FooterChar"/>
    <w:uiPriority w:val="99"/>
    <w:unhideWhenUsed/>
    <w:rsid w:val="00A10CDF"/>
    <w:pPr>
      <w:tabs>
        <w:tab w:val="center" w:pos="4680"/>
        <w:tab w:val="right" w:pos="9360"/>
      </w:tabs>
    </w:pPr>
    <w:rPr>
      <w:rFonts w:eastAsia="Times New Roman"/>
    </w:rPr>
  </w:style>
  <w:style w:type="character" w:customStyle="1" w:styleId="FooterChar">
    <w:name w:val="Footer Char"/>
    <w:basedOn w:val="DefaultParagraphFont"/>
    <w:link w:val="Footer"/>
    <w:uiPriority w:val="99"/>
    <w:rsid w:val="00A10CDF"/>
    <w:rPr>
      <w:rFonts w:ascii="Franklin Gothic Medium" w:eastAsia="Times New Roman" w:hAnsi="Franklin Gothic Medium" w:cs="Times New Roman"/>
      <w:sz w:val="24"/>
    </w:rPr>
  </w:style>
  <w:style w:type="paragraph" w:styleId="BalloonText">
    <w:name w:val="Balloon Text"/>
    <w:basedOn w:val="Normal"/>
    <w:link w:val="BalloonTextChar"/>
    <w:uiPriority w:val="99"/>
    <w:semiHidden/>
    <w:unhideWhenUsed/>
    <w:rsid w:val="00A10CD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10CDF"/>
    <w:rPr>
      <w:rFonts w:ascii="Tahoma" w:eastAsia="Times New Roman" w:hAnsi="Tahoma" w:cs="Tahoma"/>
      <w:sz w:val="16"/>
      <w:szCs w:val="16"/>
    </w:rPr>
  </w:style>
  <w:style w:type="paragraph" w:customStyle="1" w:styleId="Volumetitle">
    <w:name w:val="Volume title"/>
    <w:basedOn w:val="Normal"/>
    <w:rsid w:val="00A10CDF"/>
    <w:pPr>
      <w:pBdr>
        <w:bottom w:val="dotted" w:sz="12" w:space="1" w:color="002E6E"/>
      </w:pBdr>
      <w:spacing w:after="120" w:line="240" w:lineRule="auto"/>
    </w:pPr>
    <w:rPr>
      <w:rFonts w:ascii="Impact" w:eastAsia="Times New Roman" w:hAnsi="Impact"/>
      <w:bCs/>
      <w:color w:val="002E6E"/>
      <w:sz w:val="48"/>
      <w:szCs w:val="48"/>
    </w:rPr>
  </w:style>
  <w:style w:type="character" w:customStyle="1" w:styleId="heading10">
    <w:name w:val="heading1"/>
    <w:rsid w:val="00A10CDF"/>
    <w:rPr>
      <w:sz w:val="38"/>
      <w:szCs w:val="38"/>
    </w:rPr>
  </w:style>
  <w:style w:type="paragraph" w:styleId="NormalWeb">
    <w:name w:val="Normal (Web)"/>
    <w:basedOn w:val="Normal"/>
    <w:uiPriority w:val="99"/>
    <w:unhideWhenUsed/>
    <w:rsid w:val="00A10CDF"/>
    <w:pPr>
      <w:spacing w:before="100" w:beforeAutospacing="1" w:after="100" w:afterAutospacing="1" w:line="240" w:lineRule="auto"/>
    </w:pPr>
    <w:rPr>
      <w:rFonts w:ascii="Times New Roman" w:eastAsia="Times New Roman" w:hAnsi="Times New Roman"/>
      <w:szCs w:val="24"/>
    </w:rPr>
  </w:style>
  <w:style w:type="character" w:styleId="Hyperlink">
    <w:name w:val="Hyperlink"/>
    <w:uiPriority w:val="99"/>
    <w:unhideWhenUsed/>
    <w:rsid w:val="00A10CDF"/>
    <w:rPr>
      <w:strike w:val="0"/>
      <w:dstrike w:val="0"/>
      <w:color w:val="0063A4"/>
      <w:u w:val="none"/>
      <w:effect w:val="none"/>
    </w:rPr>
  </w:style>
  <w:style w:type="paragraph" w:styleId="TOC4">
    <w:name w:val="toc 4"/>
    <w:basedOn w:val="Normal"/>
    <w:next w:val="Normal"/>
    <w:autoRedefine/>
    <w:uiPriority w:val="39"/>
    <w:unhideWhenUsed/>
    <w:rsid w:val="00A10CDF"/>
    <w:pPr>
      <w:spacing w:after="100"/>
      <w:ind w:left="660"/>
    </w:pPr>
    <w:rPr>
      <w:rFonts w:eastAsia="Times New Roman"/>
    </w:rPr>
  </w:style>
  <w:style w:type="paragraph" w:styleId="TOC5">
    <w:name w:val="toc 5"/>
    <w:basedOn w:val="Normal"/>
    <w:next w:val="Normal"/>
    <w:autoRedefine/>
    <w:uiPriority w:val="39"/>
    <w:unhideWhenUsed/>
    <w:rsid w:val="00A10CDF"/>
    <w:pPr>
      <w:spacing w:after="100"/>
      <w:ind w:left="880"/>
    </w:pPr>
    <w:rPr>
      <w:rFonts w:eastAsia="Times New Roman"/>
    </w:rPr>
  </w:style>
  <w:style w:type="paragraph" w:styleId="TOC6">
    <w:name w:val="toc 6"/>
    <w:basedOn w:val="Normal"/>
    <w:next w:val="Normal"/>
    <w:autoRedefine/>
    <w:uiPriority w:val="39"/>
    <w:unhideWhenUsed/>
    <w:rsid w:val="00A10CDF"/>
    <w:pPr>
      <w:spacing w:after="100"/>
      <w:ind w:left="1100"/>
    </w:pPr>
    <w:rPr>
      <w:rFonts w:eastAsia="Times New Roman"/>
    </w:rPr>
  </w:style>
  <w:style w:type="paragraph" w:styleId="TOC7">
    <w:name w:val="toc 7"/>
    <w:basedOn w:val="Normal"/>
    <w:next w:val="Normal"/>
    <w:autoRedefine/>
    <w:uiPriority w:val="39"/>
    <w:unhideWhenUsed/>
    <w:rsid w:val="00A10CDF"/>
    <w:pPr>
      <w:spacing w:after="100"/>
      <w:ind w:left="1320"/>
    </w:pPr>
    <w:rPr>
      <w:rFonts w:eastAsia="Times New Roman"/>
    </w:rPr>
  </w:style>
  <w:style w:type="paragraph" w:styleId="TOC8">
    <w:name w:val="toc 8"/>
    <w:basedOn w:val="Normal"/>
    <w:next w:val="Normal"/>
    <w:autoRedefine/>
    <w:uiPriority w:val="39"/>
    <w:unhideWhenUsed/>
    <w:rsid w:val="00A10CDF"/>
    <w:pPr>
      <w:spacing w:after="100"/>
      <w:ind w:left="1540"/>
    </w:pPr>
    <w:rPr>
      <w:rFonts w:eastAsia="Times New Roman"/>
    </w:rPr>
  </w:style>
  <w:style w:type="paragraph" w:styleId="TOC9">
    <w:name w:val="toc 9"/>
    <w:basedOn w:val="Normal"/>
    <w:next w:val="Normal"/>
    <w:autoRedefine/>
    <w:uiPriority w:val="39"/>
    <w:unhideWhenUsed/>
    <w:rsid w:val="00A10CDF"/>
    <w:pPr>
      <w:spacing w:after="100"/>
      <w:ind w:left="1760"/>
    </w:pPr>
    <w:rPr>
      <w:rFonts w:eastAsia="Times New Roman"/>
    </w:rPr>
  </w:style>
  <w:style w:type="paragraph" w:styleId="FootnoteText">
    <w:name w:val="footnote text"/>
    <w:basedOn w:val="Normal"/>
    <w:link w:val="FootnoteTextChar"/>
    <w:uiPriority w:val="99"/>
    <w:semiHidden/>
    <w:unhideWhenUsed/>
    <w:rsid w:val="00A10CDF"/>
    <w:rPr>
      <w:rFonts w:eastAsia="Times New Roman"/>
      <w:sz w:val="20"/>
      <w:szCs w:val="20"/>
    </w:rPr>
  </w:style>
  <w:style w:type="character" w:customStyle="1" w:styleId="FootnoteTextChar">
    <w:name w:val="Footnote Text Char"/>
    <w:basedOn w:val="DefaultParagraphFont"/>
    <w:link w:val="FootnoteText"/>
    <w:uiPriority w:val="99"/>
    <w:semiHidden/>
    <w:rsid w:val="00A10CDF"/>
    <w:rPr>
      <w:rFonts w:ascii="Franklin Gothic Medium" w:eastAsia="Times New Roman" w:hAnsi="Franklin Gothic Medium" w:cs="Times New Roman"/>
      <w:sz w:val="20"/>
      <w:szCs w:val="20"/>
    </w:rPr>
  </w:style>
  <w:style w:type="character" w:styleId="FootnoteReference">
    <w:name w:val="footnote reference"/>
    <w:uiPriority w:val="99"/>
    <w:semiHidden/>
    <w:unhideWhenUsed/>
    <w:rsid w:val="00A10CDF"/>
    <w:rPr>
      <w:vertAlign w:val="superscript"/>
    </w:rPr>
  </w:style>
  <w:style w:type="table" w:customStyle="1" w:styleId="BusinessTransformationTable">
    <w:name w:val="Business Transformation Table"/>
    <w:basedOn w:val="TableNormal"/>
    <w:rsid w:val="00A10CDF"/>
    <w:pPr>
      <w:spacing w:after="0" w:line="240" w:lineRule="auto"/>
    </w:pPr>
    <w:rPr>
      <w:rFonts w:ascii="Garamond" w:eastAsia="Times New Roman" w:hAnsi="Garamond" w:cs="Times New Roman"/>
      <w:sz w:val="18"/>
      <w:szCs w:val="20"/>
    </w:rPr>
    <w:tblPr>
      <w:tblStyleRowBandSize w:val="1"/>
      <w:tblInd w:w="0" w:type="dxa"/>
      <w:tblBorders>
        <w:insideV w:val="dotted" w:sz="6" w:space="0" w:color="auto"/>
      </w:tblBorders>
      <w:tblCellMar>
        <w:top w:w="58" w:type="dxa"/>
        <w:left w:w="115" w:type="dxa"/>
        <w:bottom w:w="58" w:type="dxa"/>
        <w:right w:w="115" w:type="dxa"/>
      </w:tblCellMar>
    </w:tblPr>
    <w:tblStylePr w:type="firstRow">
      <w:rPr>
        <w:rFonts w:ascii="Calibri" w:hAnsi="Calibri"/>
        <w:sz w:val="28"/>
      </w:rPr>
      <w:tblPr/>
      <w:tcPr>
        <w:tcBorders>
          <w:top w:val="nil"/>
          <w:left w:val="nil"/>
          <w:bottom w:val="nil"/>
          <w:right w:val="nil"/>
          <w:insideH w:val="nil"/>
          <w:insideV w:val="nil"/>
          <w:tl2br w:val="nil"/>
          <w:tr2bl w:val="nil"/>
        </w:tcBorders>
        <w:shd w:val="clear" w:color="auto" w:fill="003A63"/>
      </w:tcPr>
    </w:tblStylePr>
    <w:tblStylePr w:type="band2Horz">
      <w:tblPr/>
      <w:tcPr>
        <w:shd w:val="clear" w:color="auto" w:fill="C3D6FD"/>
      </w:tcPr>
    </w:tblStylePr>
  </w:style>
  <w:style w:type="paragraph" w:styleId="BodyText">
    <w:name w:val="Body Text"/>
    <w:basedOn w:val="Normal"/>
    <w:link w:val="BodyTextChar"/>
    <w:rsid w:val="00A10CDF"/>
    <w:pPr>
      <w:spacing w:after="240" w:line="240" w:lineRule="auto"/>
      <w:contextualSpacing/>
    </w:pPr>
    <w:rPr>
      <w:rFonts w:ascii="Garamond" w:eastAsia="Times New Roman" w:hAnsi="Garamond"/>
      <w:sz w:val="21"/>
      <w:szCs w:val="24"/>
    </w:rPr>
  </w:style>
  <w:style w:type="character" w:customStyle="1" w:styleId="BodyTextChar">
    <w:name w:val="Body Text Char"/>
    <w:basedOn w:val="DefaultParagraphFont"/>
    <w:link w:val="BodyText"/>
    <w:rsid w:val="00A10CDF"/>
    <w:rPr>
      <w:rFonts w:ascii="Garamond" w:eastAsia="Times New Roman" w:hAnsi="Garamond" w:cs="Times New Roman"/>
      <w:sz w:val="21"/>
      <w:szCs w:val="24"/>
    </w:rPr>
  </w:style>
  <w:style w:type="paragraph" w:customStyle="1" w:styleId="TableHeader">
    <w:name w:val="Table Header"/>
    <w:next w:val="Normal"/>
    <w:rsid w:val="00A10CDF"/>
    <w:pPr>
      <w:spacing w:after="0" w:line="240" w:lineRule="auto"/>
      <w:jc w:val="center"/>
    </w:pPr>
    <w:rPr>
      <w:rFonts w:ascii="Franklin Gothic Demi Cond" w:eastAsia="Times New Roman" w:hAnsi="Franklin Gothic Demi Cond" w:cs="Times New Roman"/>
      <w:color w:val="FFFFFF"/>
      <w:sz w:val="24"/>
      <w:szCs w:val="24"/>
    </w:rPr>
  </w:style>
  <w:style w:type="paragraph" w:customStyle="1" w:styleId="TOCandVH">
    <w:name w:val="TOC and VH"/>
    <w:basedOn w:val="Normal"/>
    <w:rsid w:val="00A10CDF"/>
    <w:pPr>
      <w:keepNext/>
      <w:keepLines/>
      <w:pBdr>
        <w:bottom w:val="single" w:sz="8" w:space="1" w:color="C0C0C0"/>
      </w:pBdr>
      <w:spacing w:before="240" w:after="120" w:line="240" w:lineRule="auto"/>
      <w:outlineLvl w:val="0"/>
    </w:pPr>
    <w:rPr>
      <w:rFonts w:ascii="Franklin Gothic Demi Cond" w:eastAsia="Times New Roman" w:hAnsi="Franklin Gothic Demi Cond"/>
      <w:color w:val="003A63"/>
      <w:sz w:val="40"/>
      <w:szCs w:val="32"/>
    </w:rPr>
  </w:style>
  <w:style w:type="paragraph" w:customStyle="1" w:styleId="FrontmatterHeader">
    <w:name w:val="Frontmatter Header"/>
    <w:basedOn w:val="Heading1"/>
    <w:next w:val="Normal"/>
    <w:rsid w:val="00A10CDF"/>
    <w:pPr>
      <w:keepNext/>
      <w:keepLines/>
      <w:pBdr>
        <w:bottom w:val="single" w:sz="8" w:space="1" w:color="C0C0C0"/>
      </w:pBdr>
      <w:spacing w:before="240" w:after="120" w:afterAutospacing="0"/>
      <w:contextualSpacing w:val="0"/>
    </w:pPr>
    <w:rPr>
      <w:rFonts w:asciiTheme="majorHAnsi" w:eastAsia="Times New Roman" w:hAnsiTheme="majorHAnsi"/>
      <w:color w:val="003A63"/>
      <w:spacing w:val="0"/>
      <w:sz w:val="40"/>
      <w:szCs w:val="32"/>
    </w:rPr>
  </w:style>
  <w:style w:type="paragraph" w:customStyle="1" w:styleId="StyleImpact12ptCentered">
    <w:name w:val="Style Impact 12 pt Centered"/>
    <w:basedOn w:val="Normal"/>
    <w:rsid w:val="00A10CDF"/>
    <w:pPr>
      <w:spacing w:after="0" w:line="240" w:lineRule="auto"/>
      <w:jc w:val="center"/>
    </w:pPr>
    <w:rPr>
      <w:rFonts w:ascii="Franklin Gothic Demi Cond" w:eastAsia="Times New Roman" w:hAnsi="Franklin Gothic Demi Cond"/>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117" Type="http://schemas.openxmlformats.org/officeDocument/2006/relationships/image" Target="media/image109.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6" Type="http://schemas.openxmlformats.org/officeDocument/2006/relationships/image" Target="media/image12.png"/><Relationship Id="rId107" Type="http://schemas.openxmlformats.org/officeDocument/2006/relationships/image" Target="media/image99.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69.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fontTable" Target="fontTable.xml"/><Relationship Id="rId5" Type="http://schemas.openxmlformats.org/officeDocument/2006/relationships/image" Target="media/image1.png"/><Relationship Id="rId61" Type="http://schemas.openxmlformats.org/officeDocument/2006/relationships/hyperlink" Target="SAPEVENT:DOCU_LINK\DS:GLOS.commitment_item" TargetMode="External"/><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hyperlink" Target="SAPEVENT:DOCU_LINK\DS:GLOS.3526C108AFAB52B9E10000009B38F974" TargetMode="External"/><Relationship Id="rId100" Type="http://schemas.openxmlformats.org/officeDocument/2006/relationships/image" Target="media/image92.png"/><Relationship Id="rId105" Type="http://schemas.openxmlformats.org/officeDocument/2006/relationships/image" Target="media/image97.png"/><Relationship Id="rId113" Type="http://schemas.openxmlformats.org/officeDocument/2006/relationships/image" Target="media/image105.png"/><Relationship Id="rId118" Type="http://schemas.openxmlformats.org/officeDocument/2006/relationships/image" Target="media/image110.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7.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2.png"/><Relationship Id="rId103" Type="http://schemas.openxmlformats.org/officeDocument/2006/relationships/image" Target="media/image95.png"/><Relationship Id="rId108" Type="http://schemas.openxmlformats.org/officeDocument/2006/relationships/image" Target="media/image100.png"/><Relationship Id="rId116" Type="http://schemas.openxmlformats.org/officeDocument/2006/relationships/image" Target="media/image108.png"/><Relationship Id="rId124" Type="http://schemas.openxmlformats.org/officeDocument/2006/relationships/theme" Target="theme/theme1.xml"/><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3.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hyperlink" Target="SAPEVENT:DOCU_LINK\DS:GLOS.3526BECAAFAB52B9E10000009B38F974" TargetMode="External"/><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1.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hyperlink" Target="SAPEVENT:DOCU_LINK\DS:GLOS.3526C0C9AFAB52B9E10000009B38F974" TargetMode="External"/><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7" Type="http://schemas.openxmlformats.org/officeDocument/2006/relationships/image" Target="media/image3.png"/><Relationship Id="rId71" Type="http://schemas.openxmlformats.org/officeDocument/2006/relationships/image" Target="media/image66.png"/><Relationship Id="rId92" Type="http://schemas.openxmlformats.org/officeDocument/2006/relationships/image" Target="media/image84.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1.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129</Pages>
  <Words>21661</Words>
  <Characters>123473</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SAM2</dc:creator>
  <cp:lastModifiedBy>SAM2</cp:lastModifiedBy>
  <cp:revision>4</cp:revision>
  <dcterms:created xsi:type="dcterms:W3CDTF">2015-07-05T14:09:00Z</dcterms:created>
  <dcterms:modified xsi:type="dcterms:W3CDTF">2015-07-05T14:34:00Z</dcterms:modified>
</cp:coreProperties>
</file>