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4101" w:rsidRPr="008C6941" w:rsidRDefault="00D64101" w:rsidP="003A4D59">
      <w:pPr>
        <w:jc w:val="both"/>
        <w:rPr>
          <w:b/>
          <w:color w:val="C00000"/>
          <w:sz w:val="24"/>
        </w:rPr>
      </w:pPr>
      <w:bookmarkStart w:id="0" w:name="_GoBack"/>
      <w:r w:rsidRPr="008C6941">
        <w:rPr>
          <w:b/>
          <w:color w:val="C00000"/>
          <w:sz w:val="24"/>
        </w:rPr>
        <w:t>Global Marathon of IFRS &amp; Ind AS</w:t>
      </w:r>
    </w:p>
    <w:p w:rsidR="00FB23DD" w:rsidRPr="008C6941" w:rsidRDefault="00FB23DD" w:rsidP="00FB23DD">
      <w:pPr>
        <w:spacing w:after="0"/>
        <w:jc w:val="both"/>
        <w:rPr>
          <w:b/>
          <w:color w:val="C00000"/>
        </w:rPr>
      </w:pPr>
      <w:r w:rsidRPr="008C6941">
        <w:rPr>
          <w:b/>
          <w:color w:val="C00000"/>
        </w:rPr>
        <w:t>Targeted Audience</w:t>
      </w:r>
    </w:p>
    <w:p w:rsidR="00537BC7" w:rsidRDefault="00FB23DD" w:rsidP="00FB23DD">
      <w:pPr>
        <w:spacing w:after="0"/>
        <w:jc w:val="both"/>
      </w:pPr>
      <w:r w:rsidRPr="008C6941">
        <w:t>Considering the importance of the IFRS/Ind AS globally and in India also in the near future, I have started to write my latest series on the globally accepted IFRS and Ind AS</w:t>
      </w:r>
      <w:r w:rsidR="006D1FA0">
        <w:t xml:space="preserve"> (IAS)</w:t>
      </w:r>
      <w:r w:rsidRPr="008C6941">
        <w:t xml:space="preserve"> (indianised version of IFRS) which will serve as a </w:t>
      </w:r>
      <w:r w:rsidRPr="00EC749A">
        <w:rPr>
          <w:color w:val="C00000"/>
        </w:rPr>
        <w:t xml:space="preserve">complete guidance for the various professionals including CA/CWA/CS/MBAs and </w:t>
      </w:r>
      <w:r w:rsidR="0047555C">
        <w:rPr>
          <w:color w:val="C00000"/>
        </w:rPr>
        <w:t xml:space="preserve">other </w:t>
      </w:r>
      <w:r w:rsidRPr="00EC749A">
        <w:rPr>
          <w:color w:val="C00000"/>
        </w:rPr>
        <w:t>professional</w:t>
      </w:r>
      <w:r w:rsidR="006D1FA0">
        <w:rPr>
          <w:color w:val="C00000"/>
        </w:rPr>
        <w:t>s</w:t>
      </w:r>
      <w:r w:rsidRPr="00EC749A">
        <w:rPr>
          <w:color w:val="C00000"/>
        </w:rPr>
        <w:t xml:space="preserve"> directly or indirectly being involved in the preparation and presentation of the financial statements. </w:t>
      </w:r>
    </w:p>
    <w:p w:rsidR="00537BC7" w:rsidRDefault="00537BC7" w:rsidP="00FB23DD">
      <w:pPr>
        <w:spacing w:after="0"/>
        <w:jc w:val="both"/>
      </w:pPr>
    </w:p>
    <w:p w:rsidR="00D64101" w:rsidRPr="008C6941" w:rsidRDefault="005F567A" w:rsidP="00FB23DD">
      <w:pPr>
        <w:spacing w:after="0"/>
        <w:jc w:val="both"/>
        <w:rPr>
          <w:b/>
          <w:color w:val="C00000"/>
        </w:rPr>
      </w:pPr>
      <w:r>
        <w:rPr>
          <w:b/>
          <w:color w:val="C00000"/>
        </w:rPr>
        <w:t>Global Momentum</w:t>
      </w:r>
    </w:p>
    <w:p w:rsidR="003A4D59" w:rsidRPr="008C6941" w:rsidRDefault="00FB23DD" w:rsidP="00FB23DD">
      <w:pPr>
        <w:spacing w:after="0"/>
        <w:jc w:val="both"/>
      </w:pPr>
      <w:r w:rsidRPr="008C6941">
        <w:t>International Financial Reporting Standards (</w:t>
      </w:r>
      <w:r w:rsidR="003A4D59" w:rsidRPr="008C6941">
        <w:t>IFRS</w:t>
      </w:r>
      <w:r w:rsidRPr="008C6941">
        <w:t>)</w:t>
      </w:r>
      <w:r w:rsidR="003A4D59" w:rsidRPr="008C6941">
        <w:t xml:space="preserve"> issued by the </w:t>
      </w:r>
      <w:r w:rsidRPr="008C6941">
        <w:t>International Accounting Standards Board (</w:t>
      </w:r>
      <w:r w:rsidR="003A4D59" w:rsidRPr="008C6941">
        <w:t>IASB</w:t>
      </w:r>
      <w:r w:rsidRPr="008C6941">
        <w:t>)</w:t>
      </w:r>
      <w:r w:rsidR="003A4D59" w:rsidRPr="008C6941">
        <w:t xml:space="preserve"> are increasingly being recognised as Global Accounting/Reporting Standards. </w:t>
      </w:r>
      <w:r w:rsidR="003A4D59" w:rsidRPr="008C6941">
        <w:rPr>
          <w:color w:val="C00000"/>
        </w:rPr>
        <w:t>More than 100 countries such as countries of European Union, Australia, New Zealand, and Russia currently require or permit the use of IFRSs in their countries.</w:t>
      </w:r>
      <w:r w:rsidR="003A4D59" w:rsidRPr="008C6941">
        <w:t xml:space="preserve"> </w:t>
      </w:r>
      <w:r w:rsidRPr="008C6941">
        <w:t xml:space="preserve">Financial Accounting Standard Board (FASB) </w:t>
      </w:r>
      <w:r w:rsidR="003A4D59" w:rsidRPr="008C6941">
        <w:t>of USA and IASB are also working towards the convergence of the US GAAPs and the IFRSs. Security Exchange Commission (SEC) has mooted a proposal to permit filling of IFRS-compliant financial statements without requiring presentation of a reconciliation statement between US GAAPs and IFRSs in near future.</w:t>
      </w:r>
    </w:p>
    <w:p w:rsidR="00FB23DD" w:rsidRPr="008C6941" w:rsidRDefault="00FB23DD" w:rsidP="00FB23DD">
      <w:pPr>
        <w:spacing w:after="0"/>
        <w:jc w:val="both"/>
      </w:pPr>
    </w:p>
    <w:p w:rsidR="003A4D59" w:rsidRPr="008C6941" w:rsidRDefault="00D64101" w:rsidP="00FB23DD">
      <w:pPr>
        <w:spacing w:after="0"/>
        <w:jc w:val="both"/>
        <w:rPr>
          <w:b/>
          <w:color w:val="C00000"/>
        </w:rPr>
      </w:pPr>
      <w:r w:rsidRPr="008C6941">
        <w:rPr>
          <w:b/>
          <w:color w:val="C00000"/>
        </w:rPr>
        <w:t>ICAI View</w:t>
      </w:r>
    </w:p>
    <w:p w:rsidR="003A4D59" w:rsidRPr="008C6941" w:rsidRDefault="003A4D59" w:rsidP="003A4D59">
      <w:pPr>
        <w:jc w:val="both"/>
      </w:pPr>
      <w:r w:rsidRPr="008C6941">
        <w:t>The Accounting Standard Board (ASB) of ICAI, at its 127</w:t>
      </w:r>
      <w:r w:rsidRPr="008C6941">
        <w:rPr>
          <w:vertAlign w:val="superscript"/>
        </w:rPr>
        <w:t>th</w:t>
      </w:r>
      <w:r w:rsidRPr="008C6941">
        <w:t xml:space="preserve"> Meeting, held on August 11</w:t>
      </w:r>
      <w:r w:rsidR="00D64101" w:rsidRPr="008C6941">
        <w:t>, 2006</w:t>
      </w:r>
      <w:r w:rsidRPr="008C6941">
        <w:t xml:space="preserve">, considered the matter and supported the council view that there would be several advantages of </w:t>
      </w:r>
      <w:r w:rsidR="00D64101" w:rsidRPr="008C6941">
        <w:t>converging</w:t>
      </w:r>
      <w:r w:rsidRPr="008C6941">
        <w:t xml:space="preserve"> with IFRSs. </w:t>
      </w:r>
      <w:r w:rsidRPr="008C6941">
        <w:rPr>
          <w:color w:val="C00000"/>
        </w:rPr>
        <w:t xml:space="preserve">The board was also of the view that convergence with IFRSs would be an important policy decision as it would significantly </w:t>
      </w:r>
      <w:r w:rsidR="00D64101" w:rsidRPr="008C6941">
        <w:rPr>
          <w:color w:val="C00000"/>
        </w:rPr>
        <w:t>discipline</w:t>
      </w:r>
      <w:r w:rsidRPr="008C6941">
        <w:rPr>
          <w:color w:val="C00000"/>
        </w:rPr>
        <w:t xml:space="preserve"> in the country but would also affect its economy.</w:t>
      </w:r>
    </w:p>
    <w:p w:rsidR="003A4D59" w:rsidRPr="008C6941" w:rsidRDefault="00D64101" w:rsidP="00FB23DD">
      <w:pPr>
        <w:spacing w:after="0"/>
        <w:jc w:val="both"/>
        <w:rPr>
          <w:b/>
          <w:color w:val="C00000"/>
        </w:rPr>
      </w:pPr>
      <w:r w:rsidRPr="008C6941">
        <w:rPr>
          <w:b/>
          <w:color w:val="C00000"/>
        </w:rPr>
        <w:t>MCA View</w:t>
      </w:r>
    </w:p>
    <w:p w:rsidR="00D64101" w:rsidRDefault="003A4D59" w:rsidP="0047555C">
      <w:pPr>
        <w:spacing w:after="0"/>
        <w:jc w:val="both"/>
        <w:rPr>
          <w:color w:val="C00000"/>
        </w:rPr>
      </w:pPr>
      <w:r w:rsidRPr="008C6941">
        <w:t xml:space="preserve">The MCA has finally notified the much awaited Indian Accounting Standards (Ind AS), which are converged with the International Financial Reporting Standards (IFRS). Companies (Indian Accounting Standards) Rules, 2015, </w:t>
      </w:r>
      <w:r w:rsidRPr="008C6941">
        <w:rPr>
          <w:color w:val="C00000"/>
        </w:rPr>
        <w:t>notified on 16</w:t>
      </w:r>
      <w:r w:rsidRPr="008C6941">
        <w:rPr>
          <w:color w:val="C00000"/>
          <w:vertAlign w:val="superscript"/>
        </w:rPr>
        <w:t>th</w:t>
      </w:r>
      <w:r w:rsidRPr="008C6941">
        <w:rPr>
          <w:color w:val="C00000"/>
        </w:rPr>
        <w:t xml:space="preserve"> Feb, 2015 have issued Ind AS (IFRS Converged Standards) and it fills up the significant gaps that exist in the current accounting guidance. </w:t>
      </w:r>
      <w:r w:rsidRPr="008C6941">
        <w:t xml:space="preserve">India can now claim to have financial reporting standards that are contemporary and virtually at par with leading global standards. This will in turn </w:t>
      </w:r>
      <w:r w:rsidRPr="008C6941">
        <w:rPr>
          <w:color w:val="C00000"/>
        </w:rPr>
        <w:t>improve India’s place in global rankings on corporate governance and transparency in the financial reporting.</w:t>
      </w:r>
    </w:p>
    <w:p w:rsidR="0047555C" w:rsidRPr="0047555C" w:rsidRDefault="0047555C" w:rsidP="0047555C">
      <w:pPr>
        <w:spacing w:after="0"/>
        <w:jc w:val="both"/>
        <w:rPr>
          <w:color w:val="C00000"/>
        </w:rPr>
      </w:pPr>
    </w:p>
    <w:p w:rsidR="008C6941" w:rsidRPr="005F567A" w:rsidRDefault="008C6941" w:rsidP="008C6941">
      <w:pPr>
        <w:spacing w:after="0"/>
        <w:jc w:val="both"/>
        <w:rPr>
          <w:b/>
          <w:color w:val="C00000"/>
        </w:rPr>
      </w:pPr>
      <w:r w:rsidRPr="005F567A">
        <w:rPr>
          <w:b/>
          <w:color w:val="C00000"/>
          <w:sz w:val="24"/>
        </w:rPr>
        <w:t>IFRS &amp; Ind AS – An Overview</w:t>
      </w:r>
      <w:r w:rsidRPr="005F567A">
        <w:rPr>
          <w:b/>
          <w:color w:val="C00000"/>
        </w:rPr>
        <w:t xml:space="preserve"> </w:t>
      </w:r>
    </w:p>
    <w:p w:rsidR="008C6941" w:rsidRPr="005F567A" w:rsidRDefault="008C6941" w:rsidP="008C6941">
      <w:pPr>
        <w:spacing w:after="0"/>
        <w:jc w:val="both"/>
        <w:rPr>
          <w:b/>
          <w:color w:val="C00000"/>
        </w:rPr>
      </w:pPr>
      <w:r w:rsidRPr="005F567A">
        <w:rPr>
          <w:b/>
          <w:color w:val="C00000"/>
        </w:rPr>
        <w:t>Implementation Roadmap</w:t>
      </w:r>
    </w:p>
    <w:p w:rsidR="00D64101" w:rsidRDefault="008C6941" w:rsidP="003A4D59">
      <w:pPr>
        <w:jc w:val="both"/>
      </w:pPr>
      <w:r>
        <w:t>The phase wise implementation strategy has been specified for the companies to adopt the Ind AS for the financial Statement:</w:t>
      </w:r>
    </w:p>
    <w:tbl>
      <w:tblPr>
        <w:tblStyle w:val="TableGrid"/>
        <w:tblW w:w="0" w:type="auto"/>
        <w:tblLook w:val="04A0" w:firstRow="1" w:lastRow="0" w:firstColumn="1" w:lastColumn="0" w:noHBand="0" w:noVBand="1"/>
      </w:tblPr>
      <w:tblGrid>
        <w:gridCol w:w="2254"/>
        <w:gridCol w:w="2254"/>
        <w:gridCol w:w="2254"/>
        <w:gridCol w:w="2254"/>
      </w:tblGrid>
      <w:tr w:rsidR="006B3DB7" w:rsidTr="006B3DB7">
        <w:tc>
          <w:tcPr>
            <w:tcW w:w="2254" w:type="dxa"/>
          </w:tcPr>
          <w:p w:rsidR="006B3DB7" w:rsidRPr="005F567A" w:rsidRDefault="006B3DB7" w:rsidP="003A4D59">
            <w:pPr>
              <w:jc w:val="both"/>
              <w:rPr>
                <w:b/>
                <w:color w:val="C00000"/>
              </w:rPr>
            </w:pPr>
            <w:r w:rsidRPr="005F567A">
              <w:rPr>
                <w:b/>
                <w:color w:val="C00000"/>
              </w:rPr>
              <w:t>Particulars</w:t>
            </w:r>
          </w:p>
        </w:tc>
        <w:tc>
          <w:tcPr>
            <w:tcW w:w="2254" w:type="dxa"/>
          </w:tcPr>
          <w:p w:rsidR="006B3DB7" w:rsidRPr="005F567A" w:rsidRDefault="006B3DB7" w:rsidP="003A4D59">
            <w:pPr>
              <w:jc w:val="both"/>
              <w:rPr>
                <w:b/>
                <w:color w:val="C00000"/>
              </w:rPr>
            </w:pPr>
            <w:r w:rsidRPr="005F567A">
              <w:rPr>
                <w:b/>
                <w:color w:val="C00000"/>
              </w:rPr>
              <w:t>Voluntary Contribution</w:t>
            </w:r>
          </w:p>
        </w:tc>
        <w:tc>
          <w:tcPr>
            <w:tcW w:w="2254" w:type="dxa"/>
          </w:tcPr>
          <w:p w:rsidR="006B3DB7" w:rsidRPr="005F567A" w:rsidRDefault="006B3DB7" w:rsidP="003A4D59">
            <w:pPr>
              <w:jc w:val="both"/>
              <w:rPr>
                <w:b/>
                <w:color w:val="C00000"/>
              </w:rPr>
            </w:pPr>
            <w:r w:rsidRPr="005F567A">
              <w:rPr>
                <w:b/>
                <w:color w:val="C00000"/>
              </w:rPr>
              <w:t xml:space="preserve">Phase – I </w:t>
            </w:r>
          </w:p>
        </w:tc>
        <w:tc>
          <w:tcPr>
            <w:tcW w:w="2254" w:type="dxa"/>
          </w:tcPr>
          <w:p w:rsidR="006B3DB7" w:rsidRPr="005F567A" w:rsidRDefault="006B3DB7" w:rsidP="003A4D59">
            <w:pPr>
              <w:jc w:val="both"/>
              <w:rPr>
                <w:b/>
                <w:color w:val="C00000"/>
              </w:rPr>
            </w:pPr>
            <w:r w:rsidRPr="005F567A">
              <w:rPr>
                <w:b/>
                <w:color w:val="C00000"/>
              </w:rPr>
              <w:t>Phase – II</w:t>
            </w:r>
          </w:p>
        </w:tc>
      </w:tr>
      <w:tr w:rsidR="006B3DB7" w:rsidTr="006B3DB7">
        <w:tc>
          <w:tcPr>
            <w:tcW w:w="2254" w:type="dxa"/>
          </w:tcPr>
          <w:p w:rsidR="006B3DB7" w:rsidRPr="00EC749A" w:rsidRDefault="006B3DB7" w:rsidP="003A4D59">
            <w:pPr>
              <w:jc w:val="both"/>
              <w:rPr>
                <w:b/>
              </w:rPr>
            </w:pPr>
            <w:r w:rsidRPr="00EC749A">
              <w:rPr>
                <w:b/>
              </w:rPr>
              <w:t>FY of Adoption</w:t>
            </w:r>
          </w:p>
        </w:tc>
        <w:tc>
          <w:tcPr>
            <w:tcW w:w="2254" w:type="dxa"/>
          </w:tcPr>
          <w:p w:rsidR="006B3DB7" w:rsidRDefault="006B3DB7" w:rsidP="003A4D59">
            <w:pPr>
              <w:jc w:val="both"/>
            </w:pPr>
            <w:r>
              <w:t>2015-16 or thereafter</w:t>
            </w:r>
          </w:p>
        </w:tc>
        <w:tc>
          <w:tcPr>
            <w:tcW w:w="2254" w:type="dxa"/>
          </w:tcPr>
          <w:p w:rsidR="006B3DB7" w:rsidRDefault="006B3DB7" w:rsidP="003A4D59">
            <w:pPr>
              <w:jc w:val="both"/>
            </w:pPr>
            <w:r>
              <w:t>2016-17</w:t>
            </w:r>
          </w:p>
        </w:tc>
        <w:tc>
          <w:tcPr>
            <w:tcW w:w="2254" w:type="dxa"/>
          </w:tcPr>
          <w:p w:rsidR="006B3DB7" w:rsidRDefault="006B3DB7" w:rsidP="003A4D59">
            <w:pPr>
              <w:jc w:val="both"/>
            </w:pPr>
            <w:r>
              <w:t>2017-18</w:t>
            </w:r>
          </w:p>
        </w:tc>
      </w:tr>
      <w:tr w:rsidR="006B3DB7" w:rsidTr="006B3DB7">
        <w:tc>
          <w:tcPr>
            <w:tcW w:w="2254" w:type="dxa"/>
          </w:tcPr>
          <w:p w:rsidR="006B3DB7" w:rsidRPr="00EC749A" w:rsidRDefault="006B3DB7" w:rsidP="003A4D59">
            <w:pPr>
              <w:jc w:val="both"/>
              <w:rPr>
                <w:b/>
              </w:rPr>
            </w:pPr>
            <w:r w:rsidRPr="00EC749A">
              <w:rPr>
                <w:b/>
              </w:rPr>
              <w:t>PY of Comparative</w:t>
            </w:r>
          </w:p>
        </w:tc>
        <w:tc>
          <w:tcPr>
            <w:tcW w:w="2254" w:type="dxa"/>
          </w:tcPr>
          <w:p w:rsidR="006B3DB7" w:rsidRDefault="006B3DB7" w:rsidP="003A4D59">
            <w:pPr>
              <w:jc w:val="both"/>
            </w:pPr>
            <w:r>
              <w:t>2014-15 or thereafter</w:t>
            </w:r>
          </w:p>
        </w:tc>
        <w:tc>
          <w:tcPr>
            <w:tcW w:w="2254" w:type="dxa"/>
          </w:tcPr>
          <w:p w:rsidR="006B3DB7" w:rsidRDefault="006B3DB7" w:rsidP="003A4D59">
            <w:pPr>
              <w:jc w:val="both"/>
            </w:pPr>
            <w:r>
              <w:t>2015-16</w:t>
            </w:r>
          </w:p>
        </w:tc>
        <w:tc>
          <w:tcPr>
            <w:tcW w:w="2254" w:type="dxa"/>
          </w:tcPr>
          <w:p w:rsidR="006B3DB7" w:rsidRDefault="006B3DB7" w:rsidP="003A4D59">
            <w:pPr>
              <w:jc w:val="both"/>
            </w:pPr>
            <w:r>
              <w:t>2016-17</w:t>
            </w:r>
          </w:p>
        </w:tc>
      </w:tr>
      <w:tr w:rsidR="006B3DB7" w:rsidTr="006B3DB7">
        <w:tc>
          <w:tcPr>
            <w:tcW w:w="2254" w:type="dxa"/>
          </w:tcPr>
          <w:p w:rsidR="006B3DB7" w:rsidRPr="00EC749A" w:rsidRDefault="006B3DB7" w:rsidP="003A4D59">
            <w:pPr>
              <w:jc w:val="both"/>
              <w:rPr>
                <w:b/>
              </w:rPr>
            </w:pPr>
            <w:r w:rsidRPr="00EC749A">
              <w:rPr>
                <w:b/>
              </w:rPr>
              <w:t>Listed Companies</w:t>
            </w:r>
          </w:p>
        </w:tc>
        <w:tc>
          <w:tcPr>
            <w:tcW w:w="2254" w:type="dxa"/>
          </w:tcPr>
          <w:p w:rsidR="006B3DB7" w:rsidRDefault="006B3DB7" w:rsidP="003A4D59">
            <w:pPr>
              <w:jc w:val="both"/>
            </w:pPr>
            <w:r>
              <w:t>Any Company can voluntary adopt Ind AS</w:t>
            </w:r>
          </w:p>
        </w:tc>
        <w:tc>
          <w:tcPr>
            <w:tcW w:w="2254" w:type="dxa"/>
            <w:vMerge w:val="restart"/>
          </w:tcPr>
          <w:p w:rsidR="006B3DB7" w:rsidRDefault="006B3DB7" w:rsidP="006B3DB7">
            <w:r>
              <w:t>All Companies having Net Worth of Rs. 500 Crores or more.</w:t>
            </w:r>
          </w:p>
        </w:tc>
        <w:tc>
          <w:tcPr>
            <w:tcW w:w="2254" w:type="dxa"/>
          </w:tcPr>
          <w:p w:rsidR="006B3DB7" w:rsidRDefault="006B3DB7" w:rsidP="003A4D59">
            <w:pPr>
              <w:jc w:val="both"/>
            </w:pPr>
            <w:r>
              <w:t>All companies listed or in the process of being listed.</w:t>
            </w:r>
          </w:p>
        </w:tc>
      </w:tr>
      <w:tr w:rsidR="006B3DB7" w:rsidTr="006B3DB7">
        <w:tc>
          <w:tcPr>
            <w:tcW w:w="2254" w:type="dxa"/>
          </w:tcPr>
          <w:p w:rsidR="006B3DB7" w:rsidRPr="00EC749A" w:rsidRDefault="006B3DB7" w:rsidP="003A4D59">
            <w:pPr>
              <w:jc w:val="both"/>
              <w:rPr>
                <w:b/>
              </w:rPr>
            </w:pPr>
            <w:r w:rsidRPr="00EC749A">
              <w:rPr>
                <w:b/>
              </w:rPr>
              <w:t>Unlisted Companies</w:t>
            </w:r>
          </w:p>
        </w:tc>
        <w:tc>
          <w:tcPr>
            <w:tcW w:w="2254" w:type="dxa"/>
          </w:tcPr>
          <w:p w:rsidR="006B3DB7" w:rsidRDefault="006B3DB7" w:rsidP="003A4D59">
            <w:pPr>
              <w:jc w:val="both"/>
            </w:pPr>
          </w:p>
        </w:tc>
        <w:tc>
          <w:tcPr>
            <w:tcW w:w="2254" w:type="dxa"/>
            <w:vMerge/>
          </w:tcPr>
          <w:p w:rsidR="006B3DB7" w:rsidRDefault="006B3DB7" w:rsidP="003A4D59">
            <w:pPr>
              <w:jc w:val="both"/>
            </w:pPr>
          </w:p>
        </w:tc>
        <w:tc>
          <w:tcPr>
            <w:tcW w:w="2254" w:type="dxa"/>
          </w:tcPr>
          <w:p w:rsidR="006B3DB7" w:rsidRDefault="006B3DB7" w:rsidP="003A4D59">
            <w:pPr>
              <w:jc w:val="both"/>
            </w:pPr>
            <w:r>
              <w:t>Companies having a net worth of Rs. 250 Crores or more</w:t>
            </w:r>
          </w:p>
        </w:tc>
      </w:tr>
      <w:tr w:rsidR="006B3DB7" w:rsidTr="00CC4841">
        <w:tc>
          <w:tcPr>
            <w:tcW w:w="2254" w:type="dxa"/>
          </w:tcPr>
          <w:p w:rsidR="006B3DB7" w:rsidRPr="00EC749A" w:rsidRDefault="006B3DB7" w:rsidP="003A4D59">
            <w:pPr>
              <w:jc w:val="both"/>
              <w:rPr>
                <w:b/>
              </w:rPr>
            </w:pPr>
            <w:r w:rsidRPr="00EC749A">
              <w:rPr>
                <w:b/>
              </w:rPr>
              <w:lastRenderedPageBreak/>
              <w:t>Group Companies</w:t>
            </w:r>
          </w:p>
        </w:tc>
        <w:tc>
          <w:tcPr>
            <w:tcW w:w="6762" w:type="dxa"/>
            <w:gridSpan w:val="3"/>
          </w:tcPr>
          <w:p w:rsidR="006B3DB7" w:rsidRDefault="006B3DB7" w:rsidP="003A4D59">
            <w:pPr>
              <w:jc w:val="both"/>
            </w:pPr>
            <w:r>
              <w:t>Applicable to Holding, subsidiaries, JV, or associ</w:t>
            </w:r>
            <w:r w:rsidR="005F567A">
              <w:t xml:space="preserve">ates of companies covered above. </w:t>
            </w:r>
          </w:p>
        </w:tc>
      </w:tr>
      <w:tr w:rsidR="005F567A" w:rsidTr="00A12E75">
        <w:tc>
          <w:tcPr>
            <w:tcW w:w="9016" w:type="dxa"/>
            <w:gridSpan w:val="4"/>
          </w:tcPr>
          <w:p w:rsidR="005F567A" w:rsidRDefault="005F567A" w:rsidP="003A4D59">
            <w:pPr>
              <w:jc w:val="both"/>
              <w:rPr>
                <w:b/>
              </w:rPr>
            </w:pPr>
            <w:r w:rsidRPr="005F567A">
              <w:rPr>
                <w:b/>
              </w:rPr>
              <w:t>Important Notes:</w:t>
            </w:r>
          </w:p>
          <w:p w:rsidR="005F567A" w:rsidRDefault="005F567A" w:rsidP="005F567A">
            <w:pPr>
              <w:pStyle w:val="ListParagraph"/>
              <w:numPr>
                <w:ilvl w:val="0"/>
                <w:numId w:val="1"/>
              </w:numPr>
              <w:ind w:left="596" w:hanging="236"/>
              <w:jc w:val="both"/>
            </w:pPr>
            <w:r w:rsidRPr="00EC749A">
              <w:rPr>
                <w:color w:val="C00000"/>
              </w:rPr>
              <w:t>Net Worth</w:t>
            </w:r>
            <w:r w:rsidRPr="005F567A">
              <w:t xml:space="preserve"> will be calculated as defined in the COA 2013 </w:t>
            </w:r>
            <w:r>
              <w:t xml:space="preserve">of the PY audited Standalone or CFS of the company </w:t>
            </w:r>
            <w:r w:rsidRPr="005F567A">
              <w:t xml:space="preserve">and </w:t>
            </w:r>
            <w:r w:rsidRPr="00EC749A">
              <w:rPr>
                <w:color w:val="C00000"/>
              </w:rPr>
              <w:t>does not include reserves created out of revaluation of assets, write back of Depreciation and amalgamation.</w:t>
            </w:r>
          </w:p>
          <w:p w:rsidR="005F567A" w:rsidRPr="005F567A" w:rsidRDefault="005F567A" w:rsidP="005F567A">
            <w:pPr>
              <w:pStyle w:val="ListParagraph"/>
              <w:numPr>
                <w:ilvl w:val="0"/>
                <w:numId w:val="1"/>
              </w:numPr>
              <w:ind w:left="596" w:hanging="236"/>
              <w:jc w:val="both"/>
            </w:pPr>
            <w:r>
              <w:t xml:space="preserve">In case of Voluntary application of Ind AS by any company and there is no provision of any roll back </w:t>
            </w:r>
            <w:r w:rsidRPr="00EC749A">
              <w:rPr>
                <w:color w:val="C00000"/>
              </w:rPr>
              <w:t>(i.e. Ind AS once adopted will continued to applied thereafter)</w:t>
            </w:r>
          </w:p>
        </w:tc>
      </w:tr>
    </w:tbl>
    <w:p w:rsidR="0047555C" w:rsidRDefault="0047555C" w:rsidP="00B042A2">
      <w:pPr>
        <w:spacing w:after="0"/>
        <w:jc w:val="both"/>
        <w:rPr>
          <w:b/>
        </w:rPr>
      </w:pPr>
    </w:p>
    <w:p w:rsidR="005F567A" w:rsidRPr="00B042A2" w:rsidRDefault="005F567A" w:rsidP="00B042A2">
      <w:pPr>
        <w:spacing w:after="0"/>
        <w:jc w:val="both"/>
        <w:rPr>
          <w:b/>
          <w:color w:val="C00000"/>
        </w:rPr>
      </w:pPr>
      <w:r w:rsidRPr="00B042A2">
        <w:rPr>
          <w:b/>
          <w:color w:val="C00000"/>
        </w:rPr>
        <w:t>Comparative List of Ind AS &amp; IFRS</w:t>
      </w:r>
    </w:p>
    <w:p w:rsidR="005F567A" w:rsidRPr="00B042A2" w:rsidRDefault="005F567A" w:rsidP="005F567A">
      <w:pPr>
        <w:jc w:val="both"/>
      </w:pPr>
      <w:r>
        <w:t xml:space="preserve">Well, I am not going to provide the length list of the generic number and names of the Ind AS &amp; IFRS here because the same will be discussed one by one in my coming posts. Although if </w:t>
      </w:r>
      <w:r w:rsidR="00B042A2">
        <w:t>anyone</w:t>
      </w:r>
      <w:r>
        <w:t xml:space="preserve"> is very curious to see the Comparative List of Ind AS with IFRS that the same can be downloaded from the link available at the ICAI site or other sites available on World Wide Web</w:t>
      </w:r>
      <w:r w:rsidRPr="00B042A2">
        <w:t>.</w:t>
      </w:r>
      <w:r w:rsidR="00B042A2">
        <w:t xml:space="preserve"> I also suggest that one should go through the same to have a better understanding and to get a BIG PICTURE of my post to be discussed in near future.</w:t>
      </w:r>
      <w:r w:rsidRPr="00B042A2">
        <w:t xml:space="preserve">  </w:t>
      </w:r>
      <w:r w:rsidRPr="00B042A2">
        <w:rPr>
          <w:i/>
        </w:rPr>
        <w:t xml:space="preserve">(To download list </w:t>
      </w:r>
      <w:r w:rsidRPr="00B042A2">
        <w:rPr>
          <w:i/>
          <w:color w:val="2E74B5" w:themeColor="accent1" w:themeShade="BF"/>
        </w:rPr>
        <w:t>click here</w:t>
      </w:r>
      <w:r w:rsidRPr="00B042A2">
        <w:rPr>
          <w:i/>
        </w:rPr>
        <w:t>)</w:t>
      </w:r>
    </w:p>
    <w:p w:rsidR="00B042A2" w:rsidRPr="00EC749A" w:rsidRDefault="005F567A" w:rsidP="00EC749A">
      <w:pPr>
        <w:spacing w:after="0"/>
        <w:jc w:val="both"/>
        <w:rPr>
          <w:b/>
          <w:color w:val="C00000"/>
          <w:sz w:val="24"/>
        </w:rPr>
      </w:pPr>
      <w:r w:rsidRPr="00B042A2">
        <w:rPr>
          <w:b/>
          <w:color w:val="C00000"/>
          <w:sz w:val="24"/>
        </w:rPr>
        <w:t>First Time Adoption of Indian Accounting Standards (Ind AS 101/IFRS 1)</w:t>
      </w:r>
    </w:p>
    <w:p w:rsidR="00B042A2" w:rsidRPr="00B042A2" w:rsidRDefault="00B042A2" w:rsidP="003A4D59">
      <w:pPr>
        <w:jc w:val="both"/>
        <w:rPr>
          <w:b/>
          <w:color w:val="C00000"/>
        </w:rPr>
      </w:pPr>
      <w:r>
        <w:rPr>
          <w:b/>
          <w:color w:val="C00000"/>
        </w:rPr>
        <w:t xml:space="preserve">(A) </w:t>
      </w:r>
      <w:r w:rsidRPr="00B042A2">
        <w:rPr>
          <w:b/>
          <w:color w:val="C00000"/>
        </w:rPr>
        <w:t>Objectives</w:t>
      </w:r>
    </w:p>
    <w:p w:rsidR="00B042A2" w:rsidRPr="00B042A2" w:rsidRDefault="00B042A2" w:rsidP="00B042A2">
      <w:pPr>
        <w:pStyle w:val="ListParagraph"/>
        <w:numPr>
          <w:ilvl w:val="0"/>
          <w:numId w:val="2"/>
        </w:numPr>
        <w:jc w:val="both"/>
        <w:rPr>
          <w:color w:val="C00000"/>
        </w:rPr>
      </w:pPr>
      <w:r w:rsidRPr="00B042A2">
        <w:t xml:space="preserve">To provide a </w:t>
      </w:r>
      <w:r w:rsidRPr="00B042A2">
        <w:rPr>
          <w:color w:val="C00000"/>
        </w:rPr>
        <w:t>suitable starting point</w:t>
      </w:r>
    </w:p>
    <w:p w:rsidR="00B042A2" w:rsidRPr="00B042A2" w:rsidRDefault="00B042A2" w:rsidP="00B042A2">
      <w:pPr>
        <w:pStyle w:val="ListParagraph"/>
        <w:numPr>
          <w:ilvl w:val="0"/>
          <w:numId w:val="2"/>
        </w:numPr>
        <w:jc w:val="both"/>
      </w:pPr>
      <w:r w:rsidRPr="00B042A2">
        <w:t xml:space="preserve">To </w:t>
      </w:r>
      <w:r w:rsidRPr="00B042A2">
        <w:rPr>
          <w:color w:val="C00000"/>
        </w:rPr>
        <w:t xml:space="preserve">set out the procedures </w:t>
      </w:r>
    </w:p>
    <w:p w:rsidR="00B042A2" w:rsidRPr="00B042A2" w:rsidRDefault="00B042A2" w:rsidP="00B042A2">
      <w:pPr>
        <w:pStyle w:val="ListParagraph"/>
        <w:numPr>
          <w:ilvl w:val="0"/>
          <w:numId w:val="2"/>
        </w:numPr>
        <w:jc w:val="both"/>
      </w:pPr>
      <w:r w:rsidRPr="00B042A2">
        <w:rPr>
          <w:color w:val="C00000"/>
        </w:rPr>
        <w:t>Cost of transition</w:t>
      </w:r>
      <w:r w:rsidRPr="00B042A2">
        <w:t xml:space="preserve"> should be less than the benefits</w:t>
      </w:r>
    </w:p>
    <w:p w:rsidR="00B042A2" w:rsidRDefault="00B042A2" w:rsidP="00B042A2">
      <w:pPr>
        <w:pStyle w:val="ListParagraph"/>
        <w:numPr>
          <w:ilvl w:val="0"/>
          <w:numId w:val="2"/>
        </w:numPr>
        <w:jc w:val="both"/>
        <w:rPr>
          <w:b/>
        </w:rPr>
      </w:pPr>
      <w:r w:rsidRPr="00B042A2">
        <w:t xml:space="preserve">To ensure that enterprise first Ind AS Financial Statement contains </w:t>
      </w:r>
      <w:r w:rsidRPr="00B042A2">
        <w:rPr>
          <w:color w:val="C00000"/>
        </w:rPr>
        <w:t>HIGH QUALITY INFORMARION</w:t>
      </w:r>
      <w:r>
        <w:rPr>
          <w:b/>
        </w:rPr>
        <w:t xml:space="preserve"> </w:t>
      </w:r>
    </w:p>
    <w:p w:rsidR="00B042A2" w:rsidRPr="00EC749A" w:rsidRDefault="00B042A2" w:rsidP="00B042A2">
      <w:pPr>
        <w:jc w:val="both"/>
        <w:rPr>
          <w:b/>
          <w:color w:val="C00000"/>
        </w:rPr>
      </w:pPr>
      <w:r w:rsidRPr="00EC749A">
        <w:rPr>
          <w:b/>
          <w:color w:val="C00000"/>
        </w:rPr>
        <w:t>(B) General Requirements</w:t>
      </w:r>
    </w:p>
    <w:p w:rsidR="00B042A2" w:rsidRDefault="00B042A2" w:rsidP="00B042A2">
      <w:pPr>
        <w:jc w:val="both"/>
      </w:pPr>
      <w:r w:rsidRPr="00B042A2">
        <w:t>It requires the equity and profit reconciliations to be provided at the time first time adoption of the Ind AS by the companies.</w:t>
      </w:r>
    </w:p>
    <w:p w:rsidR="00B042A2" w:rsidRPr="00EC749A" w:rsidRDefault="00B042A2" w:rsidP="00B042A2">
      <w:pPr>
        <w:jc w:val="both"/>
        <w:rPr>
          <w:b/>
          <w:color w:val="C00000"/>
        </w:rPr>
      </w:pPr>
      <w:r w:rsidRPr="00EC749A">
        <w:rPr>
          <w:b/>
          <w:color w:val="C00000"/>
        </w:rPr>
        <w:t>(C) Selection of Accounting Policies</w:t>
      </w:r>
    </w:p>
    <w:p w:rsidR="00EF1457" w:rsidRPr="00EF1457" w:rsidRDefault="00B042A2" w:rsidP="00B042A2">
      <w:pPr>
        <w:jc w:val="both"/>
        <w:rPr>
          <w:b/>
        </w:rPr>
      </w:pPr>
      <w:r w:rsidRPr="00B042A2">
        <w:t>Ind AS 101 prescribes the mandatory exceptions and optional exemptions for the first time adopters of Ind AS thereby facilitating a smooth transition to Ind AS and the careful consideration of these exceptions/exemptions and their impact on the first time and subsequent Ind AS financial statement would be required.</w:t>
      </w:r>
    </w:p>
    <w:p w:rsidR="00EF1457" w:rsidRPr="00EC749A" w:rsidRDefault="00EF1457" w:rsidP="00B042A2">
      <w:pPr>
        <w:jc w:val="both"/>
        <w:rPr>
          <w:b/>
          <w:color w:val="C00000"/>
        </w:rPr>
      </w:pPr>
      <w:r w:rsidRPr="00EC749A">
        <w:rPr>
          <w:b/>
          <w:color w:val="C00000"/>
        </w:rPr>
        <w:t>Key Mandatory Exceptions</w:t>
      </w:r>
    </w:p>
    <w:p w:rsidR="00EF1457" w:rsidRDefault="00EF1457" w:rsidP="00EF1457">
      <w:pPr>
        <w:pStyle w:val="ListParagraph"/>
        <w:numPr>
          <w:ilvl w:val="0"/>
          <w:numId w:val="2"/>
        </w:numPr>
        <w:jc w:val="both"/>
      </w:pPr>
      <w:r w:rsidRPr="00EF1457">
        <w:rPr>
          <w:b/>
        </w:rPr>
        <w:t>Estimates:</w:t>
      </w:r>
      <w:r>
        <w:t xml:space="preserve"> Be consistent with previous GAAP unless there was an error or information is not relevant.</w:t>
      </w:r>
    </w:p>
    <w:p w:rsidR="00EF1457" w:rsidRDefault="00EF1457" w:rsidP="00EF1457">
      <w:pPr>
        <w:pStyle w:val="ListParagraph"/>
        <w:numPr>
          <w:ilvl w:val="0"/>
          <w:numId w:val="2"/>
        </w:numPr>
        <w:jc w:val="both"/>
      </w:pPr>
      <w:r>
        <w:rPr>
          <w:b/>
        </w:rPr>
        <w:t>Government Loans:</w:t>
      </w:r>
      <w:r>
        <w:t xml:space="preserve"> Ind AS 20, Accounting for Government Grants and Disclosure of Government Assistance will be applied prospectively.</w:t>
      </w:r>
    </w:p>
    <w:p w:rsidR="00EF1457" w:rsidRDefault="00EF1457" w:rsidP="00EF1457">
      <w:pPr>
        <w:pStyle w:val="ListParagraph"/>
        <w:numPr>
          <w:ilvl w:val="0"/>
          <w:numId w:val="2"/>
        </w:numPr>
        <w:jc w:val="both"/>
      </w:pPr>
      <w:r>
        <w:rPr>
          <w:b/>
        </w:rPr>
        <w:t>Hedge Accounting:</w:t>
      </w:r>
      <w:r>
        <w:t xml:space="preserve"> No more relevant under the Ind AS.</w:t>
      </w:r>
    </w:p>
    <w:p w:rsidR="00EF1457" w:rsidRDefault="00EF1457" w:rsidP="00EF1457">
      <w:pPr>
        <w:pStyle w:val="ListParagraph"/>
        <w:numPr>
          <w:ilvl w:val="0"/>
          <w:numId w:val="2"/>
        </w:numPr>
        <w:jc w:val="both"/>
      </w:pPr>
      <w:r>
        <w:rPr>
          <w:b/>
        </w:rPr>
        <w:t xml:space="preserve">Derecognition of Financial Instruments: </w:t>
      </w:r>
      <w:r>
        <w:t>need to be applied prospectively.</w:t>
      </w:r>
    </w:p>
    <w:p w:rsidR="00EF1457" w:rsidRDefault="00EF1457" w:rsidP="00EF1457">
      <w:pPr>
        <w:pStyle w:val="ListParagraph"/>
        <w:numPr>
          <w:ilvl w:val="0"/>
          <w:numId w:val="2"/>
        </w:numPr>
        <w:jc w:val="both"/>
      </w:pPr>
      <w:r>
        <w:rPr>
          <w:b/>
        </w:rPr>
        <w:t xml:space="preserve">Classification and measurement of financial assets: </w:t>
      </w:r>
      <w:r>
        <w:t>Assessment is required to be made based on the conditions that exist at the date of transition.</w:t>
      </w:r>
    </w:p>
    <w:p w:rsidR="00EF1457" w:rsidRDefault="00EF1457" w:rsidP="00EF1457">
      <w:pPr>
        <w:pStyle w:val="ListParagraph"/>
        <w:numPr>
          <w:ilvl w:val="0"/>
          <w:numId w:val="2"/>
        </w:numPr>
        <w:jc w:val="both"/>
      </w:pPr>
      <w:r>
        <w:rPr>
          <w:b/>
        </w:rPr>
        <w:t xml:space="preserve">Impairment of financial assets: </w:t>
      </w:r>
      <w:r>
        <w:t>Need to be applied retrospectively as per Ind AS 109, subject to certain exceptions.</w:t>
      </w:r>
    </w:p>
    <w:p w:rsidR="00EF1457" w:rsidRPr="00EC749A" w:rsidRDefault="00EF1457" w:rsidP="00EF1457">
      <w:pPr>
        <w:jc w:val="both"/>
        <w:rPr>
          <w:b/>
          <w:color w:val="C00000"/>
        </w:rPr>
      </w:pPr>
      <w:r w:rsidRPr="00EC749A">
        <w:rPr>
          <w:b/>
          <w:color w:val="C00000"/>
        </w:rPr>
        <w:t>Optional Exemptions</w:t>
      </w:r>
    </w:p>
    <w:p w:rsidR="00EF1457" w:rsidRPr="007A0490" w:rsidRDefault="007A0490" w:rsidP="00EF1457">
      <w:pPr>
        <w:pStyle w:val="ListParagraph"/>
        <w:numPr>
          <w:ilvl w:val="0"/>
          <w:numId w:val="8"/>
        </w:numPr>
        <w:jc w:val="both"/>
        <w:rPr>
          <w:b/>
        </w:rPr>
      </w:pPr>
      <w:r>
        <w:rPr>
          <w:b/>
        </w:rPr>
        <w:lastRenderedPageBreak/>
        <w:t xml:space="preserve">Compound Financial Instruments: </w:t>
      </w:r>
      <w:r>
        <w:t>As per the Ind AS 32 Financial Instruments: Presentation, requires an entity to split a compound financial instrument into separate liability and equity components. If the liability component is no longer available, than equity portion is further split into two portions i.e. retained earnings (represent cumulative interest accreted on the liability component) and original equity component. However, the same splitting is not required under the Ind AS 101 on the date of transition.</w:t>
      </w:r>
    </w:p>
    <w:p w:rsidR="007A0490" w:rsidRPr="007A0490" w:rsidRDefault="007A0490" w:rsidP="00EF1457">
      <w:pPr>
        <w:pStyle w:val="ListParagraph"/>
        <w:numPr>
          <w:ilvl w:val="0"/>
          <w:numId w:val="8"/>
        </w:numPr>
        <w:jc w:val="both"/>
        <w:rPr>
          <w:b/>
        </w:rPr>
      </w:pPr>
      <w:r>
        <w:rPr>
          <w:b/>
        </w:rPr>
        <w:t>Revenue from Contracts with Customers:</w:t>
      </w:r>
      <w:r>
        <w:t xml:space="preserve"> with the retrospective application of Ind AS 115, the following methods can be adopted:</w:t>
      </w:r>
    </w:p>
    <w:p w:rsidR="007A0490" w:rsidRDefault="007A0490" w:rsidP="007A0490">
      <w:pPr>
        <w:pStyle w:val="ListParagraph"/>
        <w:numPr>
          <w:ilvl w:val="1"/>
          <w:numId w:val="8"/>
        </w:numPr>
        <w:jc w:val="both"/>
      </w:pPr>
      <w:r w:rsidRPr="007A0490">
        <w:t>For completed contracts, no restatement is required for the contracts that begin and end in the same reporting period.</w:t>
      </w:r>
    </w:p>
    <w:p w:rsidR="007A0490" w:rsidRDefault="007A0490" w:rsidP="007A0490">
      <w:pPr>
        <w:pStyle w:val="ListParagraph"/>
        <w:numPr>
          <w:ilvl w:val="1"/>
          <w:numId w:val="8"/>
        </w:numPr>
        <w:jc w:val="both"/>
      </w:pPr>
      <w:r w:rsidRPr="007A0490">
        <w:t>For completed contracts</w:t>
      </w:r>
      <w:r>
        <w:t xml:space="preserve"> having variable considerations</w:t>
      </w:r>
      <w:r w:rsidRPr="007A0490">
        <w:t>,</w:t>
      </w:r>
      <w:r>
        <w:t xml:space="preserve"> the companies can use transaction price on the date of completion of contract</w:t>
      </w:r>
    </w:p>
    <w:p w:rsidR="007A0490" w:rsidRDefault="007A0490" w:rsidP="007A0490">
      <w:pPr>
        <w:pStyle w:val="ListParagraph"/>
        <w:numPr>
          <w:ilvl w:val="1"/>
          <w:numId w:val="8"/>
        </w:numPr>
        <w:jc w:val="both"/>
      </w:pPr>
      <w:r>
        <w:t>For all reporting period prior to adoption of Ind AS, entity need not show them at the Transaction Price as the same will be considered in the part of the revenue.</w:t>
      </w:r>
    </w:p>
    <w:p w:rsidR="00195A01" w:rsidRPr="00195A01" w:rsidRDefault="007A0490" w:rsidP="007A0490">
      <w:pPr>
        <w:pStyle w:val="ListParagraph"/>
        <w:numPr>
          <w:ilvl w:val="0"/>
          <w:numId w:val="8"/>
        </w:numPr>
        <w:jc w:val="both"/>
        <w:rPr>
          <w:b/>
        </w:rPr>
      </w:pPr>
      <w:r w:rsidRPr="007A0490">
        <w:rPr>
          <w:b/>
        </w:rPr>
        <w:t>Cumulative Translation Differences</w:t>
      </w:r>
      <w:r>
        <w:rPr>
          <w:b/>
        </w:rPr>
        <w:t xml:space="preserve">: </w:t>
      </w:r>
      <w:r w:rsidR="00195A01">
        <w:t>at the time of first time adoption, the cumulative translation differences for all foreign operations are deemed to be zero at the date of transition to Ind AS and gain or loss on subsequent disposal shall be considered by the entity.</w:t>
      </w:r>
    </w:p>
    <w:p w:rsidR="00195A01" w:rsidRPr="00195A01" w:rsidRDefault="00195A01" w:rsidP="007A0490">
      <w:pPr>
        <w:pStyle w:val="ListParagraph"/>
        <w:numPr>
          <w:ilvl w:val="0"/>
          <w:numId w:val="8"/>
        </w:numPr>
        <w:jc w:val="both"/>
        <w:rPr>
          <w:b/>
        </w:rPr>
      </w:pPr>
      <w:r>
        <w:rPr>
          <w:b/>
        </w:rPr>
        <w:t xml:space="preserve">Leases: </w:t>
      </w:r>
      <w:r>
        <w:t>If there is any land lease newly classified as Finance Lease then the first time adopter may recognise assets and liabilities at the fair value on that date and any difference between those fair values is recognised in retained earnings.</w:t>
      </w:r>
    </w:p>
    <w:p w:rsidR="00195A01" w:rsidRPr="00195A01" w:rsidRDefault="00195A01" w:rsidP="007A0490">
      <w:pPr>
        <w:pStyle w:val="ListParagraph"/>
        <w:numPr>
          <w:ilvl w:val="0"/>
          <w:numId w:val="8"/>
        </w:numPr>
        <w:jc w:val="both"/>
        <w:rPr>
          <w:b/>
        </w:rPr>
      </w:pPr>
      <w:r>
        <w:rPr>
          <w:b/>
        </w:rPr>
        <w:t xml:space="preserve">Deemed Cost: </w:t>
      </w:r>
      <w:r>
        <w:t>Previous GAAP carrying values can be considered as the deemed cost for property, plant and equipment, intangible assets or investment property acquired prior to transition date.</w:t>
      </w:r>
    </w:p>
    <w:p w:rsidR="00195A01" w:rsidRDefault="00195A01" w:rsidP="007A0490">
      <w:pPr>
        <w:pStyle w:val="ListParagraph"/>
        <w:numPr>
          <w:ilvl w:val="0"/>
          <w:numId w:val="8"/>
        </w:numPr>
        <w:jc w:val="both"/>
        <w:rPr>
          <w:b/>
        </w:rPr>
      </w:pPr>
      <w:r>
        <w:rPr>
          <w:b/>
        </w:rPr>
        <w:t>Long Term Foreign Currency Monetary Items</w:t>
      </w:r>
    </w:p>
    <w:p w:rsidR="00195A01" w:rsidRDefault="00195A01" w:rsidP="007A0490">
      <w:pPr>
        <w:pStyle w:val="ListParagraph"/>
        <w:numPr>
          <w:ilvl w:val="0"/>
          <w:numId w:val="8"/>
        </w:numPr>
        <w:jc w:val="both"/>
        <w:rPr>
          <w:b/>
        </w:rPr>
      </w:pPr>
      <w:r>
        <w:rPr>
          <w:b/>
        </w:rPr>
        <w:t xml:space="preserve">Business Combinations: </w:t>
      </w:r>
      <w:r w:rsidRPr="00195A01">
        <w:t>The exemptions are available to all the types of business combinations that occurred before the date of transition.</w:t>
      </w:r>
    </w:p>
    <w:p w:rsidR="00F668A4" w:rsidRPr="00F668A4" w:rsidRDefault="00195A01" w:rsidP="007A0490">
      <w:pPr>
        <w:pStyle w:val="ListParagraph"/>
        <w:numPr>
          <w:ilvl w:val="0"/>
          <w:numId w:val="8"/>
        </w:numPr>
        <w:jc w:val="both"/>
        <w:rPr>
          <w:b/>
        </w:rPr>
      </w:pPr>
      <w:r>
        <w:rPr>
          <w:b/>
        </w:rPr>
        <w:t xml:space="preserve">Tax Issues: </w:t>
      </w:r>
      <w:r>
        <w:t>for smooth transition, the related tax issued also need to be considered, therefore, Ministry of Finance (MoF) had issued drafts of 12 Income Computation &amp; Disclosure Standards (ICDS)</w:t>
      </w:r>
      <w:r w:rsidR="00F668A4">
        <w:t xml:space="preserve"> and have already been notified on 1</w:t>
      </w:r>
      <w:r w:rsidR="00F668A4" w:rsidRPr="00F668A4">
        <w:rPr>
          <w:vertAlign w:val="superscript"/>
        </w:rPr>
        <w:t>st</w:t>
      </w:r>
      <w:r w:rsidR="00F668A4">
        <w:t xml:space="preserve"> April 2015. However, the issues related to the computation of MAT (Minimum Alternate Tax) under the Ind AS is still a major issue that yet to be addressed.</w:t>
      </w:r>
    </w:p>
    <w:p w:rsidR="00F668A4" w:rsidRPr="00EC749A" w:rsidRDefault="00F668A4" w:rsidP="00F668A4">
      <w:pPr>
        <w:jc w:val="both"/>
        <w:rPr>
          <w:color w:val="C00000"/>
        </w:rPr>
      </w:pPr>
      <w:r w:rsidRPr="00EC749A">
        <w:rPr>
          <w:b/>
          <w:color w:val="C00000"/>
        </w:rPr>
        <w:t>Conclusion of S1 01</w:t>
      </w:r>
    </w:p>
    <w:p w:rsidR="00F668A4" w:rsidRPr="00EC749A" w:rsidRDefault="002A7AFC" w:rsidP="00F668A4">
      <w:pPr>
        <w:jc w:val="both"/>
        <w:rPr>
          <w:i/>
        </w:rPr>
      </w:pPr>
      <w:r>
        <w:rPr>
          <w:i/>
        </w:rPr>
        <w:t>The transition to Ind AS has an</w:t>
      </w:r>
      <w:r w:rsidR="00F668A4" w:rsidRPr="00EC749A">
        <w:rPr>
          <w:i/>
        </w:rPr>
        <w:t xml:space="preserve"> organisation wide impact, and not just accounting. Companies need to plan in advance</w:t>
      </w:r>
      <w:r>
        <w:rPr>
          <w:i/>
        </w:rPr>
        <w:t xml:space="preserve"> well/consult</w:t>
      </w:r>
      <w:r w:rsidR="00F668A4" w:rsidRPr="00EC749A">
        <w:rPr>
          <w:i/>
        </w:rPr>
        <w:t xml:space="preserve"> and invest time. Companies need to determine the impact of these standards on areas such as tax planning, compliance with loan covenants, incentive plans, funding etc. This would also require changes to systems and processes including, sales and contracting processes, IT systems, internal controls, etc.</w:t>
      </w:r>
    </w:p>
    <w:p w:rsidR="00EC749A" w:rsidRDefault="00F668A4" w:rsidP="00F668A4">
      <w:pPr>
        <w:jc w:val="both"/>
      </w:pPr>
      <w:r>
        <w:t>I just hope that above discussion on various new upcoming changes in the profession will be helpful for the various professionals from wide industries and as discussed above I will provide about 40 parts (40) on Series 1 (S1) and another 25 parts (25) of series 2 (S2) along-with the practical</w:t>
      </w:r>
      <w:r w:rsidR="006D1FA0">
        <w:t xml:space="preserve"> case studies/</w:t>
      </w:r>
      <w:r>
        <w:t xml:space="preserve"> insights from various industries. </w:t>
      </w:r>
      <w:r w:rsidR="00537BC7">
        <w:t>F</w:t>
      </w:r>
      <w:r w:rsidR="00EC749A">
        <w:t>or</w:t>
      </w:r>
      <w:r>
        <w:t xml:space="preserve"> </w:t>
      </w:r>
      <w:r w:rsidR="00537BC7">
        <w:t xml:space="preserve">any details or queries </w:t>
      </w:r>
      <w:r>
        <w:t xml:space="preserve">please </w:t>
      </w:r>
      <w:r w:rsidR="002A7AFC">
        <w:t xml:space="preserve">comment or </w:t>
      </w:r>
      <w:r>
        <w:t>e-mail at</w:t>
      </w:r>
      <w:r w:rsidR="00EC749A">
        <w:t xml:space="preserve"> </w:t>
      </w:r>
      <w:hyperlink r:id="rId5" w:history="1">
        <w:r w:rsidR="00EC749A" w:rsidRPr="00425FFA">
          <w:rPr>
            <w:rStyle w:val="Hyperlink"/>
          </w:rPr>
          <w:t>man.aesir@gmail.com</w:t>
        </w:r>
      </w:hyperlink>
      <w:r w:rsidR="00537BC7">
        <w:t xml:space="preserve"> or call/whatsApp/SMS</w:t>
      </w:r>
      <w:r w:rsidR="00EC749A">
        <w:t xml:space="preserve"> at +91-9034179170.</w:t>
      </w:r>
    </w:p>
    <w:p w:rsidR="00537BC7" w:rsidRDefault="00EC749A" w:rsidP="00F668A4">
      <w:pPr>
        <w:jc w:val="both"/>
        <w:rPr>
          <w:color w:val="C00000"/>
        </w:rPr>
      </w:pPr>
      <w:r w:rsidRPr="00EC749A">
        <w:rPr>
          <w:color w:val="C00000"/>
        </w:rPr>
        <w:t>Until Then..!!</w:t>
      </w:r>
    </w:p>
    <w:p w:rsidR="007A0490" w:rsidRPr="00F668A4" w:rsidRDefault="00EC749A" w:rsidP="00F668A4">
      <w:pPr>
        <w:jc w:val="both"/>
        <w:rPr>
          <w:b/>
        </w:rPr>
      </w:pPr>
      <w:r w:rsidRPr="00EC749A">
        <w:rPr>
          <w:color w:val="C00000"/>
        </w:rPr>
        <w:t xml:space="preserve">Take care </w:t>
      </w:r>
      <w:r w:rsidR="00195A01" w:rsidRPr="00F668A4">
        <w:rPr>
          <w:b/>
        </w:rPr>
        <w:t xml:space="preserve"> </w:t>
      </w:r>
      <w:r w:rsidR="007A0490" w:rsidRPr="00F668A4">
        <w:rPr>
          <w:b/>
        </w:rPr>
        <w:t xml:space="preserve"> </w:t>
      </w:r>
      <w:bookmarkEnd w:id="0"/>
    </w:p>
    <w:sectPr w:rsidR="007A0490" w:rsidRPr="00F66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6720D"/>
    <w:multiLevelType w:val="hybridMultilevel"/>
    <w:tmpl w:val="BCB864BC"/>
    <w:lvl w:ilvl="0" w:tplc="40090001">
      <w:start w:val="1"/>
      <w:numFmt w:val="bullet"/>
      <w:lvlText w:val=""/>
      <w:lvlJc w:val="left"/>
      <w:pPr>
        <w:ind w:left="1080" w:hanging="72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64E6FF5"/>
    <w:multiLevelType w:val="hybridMultilevel"/>
    <w:tmpl w:val="A42CB58A"/>
    <w:lvl w:ilvl="0" w:tplc="40090001">
      <w:start w:val="1"/>
      <w:numFmt w:val="bullet"/>
      <w:lvlText w:val=""/>
      <w:lvlJc w:val="left"/>
      <w:pPr>
        <w:ind w:left="720" w:hanging="360"/>
      </w:pPr>
      <w:rPr>
        <w:rFonts w:ascii="Symbol" w:hAnsi="Symbol" w:hint="default"/>
      </w:rPr>
    </w:lvl>
    <w:lvl w:ilvl="1" w:tplc="182EF9FC">
      <w:start w:val="3"/>
      <w:numFmt w:val="bullet"/>
      <w:lvlText w:val="-"/>
      <w:lvlJc w:val="left"/>
      <w:pPr>
        <w:ind w:left="1440" w:hanging="360"/>
      </w:pPr>
      <w:rPr>
        <w:rFonts w:ascii="Calibri" w:eastAsiaTheme="minorHAnsi" w:hAnsi="Calibri" w:cstheme="minorBidi" w:hint="default"/>
        <w:b/>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E665E5F"/>
    <w:multiLevelType w:val="hybridMultilevel"/>
    <w:tmpl w:val="486A99A2"/>
    <w:lvl w:ilvl="0" w:tplc="182EF9FC">
      <w:start w:val="3"/>
      <w:numFmt w:val="bullet"/>
      <w:lvlText w:val="-"/>
      <w:lvlJc w:val="left"/>
      <w:pPr>
        <w:ind w:left="1182" w:hanging="360"/>
      </w:pPr>
      <w:rPr>
        <w:rFonts w:ascii="Calibri" w:eastAsiaTheme="minorHAnsi" w:hAnsi="Calibri" w:cstheme="minorBidi" w:hint="default"/>
        <w:b/>
      </w:rPr>
    </w:lvl>
    <w:lvl w:ilvl="1" w:tplc="40090003" w:tentative="1">
      <w:start w:val="1"/>
      <w:numFmt w:val="bullet"/>
      <w:lvlText w:val="o"/>
      <w:lvlJc w:val="left"/>
      <w:pPr>
        <w:ind w:left="1902" w:hanging="360"/>
      </w:pPr>
      <w:rPr>
        <w:rFonts w:ascii="Courier New" w:hAnsi="Courier New" w:cs="Courier New" w:hint="default"/>
      </w:rPr>
    </w:lvl>
    <w:lvl w:ilvl="2" w:tplc="40090005" w:tentative="1">
      <w:start w:val="1"/>
      <w:numFmt w:val="bullet"/>
      <w:lvlText w:val=""/>
      <w:lvlJc w:val="left"/>
      <w:pPr>
        <w:ind w:left="2622" w:hanging="360"/>
      </w:pPr>
      <w:rPr>
        <w:rFonts w:ascii="Wingdings" w:hAnsi="Wingdings" w:hint="default"/>
      </w:rPr>
    </w:lvl>
    <w:lvl w:ilvl="3" w:tplc="40090001" w:tentative="1">
      <w:start w:val="1"/>
      <w:numFmt w:val="bullet"/>
      <w:lvlText w:val=""/>
      <w:lvlJc w:val="left"/>
      <w:pPr>
        <w:ind w:left="3342" w:hanging="360"/>
      </w:pPr>
      <w:rPr>
        <w:rFonts w:ascii="Symbol" w:hAnsi="Symbol" w:hint="default"/>
      </w:rPr>
    </w:lvl>
    <w:lvl w:ilvl="4" w:tplc="40090003" w:tentative="1">
      <w:start w:val="1"/>
      <w:numFmt w:val="bullet"/>
      <w:lvlText w:val="o"/>
      <w:lvlJc w:val="left"/>
      <w:pPr>
        <w:ind w:left="4062" w:hanging="360"/>
      </w:pPr>
      <w:rPr>
        <w:rFonts w:ascii="Courier New" w:hAnsi="Courier New" w:cs="Courier New" w:hint="default"/>
      </w:rPr>
    </w:lvl>
    <w:lvl w:ilvl="5" w:tplc="40090005" w:tentative="1">
      <w:start w:val="1"/>
      <w:numFmt w:val="bullet"/>
      <w:lvlText w:val=""/>
      <w:lvlJc w:val="left"/>
      <w:pPr>
        <w:ind w:left="4782" w:hanging="360"/>
      </w:pPr>
      <w:rPr>
        <w:rFonts w:ascii="Wingdings" w:hAnsi="Wingdings" w:hint="default"/>
      </w:rPr>
    </w:lvl>
    <w:lvl w:ilvl="6" w:tplc="40090001" w:tentative="1">
      <w:start w:val="1"/>
      <w:numFmt w:val="bullet"/>
      <w:lvlText w:val=""/>
      <w:lvlJc w:val="left"/>
      <w:pPr>
        <w:ind w:left="5502" w:hanging="360"/>
      </w:pPr>
      <w:rPr>
        <w:rFonts w:ascii="Symbol" w:hAnsi="Symbol" w:hint="default"/>
      </w:rPr>
    </w:lvl>
    <w:lvl w:ilvl="7" w:tplc="40090003" w:tentative="1">
      <w:start w:val="1"/>
      <w:numFmt w:val="bullet"/>
      <w:lvlText w:val="o"/>
      <w:lvlJc w:val="left"/>
      <w:pPr>
        <w:ind w:left="6222" w:hanging="360"/>
      </w:pPr>
      <w:rPr>
        <w:rFonts w:ascii="Courier New" w:hAnsi="Courier New" w:cs="Courier New" w:hint="default"/>
      </w:rPr>
    </w:lvl>
    <w:lvl w:ilvl="8" w:tplc="40090005" w:tentative="1">
      <w:start w:val="1"/>
      <w:numFmt w:val="bullet"/>
      <w:lvlText w:val=""/>
      <w:lvlJc w:val="left"/>
      <w:pPr>
        <w:ind w:left="6942" w:hanging="360"/>
      </w:pPr>
      <w:rPr>
        <w:rFonts w:ascii="Wingdings" w:hAnsi="Wingdings" w:hint="default"/>
      </w:rPr>
    </w:lvl>
  </w:abstractNum>
  <w:abstractNum w:abstractNumId="3">
    <w:nsid w:val="1FE55812"/>
    <w:multiLevelType w:val="hybridMultilevel"/>
    <w:tmpl w:val="F4EA5EA8"/>
    <w:lvl w:ilvl="0" w:tplc="40090001">
      <w:start w:val="1"/>
      <w:numFmt w:val="bullet"/>
      <w:lvlText w:val=""/>
      <w:lvlJc w:val="left"/>
      <w:pPr>
        <w:ind w:left="1182" w:hanging="360"/>
      </w:pPr>
      <w:rPr>
        <w:rFonts w:ascii="Symbol" w:hAnsi="Symbol" w:hint="default"/>
      </w:rPr>
    </w:lvl>
    <w:lvl w:ilvl="1" w:tplc="40090003" w:tentative="1">
      <w:start w:val="1"/>
      <w:numFmt w:val="bullet"/>
      <w:lvlText w:val="o"/>
      <w:lvlJc w:val="left"/>
      <w:pPr>
        <w:ind w:left="1902" w:hanging="360"/>
      </w:pPr>
      <w:rPr>
        <w:rFonts w:ascii="Courier New" w:hAnsi="Courier New" w:cs="Courier New" w:hint="default"/>
      </w:rPr>
    </w:lvl>
    <w:lvl w:ilvl="2" w:tplc="40090005" w:tentative="1">
      <w:start w:val="1"/>
      <w:numFmt w:val="bullet"/>
      <w:lvlText w:val=""/>
      <w:lvlJc w:val="left"/>
      <w:pPr>
        <w:ind w:left="2622" w:hanging="360"/>
      </w:pPr>
      <w:rPr>
        <w:rFonts w:ascii="Wingdings" w:hAnsi="Wingdings" w:hint="default"/>
      </w:rPr>
    </w:lvl>
    <w:lvl w:ilvl="3" w:tplc="40090001" w:tentative="1">
      <w:start w:val="1"/>
      <w:numFmt w:val="bullet"/>
      <w:lvlText w:val=""/>
      <w:lvlJc w:val="left"/>
      <w:pPr>
        <w:ind w:left="3342" w:hanging="360"/>
      </w:pPr>
      <w:rPr>
        <w:rFonts w:ascii="Symbol" w:hAnsi="Symbol" w:hint="default"/>
      </w:rPr>
    </w:lvl>
    <w:lvl w:ilvl="4" w:tplc="40090003" w:tentative="1">
      <w:start w:val="1"/>
      <w:numFmt w:val="bullet"/>
      <w:lvlText w:val="o"/>
      <w:lvlJc w:val="left"/>
      <w:pPr>
        <w:ind w:left="4062" w:hanging="360"/>
      </w:pPr>
      <w:rPr>
        <w:rFonts w:ascii="Courier New" w:hAnsi="Courier New" w:cs="Courier New" w:hint="default"/>
      </w:rPr>
    </w:lvl>
    <w:lvl w:ilvl="5" w:tplc="40090005" w:tentative="1">
      <w:start w:val="1"/>
      <w:numFmt w:val="bullet"/>
      <w:lvlText w:val=""/>
      <w:lvlJc w:val="left"/>
      <w:pPr>
        <w:ind w:left="4782" w:hanging="360"/>
      </w:pPr>
      <w:rPr>
        <w:rFonts w:ascii="Wingdings" w:hAnsi="Wingdings" w:hint="default"/>
      </w:rPr>
    </w:lvl>
    <w:lvl w:ilvl="6" w:tplc="40090001" w:tentative="1">
      <w:start w:val="1"/>
      <w:numFmt w:val="bullet"/>
      <w:lvlText w:val=""/>
      <w:lvlJc w:val="left"/>
      <w:pPr>
        <w:ind w:left="5502" w:hanging="360"/>
      </w:pPr>
      <w:rPr>
        <w:rFonts w:ascii="Symbol" w:hAnsi="Symbol" w:hint="default"/>
      </w:rPr>
    </w:lvl>
    <w:lvl w:ilvl="7" w:tplc="40090003" w:tentative="1">
      <w:start w:val="1"/>
      <w:numFmt w:val="bullet"/>
      <w:lvlText w:val="o"/>
      <w:lvlJc w:val="left"/>
      <w:pPr>
        <w:ind w:left="6222" w:hanging="360"/>
      </w:pPr>
      <w:rPr>
        <w:rFonts w:ascii="Courier New" w:hAnsi="Courier New" w:cs="Courier New" w:hint="default"/>
      </w:rPr>
    </w:lvl>
    <w:lvl w:ilvl="8" w:tplc="40090005" w:tentative="1">
      <w:start w:val="1"/>
      <w:numFmt w:val="bullet"/>
      <w:lvlText w:val=""/>
      <w:lvlJc w:val="left"/>
      <w:pPr>
        <w:ind w:left="6942" w:hanging="360"/>
      </w:pPr>
      <w:rPr>
        <w:rFonts w:ascii="Wingdings" w:hAnsi="Wingdings" w:hint="default"/>
      </w:rPr>
    </w:lvl>
  </w:abstractNum>
  <w:abstractNum w:abstractNumId="4">
    <w:nsid w:val="274548DC"/>
    <w:multiLevelType w:val="hybridMultilevel"/>
    <w:tmpl w:val="B5DEB6D2"/>
    <w:lvl w:ilvl="0" w:tplc="182EF9FC">
      <w:start w:val="3"/>
      <w:numFmt w:val="bullet"/>
      <w:lvlText w:val="-"/>
      <w:lvlJc w:val="left"/>
      <w:pPr>
        <w:ind w:left="1182" w:hanging="360"/>
      </w:pPr>
      <w:rPr>
        <w:rFonts w:ascii="Calibri" w:eastAsiaTheme="minorHAnsi" w:hAnsi="Calibri" w:cstheme="minorBidi" w:hint="default"/>
        <w:b/>
      </w:rPr>
    </w:lvl>
    <w:lvl w:ilvl="1" w:tplc="40090003" w:tentative="1">
      <w:start w:val="1"/>
      <w:numFmt w:val="bullet"/>
      <w:lvlText w:val="o"/>
      <w:lvlJc w:val="left"/>
      <w:pPr>
        <w:ind w:left="1902" w:hanging="360"/>
      </w:pPr>
      <w:rPr>
        <w:rFonts w:ascii="Courier New" w:hAnsi="Courier New" w:cs="Courier New" w:hint="default"/>
      </w:rPr>
    </w:lvl>
    <w:lvl w:ilvl="2" w:tplc="40090005" w:tentative="1">
      <w:start w:val="1"/>
      <w:numFmt w:val="bullet"/>
      <w:lvlText w:val=""/>
      <w:lvlJc w:val="left"/>
      <w:pPr>
        <w:ind w:left="2622" w:hanging="360"/>
      </w:pPr>
      <w:rPr>
        <w:rFonts w:ascii="Wingdings" w:hAnsi="Wingdings" w:hint="default"/>
      </w:rPr>
    </w:lvl>
    <w:lvl w:ilvl="3" w:tplc="40090001" w:tentative="1">
      <w:start w:val="1"/>
      <w:numFmt w:val="bullet"/>
      <w:lvlText w:val=""/>
      <w:lvlJc w:val="left"/>
      <w:pPr>
        <w:ind w:left="3342" w:hanging="360"/>
      </w:pPr>
      <w:rPr>
        <w:rFonts w:ascii="Symbol" w:hAnsi="Symbol" w:hint="default"/>
      </w:rPr>
    </w:lvl>
    <w:lvl w:ilvl="4" w:tplc="40090003" w:tentative="1">
      <w:start w:val="1"/>
      <w:numFmt w:val="bullet"/>
      <w:lvlText w:val="o"/>
      <w:lvlJc w:val="left"/>
      <w:pPr>
        <w:ind w:left="4062" w:hanging="360"/>
      </w:pPr>
      <w:rPr>
        <w:rFonts w:ascii="Courier New" w:hAnsi="Courier New" w:cs="Courier New" w:hint="default"/>
      </w:rPr>
    </w:lvl>
    <w:lvl w:ilvl="5" w:tplc="40090005" w:tentative="1">
      <w:start w:val="1"/>
      <w:numFmt w:val="bullet"/>
      <w:lvlText w:val=""/>
      <w:lvlJc w:val="left"/>
      <w:pPr>
        <w:ind w:left="4782" w:hanging="360"/>
      </w:pPr>
      <w:rPr>
        <w:rFonts w:ascii="Wingdings" w:hAnsi="Wingdings" w:hint="default"/>
      </w:rPr>
    </w:lvl>
    <w:lvl w:ilvl="6" w:tplc="40090001" w:tentative="1">
      <w:start w:val="1"/>
      <w:numFmt w:val="bullet"/>
      <w:lvlText w:val=""/>
      <w:lvlJc w:val="left"/>
      <w:pPr>
        <w:ind w:left="5502" w:hanging="360"/>
      </w:pPr>
      <w:rPr>
        <w:rFonts w:ascii="Symbol" w:hAnsi="Symbol" w:hint="default"/>
      </w:rPr>
    </w:lvl>
    <w:lvl w:ilvl="7" w:tplc="40090003" w:tentative="1">
      <w:start w:val="1"/>
      <w:numFmt w:val="bullet"/>
      <w:lvlText w:val="o"/>
      <w:lvlJc w:val="left"/>
      <w:pPr>
        <w:ind w:left="6222" w:hanging="360"/>
      </w:pPr>
      <w:rPr>
        <w:rFonts w:ascii="Courier New" w:hAnsi="Courier New" w:cs="Courier New" w:hint="default"/>
      </w:rPr>
    </w:lvl>
    <w:lvl w:ilvl="8" w:tplc="40090005" w:tentative="1">
      <w:start w:val="1"/>
      <w:numFmt w:val="bullet"/>
      <w:lvlText w:val=""/>
      <w:lvlJc w:val="left"/>
      <w:pPr>
        <w:ind w:left="6942" w:hanging="360"/>
      </w:pPr>
      <w:rPr>
        <w:rFonts w:ascii="Wingdings" w:hAnsi="Wingdings" w:hint="default"/>
      </w:rPr>
    </w:lvl>
  </w:abstractNum>
  <w:abstractNum w:abstractNumId="5">
    <w:nsid w:val="3A812FBD"/>
    <w:multiLevelType w:val="hybridMultilevel"/>
    <w:tmpl w:val="2948F3D6"/>
    <w:lvl w:ilvl="0" w:tplc="182EF9FC">
      <w:start w:val="3"/>
      <w:numFmt w:val="bullet"/>
      <w:lvlText w:val="-"/>
      <w:lvlJc w:val="left"/>
      <w:pPr>
        <w:ind w:left="1182" w:hanging="360"/>
      </w:pPr>
      <w:rPr>
        <w:rFonts w:ascii="Calibri" w:eastAsiaTheme="minorHAnsi" w:hAnsi="Calibri" w:cstheme="minorBidi" w:hint="default"/>
        <w:b/>
      </w:rPr>
    </w:lvl>
    <w:lvl w:ilvl="1" w:tplc="40090003" w:tentative="1">
      <w:start w:val="1"/>
      <w:numFmt w:val="bullet"/>
      <w:lvlText w:val="o"/>
      <w:lvlJc w:val="left"/>
      <w:pPr>
        <w:ind w:left="1902" w:hanging="360"/>
      </w:pPr>
      <w:rPr>
        <w:rFonts w:ascii="Courier New" w:hAnsi="Courier New" w:cs="Courier New" w:hint="default"/>
      </w:rPr>
    </w:lvl>
    <w:lvl w:ilvl="2" w:tplc="40090005" w:tentative="1">
      <w:start w:val="1"/>
      <w:numFmt w:val="bullet"/>
      <w:lvlText w:val=""/>
      <w:lvlJc w:val="left"/>
      <w:pPr>
        <w:ind w:left="2622" w:hanging="360"/>
      </w:pPr>
      <w:rPr>
        <w:rFonts w:ascii="Wingdings" w:hAnsi="Wingdings" w:hint="default"/>
      </w:rPr>
    </w:lvl>
    <w:lvl w:ilvl="3" w:tplc="40090001" w:tentative="1">
      <w:start w:val="1"/>
      <w:numFmt w:val="bullet"/>
      <w:lvlText w:val=""/>
      <w:lvlJc w:val="left"/>
      <w:pPr>
        <w:ind w:left="3342" w:hanging="360"/>
      </w:pPr>
      <w:rPr>
        <w:rFonts w:ascii="Symbol" w:hAnsi="Symbol" w:hint="default"/>
      </w:rPr>
    </w:lvl>
    <w:lvl w:ilvl="4" w:tplc="40090003" w:tentative="1">
      <w:start w:val="1"/>
      <w:numFmt w:val="bullet"/>
      <w:lvlText w:val="o"/>
      <w:lvlJc w:val="left"/>
      <w:pPr>
        <w:ind w:left="4062" w:hanging="360"/>
      </w:pPr>
      <w:rPr>
        <w:rFonts w:ascii="Courier New" w:hAnsi="Courier New" w:cs="Courier New" w:hint="default"/>
      </w:rPr>
    </w:lvl>
    <w:lvl w:ilvl="5" w:tplc="40090005" w:tentative="1">
      <w:start w:val="1"/>
      <w:numFmt w:val="bullet"/>
      <w:lvlText w:val=""/>
      <w:lvlJc w:val="left"/>
      <w:pPr>
        <w:ind w:left="4782" w:hanging="360"/>
      </w:pPr>
      <w:rPr>
        <w:rFonts w:ascii="Wingdings" w:hAnsi="Wingdings" w:hint="default"/>
      </w:rPr>
    </w:lvl>
    <w:lvl w:ilvl="6" w:tplc="40090001" w:tentative="1">
      <w:start w:val="1"/>
      <w:numFmt w:val="bullet"/>
      <w:lvlText w:val=""/>
      <w:lvlJc w:val="left"/>
      <w:pPr>
        <w:ind w:left="5502" w:hanging="360"/>
      </w:pPr>
      <w:rPr>
        <w:rFonts w:ascii="Symbol" w:hAnsi="Symbol" w:hint="default"/>
      </w:rPr>
    </w:lvl>
    <w:lvl w:ilvl="7" w:tplc="40090003" w:tentative="1">
      <w:start w:val="1"/>
      <w:numFmt w:val="bullet"/>
      <w:lvlText w:val="o"/>
      <w:lvlJc w:val="left"/>
      <w:pPr>
        <w:ind w:left="6222" w:hanging="360"/>
      </w:pPr>
      <w:rPr>
        <w:rFonts w:ascii="Courier New" w:hAnsi="Courier New" w:cs="Courier New" w:hint="default"/>
      </w:rPr>
    </w:lvl>
    <w:lvl w:ilvl="8" w:tplc="40090005" w:tentative="1">
      <w:start w:val="1"/>
      <w:numFmt w:val="bullet"/>
      <w:lvlText w:val=""/>
      <w:lvlJc w:val="left"/>
      <w:pPr>
        <w:ind w:left="6942" w:hanging="360"/>
      </w:pPr>
      <w:rPr>
        <w:rFonts w:ascii="Wingdings" w:hAnsi="Wingdings" w:hint="default"/>
      </w:rPr>
    </w:lvl>
  </w:abstractNum>
  <w:abstractNum w:abstractNumId="6">
    <w:nsid w:val="7AA300D5"/>
    <w:multiLevelType w:val="hybridMultilevel"/>
    <w:tmpl w:val="05F02526"/>
    <w:lvl w:ilvl="0" w:tplc="182EF9FC">
      <w:start w:val="3"/>
      <w:numFmt w:val="bullet"/>
      <w:lvlText w:val="-"/>
      <w:lvlJc w:val="left"/>
      <w:pPr>
        <w:ind w:left="720" w:hanging="360"/>
      </w:pPr>
      <w:rPr>
        <w:rFonts w:ascii="Calibri" w:eastAsiaTheme="minorHAnsi" w:hAnsi="Calibri" w:cstheme="minorBidi"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7B891C8D"/>
    <w:multiLevelType w:val="hybridMultilevel"/>
    <w:tmpl w:val="2054AD8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2"/>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C32"/>
    <w:rsid w:val="00144363"/>
    <w:rsid w:val="00184437"/>
    <w:rsid w:val="00195A01"/>
    <w:rsid w:val="002A7AFC"/>
    <w:rsid w:val="003A4D59"/>
    <w:rsid w:val="0047555C"/>
    <w:rsid w:val="00530C32"/>
    <w:rsid w:val="00537BC7"/>
    <w:rsid w:val="005F567A"/>
    <w:rsid w:val="006B3DB7"/>
    <w:rsid w:val="006C4880"/>
    <w:rsid w:val="006D1FA0"/>
    <w:rsid w:val="007A0490"/>
    <w:rsid w:val="008C6941"/>
    <w:rsid w:val="00B042A2"/>
    <w:rsid w:val="00D64101"/>
    <w:rsid w:val="00E73686"/>
    <w:rsid w:val="00EC749A"/>
    <w:rsid w:val="00EF1457"/>
    <w:rsid w:val="00F668A4"/>
    <w:rsid w:val="00FB23D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0DE443-465B-40EB-B99B-67722FBB2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3D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567A"/>
    <w:pPr>
      <w:ind w:left="720"/>
      <w:contextualSpacing/>
    </w:pPr>
  </w:style>
  <w:style w:type="character" w:styleId="Hyperlink">
    <w:name w:val="Hyperlink"/>
    <w:basedOn w:val="DefaultParagraphFont"/>
    <w:uiPriority w:val="99"/>
    <w:unhideWhenUsed/>
    <w:rsid w:val="00EC749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n.aes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1198</TotalTime>
  <Pages>1</Pages>
  <Words>1303</Words>
  <Characters>7432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 D. Arora</dc:creator>
  <cp:keywords/>
  <dc:description/>
  <cp:lastModifiedBy>Manas D. Arora</cp:lastModifiedBy>
  <cp:revision>10</cp:revision>
  <dcterms:created xsi:type="dcterms:W3CDTF">2015-06-05T07:46:00Z</dcterms:created>
  <dcterms:modified xsi:type="dcterms:W3CDTF">2015-06-07T13:43:00Z</dcterms:modified>
</cp:coreProperties>
</file>