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7BB" w:rsidRPr="00616137" w:rsidRDefault="005577BB" w:rsidP="004F6051">
      <w:pPr>
        <w:spacing w:after="0" w:line="158" w:lineRule="atLeast"/>
        <w:rPr>
          <w:rFonts w:ascii="Arial" w:eastAsia="Times New Roman" w:hAnsi="Arial" w:cs="Arial"/>
          <w:color w:val="000000"/>
          <w:sz w:val="24"/>
          <w:szCs w:val="24"/>
          <w:lang w:eastAsia="en-IN"/>
        </w:rPr>
      </w:pPr>
      <w:r w:rsidRPr="00331633">
        <w:rPr>
          <w:rFonts w:ascii="Helvetica" w:eastAsia="Times New Roman" w:hAnsi="Helvetica" w:cs="Helvetica"/>
          <w:b/>
          <w:bCs/>
          <w:color w:val="E10707"/>
          <w:spacing w:val="-5"/>
          <w:sz w:val="32"/>
          <w:szCs w:val="32"/>
          <w:lang w:eastAsia="en-IN"/>
        </w:rPr>
        <w:fldChar w:fldCharType="begin"/>
      </w:r>
      <w:r w:rsidRPr="00331633">
        <w:rPr>
          <w:rFonts w:ascii="Helvetica" w:eastAsia="Times New Roman" w:hAnsi="Helvetica" w:cs="Helvetica"/>
          <w:b/>
          <w:bCs/>
          <w:color w:val="E10707"/>
          <w:spacing w:val="-5"/>
          <w:sz w:val="32"/>
          <w:szCs w:val="32"/>
          <w:lang w:eastAsia="en-IN"/>
        </w:rPr>
        <w:instrText xml:space="preserve"> HYPERLINK "http://www.taap.co.in/index.php?option=com_content&amp;view=article&amp;id=69:applicability-of-accounting-standards-in-india&amp;catid=36:accounts&amp;Itemid=44" </w:instrText>
      </w:r>
      <w:r w:rsidRPr="00331633">
        <w:rPr>
          <w:rFonts w:ascii="Helvetica" w:eastAsia="Times New Roman" w:hAnsi="Helvetica" w:cs="Helvetica"/>
          <w:b/>
          <w:bCs/>
          <w:color w:val="E10707"/>
          <w:spacing w:val="-5"/>
          <w:sz w:val="32"/>
          <w:szCs w:val="32"/>
          <w:lang w:eastAsia="en-IN"/>
        </w:rPr>
        <w:fldChar w:fldCharType="separate"/>
      </w:r>
      <w:r w:rsidRPr="00616137">
        <w:rPr>
          <w:rFonts w:ascii="Helvetica" w:eastAsia="Times New Roman" w:hAnsi="Helvetica" w:cs="Helvetica"/>
          <w:b/>
          <w:bCs/>
          <w:color w:val="E10707"/>
          <w:spacing w:val="-5"/>
          <w:sz w:val="32"/>
          <w:szCs w:val="32"/>
          <w:lang w:eastAsia="en-IN"/>
        </w:rPr>
        <w:t>Applicability of Accounting Standards in India</w:t>
      </w:r>
      <w:r w:rsidRPr="00331633">
        <w:rPr>
          <w:rFonts w:ascii="Helvetica" w:eastAsia="Times New Roman" w:hAnsi="Helvetica" w:cs="Helvetica"/>
          <w:b/>
          <w:bCs/>
          <w:color w:val="E10707"/>
          <w:spacing w:val="-5"/>
          <w:sz w:val="32"/>
          <w:szCs w:val="32"/>
          <w:lang w:eastAsia="en-IN"/>
        </w:rPr>
        <w:fldChar w:fldCharType="end"/>
      </w:r>
    </w:p>
    <w:p w:rsidR="00331633" w:rsidRPr="00331633" w:rsidRDefault="00331633" w:rsidP="00331633">
      <w:pPr>
        <w:spacing w:after="0" w:line="240" w:lineRule="auto"/>
        <w:rPr>
          <w:rFonts w:ascii="Bookman Old Style" w:eastAsia="Times New Roman" w:hAnsi="Bookman Old Style" w:cs="Times New Roman"/>
          <w:color w:val="000000"/>
          <w:sz w:val="24"/>
          <w:szCs w:val="24"/>
          <w:lang w:eastAsia="en-IN"/>
        </w:rPr>
      </w:pPr>
    </w:p>
    <w:p w:rsidR="005577BB" w:rsidRPr="00331633" w:rsidRDefault="005577BB" w:rsidP="005577BB">
      <w:pPr>
        <w:spacing w:before="120" w:after="120" w:line="158" w:lineRule="atLeast"/>
        <w:rPr>
          <w:rFonts w:ascii="Arial" w:eastAsia="Times New Roman" w:hAnsi="Arial" w:cs="Arial"/>
          <w:color w:val="000000"/>
          <w:lang w:eastAsia="en-IN"/>
        </w:rPr>
      </w:pPr>
      <w:r w:rsidRPr="00B63245">
        <w:rPr>
          <w:rFonts w:ascii="Arial" w:eastAsia="Times New Roman" w:hAnsi="Arial" w:cs="Arial"/>
          <w:b/>
          <w:bCs/>
          <w:color w:val="000000"/>
          <w:sz w:val="24"/>
          <w:szCs w:val="24"/>
          <w:lang w:eastAsia="en-IN"/>
        </w:rPr>
        <w:t>CRITERIA FOR CLASSIFICATION OF ENTERPRISES</w:t>
      </w:r>
    </w:p>
    <w:p w:rsidR="005577BB" w:rsidRPr="00331633" w:rsidRDefault="005577BB" w:rsidP="004F6051">
      <w:pPr>
        <w:numPr>
          <w:ilvl w:val="0"/>
          <w:numId w:val="1"/>
        </w:numPr>
        <w:tabs>
          <w:tab w:val="clear" w:pos="720"/>
        </w:tabs>
        <w:spacing w:after="0" w:line="240" w:lineRule="auto"/>
        <w:ind w:left="360"/>
        <w:jc w:val="both"/>
        <w:rPr>
          <w:rFonts w:ascii="Arial" w:eastAsia="Times New Roman" w:hAnsi="Arial" w:cs="Arial"/>
          <w:color w:val="000000"/>
          <w:lang w:eastAsia="en-IN"/>
        </w:rPr>
      </w:pPr>
      <w:r w:rsidRPr="00B63245">
        <w:rPr>
          <w:rFonts w:ascii="Arial" w:eastAsia="Times New Roman" w:hAnsi="Arial" w:cs="Arial"/>
          <w:b/>
          <w:bCs/>
          <w:color w:val="000000"/>
          <w:sz w:val="24"/>
          <w:szCs w:val="24"/>
          <w:lang w:eastAsia="en-IN"/>
        </w:rPr>
        <w:t>Criteria for classification of non-corporate entities as decided by the Institute of Chartered Accountants of India</w:t>
      </w:r>
    </w:p>
    <w:p w:rsidR="00616137" w:rsidRDefault="00616137" w:rsidP="00616137">
      <w:pPr>
        <w:spacing w:after="0" w:line="240" w:lineRule="auto"/>
        <w:rPr>
          <w:rFonts w:ascii="Bookman Old Style" w:eastAsia="Times New Roman" w:hAnsi="Bookman Old Style" w:cs="Times New Roman"/>
          <w:b/>
          <w:bCs/>
          <w:i/>
          <w:iCs/>
          <w:color w:val="000000"/>
          <w:sz w:val="24"/>
          <w:szCs w:val="24"/>
          <w:lang w:eastAsia="en-IN"/>
        </w:rPr>
      </w:pPr>
    </w:p>
    <w:p w:rsidR="005577BB" w:rsidRPr="00331633" w:rsidRDefault="005577BB" w:rsidP="00616137">
      <w:pPr>
        <w:spacing w:after="0" w:line="240" w:lineRule="auto"/>
        <w:ind w:left="450"/>
        <w:rPr>
          <w:rFonts w:ascii="Bookman Old Style" w:eastAsia="Times New Roman" w:hAnsi="Bookman Old Style" w:cs="Times New Roman"/>
          <w:color w:val="000000"/>
          <w:sz w:val="36"/>
          <w:szCs w:val="36"/>
          <w:lang w:eastAsia="en-IN"/>
        </w:rPr>
      </w:pPr>
      <w:r w:rsidRPr="00DA2EEA">
        <w:rPr>
          <w:rFonts w:ascii="Bookman Old Style" w:eastAsia="Times New Roman" w:hAnsi="Bookman Old Style" w:cs="Times New Roman"/>
          <w:b/>
          <w:bCs/>
          <w:i/>
          <w:iCs/>
          <w:color w:val="000000"/>
          <w:sz w:val="28"/>
          <w:szCs w:val="28"/>
          <w:lang w:eastAsia="en-IN"/>
        </w:rPr>
        <w:t>Level I Entities</w:t>
      </w:r>
    </w:p>
    <w:p w:rsidR="005577BB" w:rsidRPr="00331633" w:rsidRDefault="005577BB" w:rsidP="00616137">
      <w:pPr>
        <w:spacing w:before="120" w:after="120" w:line="240" w:lineRule="auto"/>
        <w:ind w:left="450"/>
        <w:jc w:val="both"/>
        <w:rPr>
          <w:rFonts w:ascii="Bookman Old Style" w:eastAsia="Times New Roman" w:hAnsi="Bookman Old Style" w:cs="Times New Roman"/>
          <w:color w:val="000000"/>
          <w:sz w:val="32"/>
          <w:szCs w:val="32"/>
          <w:lang w:eastAsia="en-IN"/>
        </w:rPr>
      </w:pPr>
      <w:r w:rsidRPr="00331633">
        <w:rPr>
          <w:rFonts w:ascii="Bookman Old Style" w:eastAsia="Times New Roman" w:hAnsi="Bookman Old Style" w:cs="Times New Roman"/>
          <w:color w:val="000000"/>
          <w:sz w:val="24"/>
          <w:szCs w:val="24"/>
          <w:lang w:eastAsia="en-IN"/>
        </w:rPr>
        <w:t>Non-corporate entities which fall in any one or more of the following categories, at the end of the relevant accounting period, are classified as Level I entities:</w:t>
      </w:r>
    </w:p>
    <w:p w:rsidR="005577BB" w:rsidRPr="00331633" w:rsidRDefault="005577BB" w:rsidP="00616137">
      <w:pPr>
        <w:pStyle w:val="ListParagraph"/>
        <w:numPr>
          <w:ilvl w:val="0"/>
          <w:numId w:val="3"/>
        </w:numPr>
        <w:spacing w:after="120" w:line="240" w:lineRule="auto"/>
        <w:ind w:left="900" w:hanging="450"/>
        <w:contextualSpacing w:val="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Entities whose equity or debt securities are listed or are in the process of listing on any stock exchange, whether in India or outside India.</w:t>
      </w:r>
    </w:p>
    <w:p w:rsidR="005577BB" w:rsidRPr="00331633" w:rsidRDefault="005577BB" w:rsidP="00616137">
      <w:pPr>
        <w:pStyle w:val="ListParagraph"/>
        <w:numPr>
          <w:ilvl w:val="0"/>
          <w:numId w:val="3"/>
        </w:numPr>
        <w:spacing w:after="120" w:line="240" w:lineRule="auto"/>
        <w:ind w:left="900" w:hanging="450"/>
        <w:contextualSpacing w:val="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Banks (including co-operative banks), financial institutions or entities carrying on insurance business.</w:t>
      </w:r>
    </w:p>
    <w:p w:rsidR="005577BB" w:rsidRPr="00331633" w:rsidRDefault="005577BB" w:rsidP="00616137">
      <w:pPr>
        <w:pStyle w:val="ListParagraph"/>
        <w:numPr>
          <w:ilvl w:val="0"/>
          <w:numId w:val="3"/>
        </w:numPr>
        <w:spacing w:after="120" w:line="240" w:lineRule="auto"/>
        <w:ind w:left="900" w:hanging="450"/>
        <w:contextualSpacing w:val="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 xml:space="preserve">All commercial, industrial and business reporting entities, whose turnover (excluding other income) exceeds rupees fifty </w:t>
      </w:r>
      <w:proofErr w:type="spellStart"/>
      <w:r w:rsidRPr="00331633">
        <w:rPr>
          <w:rFonts w:ascii="Bookman Old Style" w:eastAsia="Times New Roman" w:hAnsi="Bookman Old Style" w:cs="Times New Roman"/>
          <w:color w:val="000000"/>
          <w:sz w:val="24"/>
          <w:szCs w:val="24"/>
          <w:lang w:eastAsia="en-IN"/>
        </w:rPr>
        <w:t>crore</w:t>
      </w:r>
      <w:proofErr w:type="spellEnd"/>
      <w:r w:rsidRPr="00331633">
        <w:rPr>
          <w:rFonts w:ascii="Bookman Old Style" w:eastAsia="Times New Roman" w:hAnsi="Bookman Old Style" w:cs="Times New Roman"/>
          <w:color w:val="000000"/>
          <w:sz w:val="24"/>
          <w:szCs w:val="24"/>
          <w:lang w:eastAsia="en-IN"/>
        </w:rPr>
        <w:t xml:space="preserve"> in the immediately preceding accounting year.</w:t>
      </w:r>
    </w:p>
    <w:p w:rsidR="005577BB" w:rsidRPr="00331633" w:rsidRDefault="005577BB" w:rsidP="00616137">
      <w:pPr>
        <w:pStyle w:val="ListParagraph"/>
        <w:numPr>
          <w:ilvl w:val="0"/>
          <w:numId w:val="3"/>
        </w:numPr>
        <w:spacing w:after="120" w:line="240" w:lineRule="auto"/>
        <w:ind w:left="900" w:hanging="450"/>
        <w:contextualSpacing w:val="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 xml:space="preserve">All commercial, industrial and business reporting entities having borrowings (including public deposits) in excess of rupees ten </w:t>
      </w:r>
      <w:proofErr w:type="spellStart"/>
      <w:r w:rsidRPr="00331633">
        <w:rPr>
          <w:rFonts w:ascii="Bookman Old Style" w:eastAsia="Times New Roman" w:hAnsi="Bookman Old Style" w:cs="Times New Roman"/>
          <w:color w:val="000000"/>
          <w:sz w:val="24"/>
          <w:szCs w:val="24"/>
          <w:lang w:eastAsia="en-IN"/>
        </w:rPr>
        <w:t>crore</w:t>
      </w:r>
      <w:proofErr w:type="spellEnd"/>
      <w:r w:rsidRPr="00331633">
        <w:rPr>
          <w:rFonts w:ascii="Bookman Old Style" w:eastAsia="Times New Roman" w:hAnsi="Bookman Old Style" w:cs="Times New Roman"/>
          <w:color w:val="000000"/>
          <w:sz w:val="24"/>
          <w:szCs w:val="24"/>
          <w:lang w:eastAsia="en-IN"/>
        </w:rPr>
        <w:t xml:space="preserve"> at any time during the immediately preceding accounting year.</w:t>
      </w:r>
    </w:p>
    <w:p w:rsidR="005577BB" w:rsidRPr="00331633" w:rsidRDefault="004F6051" w:rsidP="00616137">
      <w:pPr>
        <w:pStyle w:val="ListParagraph"/>
        <w:numPr>
          <w:ilvl w:val="0"/>
          <w:numId w:val="3"/>
        </w:numPr>
        <w:spacing w:before="145" w:after="145" w:line="240" w:lineRule="auto"/>
        <w:ind w:left="900" w:hanging="45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Holding</w:t>
      </w:r>
      <w:r w:rsidR="005577BB" w:rsidRPr="00331633">
        <w:rPr>
          <w:rFonts w:ascii="Bookman Old Style" w:eastAsia="Times New Roman" w:hAnsi="Bookman Old Style" w:cs="Times New Roman"/>
          <w:color w:val="000000"/>
          <w:sz w:val="24"/>
          <w:szCs w:val="24"/>
          <w:lang w:eastAsia="en-IN"/>
        </w:rPr>
        <w:t xml:space="preserve"> and subsidiary entities of any one of the above.</w:t>
      </w:r>
    </w:p>
    <w:p w:rsidR="00616137" w:rsidRDefault="00616137" w:rsidP="00616137">
      <w:pPr>
        <w:spacing w:before="120" w:after="120" w:line="240" w:lineRule="auto"/>
        <w:ind w:left="450"/>
        <w:rPr>
          <w:rFonts w:ascii="Bookman Old Style" w:eastAsia="Times New Roman" w:hAnsi="Bookman Old Style" w:cs="Times New Roman"/>
          <w:b/>
          <w:bCs/>
          <w:i/>
          <w:iCs/>
          <w:color w:val="000000"/>
          <w:sz w:val="24"/>
          <w:szCs w:val="24"/>
          <w:lang w:eastAsia="en-IN"/>
        </w:rPr>
      </w:pPr>
    </w:p>
    <w:p w:rsidR="005577BB" w:rsidRPr="00331633" w:rsidRDefault="005577BB" w:rsidP="00616137">
      <w:pPr>
        <w:spacing w:before="120" w:after="120" w:line="240" w:lineRule="auto"/>
        <w:ind w:left="450"/>
        <w:rPr>
          <w:rFonts w:ascii="Bookman Old Style" w:eastAsia="Times New Roman" w:hAnsi="Bookman Old Style" w:cs="Times New Roman"/>
          <w:color w:val="000000"/>
          <w:sz w:val="36"/>
          <w:szCs w:val="36"/>
          <w:lang w:eastAsia="en-IN"/>
        </w:rPr>
      </w:pPr>
      <w:r w:rsidRPr="00DA2EEA">
        <w:rPr>
          <w:rFonts w:ascii="Bookman Old Style" w:eastAsia="Times New Roman" w:hAnsi="Bookman Old Style" w:cs="Times New Roman"/>
          <w:b/>
          <w:bCs/>
          <w:i/>
          <w:iCs/>
          <w:color w:val="000000"/>
          <w:sz w:val="28"/>
          <w:szCs w:val="28"/>
          <w:lang w:eastAsia="en-IN"/>
        </w:rPr>
        <w:t>Level II Entities (SMEs)</w:t>
      </w:r>
    </w:p>
    <w:p w:rsidR="005577BB" w:rsidRPr="00331633" w:rsidRDefault="005577BB" w:rsidP="00616137">
      <w:pPr>
        <w:spacing w:before="120" w:after="120" w:line="240" w:lineRule="auto"/>
        <w:ind w:left="450"/>
        <w:jc w:val="both"/>
        <w:rPr>
          <w:rFonts w:ascii="Bookman Old Style" w:eastAsia="Times New Roman" w:hAnsi="Bookman Old Style" w:cs="Times New Roman"/>
          <w:color w:val="000000"/>
          <w:sz w:val="32"/>
          <w:szCs w:val="32"/>
          <w:lang w:eastAsia="en-IN"/>
        </w:rPr>
      </w:pPr>
      <w:r w:rsidRPr="00331633">
        <w:rPr>
          <w:rFonts w:ascii="Bookman Old Style" w:eastAsia="Times New Roman" w:hAnsi="Bookman Old Style" w:cs="Times New Roman"/>
          <w:color w:val="000000"/>
          <w:sz w:val="24"/>
          <w:szCs w:val="24"/>
          <w:lang w:eastAsia="en-IN"/>
        </w:rPr>
        <w:t>Non-corporate entities which are not Level I entities but fall in any one or more of the following categories are classified as Level II entities:</w:t>
      </w:r>
    </w:p>
    <w:p w:rsidR="005577BB" w:rsidRPr="00616137" w:rsidRDefault="005577BB" w:rsidP="00616137">
      <w:pPr>
        <w:pStyle w:val="ListParagraph"/>
        <w:numPr>
          <w:ilvl w:val="0"/>
          <w:numId w:val="4"/>
        </w:numPr>
        <w:spacing w:after="120" w:line="240" w:lineRule="auto"/>
        <w:ind w:left="896" w:hanging="446"/>
        <w:contextualSpacing w:val="0"/>
        <w:jc w:val="both"/>
        <w:rPr>
          <w:rFonts w:ascii="Bookman Old Style" w:eastAsia="Times New Roman" w:hAnsi="Bookman Old Style" w:cs="Times New Roman"/>
          <w:color w:val="000000"/>
          <w:sz w:val="32"/>
          <w:szCs w:val="32"/>
          <w:lang w:eastAsia="en-IN"/>
        </w:rPr>
      </w:pPr>
      <w:r w:rsidRPr="00616137">
        <w:rPr>
          <w:rFonts w:ascii="Bookman Old Style" w:eastAsia="Times New Roman" w:hAnsi="Bookman Old Style" w:cs="Times New Roman"/>
          <w:color w:val="000000"/>
          <w:sz w:val="24"/>
          <w:szCs w:val="24"/>
          <w:lang w:eastAsia="en-IN"/>
        </w:rPr>
        <w:t xml:space="preserve">All commercial, industrial and business reporting entities, whose turnover (excluding other income) exceeds rupees forty lakh but does not exceed rupees fifty </w:t>
      </w:r>
      <w:proofErr w:type="spellStart"/>
      <w:r w:rsidRPr="00616137">
        <w:rPr>
          <w:rFonts w:ascii="Bookman Old Style" w:eastAsia="Times New Roman" w:hAnsi="Bookman Old Style" w:cs="Times New Roman"/>
          <w:color w:val="000000"/>
          <w:sz w:val="24"/>
          <w:szCs w:val="24"/>
          <w:lang w:eastAsia="en-IN"/>
        </w:rPr>
        <w:t>crore</w:t>
      </w:r>
      <w:proofErr w:type="spellEnd"/>
      <w:r w:rsidRPr="00616137">
        <w:rPr>
          <w:rFonts w:ascii="Bookman Old Style" w:eastAsia="Times New Roman" w:hAnsi="Bookman Old Style" w:cs="Times New Roman"/>
          <w:color w:val="000000"/>
          <w:sz w:val="24"/>
          <w:szCs w:val="24"/>
          <w:lang w:eastAsia="en-IN"/>
        </w:rPr>
        <w:t xml:space="preserve"> in the immediately preceding accounting year.</w:t>
      </w:r>
    </w:p>
    <w:p w:rsidR="005577BB" w:rsidRPr="00331633" w:rsidRDefault="005577BB" w:rsidP="00616137">
      <w:pPr>
        <w:pStyle w:val="ListParagraph"/>
        <w:numPr>
          <w:ilvl w:val="0"/>
          <w:numId w:val="4"/>
        </w:numPr>
        <w:spacing w:after="120" w:line="240" w:lineRule="auto"/>
        <w:ind w:left="896" w:hanging="446"/>
        <w:contextualSpacing w:val="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 xml:space="preserve">All commercial, industrial and business reporting entities having borrowings (including public deposits) in excess of rupees one </w:t>
      </w:r>
      <w:proofErr w:type="spellStart"/>
      <w:r w:rsidRPr="00331633">
        <w:rPr>
          <w:rFonts w:ascii="Bookman Old Style" w:eastAsia="Times New Roman" w:hAnsi="Bookman Old Style" w:cs="Times New Roman"/>
          <w:color w:val="000000"/>
          <w:sz w:val="24"/>
          <w:szCs w:val="24"/>
          <w:lang w:eastAsia="en-IN"/>
        </w:rPr>
        <w:t>crore</w:t>
      </w:r>
      <w:proofErr w:type="spellEnd"/>
      <w:r w:rsidRPr="00331633">
        <w:rPr>
          <w:rFonts w:ascii="Bookman Old Style" w:eastAsia="Times New Roman" w:hAnsi="Bookman Old Style" w:cs="Times New Roman"/>
          <w:color w:val="000000"/>
          <w:sz w:val="24"/>
          <w:szCs w:val="24"/>
          <w:lang w:eastAsia="en-IN"/>
        </w:rPr>
        <w:t xml:space="preserve"> but not in excess of rupees ten </w:t>
      </w:r>
      <w:proofErr w:type="spellStart"/>
      <w:r w:rsidRPr="00331633">
        <w:rPr>
          <w:rFonts w:ascii="Bookman Old Style" w:eastAsia="Times New Roman" w:hAnsi="Bookman Old Style" w:cs="Times New Roman"/>
          <w:color w:val="000000"/>
          <w:sz w:val="24"/>
          <w:szCs w:val="24"/>
          <w:lang w:eastAsia="en-IN"/>
        </w:rPr>
        <w:t>crore</w:t>
      </w:r>
      <w:proofErr w:type="spellEnd"/>
      <w:r w:rsidRPr="00331633">
        <w:rPr>
          <w:rFonts w:ascii="Bookman Old Style" w:eastAsia="Times New Roman" w:hAnsi="Bookman Old Style" w:cs="Times New Roman"/>
          <w:color w:val="000000"/>
          <w:sz w:val="24"/>
          <w:szCs w:val="24"/>
          <w:lang w:eastAsia="en-IN"/>
        </w:rPr>
        <w:t xml:space="preserve"> at any time during the immediately preceding accounting year.</w:t>
      </w:r>
    </w:p>
    <w:p w:rsidR="005577BB" w:rsidRPr="00331633" w:rsidRDefault="005577BB" w:rsidP="004F6051">
      <w:pPr>
        <w:pStyle w:val="ListParagraph"/>
        <w:numPr>
          <w:ilvl w:val="0"/>
          <w:numId w:val="4"/>
        </w:numPr>
        <w:spacing w:before="120" w:after="120" w:line="240" w:lineRule="auto"/>
        <w:ind w:left="900" w:hanging="450"/>
        <w:jc w:val="both"/>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Holding and subsidiary entities of any one of the above.</w:t>
      </w:r>
    </w:p>
    <w:p w:rsidR="00616137" w:rsidRPr="004F6051" w:rsidRDefault="00616137" w:rsidP="004F6051">
      <w:pPr>
        <w:spacing w:after="0" w:line="240" w:lineRule="auto"/>
        <w:rPr>
          <w:rFonts w:ascii="Bookman Old Style" w:eastAsia="Times New Roman" w:hAnsi="Bookman Old Style" w:cs="Times New Roman"/>
          <w:color w:val="000000"/>
          <w:sz w:val="24"/>
          <w:szCs w:val="24"/>
          <w:lang w:eastAsia="en-IN"/>
        </w:rPr>
      </w:pPr>
    </w:p>
    <w:p w:rsidR="005577BB" w:rsidRPr="00331633" w:rsidRDefault="005577BB" w:rsidP="00DA2EEA">
      <w:pPr>
        <w:spacing w:after="120" w:line="240" w:lineRule="auto"/>
        <w:ind w:left="450"/>
        <w:rPr>
          <w:rFonts w:ascii="Bookman Old Style" w:eastAsia="Times New Roman" w:hAnsi="Bookman Old Style" w:cs="Times New Roman"/>
          <w:color w:val="000000"/>
          <w:sz w:val="36"/>
          <w:szCs w:val="36"/>
          <w:lang w:eastAsia="en-IN"/>
        </w:rPr>
      </w:pPr>
      <w:r w:rsidRPr="00DA2EEA">
        <w:rPr>
          <w:rFonts w:ascii="Bookman Old Style" w:eastAsia="Times New Roman" w:hAnsi="Bookman Old Style" w:cs="Times New Roman"/>
          <w:b/>
          <w:bCs/>
          <w:i/>
          <w:iCs/>
          <w:color w:val="000000"/>
          <w:sz w:val="28"/>
          <w:szCs w:val="28"/>
          <w:lang w:eastAsia="en-IN"/>
        </w:rPr>
        <w:t>Level III Entities (SMEs)</w:t>
      </w:r>
    </w:p>
    <w:p w:rsidR="005577BB" w:rsidRDefault="005577BB" w:rsidP="004F6051">
      <w:pPr>
        <w:spacing w:after="0" w:line="240" w:lineRule="auto"/>
        <w:ind w:left="450"/>
        <w:rPr>
          <w:rFonts w:ascii="Bookman Old Style" w:eastAsia="Times New Roman" w:hAnsi="Bookman Old Style" w:cs="Times New Roman"/>
          <w:color w:val="000000"/>
          <w:sz w:val="24"/>
          <w:szCs w:val="24"/>
          <w:lang w:eastAsia="en-IN"/>
        </w:rPr>
      </w:pPr>
      <w:r w:rsidRPr="00331633">
        <w:rPr>
          <w:rFonts w:ascii="Bookman Old Style" w:eastAsia="Times New Roman" w:hAnsi="Bookman Old Style" w:cs="Times New Roman"/>
          <w:color w:val="000000"/>
          <w:sz w:val="24"/>
          <w:szCs w:val="24"/>
          <w:lang w:eastAsia="en-IN"/>
        </w:rPr>
        <w:t>Non-corporate entities which are not covered under Level I and Level II are considered as Level III entities.</w:t>
      </w:r>
    </w:p>
    <w:p w:rsidR="004F6051" w:rsidRDefault="004F6051" w:rsidP="004F6051">
      <w:pPr>
        <w:spacing w:after="0" w:line="240" w:lineRule="auto"/>
        <w:ind w:left="450"/>
        <w:rPr>
          <w:rFonts w:ascii="Bookman Old Style" w:eastAsia="Times New Roman" w:hAnsi="Bookman Old Style" w:cs="Times New Roman"/>
          <w:color w:val="000000"/>
          <w:sz w:val="24"/>
          <w:szCs w:val="24"/>
          <w:lang w:eastAsia="en-IN"/>
        </w:rPr>
      </w:pPr>
    </w:p>
    <w:p w:rsidR="004F6051" w:rsidRPr="00331633" w:rsidRDefault="004F6051" w:rsidP="004F6051">
      <w:pPr>
        <w:spacing w:after="0" w:line="240" w:lineRule="auto"/>
        <w:ind w:left="450"/>
        <w:rPr>
          <w:rFonts w:ascii="Bookman Old Style" w:eastAsia="Times New Roman" w:hAnsi="Bookman Old Style" w:cs="Times New Roman"/>
          <w:color w:val="000000"/>
          <w:sz w:val="24"/>
          <w:szCs w:val="24"/>
          <w:lang w:eastAsia="en-IN"/>
        </w:rPr>
      </w:pPr>
    </w:p>
    <w:p w:rsidR="005577BB" w:rsidRPr="00331633" w:rsidRDefault="005577BB" w:rsidP="004F6051">
      <w:pPr>
        <w:numPr>
          <w:ilvl w:val="0"/>
          <w:numId w:val="2"/>
        </w:numPr>
        <w:tabs>
          <w:tab w:val="clear" w:pos="360"/>
        </w:tabs>
        <w:spacing w:after="0" w:line="240" w:lineRule="auto"/>
        <w:jc w:val="both"/>
        <w:rPr>
          <w:rFonts w:ascii="Arial" w:eastAsia="Times New Roman" w:hAnsi="Arial" w:cs="Arial"/>
          <w:color w:val="000000"/>
          <w:lang w:eastAsia="en-IN"/>
        </w:rPr>
      </w:pPr>
      <w:r w:rsidRPr="00B63245">
        <w:rPr>
          <w:rFonts w:ascii="Arial" w:eastAsia="Times New Roman" w:hAnsi="Arial" w:cs="Arial"/>
          <w:b/>
          <w:bCs/>
          <w:color w:val="000000"/>
          <w:sz w:val="24"/>
          <w:szCs w:val="24"/>
          <w:lang w:eastAsia="en-IN"/>
        </w:rPr>
        <w:t>Criteria for classification of companies under the Companies (Accounting Standards) Rules, 2006</w:t>
      </w:r>
    </w:p>
    <w:p w:rsidR="005577BB" w:rsidRPr="00331633" w:rsidRDefault="005577BB" w:rsidP="004F6051">
      <w:pPr>
        <w:spacing w:before="120" w:after="120" w:line="240" w:lineRule="auto"/>
        <w:jc w:val="both"/>
        <w:rPr>
          <w:rFonts w:ascii="Bookman Old Style" w:eastAsia="Times New Roman" w:hAnsi="Bookman Old Style" w:cs="Times New Roman"/>
          <w:color w:val="000000"/>
          <w:sz w:val="32"/>
          <w:szCs w:val="32"/>
          <w:lang w:eastAsia="en-IN"/>
        </w:rPr>
      </w:pPr>
      <w:r w:rsidRPr="00331633">
        <w:rPr>
          <w:rFonts w:ascii="Bookman Old Style" w:eastAsia="Times New Roman" w:hAnsi="Bookman Old Style" w:cs="Times New Roman"/>
          <w:b/>
          <w:bCs/>
          <w:color w:val="000000"/>
          <w:sz w:val="28"/>
          <w:szCs w:val="28"/>
          <w:lang w:eastAsia="en-IN"/>
        </w:rPr>
        <w:t>Small and Medium-Sized Company (SMC)</w:t>
      </w:r>
      <w:r w:rsidRPr="00331633">
        <w:rPr>
          <w:rFonts w:ascii="Bookman Old Style" w:eastAsia="Times New Roman" w:hAnsi="Bookman Old Style" w:cs="Times New Roman"/>
          <w:color w:val="000000"/>
          <w:sz w:val="24"/>
          <w:szCs w:val="24"/>
          <w:lang w:eastAsia="en-IN"/>
        </w:rPr>
        <w:t xml:space="preserve"> as defined in Clause 2(f) of the Companies (Accounting Standards) Rules, 2006:</w:t>
      </w:r>
      <w:r w:rsidR="004F6051">
        <w:rPr>
          <w:rFonts w:ascii="Bookman Old Style" w:eastAsia="Times New Roman" w:hAnsi="Bookman Old Style" w:cs="Times New Roman"/>
          <w:color w:val="000000"/>
          <w:sz w:val="24"/>
          <w:szCs w:val="24"/>
          <w:lang w:eastAsia="en-IN"/>
        </w:rPr>
        <w:t xml:space="preserve"> </w:t>
      </w:r>
      <w:r w:rsidRPr="00331633">
        <w:rPr>
          <w:rFonts w:ascii="Bookman Old Style" w:eastAsia="Times New Roman" w:hAnsi="Bookman Old Style" w:cs="Times New Roman"/>
          <w:color w:val="000000"/>
          <w:sz w:val="24"/>
          <w:szCs w:val="24"/>
          <w:lang w:eastAsia="en-IN"/>
        </w:rPr>
        <w:t>(f) “Small and Medium Sized Company” (SMC) means, a company-</w:t>
      </w:r>
    </w:p>
    <w:p w:rsidR="004F6051" w:rsidRPr="004F6051" w:rsidRDefault="005577BB" w:rsidP="004F6051">
      <w:pPr>
        <w:pStyle w:val="ListParagraph"/>
        <w:numPr>
          <w:ilvl w:val="0"/>
          <w:numId w:val="5"/>
        </w:numPr>
        <w:spacing w:after="0" w:line="240" w:lineRule="auto"/>
        <w:ind w:left="450" w:hanging="450"/>
        <w:jc w:val="both"/>
        <w:rPr>
          <w:rFonts w:ascii="Bookman Old Style" w:eastAsia="Times New Roman" w:hAnsi="Bookman Old Style" w:cs="Times New Roman"/>
          <w:color w:val="000000"/>
          <w:sz w:val="32"/>
          <w:szCs w:val="32"/>
          <w:lang w:eastAsia="en-IN"/>
        </w:rPr>
      </w:pPr>
      <w:r w:rsidRPr="004F6051">
        <w:rPr>
          <w:rFonts w:ascii="Bookman Old Style" w:eastAsia="Times New Roman" w:hAnsi="Bookman Old Style" w:cs="Times New Roman"/>
          <w:color w:val="000000"/>
          <w:sz w:val="24"/>
          <w:szCs w:val="24"/>
          <w:lang w:eastAsia="en-IN"/>
        </w:rPr>
        <w:t>whose equity or debt securities are not listed or are not in the process of listing on any stock exchange, whether in India or outside India;</w:t>
      </w:r>
    </w:p>
    <w:p w:rsidR="004F6051" w:rsidRPr="004F6051" w:rsidRDefault="005577BB" w:rsidP="004F6051">
      <w:pPr>
        <w:pStyle w:val="ListParagraph"/>
        <w:numPr>
          <w:ilvl w:val="0"/>
          <w:numId w:val="5"/>
        </w:numPr>
        <w:spacing w:before="145" w:after="145" w:line="240" w:lineRule="auto"/>
        <w:ind w:left="450" w:hanging="450"/>
        <w:jc w:val="both"/>
        <w:rPr>
          <w:rFonts w:ascii="Bookman Old Style" w:eastAsia="Times New Roman" w:hAnsi="Bookman Old Style" w:cs="Times New Roman"/>
          <w:color w:val="000000"/>
          <w:sz w:val="32"/>
          <w:szCs w:val="32"/>
          <w:lang w:eastAsia="en-IN"/>
        </w:rPr>
      </w:pPr>
      <w:r w:rsidRPr="004F6051">
        <w:rPr>
          <w:rFonts w:ascii="Bookman Old Style" w:eastAsia="Times New Roman" w:hAnsi="Bookman Old Style" w:cs="Times New Roman"/>
          <w:color w:val="000000"/>
          <w:sz w:val="24"/>
          <w:szCs w:val="24"/>
          <w:lang w:eastAsia="en-IN"/>
        </w:rPr>
        <w:t>which is not a bank, financial institution or an insurance company;</w:t>
      </w:r>
    </w:p>
    <w:p w:rsidR="004F6051" w:rsidRPr="004F6051" w:rsidRDefault="005577BB" w:rsidP="004F6051">
      <w:pPr>
        <w:pStyle w:val="ListParagraph"/>
        <w:numPr>
          <w:ilvl w:val="0"/>
          <w:numId w:val="5"/>
        </w:numPr>
        <w:spacing w:before="145" w:after="145" w:line="240" w:lineRule="auto"/>
        <w:ind w:left="450" w:hanging="450"/>
        <w:jc w:val="both"/>
        <w:rPr>
          <w:rFonts w:ascii="Bookman Old Style" w:eastAsia="Times New Roman" w:hAnsi="Bookman Old Style" w:cs="Times New Roman"/>
          <w:color w:val="000000"/>
          <w:sz w:val="32"/>
          <w:szCs w:val="32"/>
          <w:lang w:eastAsia="en-IN"/>
        </w:rPr>
      </w:pPr>
      <w:r w:rsidRPr="004F6051">
        <w:rPr>
          <w:rFonts w:ascii="Bookman Old Style" w:eastAsia="Times New Roman" w:hAnsi="Bookman Old Style" w:cs="Times New Roman"/>
          <w:color w:val="000000"/>
          <w:sz w:val="24"/>
          <w:szCs w:val="24"/>
          <w:lang w:eastAsia="en-IN"/>
        </w:rPr>
        <w:lastRenderedPageBreak/>
        <w:t xml:space="preserve">whose turnover (excluding other income) does not exceed rupees fifty </w:t>
      </w:r>
      <w:proofErr w:type="spellStart"/>
      <w:r w:rsidRPr="004F6051">
        <w:rPr>
          <w:rFonts w:ascii="Bookman Old Style" w:eastAsia="Times New Roman" w:hAnsi="Bookman Old Style" w:cs="Times New Roman"/>
          <w:color w:val="000000"/>
          <w:sz w:val="24"/>
          <w:szCs w:val="24"/>
          <w:lang w:eastAsia="en-IN"/>
        </w:rPr>
        <w:t>crore</w:t>
      </w:r>
      <w:proofErr w:type="spellEnd"/>
      <w:r w:rsidRPr="004F6051">
        <w:rPr>
          <w:rFonts w:ascii="Bookman Old Style" w:eastAsia="Times New Roman" w:hAnsi="Bookman Old Style" w:cs="Times New Roman"/>
          <w:color w:val="000000"/>
          <w:sz w:val="24"/>
          <w:szCs w:val="24"/>
          <w:lang w:eastAsia="en-IN"/>
        </w:rPr>
        <w:t xml:space="preserve"> in the immediately preceding accounting year;</w:t>
      </w:r>
    </w:p>
    <w:p w:rsidR="004F6051" w:rsidRPr="004F6051" w:rsidRDefault="005577BB" w:rsidP="004F6051">
      <w:pPr>
        <w:pStyle w:val="ListParagraph"/>
        <w:numPr>
          <w:ilvl w:val="0"/>
          <w:numId w:val="5"/>
        </w:numPr>
        <w:spacing w:before="145" w:after="145" w:line="240" w:lineRule="auto"/>
        <w:ind w:left="450" w:hanging="450"/>
        <w:jc w:val="both"/>
        <w:rPr>
          <w:rFonts w:ascii="Bookman Old Style" w:eastAsia="Times New Roman" w:hAnsi="Bookman Old Style" w:cs="Times New Roman"/>
          <w:color w:val="000000"/>
          <w:sz w:val="32"/>
          <w:szCs w:val="32"/>
          <w:lang w:eastAsia="en-IN"/>
        </w:rPr>
      </w:pPr>
      <w:r w:rsidRPr="004F6051">
        <w:rPr>
          <w:rFonts w:ascii="Bookman Old Style" w:eastAsia="Times New Roman" w:hAnsi="Bookman Old Style" w:cs="Times New Roman"/>
          <w:color w:val="000000"/>
          <w:sz w:val="24"/>
          <w:szCs w:val="24"/>
          <w:lang w:eastAsia="en-IN"/>
        </w:rPr>
        <w:t xml:space="preserve">which does not have borrowings (including public deposits) in excess of rupees ten </w:t>
      </w:r>
      <w:proofErr w:type="spellStart"/>
      <w:r w:rsidRPr="004F6051">
        <w:rPr>
          <w:rFonts w:ascii="Bookman Old Style" w:eastAsia="Times New Roman" w:hAnsi="Bookman Old Style" w:cs="Times New Roman"/>
          <w:color w:val="000000"/>
          <w:sz w:val="24"/>
          <w:szCs w:val="24"/>
          <w:lang w:eastAsia="en-IN"/>
        </w:rPr>
        <w:t>crore</w:t>
      </w:r>
      <w:proofErr w:type="spellEnd"/>
      <w:r w:rsidRPr="004F6051">
        <w:rPr>
          <w:rFonts w:ascii="Bookman Old Style" w:eastAsia="Times New Roman" w:hAnsi="Bookman Old Style" w:cs="Times New Roman"/>
          <w:color w:val="000000"/>
          <w:sz w:val="24"/>
          <w:szCs w:val="24"/>
          <w:lang w:eastAsia="en-IN"/>
        </w:rPr>
        <w:t xml:space="preserve"> at any time during the immediately preceding accounting year; and</w:t>
      </w:r>
    </w:p>
    <w:p w:rsidR="005577BB" w:rsidRPr="004F6051" w:rsidRDefault="005577BB" w:rsidP="004F6051">
      <w:pPr>
        <w:pStyle w:val="ListParagraph"/>
        <w:numPr>
          <w:ilvl w:val="0"/>
          <w:numId w:val="5"/>
        </w:numPr>
        <w:spacing w:after="0" w:line="240" w:lineRule="auto"/>
        <w:ind w:left="450" w:hanging="450"/>
        <w:jc w:val="both"/>
        <w:rPr>
          <w:rFonts w:ascii="Bookman Old Style" w:eastAsia="Times New Roman" w:hAnsi="Bookman Old Style" w:cs="Times New Roman"/>
          <w:color w:val="000000"/>
          <w:sz w:val="32"/>
          <w:szCs w:val="32"/>
          <w:lang w:eastAsia="en-IN"/>
        </w:rPr>
      </w:pPr>
      <w:proofErr w:type="gramStart"/>
      <w:r w:rsidRPr="004F6051">
        <w:rPr>
          <w:rFonts w:ascii="Bookman Old Style" w:eastAsia="Times New Roman" w:hAnsi="Bookman Old Style" w:cs="Times New Roman"/>
          <w:color w:val="000000"/>
          <w:sz w:val="24"/>
          <w:szCs w:val="24"/>
          <w:lang w:eastAsia="en-IN"/>
        </w:rPr>
        <w:t>which</w:t>
      </w:r>
      <w:proofErr w:type="gramEnd"/>
      <w:r w:rsidRPr="004F6051">
        <w:rPr>
          <w:rFonts w:ascii="Bookman Old Style" w:eastAsia="Times New Roman" w:hAnsi="Bookman Old Style" w:cs="Times New Roman"/>
          <w:color w:val="000000"/>
          <w:sz w:val="24"/>
          <w:szCs w:val="24"/>
          <w:lang w:eastAsia="en-IN"/>
        </w:rPr>
        <w:t xml:space="preserve"> is not a holding or subsidiary company of a company which is not a small and medium-sized company.</w:t>
      </w:r>
    </w:p>
    <w:p w:rsidR="004F6051" w:rsidRPr="004F6051" w:rsidRDefault="004F6051" w:rsidP="004F6051">
      <w:pPr>
        <w:spacing w:after="0" w:line="240" w:lineRule="auto"/>
        <w:jc w:val="both"/>
        <w:rPr>
          <w:rFonts w:ascii="Bookman Old Style" w:eastAsia="Times New Roman" w:hAnsi="Bookman Old Style" w:cs="Times New Roman"/>
          <w:color w:val="000000"/>
          <w:sz w:val="24"/>
          <w:szCs w:val="24"/>
          <w:lang w:eastAsia="en-IN"/>
        </w:rPr>
      </w:pPr>
    </w:p>
    <w:p w:rsidR="005577BB" w:rsidRPr="00331633" w:rsidRDefault="005577BB" w:rsidP="00C46CB7">
      <w:pPr>
        <w:spacing w:after="0" w:line="240" w:lineRule="auto"/>
        <w:jc w:val="both"/>
        <w:rPr>
          <w:rFonts w:ascii="Bookman Old Style" w:eastAsia="Times New Roman" w:hAnsi="Bookman Old Style" w:cs="Times New Roman"/>
          <w:color w:val="000000"/>
          <w:sz w:val="32"/>
          <w:szCs w:val="32"/>
          <w:lang w:eastAsia="en-IN"/>
        </w:rPr>
      </w:pPr>
      <w:r w:rsidRPr="00B63245">
        <w:rPr>
          <w:rFonts w:ascii="Bookman Old Style" w:eastAsia="Times New Roman" w:hAnsi="Bookman Old Style" w:cs="Times New Roman"/>
          <w:b/>
          <w:bCs/>
          <w:color w:val="000000"/>
          <w:sz w:val="24"/>
          <w:szCs w:val="24"/>
          <w:lang w:eastAsia="en-IN"/>
        </w:rPr>
        <w:t>Explanation: </w:t>
      </w:r>
      <w:r w:rsidRPr="00331633">
        <w:rPr>
          <w:rFonts w:ascii="Bookman Old Style" w:eastAsia="Times New Roman" w:hAnsi="Bookman Old Style" w:cs="Times New Roman"/>
          <w:color w:val="000000"/>
          <w:sz w:val="24"/>
          <w:szCs w:val="24"/>
          <w:lang w:eastAsia="en-IN"/>
        </w:rPr>
        <w:t xml:space="preserve">For the </w:t>
      </w:r>
      <w:bookmarkStart w:id="0" w:name="_GoBack"/>
      <w:bookmarkEnd w:id="0"/>
      <w:r w:rsidRPr="00331633">
        <w:rPr>
          <w:rFonts w:ascii="Bookman Old Style" w:eastAsia="Times New Roman" w:hAnsi="Bookman Old Style" w:cs="Times New Roman"/>
          <w:color w:val="000000"/>
          <w:sz w:val="24"/>
          <w:szCs w:val="24"/>
          <w:lang w:eastAsia="en-IN"/>
        </w:rPr>
        <w:t>purposes of clause (f), a company shall qualify as a Small and Medium Sized Company, if the conditions mentioned therein are satisfied as at the end of the relevant accounting period.</w:t>
      </w:r>
    </w:p>
    <w:p w:rsidR="004F6051" w:rsidRDefault="004F6051" w:rsidP="004F6051">
      <w:pPr>
        <w:spacing w:after="0" w:line="240" w:lineRule="auto"/>
        <w:rPr>
          <w:rFonts w:ascii="Bookman Old Style" w:eastAsia="Times New Roman" w:hAnsi="Bookman Old Style" w:cs="Times New Roman"/>
          <w:b/>
          <w:bCs/>
          <w:color w:val="000000"/>
          <w:sz w:val="24"/>
          <w:szCs w:val="24"/>
          <w:lang w:eastAsia="en-IN"/>
        </w:rPr>
      </w:pPr>
    </w:p>
    <w:p w:rsidR="005577BB" w:rsidRPr="00331633" w:rsidRDefault="005577BB" w:rsidP="004F6051">
      <w:pPr>
        <w:spacing w:after="0" w:line="240" w:lineRule="auto"/>
        <w:rPr>
          <w:rFonts w:ascii="Bookman Old Style" w:eastAsia="Times New Roman" w:hAnsi="Bookman Old Style" w:cs="Times New Roman"/>
          <w:color w:val="000000"/>
          <w:sz w:val="36"/>
          <w:szCs w:val="36"/>
          <w:lang w:eastAsia="en-IN"/>
        </w:rPr>
      </w:pPr>
      <w:r w:rsidRPr="00DA2EEA">
        <w:rPr>
          <w:rFonts w:ascii="Bookman Old Style" w:eastAsia="Times New Roman" w:hAnsi="Bookman Old Style" w:cs="Times New Roman"/>
          <w:b/>
          <w:bCs/>
          <w:color w:val="000000"/>
          <w:sz w:val="28"/>
          <w:szCs w:val="28"/>
          <w:lang w:eastAsia="en-IN"/>
        </w:rPr>
        <w:t>Non-SMCs</w:t>
      </w:r>
    </w:p>
    <w:p w:rsidR="005577BB" w:rsidRPr="00331633" w:rsidRDefault="005577BB" w:rsidP="004F6051">
      <w:pPr>
        <w:spacing w:after="0" w:line="240" w:lineRule="auto"/>
        <w:rPr>
          <w:rFonts w:ascii="Bookman Old Style" w:eastAsia="Times New Roman" w:hAnsi="Bookman Old Style" w:cs="Times New Roman"/>
          <w:color w:val="000000"/>
          <w:sz w:val="32"/>
          <w:szCs w:val="32"/>
          <w:lang w:eastAsia="en-IN"/>
        </w:rPr>
      </w:pPr>
      <w:r w:rsidRPr="00331633">
        <w:rPr>
          <w:rFonts w:ascii="Bookman Old Style" w:eastAsia="Times New Roman" w:hAnsi="Bookman Old Style" w:cs="Times New Roman"/>
          <w:color w:val="000000"/>
          <w:sz w:val="24"/>
          <w:szCs w:val="24"/>
          <w:lang w:eastAsia="en-IN"/>
        </w:rPr>
        <w:t>Companies not falling within the definition of SMC are considered as Non-SMCs.</w:t>
      </w:r>
    </w:p>
    <w:p w:rsidR="00B63245" w:rsidRDefault="00B63245" w:rsidP="00B63245">
      <w:pPr>
        <w:spacing w:after="0" w:line="158" w:lineRule="atLeast"/>
        <w:rPr>
          <w:rFonts w:ascii="Bookman Old Style" w:eastAsia="Times New Roman" w:hAnsi="Bookman Old Style" w:cs="Arial"/>
          <w:b/>
          <w:bCs/>
          <w:color w:val="000000"/>
          <w:sz w:val="24"/>
          <w:szCs w:val="24"/>
          <w:lang w:eastAsia="en-IN"/>
        </w:rPr>
      </w:pPr>
    </w:p>
    <w:p w:rsidR="004F6051" w:rsidRPr="004F6051" w:rsidRDefault="004F6051" w:rsidP="00B63245">
      <w:pPr>
        <w:spacing w:after="0" w:line="158" w:lineRule="atLeast"/>
        <w:rPr>
          <w:rFonts w:ascii="Bookman Old Style" w:eastAsia="Times New Roman" w:hAnsi="Bookman Old Style" w:cs="Arial"/>
          <w:b/>
          <w:bCs/>
          <w:color w:val="000000"/>
          <w:sz w:val="24"/>
          <w:szCs w:val="24"/>
          <w:lang w:eastAsia="en-IN"/>
        </w:rPr>
      </w:pPr>
    </w:p>
    <w:p w:rsidR="005577BB" w:rsidRPr="00331633" w:rsidRDefault="005577BB" w:rsidP="00616137">
      <w:pPr>
        <w:spacing w:after="120" w:line="158" w:lineRule="atLeast"/>
        <w:rPr>
          <w:rFonts w:ascii="Arial" w:eastAsia="Times New Roman" w:hAnsi="Arial" w:cs="Arial"/>
          <w:color w:val="000000"/>
          <w:lang w:eastAsia="en-IN"/>
        </w:rPr>
      </w:pPr>
      <w:r w:rsidRPr="00B63245">
        <w:rPr>
          <w:rFonts w:ascii="Arial" w:eastAsia="Times New Roman" w:hAnsi="Arial" w:cs="Arial"/>
          <w:b/>
          <w:bCs/>
          <w:color w:val="000000"/>
          <w:sz w:val="24"/>
          <w:szCs w:val="24"/>
          <w:lang w:eastAsia="en-IN"/>
        </w:rPr>
        <w:t>APPLICABILITY OF ACCOUNTING STANDARDS - AN OVERVIEW</w:t>
      </w:r>
    </w:p>
    <w:tbl>
      <w:tblPr>
        <w:tblStyle w:val="TableGrid"/>
        <w:tblW w:w="10682" w:type="dxa"/>
        <w:tblLayout w:type="fixed"/>
        <w:tblLook w:val="06A0" w:firstRow="1" w:lastRow="0" w:firstColumn="1" w:lastColumn="0" w:noHBand="1" w:noVBand="1"/>
      </w:tblPr>
      <w:tblGrid>
        <w:gridCol w:w="820"/>
        <w:gridCol w:w="6216"/>
        <w:gridCol w:w="2026"/>
        <w:gridCol w:w="1620"/>
      </w:tblGrid>
      <w:tr w:rsidR="005577BB" w:rsidRPr="00B63245" w:rsidTr="00616137">
        <w:tc>
          <w:tcPr>
            <w:tcW w:w="7036" w:type="dxa"/>
            <w:gridSpan w:val="2"/>
            <w:vAlign w:val="center"/>
            <w:hideMark/>
          </w:tcPr>
          <w:p w:rsidR="005577BB" w:rsidRPr="00331633" w:rsidRDefault="005577BB" w:rsidP="00616137">
            <w:pPr>
              <w:ind w:left="-90" w:right="-26"/>
              <w:jc w:val="center"/>
              <w:rPr>
                <w:rFonts w:ascii="Times New Roman" w:eastAsia="Times New Roman" w:hAnsi="Times New Roman" w:cs="Times New Roman"/>
                <w:sz w:val="28"/>
                <w:szCs w:val="28"/>
                <w:lang w:eastAsia="en-IN"/>
              </w:rPr>
            </w:pPr>
            <w:r w:rsidRPr="00616137">
              <w:rPr>
                <w:rFonts w:ascii="Bookman Old Style" w:eastAsia="Times New Roman" w:hAnsi="Bookman Old Style" w:cs="Times New Roman"/>
                <w:b/>
                <w:bCs/>
                <w:i/>
                <w:iCs/>
                <w:sz w:val="28"/>
                <w:szCs w:val="28"/>
                <w:lang w:eastAsia="en-IN"/>
              </w:rPr>
              <w:t>Accounting Standards</w:t>
            </w:r>
          </w:p>
        </w:tc>
        <w:tc>
          <w:tcPr>
            <w:tcW w:w="2026" w:type="dxa"/>
            <w:hideMark/>
          </w:tcPr>
          <w:p w:rsidR="005577BB" w:rsidRPr="00331633" w:rsidRDefault="005577BB" w:rsidP="00616137">
            <w:pPr>
              <w:spacing w:before="73" w:after="73"/>
              <w:ind w:left="-62" w:right="-18"/>
              <w:jc w:val="center"/>
              <w:rPr>
                <w:rFonts w:ascii="Times New Roman" w:eastAsia="Times New Roman" w:hAnsi="Times New Roman" w:cs="Times New Roman"/>
                <w:lang w:eastAsia="en-IN"/>
              </w:rPr>
            </w:pPr>
            <w:r w:rsidRPr="00616137">
              <w:rPr>
                <w:rFonts w:ascii="Bookman Old Style" w:eastAsia="Times New Roman" w:hAnsi="Bookman Old Style" w:cs="Times New Roman"/>
                <w:b/>
                <w:bCs/>
                <w:i/>
                <w:iCs/>
                <w:lang w:eastAsia="en-IN"/>
              </w:rPr>
              <w:t>To all Corporate Entities [As per Companies (Accounting Standards) Rules]</w:t>
            </w:r>
          </w:p>
        </w:tc>
        <w:tc>
          <w:tcPr>
            <w:tcW w:w="1620" w:type="dxa"/>
            <w:hideMark/>
          </w:tcPr>
          <w:p w:rsidR="005577BB" w:rsidRPr="00331633" w:rsidRDefault="005577BB" w:rsidP="00616137">
            <w:pPr>
              <w:spacing w:before="73" w:after="73"/>
              <w:ind w:left="-62" w:right="-18"/>
              <w:jc w:val="center"/>
              <w:rPr>
                <w:rFonts w:ascii="Times New Roman" w:eastAsia="Times New Roman" w:hAnsi="Times New Roman" w:cs="Times New Roman"/>
                <w:lang w:eastAsia="en-IN"/>
              </w:rPr>
            </w:pPr>
            <w:r w:rsidRPr="00616137">
              <w:rPr>
                <w:rFonts w:ascii="Bookman Old Style" w:eastAsia="Times New Roman" w:hAnsi="Bookman Old Style" w:cs="Times New Roman"/>
                <w:b/>
                <w:bCs/>
                <w:i/>
                <w:iCs/>
                <w:lang w:eastAsia="en-IN"/>
              </w:rPr>
              <w:t>To all Non-Corporate entities [As per ICAI Accounting Standards]</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Disclosure of Accounting Policies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Valuation of Inventories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4</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Contingencies and Events Occurring After the Balance Sheet Date</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5</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Net Profit or Loss for the Period, Prior Period Items and Changes in Accounting Policies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6</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Depreciation Accounting</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7</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Construction Contracts (Revised 2002)</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9</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Revenue Recognition</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10</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Fixed Assets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11</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The Effects of Changes in Foreign Exchange Rates (Revised 2003)</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12</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Government Grants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13</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Investments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14</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Amalgamations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15</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Employee Benefits (Refer Note 1)</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16</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Borrowing Costs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18</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Related Party Disclosures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Not applicable to</w:t>
            </w:r>
            <w:r w:rsidR="00616137">
              <w:rPr>
                <w:rFonts w:ascii="Bookman Old Style" w:eastAsia="Times New Roman" w:hAnsi="Bookman Old Style" w:cs="Times New Roman"/>
                <w:sz w:val="24"/>
                <w:szCs w:val="24"/>
                <w:lang w:eastAsia="en-IN"/>
              </w:rPr>
              <w:t xml:space="preserve"> </w:t>
            </w:r>
            <w:r w:rsidRPr="00331633">
              <w:rPr>
                <w:rFonts w:ascii="Bookman Old Style" w:eastAsia="Times New Roman" w:hAnsi="Bookman Old Style" w:cs="Times New Roman"/>
                <w:sz w:val="24"/>
                <w:szCs w:val="24"/>
                <w:lang w:eastAsia="en-IN"/>
              </w:rPr>
              <w:t>Level III</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19</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Leases (Refer Note 2)</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20</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Earnings Per Share (Refer Note 3)</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22</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Taxes on Income</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24</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Discontinuing Operations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Not applicable</w:t>
            </w:r>
            <w:r w:rsidRPr="00331633">
              <w:rPr>
                <w:rFonts w:ascii="Bookman Old Style" w:eastAsia="Times New Roman" w:hAnsi="Bookman Old Style" w:cs="Times New Roman"/>
                <w:sz w:val="24"/>
                <w:szCs w:val="24"/>
                <w:lang w:eastAsia="en-IN"/>
              </w:rPr>
              <w:br/>
              <w:t>to Level III</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25</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Interim Financial Reporting (Refer Note 6)</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26</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Intangible Assets</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28</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Impairment of Assets (Refer Note 4)</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r>
      <w:tr w:rsidR="005577BB" w:rsidRPr="00B63245" w:rsidTr="00616137">
        <w:tc>
          <w:tcPr>
            <w:tcW w:w="820" w:type="dxa"/>
            <w:hideMark/>
          </w:tcPr>
          <w:p w:rsidR="005577BB" w:rsidRPr="00331633" w:rsidRDefault="005577BB" w:rsidP="00616137">
            <w:pPr>
              <w:spacing w:before="73" w:after="73"/>
              <w:ind w:left="-90" w:right="-26"/>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29</w:t>
            </w:r>
          </w:p>
        </w:tc>
        <w:tc>
          <w:tcPr>
            <w:tcW w:w="6216" w:type="dxa"/>
            <w:hideMark/>
          </w:tcPr>
          <w:p w:rsidR="005577BB" w:rsidRPr="00331633" w:rsidRDefault="005577BB" w:rsidP="00616137">
            <w:pPr>
              <w:spacing w:before="73" w:after="73"/>
              <w:ind w:left="-90" w:right="-26"/>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Provisions, Contingent Liabilities and Contingent Assets (Refer Note 5)</w:t>
            </w:r>
          </w:p>
        </w:tc>
        <w:tc>
          <w:tcPr>
            <w:tcW w:w="2026" w:type="dxa"/>
            <w:hideMark/>
          </w:tcPr>
          <w:p w:rsidR="005577BB" w:rsidRPr="00331633" w:rsidRDefault="005577BB" w:rsidP="00616137">
            <w:pPr>
              <w:spacing w:before="73" w:after="73"/>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Y</w:t>
            </w:r>
          </w:p>
        </w:tc>
        <w:tc>
          <w:tcPr>
            <w:tcW w:w="1620" w:type="dxa"/>
            <w:hideMark/>
          </w:tcPr>
          <w:p w:rsidR="005577BB" w:rsidRPr="00331633" w:rsidRDefault="005577BB" w:rsidP="00616137">
            <w:pPr>
              <w:spacing w:before="73" w:after="73"/>
              <w:ind w:left="44" w:right="44"/>
              <w:jc w:val="center"/>
              <w:rPr>
                <w:rFonts w:ascii="Bookman Old Style" w:eastAsia="Times New Roman" w:hAnsi="Bookman Old Style" w:cs="Times New Roman"/>
                <w:sz w:val="32"/>
                <w:szCs w:val="32"/>
                <w:lang w:eastAsia="en-IN"/>
              </w:rPr>
            </w:pPr>
            <w:r w:rsidRPr="00331633">
              <w:rPr>
                <w:rFonts w:ascii="Bookman Old Style" w:eastAsia="Times New Roman" w:hAnsi="Bookman Old Style" w:cs="Times New Roman"/>
                <w:sz w:val="24"/>
                <w:szCs w:val="24"/>
                <w:lang w:eastAsia="en-IN"/>
              </w:rPr>
              <w:t>Y</w:t>
            </w:r>
          </w:p>
        </w:tc>
      </w:tr>
    </w:tbl>
    <w:p w:rsidR="005577BB" w:rsidRPr="00331633" w:rsidRDefault="005577BB" w:rsidP="00616137">
      <w:pPr>
        <w:spacing w:before="120" w:after="0" w:line="240" w:lineRule="auto"/>
        <w:jc w:val="both"/>
        <w:rPr>
          <w:rFonts w:ascii="Bookman Old Style" w:eastAsia="Times New Roman" w:hAnsi="Bookman Old Style" w:cs="Times New Roman"/>
          <w:color w:val="000000"/>
          <w:sz w:val="32"/>
          <w:szCs w:val="32"/>
          <w:lang w:eastAsia="en-IN"/>
        </w:rPr>
      </w:pPr>
      <w:r w:rsidRPr="00B63245">
        <w:rPr>
          <w:rFonts w:ascii="Bookman Old Style" w:eastAsia="Times New Roman" w:hAnsi="Bookman Old Style" w:cs="Times New Roman"/>
          <w:b/>
          <w:bCs/>
          <w:color w:val="000000"/>
          <w:sz w:val="24"/>
          <w:szCs w:val="24"/>
          <w:lang w:eastAsia="en-IN"/>
        </w:rPr>
        <w:t>Note: The Notes referred to in the previous table are given in the table titled "Relaxations of certain requirements for SMCs/Level II &amp; Level III enterprises" below.</w:t>
      </w:r>
    </w:p>
    <w:p w:rsidR="00B63245" w:rsidRDefault="00B63245" w:rsidP="00B63245">
      <w:pPr>
        <w:spacing w:after="0" w:line="240" w:lineRule="auto"/>
        <w:jc w:val="both"/>
        <w:rPr>
          <w:rFonts w:ascii="Bookman Old Style" w:eastAsia="Times New Roman" w:hAnsi="Bookman Old Style" w:cs="Times New Roman"/>
          <w:color w:val="000000"/>
          <w:sz w:val="24"/>
          <w:szCs w:val="24"/>
          <w:lang w:eastAsia="en-IN"/>
        </w:rPr>
      </w:pPr>
    </w:p>
    <w:p w:rsidR="00616137" w:rsidRPr="00616137" w:rsidRDefault="00616137" w:rsidP="00B63245">
      <w:pPr>
        <w:spacing w:after="0" w:line="240" w:lineRule="auto"/>
        <w:jc w:val="both"/>
        <w:rPr>
          <w:rFonts w:ascii="Bookman Old Style" w:eastAsia="Times New Roman" w:hAnsi="Bookman Old Style" w:cs="Times New Roman"/>
          <w:color w:val="000000"/>
          <w:sz w:val="24"/>
          <w:szCs w:val="24"/>
          <w:lang w:eastAsia="en-IN"/>
        </w:rPr>
      </w:pPr>
    </w:p>
    <w:p w:rsidR="005577BB" w:rsidRPr="00331633" w:rsidRDefault="005577BB" w:rsidP="00DA2EEA">
      <w:pPr>
        <w:spacing w:after="120" w:line="240" w:lineRule="auto"/>
        <w:jc w:val="both"/>
        <w:rPr>
          <w:rFonts w:ascii="Bookman Old Style" w:eastAsia="Times New Roman" w:hAnsi="Bookman Old Style" w:cs="Times New Roman"/>
          <w:color w:val="000000"/>
          <w:sz w:val="32"/>
          <w:szCs w:val="32"/>
          <w:lang w:eastAsia="en-IN"/>
        </w:rPr>
      </w:pPr>
      <w:r w:rsidRPr="00B63245">
        <w:rPr>
          <w:rFonts w:ascii="Bookman Old Style" w:eastAsia="Times New Roman" w:hAnsi="Bookman Old Style" w:cs="Times New Roman"/>
          <w:b/>
          <w:bCs/>
          <w:i/>
          <w:iCs/>
          <w:color w:val="000000"/>
          <w:sz w:val="24"/>
          <w:szCs w:val="24"/>
          <w:lang w:eastAsia="en-IN"/>
        </w:rPr>
        <w:t>The Exemptions available to both, SMCs (i.e., governed by the Rules) and also available to Level II and Level III Enterprises (i.e., governed by the ICAI Accounting Standards) in entirety are given in the following table:</w:t>
      </w:r>
    </w:p>
    <w:tbl>
      <w:tblPr>
        <w:tblStyle w:val="TableGrid"/>
        <w:tblW w:w="5000" w:type="pct"/>
        <w:tblLook w:val="04A0" w:firstRow="1" w:lastRow="0" w:firstColumn="1" w:lastColumn="0" w:noHBand="0" w:noVBand="1"/>
      </w:tblPr>
      <w:tblGrid>
        <w:gridCol w:w="912"/>
        <w:gridCol w:w="9770"/>
      </w:tblGrid>
      <w:tr w:rsidR="00B63245" w:rsidRPr="00331633" w:rsidTr="00DA2EEA">
        <w:tc>
          <w:tcPr>
            <w:tcW w:w="427" w:type="pct"/>
            <w:hideMark/>
          </w:tcPr>
          <w:p w:rsidR="005577BB" w:rsidRPr="00331633" w:rsidRDefault="005577BB" w:rsidP="00DA2EEA">
            <w:pPr>
              <w:spacing w:before="73" w:after="73"/>
              <w:ind w:left="-90" w:right="-47"/>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3</w:t>
            </w:r>
          </w:p>
        </w:tc>
        <w:tc>
          <w:tcPr>
            <w:tcW w:w="4573" w:type="pct"/>
            <w:hideMark/>
          </w:tcPr>
          <w:p w:rsidR="005577BB" w:rsidRPr="00331633" w:rsidRDefault="005577BB" w:rsidP="00DA2EEA">
            <w:pPr>
              <w:spacing w:before="73" w:after="73"/>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Cash Flow Statements</w:t>
            </w:r>
          </w:p>
        </w:tc>
      </w:tr>
      <w:tr w:rsidR="00B63245" w:rsidRPr="00331633" w:rsidTr="00DA2EEA">
        <w:tc>
          <w:tcPr>
            <w:tcW w:w="427" w:type="pct"/>
            <w:hideMark/>
          </w:tcPr>
          <w:p w:rsidR="005577BB" w:rsidRPr="00331633" w:rsidRDefault="005577BB" w:rsidP="00DA2EEA">
            <w:pPr>
              <w:spacing w:before="73" w:after="73"/>
              <w:ind w:left="-90" w:right="-47"/>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17</w:t>
            </w:r>
          </w:p>
        </w:tc>
        <w:tc>
          <w:tcPr>
            <w:tcW w:w="4573" w:type="pct"/>
            <w:hideMark/>
          </w:tcPr>
          <w:p w:rsidR="005577BB" w:rsidRPr="00331633" w:rsidRDefault="005577BB" w:rsidP="00DA2EEA">
            <w:pPr>
              <w:spacing w:before="73" w:after="73"/>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Segment Reporting</w:t>
            </w:r>
          </w:p>
        </w:tc>
      </w:tr>
      <w:tr w:rsidR="00B63245" w:rsidRPr="00331633" w:rsidTr="00DA2EEA">
        <w:tc>
          <w:tcPr>
            <w:tcW w:w="427" w:type="pct"/>
            <w:hideMark/>
          </w:tcPr>
          <w:p w:rsidR="005577BB" w:rsidRPr="00331633" w:rsidRDefault="005577BB" w:rsidP="00DA2EEA">
            <w:pPr>
              <w:spacing w:before="73" w:after="73"/>
              <w:ind w:left="-90" w:right="-47"/>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21*</w:t>
            </w:r>
          </w:p>
        </w:tc>
        <w:tc>
          <w:tcPr>
            <w:tcW w:w="4573" w:type="pct"/>
            <w:hideMark/>
          </w:tcPr>
          <w:p w:rsidR="005577BB" w:rsidRPr="00331633" w:rsidRDefault="005577BB" w:rsidP="00DA2EEA">
            <w:pPr>
              <w:spacing w:before="73" w:after="73"/>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Consolidated Financial Statements</w:t>
            </w:r>
          </w:p>
        </w:tc>
      </w:tr>
      <w:tr w:rsidR="00B63245" w:rsidRPr="00331633" w:rsidTr="00DA2EEA">
        <w:tc>
          <w:tcPr>
            <w:tcW w:w="427" w:type="pct"/>
            <w:hideMark/>
          </w:tcPr>
          <w:p w:rsidR="005577BB" w:rsidRPr="00331633" w:rsidRDefault="005577BB" w:rsidP="00DA2EEA">
            <w:pPr>
              <w:spacing w:before="73" w:after="73"/>
              <w:ind w:left="-90" w:right="-47"/>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23*</w:t>
            </w:r>
          </w:p>
        </w:tc>
        <w:tc>
          <w:tcPr>
            <w:tcW w:w="4573" w:type="pct"/>
            <w:hideMark/>
          </w:tcPr>
          <w:p w:rsidR="005577BB" w:rsidRPr="00331633" w:rsidRDefault="005577BB" w:rsidP="00DA2EEA">
            <w:pPr>
              <w:spacing w:before="73" w:after="73"/>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Accounting for Investments in Associates in Consolidated Financial Statements</w:t>
            </w:r>
          </w:p>
        </w:tc>
      </w:tr>
      <w:tr w:rsidR="00B63245" w:rsidRPr="00331633" w:rsidTr="00DA2EEA">
        <w:tc>
          <w:tcPr>
            <w:tcW w:w="427" w:type="pct"/>
            <w:hideMark/>
          </w:tcPr>
          <w:p w:rsidR="005577BB" w:rsidRPr="00331633" w:rsidRDefault="005577BB" w:rsidP="00DA2EEA">
            <w:pPr>
              <w:spacing w:before="73" w:after="73"/>
              <w:ind w:left="-90" w:right="-47"/>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27*</w:t>
            </w:r>
          </w:p>
        </w:tc>
        <w:tc>
          <w:tcPr>
            <w:tcW w:w="4573" w:type="pct"/>
            <w:hideMark/>
          </w:tcPr>
          <w:p w:rsidR="005577BB" w:rsidRPr="00331633" w:rsidRDefault="005577BB" w:rsidP="00DA2EEA">
            <w:pPr>
              <w:spacing w:before="73" w:after="73"/>
              <w:ind w:left="44" w:right="44"/>
              <w:rPr>
                <w:rFonts w:ascii="Bookman Old Style" w:eastAsia="Times New Roman" w:hAnsi="Bookman Old Style" w:cs="Times New Roman"/>
                <w:sz w:val="32"/>
                <w:szCs w:val="32"/>
                <w:lang w:eastAsia="en-IN"/>
              </w:rPr>
            </w:pPr>
            <w:r w:rsidRPr="00331633">
              <w:rPr>
                <w:rFonts w:ascii="Bookman Old Style" w:eastAsia="Times New Roman" w:hAnsi="Bookman Old Style" w:cs="Times New Roman"/>
                <w:sz w:val="24"/>
                <w:szCs w:val="24"/>
                <w:lang w:eastAsia="en-IN"/>
              </w:rPr>
              <w:t>Financial Reporting of Interests in Joint Ventures (to the extent of requirement relating to Consolidated Financial Statements)</w:t>
            </w:r>
          </w:p>
        </w:tc>
      </w:tr>
    </w:tbl>
    <w:p w:rsidR="005577BB" w:rsidRPr="00331633" w:rsidRDefault="005577BB" w:rsidP="00DA2EEA">
      <w:pPr>
        <w:spacing w:before="120" w:after="0" w:line="240" w:lineRule="auto"/>
        <w:jc w:val="both"/>
        <w:rPr>
          <w:rFonts w:ascii="Bookman Old Style" w:eastAsia="Times New Roman" w:hAnsi="Bookman Old Style" w:cs="Times New Roman"/>
          <w:color w:val="000000"/>
          <w:sz w:val="32"/>
          <w:szCs w:val="32"/>
          <w:lang w:eastAsia="en-IN"/>
        </w:rPr>
      </w:pPr>
      <w:r w:rsidRPr="00B63245">
        <w:rPr>
          <w:rFonts w:ascii="Bookman Old Style" w:eastAsia="Times New Roman" w:hAnsi="Bookman Old Style" w:cs="Times New Roman"/>
          <w:b/>
          <w:bCs/>
          <w:color w:val="000000"/>
          <w:sz w:val="24"/>
          <w:szCs w:val="24"/>
          <w:lang w:eastAsia="en-IN"/>
        </w:rPr>
        <w:t>Note: * </w:t>
      </w:r>
      <w:r w:rsidRPr="00B63245">
        <w:rPr>
          <w:rFonts w:ascii="Bookman Old Style" w:eastAsia="Times New Roman" w:hAnsi="Bookman Old Style" w:cs="Times New Roman"/>
          <w:b/>
          <w:bCs/>
          <w:i/>
          <w:iCs/>
          <w:color w:val="000000"/>
          <w:sz w:val="24"/>
          <w:szCs w:val="24"/>
          <w:lang w:eastAsia="en-IN"/>
        </w:rPr>
        <w:t>AS 21, 23 and 27 are applicable only when relevant </w:t>
      </w:r>
      <w:r w:rsidRPr="00B63245">
        <w:rPr>
          <w:rFonts w:ascii="Bookman Old Style" w:eastAsia="Times New Roman" w:hAnsi="Bookman Old Style" w:cs="Times New Roman"/>
          <w:b/>
          <w:bCs/>
          <w:color w:val="000000"/>
          <w:sz w:val="24"/>
          <w:szCs w:val="24"/>
          <w:lang w:eastAsia="en-IN"/>
        </w:rPr>
        <w:t>regulator requires compliance of these standards</w:t>
      </w:r>
    </w:p>
    <w:p w:rsidR="00B63245" w:rsidRDefault="00B63245">
      <w:pPr>
        <w:rPr>
          <w:rFonts w:ascii="Bookman Old Style" w:eastAsia="Times New Roman" w:hAnsi="Bookman Old Style" w:cs="Times New Roman"/>
          <w:b/>
          <w:bCs/>
          <w:color w:val="000000"/>
          <w:sz w:val="24"/>
          <w:szCs w:val="24"/>
          <w:lang w:eastAsia="en-IN"/>
        </w:rPr>
      </w:pPr>
    </w:p>
    <w:p w:rsidR="005577BB" w:rsidRPr="00331633" w:rsidRDefault="005577BB" w:rsidP="00C46CB7">
      <w:pPr>
        <w:spacing w:after="0" w:line="240" w:lineRule="auto"/>
        <w:jc w:val="both"/>
        <w:rPr>
          <w:rFonts w:ascii="Bookman Old Style" w:eastAsia="Times New Roman" w:hAnsi="Bookman Old Style" w:cs="Times New Roman"/>
          <w:color w:val="000000"/>
          <w:sz w:val="32"/>
          <w:szCs w:val="32"/>
          <w:lang w:eastAsia="en-IN"/>
        </w:rPr>
      </w:pPr>
      <w:r w:rsidRPr="00B63245">
        <w:rPr>
          <w:rFonts w:ascii="Bookman Old Style" w:eastAsia="Times New Roman" w:hAnsi="Bookman Old Style" w:cs="Times New Roman"/>
          <w:b/>
          <w:bCs/>
          <w:color w:val="000000"/>
          <w:sz w:val="24"/>
          <w:szCs w:val="24"/>
          <w:lang w:eastAsia="en-IN"/>
        </w:rPr>
        <w:t>RELAXATIONS OF CERTAIN REQUIREMENTS FOR SMCS / LEVEL II &amp; LEVEL III ENTERPRISES :</w:t>
      </w:r>
    </w:p>
    <w:tbl>
      <w:tblPr>
        <w:tblW w:w="10526" w:type="dxa"/>
        <w:tblCellSpacing w:w="15" w:type="dxa"/>
        <w:shd w:val="clear" w:color="auto" w:fill="FFFFFF"/>
        <w:tblCellMar>
          <w:left w:w="0" w:type="dxa"/>
          <w:right w:w="0" w:type="dxa"/>
        </w:tblCellMar>
        <w:tblLook w:val="04A0" w:firstRow="1" w:lastRow="0" w:firstColumn="1" w:lastColumn="0" w:noHBand="0" w:noVBand="1"/>
      </w:tblPr>
      <w:tblGrid>
        <w:gridCol w:w="10526"/>
      </w:tblGrid>
      <w:tr w:rsidR="00331633" w:rsidRPr="00331633" w:rsidTr="00331633">
        <w:trPr>
          <w:tblCellSpacing w:w="15" w:type="dxa"/>
        </w:trPr>
        <w:tc>
          <w:tcPr>
            <w:tcW w:w="10466" w:type="dxa"/>
            <w:shd w:val="clear" w:color="auto" w:fill="FFFFFF"/>
            <w:hideMark/>
          </w:tcPr>
          <w:tbl>
            <w:tblPr>
              <w:tblW w:w="10449" w:type="dxa"/>
              <w:tblCellMar>
                <w:left w:w="0" w:type="dxa"/>
                <w:right w:w="0" w:type="dxa"/>
              </w:tblCellMar>
              <w:tblLook w:val="04A0" w:firstRow="1" w:lastRow="0" w:firstColumn="1" w:lastColumn="0" w:noHBand="0" w:noVBand="1"/>
            </w:tblPr>
            <w:tblGrid>
              <w:gridCol w:w="796"/>
              <w:gridCol w:w="2165"/>
              <w:gridCol w:w="7488"/>
            </w:tblGrid>
            <w:tr w:rsidR="00331633" w:rsidRPr="00B63245" w:rsidTr="00331633">
              <w:tc>
                <w:tcPr>
                  <w:tcW w:w="381" w:type="pct"/>
                  <w:tcBorders>
                    <w:top w:val="outset" w:sz="8" w:space="0" w:color="111111"/>
                    <w:left w:val="outset" w:sz="8" w:space="0" w:color="111111"/>
                    <w:bottom w:val="outset" w:sz="8" w:space="0" w:color="111111"/>
                    <w:right w:val="outset" w:sz="8" w:space="0" w:color="111111"/>
                  </w:tcBorders>
                  <w:tcMar>
                    <w:top w:w="15" w:type="dxa"/>
                    <w:left w:w="15" w:type="dxa"/>
                    <w:bottom w:w="15" w:type="dxa"/>
                    <w:right w:w="15" w:type="dxa"/>
                  </w:tcMar>
                  <w:vAlign w:val="center"/>
                  <w:hideMark/>
                </w:tcPr>
                <w:p w:rsidR="00331633" w:rsidRPr="00331633" w:rsidRDefault="00331633" w:rsidP="00DA2EEA">
                  <w:pPr>
                    <w:spacing w:before="73" w:after="73" w:line="240" w:lineRule="auto"/>
                    <w:ind w:left="44" w:right="44"/>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i/>
                      <w:iCs/>
                      <w:sz w:val="24"/>
                      <w:szCs w:val="24"/>
                      <w:lang w:eastAsia="en-IN"/>
                    </w:rPr>
                    <w:t>Note No.</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i/>
                      <w:iCs/>
                      <w:sz w:val="24"/>
                      <w:szCs w:val="24"/>
                      <w:lang w:eastAsia="en-IN"/>
                    </w:rPr>
                    <w:t>Accounting Standards</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i/>
                      <w:iCs/>
                      <w:sz w:val="24"/>
                      <w:szCs w:val="24"/>
                      <w:lang w:eastAsia="en-IN"/>
                    </w:rPr>
                    <w:t>Relaxations available to Small and Medium Companies, Level II Enterprises and Level III Enterprises</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73" w:after="73" w:line="240" w:lineRule="auto"/>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1</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AS 15, Employee Benefits</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DA2EEA" w:rsidRDefault="00331633" w:rsidP="00DA2EEA">
                  <w:pPr>
                    <w:pStyle w:val="ListParagraph"/>
                    <w:numPr>
                      <w:ilvl w:val="0"/>
                      <w:numId w:val="6"/>
                    </w:numPr>
                    <w:spacing w:before="73" w:after="73" w:line="240" w:lineRule="auto"/>
                    <w:ind w:left="254" w:right="44" w:hanging="254"/>
                    <w:jc w:val="both"/>
                    <w:rPr>
                      <w:rFonts w:ascii="Bookman Old Style" w:eastAsia="Times New Roman" w:hAnsi="Bookman Old Style" w:cs="Times New Roman"/>
                      <w:sz w:val="32"/>
                      <w:szCs w:val="32"/>
                      <w:lang w:eastAsia="en-IN"/>
                    </w:rPr>
                  </w:pPr>
                  <w:r w:rsidRPr="00DA2EEA">
                    <w:rPr>
                      <w:rFonts w:ascii="Bookman Old Style" w:eastAsia="Times New Roman" w:hAnsi="Bookman Old Style" w:cs="Times New Roman"/>
                      <w:b/>
                      <w:bCs/>
                      <w:sz w:val="24"/>
                      <w:szCs w:val="24"/>
                      <w:lang w:eastAsia="en-IN"/>
                    </w:rPr>
                    <w:t xml:space="preserve">Paragraphs 11-16 dealing with recognition and </w:t>
                  </w:r>
                  <w:proofErr w:type="spellStart"/>
                  <w:r w:rsidRPr="00DA2EEA">
                    <w:rPr>
                      <w:rFonts w:ascii="Bookman Old Style" w:eastAsia="Times New Roman" w:hAnsi="Bookman Old Style" w:cs="Times New Roman"/>
                      <w:b/>
                      <w:bCs/>
                      <w:sz w:val="24"/>
                      <w:szCs w:val="24"/>
                      <w:lang w:eastAsia="en-IN"/>
                    </w:rPr>
                    <w:t>measurement</w:t>
                  </w:r>
                  <w:r w:rsidRPr="00DA2EEA">
                    <w:rPr>
                      <w:rFonts w:ascii="Bookman Old Style" w:eastAsia="Times New Roman" w:hAnsi="Bookman Old Style" w:cs="Times New Roman"/>
                      <w:sz w:val="24"/>
                      <w:szCs w:val="24"/>
                      <w:lang w:eastAsia="en-IN"/>
                    </w:rPr>
                    <w:t>of</w:t>
                  </w:r>
                  <w:proofErr w:type="spellEnd"/>
                  <w:r w:rsidRPr="00DA2EEA">
                    <w:rPr>
                      <w:rFonts w:ascii="Bookman Old Style" w:eastAsia="Times New Roman" w:hAnsi="Bookman Old Style" w:cs="Times New Roman"/>
                      <w:sz w:val="24"/>
                      <w:szCs w:val="24"/>
                      <w:lang w:eastAsia="en-IN"/>
                    </w:rPr>
                    <w:t xml:space="preserve"> short term accumulating compensated absences which are non-vesting</w:t>
                  </w:r>
                </w:p>
                <w:p w:rsidR="00331633" w:rsidRPr="00DA2EEA" w:rsidRDefault="00331633" w:rsidP="00DA2EEA">
                  <w:pPr>
                    <w:pStyle w:val="ListParagraph"/>
                    <w:numPr>
                      <w:ilvl w:val="0"/>
                      <w:numId w:val="6"/>
                    </w:numPr>
                    <w:spacing w:before="73" w:after="73" w:line="240" w:lineRule="auto"/>
                    <w:ind w:left="254" w:right="44" w:hanging="254"/>
                    <w:jc w:val="both"/>
                    <w:rPr>
                      <w:rFonts w:ascii="Bookman Old Style" w:eastAsia="Times New Roman" w:hAnsi="Bookman Old Style" w:cs="Times New Roman"/>
                      <w:sz w:val="32"/>
                      <w:szCs w:val="32"/>
                      <w:lang w:eastAsia="en-IN"/>
                    </w:rPr>
                  </w:pPr>
                  <w:r w:rsidRPr="00DA2EEA">
                    <w:rPr>
                      <w:rFonts w:ascii="Bookman Old Style" w:eastAsia="Times New Roman" w:hAnsi="Bookman Old Style" w:cs="Times New Roman"/>
                      <w:b/>
                      <w:bCs/>
                      <w:sz w:val="24"/>
                      <w:szCs w:val="24"/>
                      <w:lang w:eastAsia="en-IN"/>
                    </w:rPr>
                    <w:t>Paragraphs 46 and 139 dealing with discounting of amounts </w:t>
                  </w:r>
                  <w:r w:rsidRPr="00DA2EEA">
                    <w:rPr>
                      <w:rFonts w:ascii="Bookman Old Style" w:eastAsia="Times New Roman" w:hAnsi="Bookman Old Style" w:cs="Times New Roman"/>
                      <w:sz w:val="24"/>
                      <w:szCs w:val="24"/>
                      <w:lang w:eastAsia="en-IN"/>
                    </w:rPr>
                    <w:t>that</w:t>
                  </w:r>
                  <w:r w:rsidR="00DA2EEA" w:rsidRPr="00DA2EEA">
                    <w:rPr>
                      <w:rFonts w:ascii="Bookman Old Style" w:eastAsia="Times New Roman" w:hAnsi="Bookman Old Style" w:cs="Times New Roman"/>
                      <w:sz w:val="24"/>
                      <w:szCs w:val="24"/>
                      <w:lang w:eastAsia="en-IN"/>
                    </w:rPr>
                    <w:t xml:space="preserve"> </w:t>
                  </w:r>
                  <w:r w:rsidRPr="00DA2EEA">
                    <w:rPr>
                      <w:rFonts w:ascii="Bookman Old Style" w:eastAsia="Times New Roman" w:hAnsi="Bookman Old Style" w:cs="Times New Roman"/>
                      <w:sz w:val="24"/>
                      <w:szCs w:val="24"/>
                      <w:lang w:eastAsia="en-IN"/>
                    </w:rPr>
                    <w:t>fall</w:t>
                  </w:r>
                  <w:r w:rsidR="00DA2EEA" w:rsidRPr="00DA2EEA">
                    <w:rPr>
                      <w:rFonts w:ascii="Bookman Old Style" w:eastAsia="Times New Roman" w:hAnsi="Bookman Old Style" w:cs="Times New Roman"/>
                      <w:sz w:val="24"/>
                      <w:szCs w:val="24"/>
                      <w:lang w:eastAsia="en-IN"/>
                    </w:rPr>
                    <w:t xml:space="preserve"> </w:t>
                  </w:r>
                  <w:r w:rsidRPr="00DA2EEA">
                    <w:rPr>
                      <w:rFonts w:ascii="Bookman Old Style" w:eastAsia="Times New Roman" w:hAnsi="Bookman Old Style" w:cs="Times New Roman"/>
                      <w:sz w:val="24"/>
                      <w:szCs w:val="24"/>
                      <w:lang w:eastAsia="en-IN"/>
                    </w:rPr>
                    <w:t>due more than 12 months after the balance sheet date</w:t>
                  </w:r>
                </w:p>
                <w:p w:rsidR="00331633" w:rsidRPr="00DA2EEA" w:rsidRDefault="00331633" w:rsidP="00DA2EEA">
                  <w:pPr>
                    <w:pStyle w:val="ListParagraph"/>
                    <w:numPr>
                      <w:ilvl w:val="0"/>
                      <w:numId w:val="6"/>
                    </w:numPr>
                    <w:spacing w:before="73" w:after="73" w:line="240" w:lineRule="auto"/>
                    <w:ind w:left="254" w:right="44" w:hanging="254"/>
                    <w:jc w:val="both"/>
                    <w:rPr>
                      <w:rFonts w:ascii="Bookman Old Style" w:eastAsia="Times New Roman" w:hAnsi="Bookman Old Style" w:cs="Times New Roman"/>
                      <w:sz w:val="32"/>
                      <w:szCs w:val="32"/>
                      <w:lang w:eastAsia="en-IN"/>
                    </w:rPr>
                  </w:pPr>
                  <w:r w:rsidRPr="00DA2EEA">
                    <w:rPr>
                      <w:rFonts w:ascii="Bookman Old Style" w:eastAsia="Times New Roman" w:hAnsi="Bookman Old Style" w:cs="Times New Roman"/>
                      <w:b/>
                      <w:bCs/>
                      <w:sz w:val="24"/>
                      <w:szCs w:val="24"/>
                      <w:lang w:eastAsia="en-IN"/>
                    </w:rPr>
                    <w:t>Paragraphs 50–116 dealing with Defined Benefit plans</w:t>
                  </w:r>
                </w:p>
                <w:p w:rsidR="00331633" w:rsidRPr="00DA2EEA" w:rsidRDefault="00331633" w:rsidP="00DA2EEA">
                  <w:pPr>
                    <w:pStyle w:val="ListParagraph"/>
                    <w:numPr>
                      <w:ilvl w:val="0"/>
                      <w:numId w:val="6"/>
                    </w:numPr>
                    <w:spacing w:before="73" w:after="73" w:line="240" w:lineRule="auto"/>
                    <w:ind w:left="254" w:right="44" w:hanging="254"/>
                    <w:jc w:val="both"/>
                    <w:rPr>
                      <w:rFonts w:ascii="Bookman Old Style" w:eastAsia="Times New Roman" w:hAnsi="Bookman Old Style" w:cs="Times New Roman"/>
                      <w:sz w:val="32"/>
                      <w:szCs w:val="32"/>
                      <w:lang w:eastAsia="en-IN"/>
                    </w:rPr>
                  </w:pPr>
                  <w:r w:rsidRPr="00DA2EEA">
                    <w:rPr>
                      <w:rFonts w:ascii="Bookman Old Style" w:eastAsia="Times New Roman" w:hAnsi="Bookman Old Style" w:cs="Times New Roman"/>
                      <w:b/>
                      <w:bCs/>
                      <w:sz w:val="24"/>
                      <w:szCs w:val="24"/>
                      <w:lang w:eastAsia="en-IN"/>
                    </w:rPr>
                    <w:t>Paragraphs 117–123 dealing with actuarial valuations</w:t>
                  </w:r>
                </w:p>
                <w:p w:rsidR="00331633" w:rsidRPr="00DA2EEA" w:rsidRDefault="00331633" w:rsidP="00DA2EEA">
                  <w:pPr>
                    <w:pStyle w:val="ListParagraph"/>
                    <w:numPr>
                      <w:ilvl w:val="0"/>
                      <w:numId w:val="6"/>
                    </w:numPr>
                    <w:spacing w:before="73" w:after="73" w:line="240" w:lineRule="auto"/>
                    <w:ind w:left="254" w:right="44" w:hanging="254"/>
                    <w:jc w:val="both"/>
                    <w:rPr>
                      <w:rFonts w:ascii="Bookman Old Style" w:eastAsia="Times New Roman" w:hAnsi="Bookman Old Style" w:cs="Times New Roman"/>
                      <w:sz w:val="32"/>
                      <w:szCs w:val="32"/>
                      <w:lang w:eastAsia="en-IN"/>
                    </w:rPr>
                  </w:pPr>
                  <w:r w:rsidRPr="00DA2EEA">
                    <w:rPr>
                      <w:rFonts w:ascii="Bookman Old Style" w:eastAsia="Times New Roman" w:hAnsi="Bookman Old Style" w:cs="Times New Roman"/>
                      <w:b/>
                      <w:bCs/>
                      <w:sz w:val="24"/>
                      <w:szCs w:val="24"/>
                      <w:lang w:eastAsia="en-IN"/>
                    </w:rPr>
                    <w:t>Paragraphs 129-131 in respect of other long-term benefits</w:t>
                  </w:r>
                </w:p>
                <w:p w:rsidR="00331633" w:rsidRPr="00331633" w:rsidRDefault="00331633" w:rsidP="00DA2EEA">
                  <w:pPr>
                    <w:spacing w:before="73" w:after="73" w:line="240" w:lineRule="auto"/>
                    <w:ind w:left="44" w:right="44"/>
                    <w:jc w:val="both"/>
                    <w:rPr>
                      <w:rFonts w:ascii="Bookman Old Style" w:eastAsia="Times New Roman" w:hAnsi="Bookman Old Style" w:cs="Times New Roman"/>
                      <w:sz w:val="32"/>
                      <w:szCs w:val="32"/>
                      <w:lang w:eastAsia="en-IN"/>
                    </w:rPr>
                  </w:pPr>
                  <w:r w:rsidRPr="00B63245">
                    <w:rPr>
                      <w:rFonts w:ascii="Bookman Old Style" w:eastAsia="Times New Roman" w:hAnsi="Bookman Old Style" w:cs="Times New Roman"/>
                      <w:b/>
                      <w:bCs/>
                      <w:i/>
                      <w:iCs/>
                      <w:sz w:val="24"/>
                      <w:szCs w:val="24"/>
                      <w:lang w:eastAsia="en-IN"/>
                    </w:rPr>
                    <w:t>Note: AS 15 (Revised 2005) issued by ICAI exempts Level II enterprises having less than 50 employees from the application of PUC method, i.e., these enterprises can use other rational method for accrual of liabilities.</w:t>
                  </w:r>
                </w:p>
                <w:p w:rsidR="00331633" w:rsidRPr="00331633" w:rsidRDefault="00331633" w:rsidP="00DA2EEA">
                  <w:pPr>
                    <w:spacing w:after="120" w:line="240" w:lineRule="auto"/>
                    <w:ind w:left="44" w:right="44"/>
                    <w:jc w:val="both"/>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i/>
                      <w:iCs/>
                      <w:sz w:val="24"/>
                      <w:szCs w:val="24"/>
                      <w:lang w:eastAsia="en-IN"/>
                    </w:rPr>
                    <w:t>However, the Companies (Accounting Standards) Rules, 2006 do not contain such exemption.</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73" w:after="73" w:line="240" w:lineRule="auto"/>
                    <w:ind w:left="44" w:right="44"/>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2</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19, Leases 22(c),</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DA2EEA">
                  <w:pPr>
                    <w:spacing w:before="73" w:after="73" w:line="240" w:lineRule="auto"/>
                    <w:ind w:left="44" w:right="44"/>
                    <w:jc w:val="both"/>
                    <w:rPr>
                      <w:rFonts w:ascii="Bookman Old Style" w:eastAsia="Times New Roman" w:hAnsi="Bookman Old Style"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Requirements relating to disclosures as given in paragraphs </w:t>
                  </w:r>
                  <w:r w:rsidRPr="00331633">
                    <w:rPr>
                      <w:rFonts w:ascii="Bookman Old Style" w:eastAsia="Times New Roman" w:hAnsi="Bookman Old Style" w:cs="Times New Roman"/>
                      <w:sz w:val="24"/>
                      <w:szCs w:val="24"/>
                      <w:lang w:eastAsia="en-IN"/>
                    </w:rPr>
                    <w:t>(e) and (f); 25(a), (b) and (e); 37(a) and (f); and 46(b) and (d) are not applicable to SMCs and level II/III enterprises.</w:t>
                  </w:r>
                </w:p>
                <w:p w:rsidR="00331633" w:rsidRPr="00331633" w:rsidRDefault="00331633" w:rsidP="00DA2EEA">
                  <w:pPr>
                    <w:spacing w:before="73" w:after="73" w:line="240" w:lineRule="auto"/>
                    <w:ind w:left="44" w:right="44"/>
                    <w:jc w:val="both"/>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Further to these relaxations, Level III enterprises are also not </w:t>
                  </w:r>
                  <w:r w:rsidRPr="00331633">
                    <w:rPr>
                      <w:rFonts w:ascii="Bookman Old Style" w:eastAsia="Times New Roman" w:hAnsi="Bookman Old Style" w:cs="Times New Roman"/>
                      <w:sz w:val="24"/>
                      <w:szCs w:val="24"/>
                      <w:lang w:eastAsia="en-IN"/>
                    </w:rPr>
                    <w:t>required to give Paragraphs 37(g) and 46(e) disclosures.</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73" w:after="73" w:line="240" w:lineRule="auto"/>
                    <w:ind w:left="44" w:right="44"/>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3</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20, Earnings Per Share</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Bookman Old Style" w:eastAsia="Times New Roman" w:hAnsi="Bookman Old Style"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Diluted earnings per share (both including and excluding extraordinary </w:t>
                  </w:r>
                  <w:r w:rsidRPr="00331633">
                    <w:rPr>
                      <w:rFonts w:ascii="Bookman Old Style" w:eastAsia="Times New Roman" w:hAnsi="Bookman Old Style" w:cs="Times New Roman"/>
                      <w:sz w:val="24"/>
                      <w:szCs w:val="24"/>
                      <w:lang w:eastAsia="en-IN"/>
                    </w:rPr>
                    <w:t xml:space="preserve">items) </w:t>
                  </w:r>
                  <w:proofErr w:type="gramStart"/>
                  <w:r w:rsidRPr="00331633">
                    <w:rPr>
                      <w:rFonts w:ascii="Bookman Old Style" w:eastAsia="Times New Roman" w:hAnsi="Bookman Old Style" w:cs="Times New Roman"/>
                      <w:sz w:val="24"/>
                      <w:szCs w:val="24"/>
                      <w:lang w:eastAsia="en-IN"/>
                    </w:rPr>
                    <w:t>is</w:t>
                  </w:r>
                  <w:proofErr w:type="gramEnd"/>
                  <w:r w:rsidRPr="00331633">
                    <w:rPr>
                      <w:rFonts w:ascii="Bookman Old Style" w:eastAsia="Times New Roman" w:hAnsi="Bookman Old Style" w:cs="Times New Roman"/>
                      <w:sz w:val="24"/>
                      <w:szCs w:val="24"/>
                      <w:lang w:eastAsia="en-IN"/>
                    </w:rPr>
                    <w:t xml:space="preserve"> not required to be disclosed for SMCs and level II/III non corporate enterprises.</w:t>
                  </w:r>
                </w:p>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Further, Information required by paragraph 48(ii) of AS 20 regarding </w:t>
                  </w:r>
                  <w:r w:rsidRPr="00331633">
                    <w:rPr>
                      <w:rFonts w:ascii="Bookman Old Style" w:eastAsia="Times New Roman" w:hAnsi="Bookman Old Style" w:cs="Times New Roman"/>
                      <w:sz w:val="24"/>
                      <w:szCs w:val="24"/>
                      <w:lang w:eastAsia="en-IN"/>
                    </w:rPr>
                    <w:br/>
                    <w:t>disclosures for parameters used in calculation of EPS, are also not required to be disclosed by Level III entities.</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73" w:after="73" w:line="240" w:lineRule="auto"/>
                    <w:ind w:left="44" w:right="44"/>
                    <w:jc w:val="center"/>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4</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28, Impairment of Assets</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Value in use can be based on reasonable estimate instead of computing </w:t>
                  </w:r>
                  <w:r w:rsidRPr="00331633">
                    <w:rPr>
                      <w:rFonts w:ascii="Bookman Old Style" w:eastAsia="Times New Roman" w:hAnsi="Bookman Old Style" w:cs="Times New Roman"/>
                      <w:sz w:val="24"/>
                      <w:szCs w:val="24"/>
                      <w:lang w:eastAsia="en-IN"/>
                    </w:rPr>
                    <w:t>it by present value technique. Further, information required by paragraph 121(g) relating to discount rate used, need not be disclosed.</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73" w:after="73" w:line="240" w:lineRule="auto"/>
                    <w:ind w:left="44" w:right="44"/>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5</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29, Provisions, Contingent Liabilities and Contingent Assets</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73" w:after="73" w:line="240" w:lineRule="auto"/>
                    <w:ind w:left="44" w:right="44"/>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Paragraphs 66 and 67 relating to disclosures for amount and description </w:t>
                  </w:r>
                  <w:r w:rsidRPr="00331633">
                    <w:rPr>
                      <w:rFonts w:ascii="Bookman Old Style" w:eastAsia="Times New Roman" w:hAnsi="Bookman Old Style" w:cs="Times New Roman"/>
                      <w:sz w:val="24"/>
                      <w:szCs w:val="24"/>
                      <w:lang w:eastAsia="en-IN"/>
                    </w:rPr>
                    <w:t>for each class of provision are not required to be disclosed.</w:t>
                  </w:r>
                </w:p>
              </w:tc>
            </w:tr>
            <w:tr w:rsidR="00331633" w:rsidRPr="00B63245" w:rsidTr="00331633">
              <w:tc>
                <w:tcPr>
                  <w:tcW w:w="381" w:type="pct"/>
                  <w:tcBorders>
                    <w:top w:val="outset" w:sz="6" w:space="0" w:color="auto"/>
                    <w:left w:val="outset" w:sz="6" w:space="0" w:color="auto"/>
                    <w:bottom w:val="outset" w:sz="6" w:space="0" w:color="auto"/>
                    <w:right w:val="outset" w:sz="8" w:space="0" w:color="111111"/>
                  </w:tcBorders>
                  <w:tcMar>
                    <w:top w:w="15" w:type="dxa"/>
                    <w:left w:w="15" w:type="dxa"/>
                    <w:bottom w:w="15" w:type="dxa"/>
                    <w:right w:w="15" w:type="dxa"/>
                  </w:tcMar>
                  <w:hideMark/>
                </w:tcPr>
                <w:p w:rsidR="00331633" w:rsidRPr="00331633" w:rsidRDefault="00331633" w:rsidP="00331633">
                  <w:pPr>
                    <w:spacing w:before="120" w:after="120" w:line="240" w:lineRule="auto"/>
                    <w:jc w:val="center"/>
                    <w:rPr>
                      <w:rFonts w:ascii="Times New Roman" w:eastAsia="Times New Roman" w:hAnsi="Times New Roman" w:cs="Times New Roman"/>
                      <w:sz w:val="32"/>
                      <w:szCs w:val="32"/>
                      <w:lang w:eastAsia="en-IN"/>
                    </w:rPr>
                  </w:pPr>
                  <w:r w:rsidRPr="00331633">
                    <w:rPr>
                      <w:rFonts w:ascii="Bookman Old Style" w:eastAsia="Times New Roman" w:hAnsi="Bookman Old Style" w:cs="Times New Roman"/>
                      <w:sz w:val="24"/>
                      <w:szCs w:val="24"/>
                      <w:lang w:eastAsia="en-IN"/>
                    </w:rPr>
                    <w:t>6</w:t>
                  </w:r>
                </w:p>
              </w:tc>
              <w:tc>
                <w:tcPr>
                  <w:tcW w:w="10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331633">
                  <w:pPr>
                    <w:spacing w:before="120" w:after="0" w:line="240" w:lineRule="auto"/>
                    <w:rPr>
                      <w:rFonts w:ascii="Times New Roman" w:eastAsia="Times New Roman" w:hAnsi="Times New Roman" w:cs="Times New Roman"/>
                      <w:sz w:val="32"/>
                      <w:szCs w:val="32"/>
                      <w:lang w:eastAsia="en-IN"/>
                    </w:rPr>
                  </w:pPr>
                  <w:r w:rsidRPr="00B63245">
                    <w:rPr>
                      <w:rFonts w:ascii="Bookman Old Style" w:eastAsia="Times New Roman" w:hAnsi="Bookman Old Style" w:cs="Times New Roman"/>
                      <w:b/>
                      <w:bCs/>
                      <w:sz w:val="24"/>
                      <w:szCs w:val="24"/>
                      <w:lang w:eastAsia="en-IN"/>
                    </w:rPr>
                    <w:t>AS 25, Interim Financial Reporting</w:t>
                  </w:r>
                </w:p>
              </w:tc>
              <w:tc>
                <w:tcPr>
                  <w:tcW w:w="35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31633" w:rsidRPr="00331633" w:rsidRDefault="00331633" w:rsidP="00DA2EEA">
                  <w:pPr>
                    <w:spacing w:before="120" w:after="120" w:line="240" w:lineRule="auto"/>
                    <w:jc w:val="both"/>
                    <w:rPr>
                      <w:rFonts w:ascii="Bookman Old Style" w:eastAsia="Times New Roman" w:hAnsi="Bookman Old Style" w:cs="Times New Roman"/>
                      <w:sz w:val="32"/>
                      <w:szCs w:val="32"/>
                      <w:lang w:eastAsia="en-IN"/>
                    </w:rPr>
                  </w:pPr>
                  <w:r w:rsidRPr="00331633">
                    <w:rPr>
                      <w:rFonts w:ascii="Bookman Old Style" w:eastAsia="Times New Roman" w:hAnsi="Bookman Old Style" w:cs="Times New Roman"/>
                      <w:sz w:val="24"/>
                      <w:szCs w:val="24"/>
                      <w:lang w:eastAsia="en-IN"/>
                    </w:rPr>
                    <w:t>•</w:t>
                  </w:r>
                  <w:r w:rsidRPr="00B63245">
                    <w:rPr>
                      <w:rFonts w:ascii="Bookman Old Style" w:eastAsia="Times New Roman" w:hAnsi="Bookman Old Style" w:cs="Times New Roman"/>
                      <w:sz w:val="24"/>
                      <w:szCs w:val="24"/>
                      <w:lang w:eastAsia="en-IN"/>
                    </w:rPr>
                    <w:t> </w:t>
                  </w:r>
                  <w:r w:rsidRPr="00B63245">
                    <w:rPr>
                      <w:rFonts w:ascii="Bookman Old Style" w:eastAsia="Times New Roman" w:hAnsi="Bookman Old Style" w:cs="Times New Roman"/>
                      <w:b/>
                      <w:bCs/>
                      <w:sz w:val="24"/>
                      <w:szCs w:val="24"/>
                      <w:lang w:eastAsia="en-IN"/>
                    </w:rPr>
                    <w:t xml:space="preserve">AS 25 </w:t>
                  </w:r>
                  <w:proofErr w:type="gramStart"/>
                  <w:r w:rsidRPr="00B63245">
                    <w:rPr>
                      <w:rFonts w:ascii="Bookman Old Style" w:eastAsia="Times New Roman" w:hAnsi="Bookman Old Style" w:cs="Times New Roman"/>
                      <w:b/>
                      <w:bCs/>
                      <w:sz w:val="24"/>
                      <w:szCs w:val="24"/>
                      <w:lang w:eastAsia="en-IN"/>
                    </w:rPr>
                    <w:t>is</w:t>
                  </w:r>
                  <w:proofErr w:type="gramEnd"/>
                  <w:r w:rsidRPr="00B63245">
                    <w:rPr>
                      <w:rFonts w:ascii="Bookman Old Style" w:eastAsia="Times New Roman" w:hAnsi="Bookman Old Style" w:cs="Times New Roman"/>
                      <w:b/>
                      <w:bCs/>
                      <w:sz w:val="24"/>
                      <w:szCs w:val="24"/>
                      <w:lang w:eastAsia="en-IN"/>
                    </w:rPr>
                    <w:t xml:space="preserve"> applicable only if a company/non-corporate entity elects </w:t>
                  </w:r>
                  <w:r w:rsidRPr="00331633">
                    <w:rPr>
                      <w:rFonts w:ascii="Bookman Old Style" w:eastAsia="Times New Roman" w:hAnsi="Bookman Old Style" w:cs="Times New Roman"/>
                      <w:sz w:val="24"/>
                      <w:szCs w:val="24"/>
                      <w:lang w:eastAsia="en-IN"/>
                    </w:rPr>
                    <w:t xml:space="preserve">to prepare and present an interim financial report. Only certain Non-SMCs/Level I entities are required by the concerned regulatory to present interim financial results, </w:t>
                  </w:r>
                  <w:proofErr w:type="spellStart"/>
                  <w:r w:rsidRPr="00331633">
                    <w:rPr>
                      <w:rFonts w:ascii="Bookman Old Style" w:eastAsia="Times New Roman" w:hAnsi="Bookman Old Style" w:cs="Times New Roman"/>
                      <w:sz w:val="24"/>
                      <w:szCs w:val="24"/>
                      <w:lang w:eastAsia="en-IN"/>
                    </w:rPr>
                    <w:t>eg</w:t>
                  </w:r>
                  <w:proofErr w:type="spellEnd"/>
                  <w:r w:rsidRPr="00331633">
                    <w:rPr>
                      <w:rFonts w:ascii="Bookman Old Style" w:eastAsia="Times New Roman" w:hAnsi="Bookman Old Style" w:cs="Times New Roman"/>
                      <w:sz w:val="24"/>
                      <w:szCs w:val="24"/>
                      <w:lang w:eastAsia="en-IN"/>
                    </w:rPr>
                    <w:t>, quarterly financial results required by the SEBI.</w:t>
                  </w:r>
                </w:p>
              </w:tc>
            </w:tr>
          </w:tbl>
          <w:p w:rsidR="00331633" w:rsidRPr="00331633" w:rsidRDefault="00331633" w:rsidP="004F6051">
            <w:pPr>
              <w:spacing w:after="0" w:line="158" w:lineRule="atLeast"/>
              <w:rPr>
                <w:rFonts w:ascii="Arial" w:eastAsia="Times New Roman" w:hAnsi="Arial" w:cs="Arial"/>
                <w:color w:val="000000"/>
                <w:lang w:eastAsia="en-IN"/>
              </w:rPr>
            </w:pPr>
            <w:r w:rsidRPr="00331633">
              <w:rPr>
                <w:rFonts w:ascii="Arial" w:eastAsia="Times New Roman" w:hAnsi="Arial" w:cs="Arial"/>
                <w:color w:val="000000"/>
                <w:lang w:eastAsia="en-IN"/>
              </w:rPr>
              <w:t> </w:t>
            </w:r>
          </w:p>
        </w:tc>
      </w:tr>
    </w:tbl>
    <w:p w:rsidR="005B78DA" w:rsidRPr="004F6051" w:rsidRDefault="00C46CB7" w:rsidP="004F6051">
      <w:pPr>
        <w:spacing w:after="0"/>
        <w:rPr>
          <w:rFonts w:ascii="Bookman Old Style" w:hAnsi="Bookman Old Style"/>
          <w:sz w:val="24"/>
          <w:szCs w:val="24"/>
        </w:rPr>
      </w:pPr>
    </w:p>
    <w:sectPr w:rsidR="005B78DA" w:rsidRPr="004F6051" w:rsidSect="003316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17088"/>
    <w:multiLevelType w:val="multilevel"/>
    <w:tmpl w:val="B3E4C55E"/>
    <w:lvl w:ilvl="0">
      <w:start w:val="2"/>
      <w:numFmt w:val="decimal"/>
      <w:lvlText w:val="%1."/>
      <w:lvlJc w:val="left"/>
      <w:pPr>
        <w:tabs>
          <w:tab w:val="num" w:pos="360"/>
        </w:tabs>
        <w:ind w:left="360" w:hanging="360"/>
      </w:pPr>
      <w:rPr>
        <w:rFonts w:hint="default"/>
        <w:b/>
        <w:bCs/>
        <w:sz w:val="24"/>
        <w:szCs w:val="2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nsid w:val="19521F80"/>
    <w:multiLevelType w:val="multilevel"/>
    <w:tmpl w:val="2F2041BC"/>
    <w:lvl w:ilvl="0">
      <w:start w:val="1"/>
      <w:numFmt w:val="decimal"/>
      <w:lvlText w:val="%1."/>
      <w:lvlJc w:val="left"/>
      <w:pPr>
        <w:tabs>
          <w:tab w:val="num" w:pos="720"/>
        </w:tabs>
        <w:ind w:left="720"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BA51F4"/>
    <w:multiLevelType w:val="hybridMultilevel"/>
    <w:tmpl w:val="DA9AC206"/>
    <w:lvl w:ilvl="0" w:tplc="EB70B0D8">
      <w:start w:val="1"/>
      <w:numFmt w:val="lowerRoman"/>
      <w:lvlText w:val="%1."/>
      <w:lvlJc w:val="left"/>
      <w:pPr>
        <w:ind w:left="360" w:hanging="720"/>
      </w:pPr>
      <w:rPr>
        <w:rFonts w:hint="default"/>
        <w:b/>
        <w:bCs/>
        <w:i/>
        <w:iCs/>
        <w:sz w:val="24"/>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3">
    <w:nsid w:val="4A5E3039"/>
    <w:multiLevelType w:val="hybridMultilevel"/>
    <w:tmpl w:val="8E4C85AA"/>
    <w:lvl w:ilvl="0" w:tplc="27868C30">
      <w:start w:val="1"/>
      <w:numFmt w:val="lowerRoman"/>
      <w:lvlText w:val="%1."/>
      <w:lvlJc w:val="left"/>
      <w:pPr>
        <w:ind w:left="720" w:hanging="720"/>
      </w:pPr>
      <w:rPr>
        <w:rFonts w:hint="default"/>
        <w:b/>
        <w:bCs/>
        <w:i/>
        <w:iCs/>
        <w:sz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4F4F5A69"/>
    <w:multiLevelType w:val="hybridMultilevel"/>
    <w:tmpl w:val="4FE2E19C"/>
    <w:lvl w:ilvl="0" w:tplc="E0CC831C">
      <w:numFmt w:val="bullet"/>
      <w:lvlText w:val="•"/>
      <w:lvlJc w:val="left"/>
      <w:pPr>
        <w:ind w:left="404" w:hanging="360"/>
      </w:pPr>
      <w:rPr>
        <w:rFonts w:ascii="Bookman Old Style" w:eastAsia="Times New Roman" w:hAnsi="Bookman Old Style" w:cs="Times New Roman" w:hint="default"/>
        <w:sz w:val="24"/>
      </w:rPr>
    </w:lvl>
    <w:lvl w:ilvl="1" w:tplc="40090003" w:tentative="1">
      <w:start w:val="1"/>
      <w:numFmt w:val="bullet"/>
      <w:lvlText w:val="o"/>
      <w:lvlJc w:val="left"/>
      <w:pPr>
        <w:ind w:left="1124" w:hanging="360"/>
      </w:pPr>
      <w:rPr>
        <w:rFonts w:ascii="Courier New" w:hAnsi="Courier New" w:cs="Courier New" w:hint="default"/>
      </w:rPr>
    </w:lvl>
    <w:lvl w:ilvl="2" w:tplc="40090005" w:tentative="1">
      <w:start w:val="1"/>
      <w:numFmt w:val="bullet"/>
      <w:lvlText w:val=""/>
      <w:lvlJc w:val="left"/>
      <w:pPr>
        <w:ind w:left="1844" w:hanging="360"/>
      </w:pPr>
      <w:rPr>
        <w:rFonts w:ascii="Wingdings" w:hAnsi="Wingdings" w:hint="default"/>
      </w:rPr>
    </w:lvl>
    <w:lvl w:ilvl="3" w:tplc="40090001" w:tentative="1">
      <w:start w:val="1"/>
      <w:numFmt w:val="bullet"/>
      <w:lvlText w:val=""/>
      <w:lvlJc w:val="left"/>
      <w:pPr>
        <w:ind w:left="2564" w:hanging="360"/>
      </w:pPr>
      <w:rPr>
        <w:rFonts w:ascii="Symbol" w:hAnsi="Symbol" w:hint="default"/>
      </w:rPr>
    </w:lvl>
    <w:lvl w:ilvl="4" w:tplc="40090003" w:tentative="1">
      <w:start w:val="1"/>
      <w:numFmt w:val="bullet"/>
      <w:lvlText w:val="o"/>
      <w:lvlJc w:val="left"/>
      <w:pPr>
        <w:ind w:left="3284" w:hanging="360"/>
      </w:pPr>
      <w:rPr>
        <w:rFonts w:ascii="Courier New" w:hAnsi="Courier New" w:cs="Courier New" w:hint="default"/>
      </w:rPr>
    </w:lvl>
    <w:lvl w:ilvl="5" w:tplc="40090005" w:tentative="1">
      <w:start w:val="1"/>
      <w:numFmt w:val="bullet"/>
      <w:lvlText w:val=""/>
      <w:lvlJc w:val="left"/>
      <w:pPr>
        <w:ind w:left="4004" w:hanging="360"/>
      </w:pPr>
      <w:rPr>
        <w:rFonts w:ascii="Wingdings" w:hAnsi="Wingdings" w:hint="default"/>
      </w:rPr>
    </w:lvl>
    <w:lvl w:ilvl="6" w:tplc="40090001" w:tentative="1">
      <w:start w:val="1"/>
      <w:numFmt w:val="bullet"/>
      <w:lvlText w:val=""/>
      <w:lvlJc w:val="left"/>
      <w:pPr>
        <w:ind w:left="4724" w:hanging="360"/>
      </w:pPr>
      <w:rPr>
        <w:rFonts w:ascii="Symbol" w:hAnsi="Symbol" w:hint="default"/>
      </w:rPr>
    </w:lvl>
    <w:lvl w:ilvl="7" w:tplc="40090003" w:tentative="1">
      <w:start w:val="1"/>
      <w:numFmt w:val="bullet"/>
      <w:lvlText w:val="o"/>
      <w:lvlJc w:val="left"/>
      <w:pPr>
        <w:ind w:left="5444" w:hanging="360"/>
      </w:pPr>
      <w:rPr>
        <w:rFonts w:ascii="Courier New" w:hAnsi="Courier New" w:cs="Courier New" w:hint="default"/>
      </w:rPr>
    </w:lvl>
    <w:lvl w:ilvl="8" w:tplc="40090005" w:tentative="1">
      <w:start w:val="1"/>
      <w:numFmt w:val="bullet"/>
      <w:lvlText w:val=""/>
      <w:lvlJc w:val="left"/>
      <w:pPr>
        <w:ind w:left="6164" w:hanging="360"/>
      </w:pPr>
      <w:rPr>
        <w:rFonts w:ascii="Wingdings" w:hAnsi="Wingdings" w:hint="default"/>
      </w:rPr>
    </w:lvl>
  </w:abstractNum>
  <w:abstractNum w:abstractNumId="5">
    <w:nsid w:val="6B735F81"/>
    <w:multiLevelType w:val="hybridMultilevel"/>
    <w:tmpl w:val="731C9852"/>
    <w:lvl w:ilvl="0" w:tplc="FAE6FC1C">
      <w:start w:val="1"/>
      <w:numFmt w:val="bullet"/>
      <w:lvlText w:val=""/>
      <w:lvlJc w:val="left"/>
      <w:pPr>
        <w:ind w:left="360" w:hanging="360"/>
      </w:pPr>
      <w:rPr>
        <w:rFonts w:ascii="Symbol" w:hAnsi="Symbol" w:hint="default"/>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704966C5"/>
    <w:multiLevelType w:val="hybridMultilevel"/>
    <w:tmpl w:val="744E4D78"/>
    <w:lvl w:ilvl="0" w:tplc="6D4448B8">
      <w:start w:val="1"/>
      <w:numFmt w:val="lowerRoman"/>
      <w:lvlText w:val="%1."/>
      <w:lvlJc w:val="left"/>
      <w:pPr>
        <w:ind w:left="720" w:hanging="720"/>
      </w:pPr>
      <w:rPr>
        <w:rFonts w:hint="default"/>
        <w:b/>
        <w:bCs/>
        <w:i/>
        <w:iCs/>
        <w:sz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633"/>
    <w:rsid w:val="00153BCC"/>
    <w:rsid w:val="00331633"/>
    <w:rsid w:val="004F6051"/>
    <w:rsid w:val="005577BB"/>
    <w:rsid w:val="005E2340"/>
    <w:rsid w:val="00616137"/>
    <w:rsid w:val="007C2DD1"/>
    <w:rsid w:val="00B63245"/>
    <w:rsid w:val="00C46CB7"/>
    <w:rsid w:val="00DA2EE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1633"/>
    <w:rPr>
      <w:color w:val="0000FF"/>
      <w:u w:val="single"/>
    </w:rPr>
  </w:style>
  <w:style w:type="paragraph" w:styleId="NormalWeb">
    <w:name w:val="Normal (Web)"/>
    <w:basedOn w:val="Normal"/>
    <w:uiPriority w:val="99"/>
    <w:unhideWhenUsed/>
    <w:rsid w:val="0033163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31633"/>
    <w:rPr>
      <w:b/>
      <w:bCs/>
    </w:rPr>
  </w:style>
  <w:style w:type="character" w:styleId="Emphasis">
    <w:name w:val="Emphasis"/>
    <w:basedOn w:val="DefaultParagraphFont"/>
    <w:uiPriority w:val="20"/>
    <w:qFormat/>
    <w:rsid w:val="00331633"/>
    <w:rPr>
      <w:i/>
      <w:iCs/>
    </w:rPr>
  </w:style>
  <w:style w:type="character" w:customStyle="1" w:styleId="apple-converted-space">
    <w:name w:val="apple-converted-space"/>
    <w:basedOn w:val="DefaultParagraphFont"/>
    <w:rsid w:val="00331633"/>
  </w:style>
  <w:style w:type="paragraph" w:styleId="BalloonText">
    <w:name w:val="Balloon Text"/>
    <w:basedOn w:val="Normal"/>
    <w:link w:val="BalloonTextChar"/>
    <w:uiPriority w:val="99"/>
    <w:semiHidden/>
    <w:unhideWhenUsed/>
    <w:rsid w:val="00331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633"/>
    <w:rPr>
      <w:rFonts w:ascii="Tahoma" w:hAnsi="Tahoma" w:cs="Tahoma"/>
      <w:sz w:val="16"/>
      <w:szCs w:val="16"/>
    </w:rPr>
  </w:style>
  <w:style w:type="table" w:styleId="TableGrid">
    <w:name w:val="Table Grid"/>
    <w:basedOn w:val="TableNormal"/>
    <w:uiPriority w:val="59"/>
    <w:rsid w:val="00B63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61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1633"/>
    <w:rPr>
      <w:color w:val="0000FF"/>
      <w:u w:val="single"/>
    </w:rPr>
  </w:style>
  <w:style w:type="paragraph" w:styleId="NormalWeb">
    <w:name w:val="Normal (Web)"/>
    <w:basedOn w:val="Normal"/>
    <w:uiPriority w:val="99"/>
    <w:unhideWhenUsed/>
    <w:rsid w:val="0033163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31633"/>
    <w:rPr>
      <w:b/>
      <w:bCs/>
    </w:rPr>
  </w:style>
  <w:style w:type="character" w:styleId="Emphasis">
    <w:name w:val="Emphasis"/>
    <w:basedOn w:val="DefaultParagraphFont"/>
    <w:uiPriority w:val="20"/>
    <w:qFormat/>
    <w:rsid w:val="00331633"/>
    <w:rPr>
      <w:i/>
      <w:iCs/>
    </w:rPr>
  </w:style>
  <w:style w:type="character" w:customStyle="1" w:styleId="apple-converted-space">
    <w:name w:val="apple-converted-space"/>
    <w:basedOn w:val="DefaultParagraphFont"/>
    <w:rsid w:val="00331633"/>
  </w:style>
  <w:style w:type="paragraph" w:styleId="BalloonText">
    <w:name w:val="Balloon Text"/>
    <w:basedOn w:val="Normal"/>
    <w:link w:val="BalloonTextChar"/>
    <w:uiPriority w:val="99"/>
    <w:semiHidden/>
    <w:unhideWhenUsed/>
    <w:rsid w:val="00331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633"/>
    <w:rPr>
      <w:rFonts w:ascii="Tahoma" w:hAnsi="Tahoma" w:cs="Tahoma"/>
      <w:sz w:val="16"/>
      <w:szCs w:val="16"/>
    </w:rPr>
  </w:style>
  <w:style w:type="table" w:styleId="TableGrid">
    <w:name w:val="Table Grid"/>
    <w:basedOn w:val="TableNormal"/>
    <w:uiPriority w:val="59"/>
    <w:rsid w:val="00B63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6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8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DEDFE-4A4A-4FF8-86F9-02D00CFD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4</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AnuSmita</dc:creator>
  <cp:lastModifiedBy>AnuSmita</cp:lastModifiedBy>
  <cp:revision>3</cp:revision>
  <dcterms:created xsi:type="dcterms:W3CDTF">2015-01-21T17:15:00Z</dcterms:created>
  <dcterms:modified xsi:type="dcterms:W3CDTF">2015-01-22T05:36:00Z</dcterms:modified>
</cp:coreProperties>
</file>