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0E7" w:rsidRPr="003558E0" w:rsidRDefault="008C2875" w:rsidP="003558E0">
      <w:pPr>
        <w:jc w:val="center"/>
        <w:rPr>
          <w:rFonts w:ascii="GE Inspira" w:hAnsi="GE Inspira"/>
          <w:b/>
          <w:sz w:val="28"/>
          <w:szCs w:val="28"/>
          <w:u w:val="single"/>
        </w:rPr>
      </w:pPr>
      <w:r w:rsidRPr="003558E0">
        <w:rPr>
          <w:rFonts w:ascii="GE Inspira" w:hAnsi="GE Inspira"/>
          <w:b/>
          <w:sz w:val="28"/>
          <w:szCs w:val="28"/>
          <w:u w:val="single"/>
        </w:rPr>
        <w:t>Working Capital Management</w:t>
      </w:r>
    </w:p>
    <w:p w:rsidR="008C2875" w:rsidRPr="003558E0" w:rsidRDefault="008C2875">
      <w:pPr>
        <w:rPr>
          <w:rFonts w:ascii="GE Inspira" w:hAnsi="GE Inspira"/>
          <w:sz w:val="24"/>
          <w:szCs w:val="24"/>
        </w:rPr>
      </w:pPr>
      <w:r w:rsidRPr="003558E0">
        <w:rPr>
          <w:rFonts w:ascii="GE Inspira" w:hAnsi="GE Inspira"/>
          <w:sz w:val="24"/>
          <w:szCs w:val="24"/>
        </w:rPr>
        <w:t xml:space="preserve">When we hear about “Working Capital” the first question that comes into our mind is what is “Working Capital” and </w:t>
      </w:r>
      <w:r w:rsidR="00E44553" w:rsidRPr="003558E0">
        <w:rPr>
          <w:rFonts w:ascii="GE Inspira" w:hAnsi="GE Inspira"/>
          <w:sz w:val="24"/>
          <w:szCs w:val="24"/>
        </w:rPr>
        <w:t>How to manage it?</w:t>
      </w:r>
    </w:p>
    <w:p w:rsidR="008C2875" w:rsidRPr="003558E0" w:rsidRDefault="008C2875">
      <w:pPr>
        <w:rPr>
          <w:rFonts w:ascii="GE Inspira" w:hAnsi="GE Inspira"/>
          <w:sz w:val="24"/>
          <w:szCs w:val="24"/>
        </w:rPr>
      </w:pPr>
      <w:r w:rsidRPr="003558E0">
        <w:rPr>
          <w:rFonts w:ascii="GE Inspira" w:hAnsi="GE Inspira"/>
          <w:sz w:val="24"/>
          <w:szCs w:val="24"/>
        </w:rPr>
        <w:t>So friends lets understand all the concepts related to Working Capital and its Management.</w:t>
      </w:r>
    </w:p>
    <w:p w:rsidR="008C2875" w:rsidRPr="003558E0" w:rsidRDefault="008C2875">
      <w:pPr>
        <w:rPr>
          <w:rFonts w:ascii="GE Inspira" w:hAnsi="GE Inspira"/>
          <w:sz w:val="24"/>
          <w:szCs w:val="24"/>
        </w:rPr>
      </w:pPr>
    </w:p>
    <w:p w:rsidR="008C2875" w:rsidRPr="003558E0" w:rsidRDefault="008C2875">
      <w:pPr>
        <w:rPr>
          <w:rFonts w:ascii="GE Inspira" w:hAnsi="GE Inspira"/>
          <w:b/>
          <w:sz w:val="24"/>
          <w:szCs w:val="24"/>
          <w:u w:val="single"/>
        </w:rPr>
      </w:pPr>
      <w:r w:rsidRPr="003558E0">
        <w:rPr>
          <w:rFonts w:ascii="GE Inspira" w:hAnsi="GE Inspira"/>
          <w:b/>
          <w:sz w:val="24"/>
          <w:szCs w:val="24"/>
          <w:u w:val="single"/>
        </w:rPr>
        <w:t xml:space="preserve">First </w:t>
      </w:r>
      <w:proofErr w:type="gramStart"/>
      <w:r w:rsidRPr="003558E0">
        <w:rPr>
          <w:rFonts w:ascii="GE Inspira" w:hAnsi="GE Inspira"/>
          <w:b/>
          <w:sz w:val="24"/>
          <w:szCs w:val="24"/>
          <w:u w:val="single"/>
        </w:rPr>
        <w:t>Question :</w:t>
      </w:r>
      <w:proofErr w:type="gramEnd"/>
    </w:p>
    <w:p w:rsidR="008C2875" w:rsidRPr="003558E0" w:rsidRDefault="008C2875">
      <w:pPr>
        <w:rPr>
          <w:rFonts w:ascii="GE Inspira" w:hAnsi="GE Inspira"/>
          <w:sz w:val="24"/>
          <w:szCs w:val="24"/>
        </w:rPr>
      </w:pPr>
      <w:r w:rsidRPr="003558E0">
        <w:rPr>
          <w:rFonts w:ascii="GE Inspira" w:hAnsi="GE Inspira"/>
          <w:sz w:val="24"/>
          <w:szCs w:val="24"/>
        </w:rPr>
        <w:t>What is Working Capital?</w:t>
      </w:r>
    </w:p>
    <w:p w:rsidR="00EE6746" w:rsidRPr="003558E0" w:rsidRDefault="008C2875">
      <w:pPr>
        <w:rPr>
          <w:rFonts w:ascii="GE Inspira" w:hAnsi="GE Inspira"/>
          <w:sz w:val="24"/>
          <w:szCs w:val="24"/>
        </w:rPr>
      </w:pPr>
      <w:proofErr w:type="spellStart"/>
      <w:proofErr w:type="gramStart"/>
      <w:r w:rsidRPr="003558E0">
        <w:rPr>
          <w:rFonts w:ascii="GE Inspira" w:hAnsi="GE Inspira"/>
          <w:sz w:val="24"/>
          <w:szCs w:val="24"/>
        </w:rPr>
        <w:t>Ans</w:t>
      </w:r>
      <w:proofErr w:type="spellEnd"/>
      <w:r w:rsidRPr="003558E0">
        <w:rPr>
          <w:rFonts w:ascii="GE Inspira" w:hAnsi="GE Inspira"/>
          <w:sz w:val="24"/>
          <w:szCs w:val="24"/>
        </w:rPr>
        <w:t xml:space="preserve"> :</w:t>
      </w:r>
      <w:proofErr w:type="gramEnd"/>
      <w:r w:rsidRPr="003558E0">
        <w:rPr>
          <w:rFonts w:ascii="GE Inspira" w:hAnsi="GE Inspira"/>
          <w:sz w:val="24"/>
          <w:szCs w:val="24"/>
        </w:rPr>
        <w:t xml:space="preserve"> - </w:t>
      </w:r>
    </w:p>
    <w:p w:rsidR="00EE6746" w:rsidRPr="003558E0" w:rsidRDefault="00EE6746" w:rsidP="00EE6746">
      <w:pPr>
        <w:autoSpaceDE w:val="0"/>
        <w:autoSpaceDN w:val="0"/>
        <w:adjustRightInd w:val="0"/>
        <w:spacing w:after="0" w:line="240" w:lineRule="auto"/>
        <w:rPr>
          <w:rFonts w:ascii="GE Inspira" w:hAnsi="GE Inspira" w:cs="Arial"/>
          <w:sz w:val="24"/>
          <w:szCs w:val="24"/>
        </w:rPr>
      </w:pPr>
      <w:r w:rsidRPr="003558E0">
        <w:rPr>
          <w:rFonts w:ascii="GE Inspira" w:hAnsi="GE Inspira" w:cs="Arial"/>
          <w:sz w:val="24"/>
          <w:szCs w:val="24"/>
        </w:rPr>
        <w:t xml:space="preserve">According to Park &amp; </w:t>
      </w:r>
      <w:proofErr w:type="spellStart"/>
      <w:r w:rsidRPr="003558E0">
        <w:rPr>
          <w:rFonts w:ascii="GE Inspira" w:hAnsi="GE Inspira" w:cs="Arial"/>
          <w:sz w:val="24"/>
          <w:szCs w:val="24"/>
        </w:rPr>
        <w:t>Gladson</w:t>
      </w:r>
      <w:proofErr w:type="spellEnd"/>
      <w:r w:rsidRPr="003558E0">
        <w:rPr>
          <w:rFonts w:ascii="GE Inspira" w:hAnsi="GE Inspira" w:cs="Arial"/>
          <w:sz w:val="24"/>
          <w:szCs w:val="24"/>
        </w:rPr>
        <w:t>-</w:t>
      </w:r>
    </w:p>
    <w:p w:rsidR="00EE6746" w:rsidRPr="003558E0" w:rsidRDefault="00EE6746" w:rsidP="00EE6746">
      <w:pPr>
        <w:autoSpaceDE w:val="0"/>
        <w:autoSpaceDN w:val="0"/>
        <w:adjustRightInd w:val="0"/>
        <w:spacing w:after="0" w:line="240" w:lineRule="auto"/>
        <w:rPr>
          <w:rFonts w:ascii="GE Inspira" w:hAnsi="GE Inspira" w:cs="Times New Roman"/>
          <w:sz w:val="24"/>
          <w:szCs w:val="24"/>
        </w:rPr>
      </w:pPr>
      <w:r w:rsidRPr="003558E0">
        <w:rPr>
          <w:rFonts w:ascii="GE Inspira" w:hAnsi="GE Inspira" w:cs="Times New Roman"/>
          <w:sz w:val="24"/>
          <w:szCs w:val="24"/>
        </w:rPr>
        <w:t>“The excess of current assets of a business (i.e. cash, accounts receivables, inventories) over current items owned to employees and others (such as salaries &amp; wages payable, accounts payable, taxes owned to government)”.</w:t>
      </w:r>
    </w:p>
    <w:p w:rsidR="00EE6746" w:rsidRPr="003558E0" w:rsidRDefault="00EE6746" w:rsidP="00EE6746">
      <w:pPr>
        <w:autoSpaceDE w:val="0"/>
        <w:autoSpaceDN w:val="0"/>
        <w:adjustRightInd w:val="0"/>
        <w:spacing w:after="0" w:line="240" w:lineRule="auto"/>
        <w:rPr>
          <w:rFonts w:ascii="GE Inspira" w:hAnsi="GE Inspira" w:cs="Times New Roman"/>
          <w:sz w:val="24"/>
          <w:szCs w:val="24"/>
        </w:rPr>
      </w:pPr>
    </w:p>
    <w:p w:rsidR="00EE6746" w:rsidRPr="003558E0" w:rsidRDefault="00EE6746" w:rsidP="00EE6746">
      <w:pPr>
        <w:autoSpaceDE w:val="0"/>
        <w:autoSpaceDN w:val="0"/>
        <w:adjustRightInd w:val="0"/>
        <w:spacing w:after="0" w:line="240" w:lineRule="auto"/>
        <w:rPr>
          <w:rFonts w:ascii="GE Inspira" w:hAnsi="GE Inspira" w:cs="Times New Roman"/>
          <w:sz w:val="24"/>
          <w:szCs w:val="24"/>
        </w:rPr>
      </w:pPr>
      <w:r w:rsidRPr="003558E0">
        <w:rPr>
          <w:rFonts w:ascii="GE Inspira" w:hAnsi="GE Inspira" w:cs="Times New Roman"/>
          <w:sz w:val="24"/>
          <w:szCs w:val="24"/>
        </w:rPr>
        <w:t xml:space="preserve">The concept of working capital was, first evolved by </w:t>
      </w:r>
      <w:r w:rsidRPr="003558E0">
        <w:rPr>
          <w:rFonts w:ascii="GE Inspira" w:hAnsi="GE Inspira" w:cs="TimesNewRomanPS-BoldMT"/>
          <w:b/>
          <w:bCs/>
          <w:sz w:val="24"/>
          <w:szCs w:val="24"/>
        </w:rPr>
        <w:t>Karl Marx</w:t>
      </w:r>
      <w:r w:rsidRPr="003558E0">
        <w:rPr>
          <w:rFonts w:ascii="GE Inspira" w:hAnsi="GE Inspira" w:cs="Times New Roman"/>
          <w:sz w:val="24"/>
          <w:szCs w:val="24"/>
        </w:rPr>
        <w:t xml:space="preserve">. Marx used the term ‘variable capital’ means outlays for payrolls advanced to workers before the completion of work. He compared this with ‘constant capital’ which according to him is nothing but ‘dead </w:t>
      </w:r>
      <w:proofErr w:type="spellStart"/>
      <w:r w:rsidRPr="003558E0">
        <w:rPr>
          <w:rFonts w:ascii="GE Inspira" w:hAnsi="GE Inspira" w:cs="Times New Roman"/>
          <w:sz w:val="24"/>
          <w:szCs w:val="24"/>
        </w:rPr>
        <w:t>labour</w:t>
      </w:r>
      <w:proofErr w:type="spellEnd"/>
      <w:r w:rsidRPr="003558E0">
        <w:rPr>
          <w:rFonts w:ascii="GE Inspira" w:hAnsi="GE Inspira" w:cs="Times New Roman"/>
          <w:sz w:val="24"/>
          <w:szCs w:val="24"/>
        </w:rPr>
        <w:t xml:space="preserve">’. This ‘variable capital’ is nothing wage fund which remains blocked in terms of financial management, in working- process along with other operating expenses until it is released through sale of finished goods. Although Marx did not mentioned that workers also gave credit to the firm by accepting periodical payment of wages which funded </w:t>
      </w:r>
      <w:proofErr w:type="spellStart"/>
      <w:r w:rsidRPr="003558E0">
        <w:rPr>
          <w:rFonts w:ascii="GE Inspira" w:hAnsi="GE Inspira" w:cs="Times New Roman"/>
          <w:sz w:val="24"/>
          <w:szCs w:val="24"/>
        </w:rPr>
        <w:t>aportioned</w:t>
      </w:r>
      <w:proofErr w:type="spellEnd"/>
      <w:r w:rsidRPr="003558E0">
        <w:rPr>
          <w:rFonts w:ascii="GE Inspira" w:hAnsi="GE Inspira" w:cs="Times New Roman"/>
          <w:sz w:val="24"/>
          <w:szCs w:val="24"/>
        </w:rPr>
        <w:t xml:space="preserve"> of W.I.P, the concept of working capital, as we understand today was</w:t>
      </w:r>
      <w:r w:rsidR="003558E0">
        <w:rPr>
          <w:rFonts w:ascii="GE Inspira" w:hAnsi="GE Inspira" w:cs="Times New Roman"/>
          <w:sz w:val="24"/>
          <w:szCs w:val="24"/>
        </w:rPr>
        <w:t xml:space="preserve"> </w:t>
      </w:r>
      <w:r w:rsidRPr="003558E0">
        <w:rPr>
          <w:rFonts w:ascii="GE Inspira" w:hAnsi="GE Inspira" w:cs="Times New Roman"/>
          <w:sz w:val="24"/>
          <w:szCs w:val="24"/>
        </w:rPr>
        <w:t>embedded in his ‘variable capital’.</w:t>
      </w:r>
    </w:p>
    <w:p w:rsidR="00EE6746" w:rsidRPr="003558E0" w:rsidRDefault="00EE6746" w:rsidP="00EE6746">
      <w:pPr>
        <w:autoSpaceDE w:val="0"/>
        <w:autoSpaceDN w:val="0"/>
        <w:adjustRightInd w:val="0"/>
        <w:spacing w:after="0" w:line="240" w:lineRule="auto"/>
        <w:rPr>
          <w:rFonts w:ascii="GE Inspira" w:hAnsi="GE Inspira" w:cs="Times New Roman"/>
          <w:sz w:val="24"/>
          <w:szCs w:val="24"/>
        </w:rPr>
      </w:pPr>
    </w:p>
    <w:p w:rsidR="003558E0" w:rsidRDefault="003558E0" w:rsidP="00EE6746">
      <w:pPr>
        <w:autoSpaceDE w:val="0"/>
        <w:autoSpaceDN w:val="0"/>
        <w:adjustRightInd w:val="0"/>
        <w:spacing w:after="0" w:line="240" w:lineRule="auto"/>
        <w:rPr>
          <w:rFonts w:ascii="GE Inspira" w:hAnsi="GE Inspira" w:cs="Times New Roman"/>
          <w:sz w:val="24"/>
          <w:szCs w:val="24"/>
        </w:rPr>
      </w:pPr>
    </w:p>
    <w:p w:rsidR="008C2875" w:rsidRPr="003558E0" w:rsidRDefault="00EE6746" w:rsidP="00EE6746">
      <w:pPr>
        <w:autoSpaceDE w:val="0"/>
        <w:autoSpaceDN w:val="0"/>
        <w:adjustRightInd w:val="0"/>
        <w:spacing w:after="0" w:line="240" w:lineRule="auto"/>
        <w:rPr>
          <w:rFonts w:ascii="GE Inspira" w:hAnsi="GE Inspira"/>
          <w:sz w:val="24"/>
          <w:szCs w:val="24"/>
        </w:rPr>
      </w:pPr>
      <w:r w:rsidRPr="003558E0">
        <w:rPr>
          <w:rFonts w:ascii="GE Inspira" w:hAnsi="GE Inspira" w:cs="Times New Roman"/>
          <w:sz w:val="24"/>
          <w:szCs w:val="24"/>
        </w:rPr>
        <w:t xml:space="preserve"> Broadly speaking t</w:t>
      </w:r>
      <w:r w:rsidR="008C2875" w:rsidRPr="003558E0">
        <w:rPr>
          <w:rFonts w:ascii="GE Inspira" w:hAnsi="GE Inspira"/>
          <w:sz w:val="24"/>
          <w:szCs w:val="24"/>
        </w:rPr>
        <w:t>here are two types of Working Capital</w:t>
      </w:r>
    </w:p>
    <w:p w:rsidR="008C2875" w:rsidRPr="003558E0" w:rsidRDefault="008C2875" w:rsidP="008C2875">
      <w:pPr>
        <w:pStyle w:val="ListParagraph"/>
        <w:numPr>
          <w:ilvl w:val="0"/>
          <w:numId w:val="1"/>
        </w:numPr>
        <w:rPr>
          <w:rFonts w:ascii="GE Inspira" w:hAnsi="GE Inspira"/>
          <w:sz w:val="24"/>
          <w:szCs w:val="24"/>
        </w:rPr>
      </w:pPr>
      <w:r w:rsidRPr="003558E0">
        <w:rPr>
          <w:rFonts w:ascii="GE Inspira" w:hAnsi="GE Inspira"/>
          <w:b/>
          <w:sz w:val="24"/>
          <w:szCs w:val="24"/>
          <w:u w:val="single"/>
        </w:rPr>
        <w:t xml:space="preserve">Gross Working </w:t>
      </w:r>
      <w:proofErr w:type="gramStart"/>
      <w:r w:rsidRPr="003558E0">
        <w:rPr>
          <w:rFonts w:ascii="GE Inspira" w:hAnsi="GE Inspira"/>
          <w:b/>
          <w:sz w:val="24"/>
          <w:szCs w:val="24"/>
          <w:u w:val="single"/>
        </w:rPr>
        <w:t>Capital</w:t>
      </w:r>
      <w:r w:rsidRPr="003558E0">
        <w:rPr>
          <w:rFonts w:ascii="GE Inspira" w:hAnsi="GE Inspira"/>
          <w:sz w:val="24"/>
          <w:szCs w:val="24"/>
        </w:rPr>
        <w:t xml:space="preserve"> :</w:t>
      </w:r>
      <w:proofErr w:type="gramEnd"/>
      <w:r w:rsidRPr="003558E0">
        <w:rPr>
          <w:rFonts w:ascii="GE Inspira" w:hAnsi="GE Inspira"/>
          <w:sz w:val="24"/>
          <w:szCs w:val="24"/>
        </w:rPr>
        <w:t xml:space="preserve"> </w:t>
      </w:r>
      <w:proofErr w:type="spellStart"/>
      <w:r w:rsidRPr="003558E0">
        <w:rPr>
          <w:rFonts w:ascii="GE Inspira" w:hAnsi="GE Inspira"/>
          <w:sz w:val="24"/>
          <w:szCs w:val="24"/>
        </w:rPr>
        <w:t>Its</w:t>
      </w:r>
      <w:proofErr w:type="spellEnd"/>
      <w:r w:rsidRPr="003558E0">
        <w:rPr>
          <w:rFonts w:ascii="GE Inspira" w:hAnsi="GE Inspira"/>
          <w:sz w:val="24"/>
          <w:szCs w:val="24"/>
        </w:rPr>
        <w:t xml:space="preserve"> is simply firm’s investment in Current Asset.</w:t>
      </w:r>
    </w:p>
    <w:p w:rsidR="008C2875" w:rsidRPr="003558E0" w:rsidRDefault="008C2875" w:rsidP="008C2875">
      <w:pPr>
        <w:pStyle w:val="ListParagraph"/>
        <w:numPr>
          <w:ilvl w:val="0"/>
          <w:numId w:val="1"/>
        </w:numPr>
        <w:rPr>
          <w:rFonts w:ascii="GE Inspira" w:hAnsi="GE Inspira"/>
          <w:sz w:val="24"/>
          <w:szCs w:val="24"/>
        </w:rPr>
      </w:pPr>
      <w:r w:rsidRPr="003558E0">
        <w:rPr>
          <w:rFonts w:ascii="GE Inspira" w:hAnsi="GE Inspira"/>
          <w:b/>
          <w:sz w:val="24"/>
          <w:szCs w:val="24"/>
          <w:u w:val="single"/>
        </w:rPr>
        <w:t xml:space="preserve">Net Working </w:t>
      </w:r>
      <w:proofErr w:type="gramStart"/>
      <w:r w:rsidRPr="003558E0">
        <w:rPr>
          <w:rFonts w:ascii="GE Inspira" w:hAnsi="GE Inspira"/>
          <w:b/>
          <w:sz w:val="24"/>
          <w:szCs w:val="24"/>
          <w:u w:val="single"/>
        </w:rPr>
        <w:t>Capital</w:t>
      </w:r>
      <w:r w:rsidRPr="003558E0">
        <w:rPr>
          <w:rFonts w:ascii="GE Inspira" w:hAnsi="GE Inspira"/>
          <w:sz w:val="24"/>
          <w:szCs w:val="24"/>
        </w:rPr>
        <w:t xml:space="preserve"> :</w:t>
      </w:r>
      <w:proofErr w:type="gramEnd"/>
      <w:r w:rsidRPr="003558E0">
        <w:rPr>
          <w:rFonts w:ascii="GE Inspira" w:hAnsi="GE Inspira"/>
          <w:sz w:val="24"/>
          <w:szCs w:val="24"/>
        </w:rPr>
        <w:t xml:space="preserve"> Which is defined as Current Asset minus Current Liabilities.</w:t>
      </w:r>
    </w:p>
    <w:p w:rsidR="008C2875" w:rsidRPr="003558E0" w:rsidRDefault="008C2875" w:rsidP="008C2875">
      <w:pPr>
        <w:rPr>
          <w:rFonts w:ascii="GE Inspira" w:hAnsi="GE Inspira"/>
          <w:sz w:val="24"/>
          <w:szCs w:val="24"/>
        </w:rPr>
      </w:pPr>
      <w:r w:rsidRPr="003558E0">
        <w:rPr>
          <w:rFonts w:ascii="GE Inspira" w:hAnsi="GE Inspira"/>
          <w:sz w:val="24"/>
          <w:szCs w:val="24"/>
        </w:rPr>
        <w:t xml:space="preserve">There is also another category of Working Capital which is known as </w:t>
      </w:r>
    </w:p>
    <w:p w:rsidR="008C2875" w:rsidRPr="003558E0" w:rsidRDefault="008C2875" w:rsidP="008C2875">
      <w:pPr>
        <w:pStyle w:val="ListParagraph"/>
        <w:numPr>
          <w:ilvl w:val="0"/>
          <w:numId w:val="1"/>
        </w:numPr>
        <w:rPr>
          <w:rFonts w:ascii="GE Inspira" w:hAnsi="GE Inspira"/>
          <w:sz w:val="24"/>
          <w:szCs w:val="24"/>
        </w:rPr>
      </w:pPr>
      <w:r w:rsidRPr="003558E0">
        <w:rPr>
          <w:rFonts w:ascii="GE Inspira" w:hAnsi="GE Inspira"/>
          <w:b/>
          <w:sz w:val="24"/>
          <w:szCs w:val="24"/>
          <w:u w:val="single"/>
        </w:rPr>
        <w:t>Net Operating Working Capital (NOWC</w:t>
      </w:r>
      <w:proofErr w:type="gramStart"/>
      <w:r w:rsidRPr="003558E0">
        <w:rPr>
          <w:rFonts w:ascii="GE Inspira" w:hAnsi="GE Inspira"/>
          <w:b/>
          <w:sz w:val="24"/>
          <w:szCs w:val="24"/>
          <w:u w:val="single"/>
        </w:rPr>
        <w:t>)</w:t>
      </w:r>
      <w:r w:rsidRPr="003558E0">
        <w:rPr>
          <w:rFonts w:ascii="GE Inspira" w:hAnsi="GE Inspira"/>
          <w:sz w:val="24"/>
          <w:szCs w:val="24"/>
        </w:rPr>
        <w:t xml:space="preserve"> :</w:t>
      </w:r>
      <w:proofErr w:type="gramEnd"/>
      <w:r w:rsidRPr="003558E0">
        <w:rPr>
          <w:rFonts w:ascii="GE Inspira" w:hAnsi="GE Inspira"/>
          <w:sz w:val="24"/>
          <w:szCs w:val="24"/>
        </w:rPr>
        <w:t xml:space="preserve">  It is defined as Current Operating Asset minus Current Operating liabilities. </w:t>
      </w:r>
    </w:p>
    <w:p w:rsidR="008C2875" w:rsidRPr="003558E0" w:rsidRDefault="008C2875" w:rsidP="008C2875">
      <w:pPr>
        <w:pStyle w:val="ListParagraph"/>
        <w:rPr>
          <w:rFonts w:ascii="GE Inspira" w:hAnsi="GE Inspira"/>
          <w:sz w:val="24"/>
          <w:szCs w:val="24"/>
        </w:rPr>
      </w:pPr>
      <w:r w:rsidRPr="003558E0">
        <w:rPr>
          <w:rFonts w:ascii="GE Inspira" w:hAnsi="GE Inspira"/>
          <w:sz w:val="24"/>
          <w:szCs w:val="24"/>
        </w:rPr>
        <w:t xml:space="preserve">It is equal to </w:t>
      </w:r>
      <w:proofErr w:type="spellStart"/>
      <w:r w:rsidRPr="003558E0">
        <w:rPr>
          <w:rFonts w:ascii="GE Inspira" w:hAnsi="GE Inspira"/>
          <w:sz w:val="24"/>
          <w:szCs w:val="24"/>
        </w:rPr>
        <w:t>Cash+Accounts</w:t>
      </w:r>
      <w:proofErr w:type="spellEnd"/>
      <w:r w:rsidRPr="003558E0">
        <w:rPr>
          <w:rFonts w:ascii="GE Inspira" w:hAnsi="GE Inspira"/>
          <w:sz w:val="24"/>
          <w:szCs w:val="24"/>
        </w:rPr>
        <w:t xml:space="preserve"> </w:t>
      </w:r>
      <w:proofErr w:type="spellStart"/>
      <w:r w:rsidRPr="003558E0">
        <w:rPr>
          <w:rFonts w:ascii="GE Inspira" w:hAnsi="GE Inspira"/>
          <w:sz w:val="24"/>
          <w:szCs w:val="24"/>
        </w:rPr>
        <w:t>Receivables+Inventories</w:t>
      </w:r>
      <w:proofErr w:type="spellEnd"/>
      <w:r w:rsidRPr="003558E0">
        <w:rPr>
          <w:rFonts w:ascii="GE Inspira" w:hAnsi="GE Inspira"/>
          <w:sz w:val="24"/>
          <w:szCs w:val="24"/>
        </w:rPr>
        <w:t>-Accounts Payables-Accruals.</w:t>
      </w:r>
    </w:p>
    <w:p w:rsidR="008C2875" w:rsidRPr="003558E0" w:rsidRDefault="008C2875" w:rsidP="008C2875">
      <w:pPr>
        <w:pStyle w:val="ListParagraph"/>
        <w:rPr>
          <w:rFonts w:ascii="GE Inspira" w:hAnsi="GE Inspira"/>
          <w:sz w:val="24"/>
          <w:szCs w:val="24"/>
        </w:rPr>
      </w:pPr>
    </w:p>
    <w:p w:rsidR="008C2875" w:rsidRPr="003558E0" w:rsidRDefault="008C2875" w:rsidP="008C2875">
      <w:pPr>
        <w:pStyle w:val="ListParagraph"/>
        <w:rPr>
          <w:rFonts w:ascii="GE Inspira" w:hAnsi="GE Inspira"/>
          <w:sz w:val="24"/>
          <w:szCs w:val="24"/>
        </w:rPr>
      </w:pPr>
      <w:r w:rsidRPr="003558E0">
        <w:rPr>
          <w:rFonts w:ascii="GE Inspira" w:hAnsi="GE Inspira"/>
          <w:sz w:val="24"/>
          <w:szCs w:val="24"/>
        </w:rPr>
        <w:t>But since we have heard about only two categories of working capital mentioned above, hence we will continue our discussion for those two categories.</w:t>
      </w:r>
    </w:p>
    <w:p w:rsidR="008C2875" w:rsidRDefault="008C2875" w:rsidP="008C2875">
      <w:pPr>
        <w:rPr>
          <w:rFonts w:ascii="GE Inspira" w:hAnsi="GE Inspira"/>
          <w:sz w:val="24"/>
          <w:szCs w:val="24"/>
        </w:rPr>
      </w:pPr>
    </w:p>
    <w:p w:rsidR="003558E0" w:rsidRDefault="003558E0" w:rsidP="008C2875">
      <w:pPr>
        <w:rPr>
          <w:rFonts w:ascii="GE Inspira" w:hAnsi="GE Inspira"/>
          <w:sz w:val="24"/>
          <w:szCs w:val="24"/>
        </w:rPr>
      </w:pPr>
    </w:p>
    <w:p w:rsidR="003558E0" w:rsidRDefault="003558E0" w:rsidP="008C2875">
      <w:pPr>
        <w:rPr>
          <w:rFonts w:ascii="GE Inspira" w:hAnsi="GE Inspira"/>
          <w:sz w:val="24"/>
          <w:szCs w:val="24"/>
        </w:rPr>
      </w:pPr>
    </w:p>
    <w:p w:rsidR="003558E0" w:rsidRDefault="003558E0" w:rsidP="008C2875">
      <w:pPr>
        <w:rPr>
          <w:rFonts w:ascii="GE Inspira" w:hAnsi="GE Inspira"/>
          <w:sz w:val="24"/>
          <w:szCs w:val="24"/>
        </w:rPr>
      </w:pPr>
    </w:p>
    <w:p w:rsidR="003558E0" w:rsidRPr="003558E0" w:rsidRDefault="003558E0" w:rsidP="008C2875">
      <w:pPr>
        <w:rPr>
          <w:rFonts w:ascii="GE Inspira" w:hAnsi="GE Inspira"/>
          <w:sz w:val="24"/>
          <w:szCs w:val="24"/>
        </w:rPr>
      </w:pPr>
    </w:p>
    <w:p w:rsidR="008C2875" w:rsidRPr="003558E0" w:rsidRDefault="008C2875" w:rsidP="008C2875">
      <w:pPr>
        <w:rPr>
          <w:rFonts w:ascii="GE Inspira" w:hAnsi="GE Inspira"/>
          <w:b/>
          <w:sz w:val="24"/>
          <w:szCs w:val="24"/>
          <w:u w:val="single"/>
        </w:rPr>
      </w:pPr>
      <w:r w:rsidRPr="003558E0">
        <w:rPr>
          <w:rFonts w:ascii="GE Inspira" w:hAnsi="GE Inspira"/>
          <w:b/>
          <w:sz w:val="24"/>
          <w:szCs w:val="24"/>
          <w:u w:val="single"/>
        </w:rPr>
        <w:lastRenderedPageBreak/>
        <w:t xml:space="preserve">Second </w:t>
      </w:r>
      <w:proofErr w:type="gramStart"/>
      <w:r w:rsidRPr="003558E0">
        <w:rPr>
          <w:rFonts w:ascii="GE Inspira" w:hAnsi="GE Inspira"/>
          <w:b/>
          <w:sz w:val="24"/>
          <w:szCs w:val="24"/>
          <w:u w:val="single"/>
        </w:rPr>
        <w:t>Question :</w:t>
      </w:r>
      <w:proofErr w:type="gramEnd"/>
    </w:p>
    <w:p w:rsidR="008C2875" w:rsidRPr="003558E0" w:rsidRDefault="00E44553" w:rsidP="008C2875">
      <w:pPr>
        <w:rPr>
          <w:rFonts w:ascii="GE Inspira" w:hAnsi="GE Inspira"/>
          <w:sz w:val="24"/>
          <w:szCs w:val="24"/>
        </w:rPr>
      </w:pPr>
      <w:r w:rsidRPr="003558E0">
        <w:rPr>
          <w:rFonts w:ascii="GE Inspira" w:hAnsi="GE Inspira"/>
          <w:sz w:val="24"/>
          <w:szCs w:val="24"/>
        </w:rPr>
        <w:t xml:space="preserve">How to </w:t>
      </w:r>
      <w:proofErr w:type="gramStart"/>
      <w:r w:rsidRPr="003558E0">
        <w:rPr>
          <w:rFonts w:ascii="GE Inspira" w:hAnsi="GE Inspira"/>
          <w:sz w:val="24"/>
          <w:szCs w:val="24"/>
        </w:rPr>
        <w:t>Manage</w:t>
      </w:r>
      <w:proofErr w:type="gramEnd"/>
      <w:r w:rsidRPr="003558E0">
        <w:rPr>
          <w:rFonts w:ascii="GE Inspira" w:hAnsi="GE Inspira"/>
          <w:sz w:val="24"/>
          <w:szCs w:val="24"/>
        </w:rPr>
        <w:t xml:space="preserve"> it?</w:t>
      </w:r>
    </w:p>
    <w:p w:rsidR="001F1667" w:rsidRPr="003558E0" w:rsidRDefault="00EE6746" w:rsidP="001F1667">
      <w:pPr>
        <w:rPr>
          <w:rFonts w:ascii="GE Inspira" w:hAnsi="GE Inspira"/>
          <w:sz w:val="24"/>
          <w:szCs w:val="24"/>
        </w:rPr>
      </w:pPr>
      <w:proofErr w:type="spellStart"/>
      <w:proofErr w:type="gramStart"/>
      <w:r w:rsidRPr="003558E0">
        <w:rPr>
          <w:rFonts w:ascii="GE Inspira" w:hAnsi="GE Inspira"/>
          <w:sz w:val="24"/>
          <w:szCs w:val="24"/>
        </w:rPr>
        <w:t>Ans</w:t>
      </w:r>
      <w:proofErr w:type="spellEnd"/>
      <w:r w:rsidRPr="003558E0">
        <w:rPr>
          <w:rFonts w:ascii="GE Inspira" w:hAnsi="GE Inspira"/>
          <w:sz w:val="24"/>
          <w:szCs w:val="24"/>
        </w:rPr>
        <w:t xml:space="preserve"> :-</w:t>
      </w:r>
      <w:proofErr w:type="gramEnd"/>
      <w:r w:rsidRPr="003558E0">
        <w:rPr>
          <w:rFonts w:ascii="GE Inspira" w:hAnsi="GE Inspira"/>
          <w:sz w:val="24"/>
          <w:szCs w:val="24"/>
        </w:rPr>
        <w:t xml:space="preserve"> </w:t>
      </w:r>
      <w:r w:rsidR="003558E0" w:rsidRPr="003558E0">
        <w:rPr>
          <w:rFonts w:ascii="GE Inspira" w:hAnsi="GE Inspira"/>
          <w:sz w:val="24"/>
          <w:szCs w:val="24"/>
        </w:rPr>
        <w:t>For giving the question of this answer we will analyze three questions listed below :</w:t>
      </w:r>
      <w:r w:rsidR="001F1667" w:rsidRPr="003558E0">
        <w:rPr>
          <w:rFonts w:ascii="GE Inspira" w:hAnsi="GE Inspira"/>
          <w:sz w:val="24"/>
          <w:szCs w:val="24"/>
        </w:rPr>
        <w:t xml:space="preserve"> </w:t>
      </w:r>
    </w:p>
    <w:p w:rsidR="00E44553" w:rsidRPr="003558E0" w:rsidRDefault="00E44553" w:rsidP="001F1667">
      <w:pPr>
        <w:pStyle w:val="ListParagraph"/>
        <w:numPr>
          <w:ilvl w:val="0"/>
          <w:numId w:val="2"/>
        </w:numPr>
        <w:rPr>
          <w:rFonts w:ascii="GE Inspira" w:hAnsi="GE Inspira"/>
          <w:sz w:val="24"/>
          <w:szCs w:val="24"/>
        </w:rPr>
      </w:pPr>
      <w:r w:rsidRPr="003558E0">
        <w:rPr>
          <w:rFonts w:ascii="GE Inspira" w:hAnsi="GE Inspira"/>
          <w:sz w:val="24"/>
          <w:szCs w:val="24"/>
        </w:rPr>
        <w:t>What is the appropriate amount of working capital</w:t>
      </w:r>
    </w:p>
    <w:p w:rsidR="00E44553" w:rsidRPr="003558E0" w:rsidRDefault="00E44553" w:rsidP="00E44553">
      <w:pPr>
        <w:pStyle w:val="ListParagraph"/>
        <w:numPr>
          <w:ilvl w:val="0"/>
          <w:numId w:val="2"/>
        </w:numPr>
        <w:rPr>
          <w:rFonts w:ascii="GE Inspira" w:hAnsi="GE Inspira"/>
          <w:sz w:val="24"/>
          <w:szCs w:val="24"/>
        </w:rPr>
      </w:pPr>
      <w:r w:rsidRPr="003558E0">
        <w:rPr>
          <w:rFonts w:ascii="GE Inspira" w:hAnsi="GE Inspira"/>
          <w:sz w:val="24"/>
          <w:szCs w:val="24"/>
        </w:rPr>
        <w:t>How to finance the working capital.</w:t>
      </w:r>
    </w:p>
    <w:p w:rsidR="00E44553" w:rsidRDefault="003558E0" w:rsidP="00E44553">
      <w:pPr>
        <w:pStyle w:val="ListParagraph"/>
        <w:numPr>
          <w:ilvl w:val="0"/>
          <w:numId w:val="2"/>
        </w:numPr>
        <w:rPr>
          <w:rFonts w:ascii="GE Inspira" w:hAnsi="GE Inspira"/>
          <w:sz w:val="24"/>
          <w:szCs w:val="24"/>
        </w:rPr>
      </w:pPr>
      <w:r w:rsidRPr="003558E0">
        <w:rPr>
          <w:rFonts w:ascii="GE Inspira" w:hAnsi="GE Inspira"/>
          <w:sz w:val="24"/>
          <w:szCs w:val="24"/>
        </w:rPr>
        <w:t>How to manage the Components of Working capital i.e. Current Asset and Current Liabilities</w:t>
      </w:r>
    </w:p>
    <w:p w:rsidR="003558E0" w:rsidRPr="003558E0" w:rsidRDefault="003558E0" w:rsidP="003558E0">
      <w:pPr>
        <w:rPr>
          <w:rFonts w:ascii="GE Inspira" w:hAnsi="GE Inspira"/>
          <w:sz w:val="24"/>
          <w:szCs w:val="24"/>
        </w:rPr>
      </w:pPr>
    </w:p>
    <w:p w:rsidR="00E44553" w:rsidRPr="003558E0" w:rsidRDefault="00E44553" w:rsidP="00E44553">
      <w:pPr>
        <w:rPr>
          <w:rFonts w:ascii="GE Inspira" w:hAnsi="GE Inspira"/>
          <w:sz w:val="24"/>
          <w:szCs w:val="24"/>
        </w:rPr>
      </w:pPr>
      <w:r w:rsidRPr="003558E0">
        <w:rPr>
          <w:rFonts w:ascii="GE Inspira" w:hAnsi="GE Inspira"/>
          <w:sz w:val="24"/>
          <w:szCs w:val="24"/>
        </w:rPr>
        <w:t xml:space="preserve">Now, let’s go into some </w:t>
      </w:r>
      <w:proofErr w:type="gramStart"/>
      <w:r w:rsidRPr="003558E0">
        <w:rPr>
          <w:rFonts w:ascii="GE Inspira" w:hAnsi="GE Inspira"/>
          <w:sz w:val="24"/>
          <w:szCs w:val="24"/>
        </w:rPr>
        <w:t>depth :</w:t>
      </w:r>
      <w:proofErr w:type="gramEnd"/>
    </w:p>
    <w:p w:rsidR="00E44553" w:rsidRPr="003558E0" w:rsidRDefault="00E44553" w:rsidP="00E44553">
      <w:pPr>
        <w:pStyle w:val="ListParagraph"/>
        <w:numPr>
          <w:ilvl w:val="0"/>
          <w:numId w:val="3"/>
        </w:numPr>
        <w:rPr>
          <w:rFonts w:ascii="GE Inspira" w:hAnsi="GE Inspira"/>
          <w:sz w:val="24"/>
          <w:szCs w:val="24"/>
        </w:rPr>
      </w:pPr>
      <w:r w:rsidRPr="003558E0">
        <w:rPr>
          <w:rFonts w:ascii="GE Inspira" w:hAnsi="GE Inspira"/>
          <w:sz w:val="24"/>
          <w:szCs w:val="24"/>
        </w:rPr>
        <w:t>Generally in a manufacturing unit current asset exceeds one half of total asset.</w:t>
      </w:r>
    </w:p>
    <w:p w:rsidR="00E44553" w:rsidRPr="003558E0" w:rsidRDefault="00E44553" w:rsidP="00E44553">
      <w:pPr>
        <w:pStyle w:val="ListParagraph"/>
        <w:numPr>
          <w:ilvl w:val="0"/>
          <w:numId w:val="3"/>
        </w:numPr>
        <w:rPr>
          <w:rFonts w:ascii="GE Inspira" w:hAnsi="GE Inspira"/>
          <w:sz w:val="24"/>
          <w:szCs w:val="24"/>
        </w:rPr>
      </w:pPr>
      <w:r w:rsidRPr="003558E0">
        <w:rPr>
          <w:rFonts w:ascii="GE Inspira" w:hAnsi="GE Inspira"/>
          <w:sz w:val="24"/>
          <w:szCs w:val="24"/>
        </w:rPr>
        <w:t>And Current liabilities are the main source of finance for small and medium firms.</w:t>
      </w:r>
    </w:p>
    <w:p w:rsidR="00E44553" w:rsidRDefault="00E44553" w:rsidP="00E44553">
      <w:pPr>
        <w:pStyle w:val="ListParagraph"/>
        <w:numPr>
          <w:ilvl w:val="0"/>
          <w:numId w:val="3"/>
        </w:numPr>
        <w:rPr>
          <w:rFonts w:ascii="GE Inspira" w:hAnsi="GE Inspira"/>
          <w:sz w:val="24"/>
          <w:szCs w:val="24"/>
        </w:rPr>
      </w:pPr>
      <w:r w:rsidRPr="003558E0">
        <w:rPr>
          <w:rFonts w:ascii="GE Inspira" w:hAnsi="GE Inspira"/>
          <w:sz w:val="24"/>
          <w:szCs w:val="24"/>
        </w:rPr>
        <w:t xml:space="preserve">Therefore working capital management </w:t>
      </w:r>
      <w:proofErr w:type="gramStart"/>
      <w:r w:rsidRPr="003558E0">
        <w:rPr>
          <w:rFonts w:ascii="GE Inspira" w:hAnsi="GE Inspira"/>
          <w:sz w:val="24"/>
          <w:szCs w:val="24"/>
        </w:rPr>
        <w:t>affect</w:t>
      </w:r>
      <w:proofErr w:type="gramEnd"/>
      <w:r w:rsidRPr="003558E0">
        <w:rPr>
          <w:rFonts w:ascii="GE Inspira" w:hAnsi="GE Inspira"/>
          <w:sz w:val="24"/>
          <w:szCs w:val="24"/>
        </w:rPr>
        <w:t xml:space="preserve"> company’s risk, return and price.</w:t>
      </w:r>
    </w:p>
    <w:p w:rsidR="003558E0" w:rsidRPr="003558E0" w:rsidRDefault="003558E0" w:rsidP="003558E0">
      <w:pPr>
        <w:rPr>
          <w:rFonts w:ascii="GE Inspira" w:hAnsi="GE Inspira"/>
          <w:sz w:val="24"/>
          <w:szCs w:val="24"/>
        </w:rPr>
      </w:pPr>
    </w:p>
    <w:p w:rsidR="00E44553" w:rsidRPr="003558E0" w:rsidRDefault="00E44553" w:rsidP="00E44553">
      <w:pPr>
        <w:rPr>
          <w:rFonts w:ascii="GE Inspira" w:hAnsi="GE Inspira"/>
          <w:sz w:val="24"/>
          <w:szCs w:val="24"/>
        </w:rPr>
      </w:pPr>
      <w:r w:rsidRPr="003558E0">
        <w:rPr>
          <w:rFonts w:ascii="GE Inspira" w:hAnsi="GE Inspira"/>
          <w:sz w:val="24"/>
          <w:szCs w:val="24"/>
        </w:rPr>
        <w:t xml:space="preserve">Now look at the below </w:t>
      </w:r>
      <w:proofErr w:type="gramStart"/>
      <w:r w:rsidRPr="003558E0">
        <w:rPr>
          <w:rFonts w:ascii="GE Inspira" w:hAnsi="GE Inspira"/>
          <w:sz w:val="24"/>
          <w:szCs w:val="24"/>
        </w:rPr>
        <w:t>diagram :</w:t>
      </w:r>
      <w:proofErr w:type="gramEnd"/>
    </w:p>
    <w:p w:rsidR="00E44553" w:rsidRDefault="00E44553" w:rsidP="00E44553">
      <w:pPr>
        <w:rPr>
          <w:rFonts w:ascii="GE Inspira" w:hAnsi="GE Inspira"/>
          <w:sz w:val="24"/>
          <w:szCs w:val="24"/>
        </w:rPr>
      </w:pPr>
      <w:r w:rsidRPr="003558E0">
        <w:rPr>
          <w:rFonts w:ascii="GE Inspira" w:hAnsi="GE Inspira"/>
          <w:sz w:val="24"/>
          <w:szCs w:val="24"/>
        </w:rPr>
        <w:drawing>
          <wp:inline distT="0" distB="0" distL="0" distR="0">
            <wp:extent cx="5943600" cy="3280410"/>
            <wp:effectExtent l="19050" t="0" r="0" b="0"/>
            <wp:docPr id="3"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39138" cy="4602163"/>
                      <a:chOff x="552450" y="1911350"/>
                      <a:chExt cx="8339138" cy="4602163"/>
                    </a:xfrm>
                  </a:grpSpPr>
                  <a:sp>
                    <a:nvSpPr>
                      <a:cNvPr id="9218" name="Rectangle 2"/>
                      <a:cNvSpPr>
                        <a:spLocks noChangeArrowheads="1"/>
                      </a:cNvSpPr>
                    </a:nvSpPr>
                    <a:spPr bwMode="auto">
                      <a:xfrm>
                        <a:off x="1454150" y="1911350"/>
                        <a:ext cx="6235700" cy="520700"/>
                      </a:xfrm>
                      <a:prstGeom prst="rect">
                        <a:avLst/>
                      </a:prstGeom>
                      <a:pattFill prst="narVert">
                        <a:fgClr>
                          <a:schemeClr val="accent1"/>
                        </a:fgClr>
                        <a:bgClr>
                          <a:schemeClr val="bg1"/>
                        </a:bgClr>
                      </a:pattFill>
                      <a:ln w="12700">
                        <a:solidFill>
                          <a:srgbClr val="000000"/>
                        </a:solidFill>
                        <a:miter lim="800000"/>
                        <a:headEnd/>
                        <a:tailEnd/>
                      </a:ln>
                      <a:effectLst/>
                    </a:spPr>
                    <a:txSp>
                      <a:txBody>
                        <a:bodyPr wrap="none" anchor="ct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9221" name="Rectangle 5"/>
                      <a:cNvSpPr>
                        <a:spLocks noGrp="1" noChangeArrowheads="1"/>
                      </a:cNvSpPr>
                    </a:nvSpPr>
                    <a:spPr bwMode="auto">
                      <a:xfrm>
                        <a:off x="552450" y="2609850"/>
                        <a:ext cx="3314700" cy="3619500"/>
                      </a:xfrm>
                      <a:prstGeom prst="rect">
                        <a:avLst/>
                      </a:prstGeom>
                      <a:noFill/>
                      <a:ln w="38100" cap="flat" cmpd="dbl">
                        <a:solidFill>
                          <a:schemeClr val="tx1"/>
                        </a:solidFill>
                        <a:miter lim="800000"/>
                        <a:headEnd/>
                        <a:tailEnd/>
                      </a:ln>
                      <a:effectLst/>
                    </a:spPr>
                    <a:txSp>
                      <a:txBody>
                        <a:bodyPr vert="horz" wrap="square" lIns="90488" tIns="44450" rIns="90488" bIns="44450" numCol="1" anchor="t" anchorCtr="0" compatLnSpc="1">
                          <a:prstTxWarp prst="textNoShape">
                            <a:avLst/>
                          </a:prstTxWarp>
                        </a:bodyPr>
                        <a:lstStyle>
                          <a:lvl1pPr marL="342900" indent="-342900" algn="l" rtl="0" eaLnBrk="0" fontAlgn="base" hangingPunct="0">
                            <a:spcBef>
                              <a:spcPct val="20000"/>
                            </a:spcBef>
                            <a:spcAft>
                              <a:spcPct val="20000"/>
                            </a:spcAft>
                            <a:buClr>
                              <a:schemeClr val="tx2"/>
                            </a:buClr>
                            <a:buSzPct val="75000"/>
                            <a:buFont typeface="Monotype Sorts" pitchFamily="2" charset="2"/>
                            <a:buChar char="u"/>
                            <a:defRPr sz="2800" b="1">
                              <a:solidFill>
                                <a:srgbClr val="000000"/>
                              </a:solidFill>
                              <a:latin typeface="+mn-lt"/>
                              <a:ea typeface="+mn-ea"/>
                              <a:cs typeface="+mn-cs"/>
                            </a:defRPr>
                          </a:lvl1pPr>
                          <a:lvl2pPr marL="742950" indent="-285750" algn="l" rtl="0" eaLnBrk="0" fontAlgn="base" hangingPunct="0">
                            <a:spcBef>
                              <a:spcPct val="20000"/>
                            </a:spcBef>
                            <a:spcAft>
                              <a:spcPct val="20000"/>
                            </a:spcAft>
                            <a:buClr>
                              <a:schemeClr val="tx2"/>
                            </a:buClr>
                            <a:buSzPct val="75000"/>
                            <a:buFont typeface="Monotype Sorts" pitchFamily="2" charset="2"/>
                            <a:buChar char="u"/>
                            <a:defRPr sz="2400" b="1">
                              <a:solidFill>
                                <a:srgbClr val="000000"/>
                              </a:solidFill>
                              <a:latin typeface="+mn-lt"/>
                            </a:defRPr>
                          </a:lvl2pPr>
                          <a:lvl3pPr marL="1143000" indent="-228600" algn="l" rtl="0" eaLnBrk="0" fontAlgn="base" hangingPunct="0">
                            <a:spcBef>
                              <a:spcPct val="20000"/>
                            </a:spcBef>
                            <a:spcAft>
                              <a:spcPct val="20000"/>
                            </a:spcAft>
                            <a:buClr>
                              <a:schemeClr val="tx2"/>
                            </a:buClr>
                            <a:buSzPct val="65000"/>
                            <a:buFont typeface="Monotype Sorts" pitchFamily="2" charset="2"/>
                            <a:buChar char="u"/>
                            <a:defRPr sz="2000" b="1">
                              <a:solidFill>
                                <a:srgbClr val="000000"/>
                              </a:solidFill>
                              <a:latin typeface="+mn-lt"/>
                            </a:defRPr>
                          </a:lvl3pPr>
                          <a:lvl4pPr marL="1600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4pPr>
                          <a:lvl5pPr marL="20574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5pPr>
                          <a:lvl6pPr marL="25146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6pPr>
                          <a:lvl7pPr marL="29718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7pPr>
                          <a:lvl8pPr marL="34290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8pPr>
                          <a:lvl9pPr marL="3886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9pPr>
                        </a:lstStyle>
                        <a:p>
                          <a:pPr marL="292100" indent="-292100" algn="ctr">
                            <a:spcBef>
                              <a:spcPct val="10000"/>
                            </a:spcBef>
                            <a:spcAft>
                              <a:spcPct val="10000"/>
                            </a:spcAft>
                            <a:buFont typeface="Monotype Sorts" pitchFamily="2" charset="2"/>
                            <a:buNone/>
                          </a:pPr>
                          <a:r>
                            <a:rPr lang="en-US" sz="2400" u="sng" dirty="0"/>
                            <a:t>Assumptions</a:t>
                          </a:r>
                        </a:p>
                        <a:p>
                          <a:pPr marL="292100" indent="-292100">
                            <a:spcBef>
                              <a:spcPct val="10000"/>
                            </a:spcBef>
                            <a:spcAft>
                              <a:spcPct val="10000"/>
                            </a:spcAft>
                          </a:pPr>
                          <a:r>
                            <a:rPr lang="en-US" sz="2400" dirty="0"/>
                            <a:t>50,000 maximum units of production</a:t>
                          </a:r>
                        </a:p>
                        <a:p>
                          <a:pPr marL="292100" indent="-292100">
                            <a:spcBef>
                              <a:spcPct val="10000"/>
                            </a:spcBef>
                            <a:spcAft>
                              <a:spcPct val="10000"/>
                            </a:spcAft>
                          </a:pPr>
                          <a:r>
                            <a:rPr lang="en-US" sz="2400" dirty="0"/>
                            <a:t>Continuous production</a:t>
                          </a:r>
                        </a:p>
                        <a:p>
                          <a:pPr marL="292100" indent="-292100">
                            <a:spcBef>
                              <a:spcPct val="10000"/>
                            </a:spcBef>
                            <a:spcAft>
                              <a:spcPct val="10000"/>
                            </a:spcAft>
                          </a:pPr>
                          <a:r>
                            <a:rPr lang="en-US" sz="2400" dirty="0"/>
                            <a:t>Three different policies for current asset levels are possible</a:t>
                          </a:r>
                        </a:p>
                      </a:txBody>
                      <a:useSpRect/>
                    </a:txSp>
                  </a:sp>
                  <a:sp>
                    <a:nvSpPr>
                      <a:cNvPr id="9223" name="Rectangle 7"/>
                      <a:cNvSpPr>
                        <a:spLocks noGrp="1" noChangeArrowheads="1"/>
                      </a:cNvSpPr>
                    </a:nvSpPr>
                    <a:spPr bwMode="auto">
                      <a:xfrm>
                        <a:off x="685800" y="1981200"/>
                        <a:ext cx="7772400" cy="533400"/>
                      </a:xfrm>
                      <a:prstGeom prst="rect">
                        <a:avLst/>
                      </a:prstGeom>
                      <a:noFill/>
                      <a:ln w="12700">
                        <a:noFill/>
                        <a:miter lim="800000"/>
                        <a:headEnd/>
                        <a:tailEnd/>
                      </a:ln>
                      <a:effectLst/>
                    </a:spPr>
                    <a:txSp>
                      <a:txBody>
                        <a:bodyPr vert="horz" wrap="square" lIns="90488" tIns="44450" rIns="90488" bIns="44450" numCol="1" anchor="t" anchorCtr="0" compatLnSpc="1">
                          <a:prstTxWarp prst="textNoShape">
                            <a:avLst/>
                          </a:prstTxWarp>
                        </a:bodyPr>
                        <a:lstStyle>
                          <a:lvl1pPr marL="342900" indent="-342900" algn="l" rtl="0" eaLnBrk="0" fontAlgn="base" hangingPunct="0">
                            <a:spcBef>
                              <a:spcPct val="20000"/>
                            </a:spcBef>
                            <a:spcAft>
                              <a:spcPct val="20000"/>
                            </a:spcAft>
                            <a:buClr>
                              <a:schemeClr val="tx2"/>
                            </a:buClr>
                            <a:buSzPct val="75000"/>
                            <a:buFont typeface="Monotype Sorts" pitchFamily="2" charset="2"/>
                            <a:buChar char="u"/>
                            <a:defRPr sz="2800" b="1">
                              <a:solidFill>
                                <a:srgbClr val="000000"/>
                              </a:solidFill>
                              <a:latin typeface="+mn-lt"/>
                              <a:ea typeface="+mn-ea"/>
                              <a:cs typeface="+mn-cs"/>
                            </a:defRPr>
                          </a:lvl1pPr>
                          <a:lvl2pPr marL="742950" indent="-285750" algn="l" rtl="0" eaLnBrk="0" fontAlgn="base" hangingPunct="0">
                            <a:spcBef>
                              <a:spcPct val="20000"/>
                            </a:spcBef>
                            <a:spcAft>
                              <a:spcPct val="20000"/>
                            </a:spcAft>
                            <a:buClr>
                              <a:schemeClr val="tx2"/>
                            </a:buClr>
                            <a:buSzPct val="75000"/>
                            <a:buFont typeface="Monotype Sorts" pitchFamily="2" charset="2"/>
                            <a:buChar char="u"/>
                            <a:defRPr sz="2400" b="1">
                              <a:solidFill>
                                <a:srgbClr val="000000"/>
                              </a:solidFill>
                              <a:latin typeface="+mn-lt"/>
                            </a:defRPr>
                          </a:lvl2pPr>
                          <a:lvl3pPr marL="1143000" indent="-228600" algn="l" rtl="0" eaLnBrk="0" fontAlgn="base" hangingPunct="0">
                            <a:spcBef>
                              <a:spcPct val="20000"/>
                            </a:spcBef>
                            <a:spcAft>
                              <a:spcPct val="20000"/>
                            </a:spcAft>
                            <a:buClr>
                              <a:schemeClr val="tx2"/>
                            </a:buClr>
                            <a:buSzPct val="65000"/>
                            <a:buFont typeface="Monotype Sorts" pitchFamily="2" charset="2"/>
                            <a:buChar char="u"/>
                            <a:defRPr sz="2000" b="1">
                              <a:solidFill>
                                <a:srgbClr val="000000"/>
                              </a:solidFill>
                              <a:latin typeface="+mn-lt"/>
                            </a:defRPr>
                          </a:lvl3pPr>
                          <a:lvl4pPr marL="1600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4pPr>
                          <a:lvl5pPr marL="20574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5pPr>
                          <a:lvl6pPr marL="25146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6pPr>
                          <a:lvl7pPr marL="29718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7pPr>
                          <a:lvl8pPr marL="34290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8pPr>
                          <a:lvl9pPr marL="3886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9pPr>
                        </a:lstStyle>
                        <a:p>
                          <a:pPr algn="ctr">
                            <a:spcBef>
                              <a:spcPct val="10000"/>
                            </a:spcBef>
                            <a:spcAft>
                              <a:spcPct val="10000"/>
                            </a:spcAft>
                            <a:buFont typeface="Monotype Sorts" pitchFamily="2" charset="2"/>
                            <a:buNone/>
                          </a:pPr>
                          <a:r>
                            <a:rPr lang="en-US" sz="2400"/>
                            <a:t>Optimal Amount (Level) of Current Assets</a:t>
                          </a:r>
                        </a:p>
                      </a:txBody>
                      <a:useSpRect/>
                    </a:txSp>
                  </a:sp>
                  <a:sp>
                    <a:nvSpPr>
                      <a:cNvPr id="9224" name="Line 8"/>
                      <a:cNvSpPr>
                        <a:spLocks noChangeShapeType="1"/>
                      </a:cNvSpPr>
                    </a:nvSpPr>
                    <a:spPr bwMode="auto">
                      <a:xfrm flipH="1">
                        <a:off x="4495800" y="5867400"/>
                        <a:ext cx="4114800" cy="0"/>
                      </a:xfrm>
                      <a:prstGeom prst="line">
                        <a:avLst/>
                      </a:prstGeom>
                      <a:noFill/>
                      <a:ln w="50800">
                        <a:solidFill>
                          <a:srgbClr val="000000"/>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9225" name="Line 9"/>
                      <a:cNvSpPr>
                        <a:spLocks noChangeShapeType="1"/>
                      </a:cNvSpPr>
                    </a:nvSpPr>
                    <a:spPr bwMode="auto">
                      <a:xfrm>
                        <a:off x="4495800" y="2667000"/>
                        <a:ext cx="0" cy="3200400"/>
                      </a:xfrm>
                      <a:prstGeom prst="line">
                        <a:avLst/>
                      </a:prstGeom>
                      <a:noFill/>
                      <a:ln w="50800">
                        <a:solidFill>
                          <a:srgbClr val="000000"/>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9226" name="Arc 10"/>
                      <a:cNvSpPr>
                        <a:spLocks/>
                      </a:cNvSpPr>
                    </a:nvSpPr>
                    <a:spPr bwMode="auto">
                      <a:xfrm rot="10800000">
                        <a:off x="4495800" y="3810000"/>
                        <a:ext cx="3962400" cy="1981200"/>
                      </a:xfrm>
                      <a:custGeom>
                        <a:avLst/>
                        <a:gdLst>
                          <a:gd name="G0" fmla="+- 0 0 0"/>
                          <a:gd name="G1" fmla="+- 0 0 0"/>
                          <a:gd name="G2" fmla="+- 21600 0 0"/>
                          <a:gd name="T0" fmla="*/ 21600 w 21600"/>
                          <a:gd name="T1" fmla="*/ 0 h 21600"/>
                          <a:gd name="T2" fmla="*/ 0 w 21600"/>
                          <a:gd name="T3" fmla="*/ 21600 h 21600"/>
                          <a:gd name="T4" fmla="*/ 0 w 21600"/>
                          <a:gd name="T5" fmla="*/ 0 h 21600"/>
                        </a:gdLst>
                        <a:ahLst/>
                        <a:cxnLst>
                          <a:cxn ang="0">
                            <a:pos x="T0" y="T1"/>
                          </a:cxn>
                          <a:cxn ang="0">
                            <a:pos x="T2" y="T3"/>
                          </a:cxn>
                          <a:cxn ang="0">
                            <a:pos x="T4" y="T5"/>
                          </a:cxn>
                        </a:cxnLst>
                        <a:rect l="0" t="0" r="r" b="b"/>
                        <a:pathLst>
                          <a:path w="21600" h="21600" fill="none" extrusionOk="0">
                            <a:moveTo>
                              <a:pt x="21600" y="0"/>
                            </a:moveTo>
                            <a:cubicBezTo>
                              <a:pt x="21600" y="11929"/>
                              <a:pt x="11929" y="21599"/>
                              <a:pt x="0" y="21600"/>
                            </a:cubicBezTo>
                          </a:path>
                          <a:path w="21600" h="21600" stroke="0" extrusionOk="0">
                            <a:moveTo>
                              <a:pt x="21600" y="0"/>
                            </a:moveTo>
                            <a:cubicBezTo>
                              <a:pt x="21600" y="11929"/>
                              <a:pt x="11929" y="21599"/>
                              <a:pt x="0" y="21600"/>
                            </a:cubicBezTo>
                            <a:lnTo>
                              <a:pt x="0" y="0"/>
                            </a:lnTo>
                            <a:close/>
                          </a:path>
                        </a:pathLst>
                      </a:custGeom>
                      <a:noFill/>
                      <a:ln w="50800" cap="rnd">
                        <a:solidFill>
                          <a:srgbClr val="42B200"/>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9227" name="Arc 11"/>
                      <a:cNvSpPr>
                        <a:spLocks/>
                      </a:cNvSpPr>
                    </a:nvSpPr>
                    <a:spPr bwMode="auto">
                      <a:xfrm rot="10800000">
                        <a:off x="4495800" y="3352800"/>
                        <a:ext cx="3962400" cy="2438400"/>
                      </a:xfrm>
                      <a:custGeom>
                        <a:avLst/>
                        <a:gdLst>
                          <a:gd name="G0" fmla="+- 0 0 0"/>
                          <a:gd name="G1" fmla="+- 0 0 0"/>
                          <a:gd name="G2" fmla="+- 21600 0 0"/>
                          <a:gd name="T0" fmla="*/ 21600 w 21600"/>
                          <a:gd name="T1" fmla="*/ 0 h 21600"/>
                          <a:gd name="T2" fmla="*/ 0 w 21600"/>
                          <a:gd name="T3" fmla="*/ 21600 h 21600"/>
                          <a:gd name="T4" fmla="*/ 0 w 21600"/>
                          <a:gd name="T5" fmla="*/ 0 h 21600"/>
                        </a:gdLst>
                        <a:ahLst/>
                        <a:cxnLst>
                          <a:cxn ang="0">
                            <a:pos x="T0" y="T1"/>
                          </a:cxn>
                          <a:cxn ang="0">
                            <a:pos x="T2" y="T3"/>
                          </a:cxn>
                          <a:cxn ang="0">
                            <a:pos x="T4" y="T5"/>
                          </a:cxn>
                        </a:cxnLst>
                        <a:rect l="0" t="0" r="r" b="b"/>
                        <a:pathLst>
                          <a:path w="21600" h="21600" fill="none" extrusionOk="0">
                            <a:moveTo>
                              <a:pt x="21600" y="0"/>
                            </a:moveTo>
                            <a:cubicBezTo>
                              <a:pt x="21600" y="11929"/>
                              <a:pt x="11929" y="21599"/>
                              <a:pt x="0" y="21600"/>
                            </a:cubicBezTo>
                          </a:path>
                          <a:path w="21600" h="21600" stroke="0" extrusionOk="0">
                            <a:moveTo>
                              <a:pt x="21600" y="0"/>
                            </a:moveTo>
                            <a:cubicBezTo>
                              <a:pt x="21600" y="11929"/>
                              <a:pt x="11929" y="21599"/>
                              <a:pt x="0" y="21600"/>
                            </a:cubicBezTo>
                            <a:lnTo>
                              <a:pt x="0" y="0"/>
                            </a:lnTo>
                            <a:close/>
                          </a:path>
                        </a:pathLst>
                      </a:custGeom>
                      <a:noFill/>
                      <a:ln w="50800" cap="rnd">
                        <a:solidFill>
                          <a:schemeClr val="hlink"/>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9228" name="Arc 12"/>
                      <a:cNvSpPr>
                        <a:spLocks/>
                      </a:cNvSpPr>
                    </a:nvSpPr>
                    <a:spPr bwMode="auto">
                      <a:xfrm rot="10800000">
                        <a:off x="4495800" y="4267200"/>
                        <a:ext cx="3962400" cy="1524000"/>
                      </a:xfrm>
                      <a:custGeom>
                        <a:avLst/>
                        <a:gdLst>
                          <a:gd name="G0" fmla="+- 0 0 0"/>
                          <a:gd name="G1" fmla="+- 0 0 0"/>
                          <a:gd name="G2" fmla="+- 21600 0 0"/>
                          <a:gd name="T0" fmla="*/ 21600 w 21600"/>
                          <a:gd name="T1" fmla="*/ 0 h 21600"/>
                          <a:gd name="T2" fmla="*/ 0 w 21600"/>
                          <a:gd name="T3" fmla="*/ 21600 h 21600"/>
                          <a:gd name="T4" fmla="*/ 0 w 21600"/>
                          <a:gd name="T5" fmla="*/ 0 h 21600"/>
                        </a:gdLst>
                        <a:ahLst/>
                        <a:cxnLst>
                          <a:cxn ang="0">
                            <a:pos x="T0" y="T1"/>
                          </a:cxn>
                          <a:cxn ang="0">
                            <a:pos x="T2" y="T3"/>
                          </a:cxn>
                          <a:cxn ang="0">
                            <a:pos x="T4" y="T5"/>
                          </a:cxn>
                        </a:cxnLst>
                        <a:rect l="0" t="0" r="r" b="b"/>
                        <a:pathLst>
                          <a:path w="21600" h="21600" fill="none" extrusionOk="0">
                            <a:moveTo>
                              <a:pt x="21600" y="0"/>
                            </a:moveTo>
                            <a:cubicBezTo>
                              <a:pt x="21600" y="11929"/>
                              <a:pt x="11929" y="21599"/>
                              <a:pt x="0" y="21600"/>
                            </a:cubicBezTo>
                          </a:path>
                          <a:path w="21600" h="21600" stroke="0" extrusionOk="0">
                            <a:moveTo>
                              <a:pt x="21600" y="0"/>
                            </a:moveTo>
                            <a:cubicBezTo>
                              <a:pt x="21600" y="11929"/>
                              <a:pt x="11929" y="21599"/>
                              <a:pt x="0" y="21600"/>
                            </a:cubicBezTo>
                            <a:lnTo>
                              <a:pt x="0" y="0"/>
                            </a:lnTo>
                            <a:close/>
                          </a:path>
                        </a:pathLst>
                      </a:custGeom>
                      <a:noFill/>
                      <a:ln w="50800" cap="rnd">
                        <a:solidFill>
                          <a:schemeClr val="tx2"/>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9229" name="Rectangle 13"/>
                      <a:cNvSpPr>
                        <a:spLocks noChangeArrowheads="1"/>
                      </a:cNvSpPr>
                    </a:nvSpPr>
                    <a:spPr bwMode="auto">
                      <a:xfrm>
                        <a:off x="4329113" y="5921375"/>
                        <a:ext cx="45624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0                       25,000                      50,000</a:t>
                          </a:r>
                        </a:p>
                      </a:txBody>
                      <a:useSpRect/>
                    </a:txSp>
                  </a:sp>
                  <a:sp>
                    <a:nvSpPr>
                      <a:cNvPr id="9230" name="Rectangle 14"/>
                      <a:cNvSpPr>
                        <a:spLocks noChangeArrowheads="1"/>
                      </a:cNvSpPr>
                    </a:nvSpPr>
                    <a:spPr bwMode="auto">
                      <a:xfrm>
                        <a:off x="5395913" y="6149975"/>
                        <a:ext cx="18827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OUTPUT (units)</a:t>
                          </a:r>
                        </a:p>
                      </a:txBody>
                      <a:useSpRect/>
                    </a:txSp>
                  </a:sp>
                  <a:sp>
                    <a:nvSpPr>
                      <a:cNvPr id="9231" name="Rectangle 15"/>
                      <a:cNvSpPr>
                        <a:spLocks noChangeArrowheads="1"/>
                      </a:cNvSpPr>
                    </a:nvSpPr>
                    <a:spPr bwMode="auto">
                      <a:xfrm rot="16200000">
                        <a:off x="3180556" y="4021932"/>
                        <a:ext cx="20859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ASSET LEVEL ($)</a:t>
                          </a:r>
                        </a:p>
                      </a:txBody>
                      <a:useSpRect/>
                    </a:txSp>
                  </a:sp>
                  <a:sp>
                    <a:nvSpPr>
                      <a:cNvPr id="9232" name="Rectangle 16"/>
                      <a:cNvSpPr>
                        <a:spLocks noChangeArrowheads="1"/>
                      </a:cNvSpPr>
                    </a:nvSpPr>
                    <a:spPr bwMode="auto">
                      <a:xfrm>
                        <a:off x="5548313" y="4778375"/>
                        <a:ext cx="18192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Current Assets</a:t>
                          </a:r>
                        </a:p>
                      </a:txBody>
                      <a:useSpRect/>
                    </a:txSp>
                  </a:sp>
                  <a:sp>
                    <a:nvSpPr>
                      <a:cNvPr id="9233" name="Line 17"/>
                      <a:cNvSpPr>
                        <a:spLocks noChangeShapeType="1"/>
                      </a:cNvSpPr>
                    </a:nvSpPr>
                    <a:spPr bwMode="auto">
                      <a:xfrm flipV="1">
                        <a:off x="6019800" y="3962400"/>
                        <a:ext cx="0" cy="8382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9234" name="Line 18"/>
                      <a:cNvSpPr>
                        <a:spLocks noChangeShapeType="1"/>
                      </a:cNvSpPr>
                    </a:nvSpPr>
                    <a:spPr bwMode="auto">
                      <a:xfrm flipV="1">
                        <a:off x="6324600" y="4191000"/>
                        <a:ext cx="0" cy="6096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9235" name="Line 19"/>
                      <a:cNvSpPr>
                        <a:spLocks noChangeShapeType="1"/>
                      </a:cNvSpPr>
                    </a:nvSpPr>
                    <a:spPr bwMode="auto">
                      <a:xfrm flipV="1">
                        <a:off x="6629400" y="4495800"/>
                        <a:ext cx="0" cy="3048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9236" name="Line 20"/>
                      <a:cNvSpPr>
                        <a:spLocks noChangeShapeType="1"/>
                      </a:cNvSpPr>
                    </a:nvSpPr>
                    <a:spPr bwMode="auto">
                      <a:xfrm>
                        <a:off x="6019800" y="5105400"/>
                        <a:ext cx="0" cy="7620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9237" name="Line 21"/>
                      <a:cNvSpPr>
                        <a:spLocks noChangeShapeType="1"/>
                      </a:cNvSpPr>
                    </a:nvSpPr>
                    <a:spPr bwMode="auto">
                      <a:xfrm>
                        <a:off x="6324600" y="5105400"/>
                        <a:ext cx="0" cy="7620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9238" name="Line 22"/>
                      <a:cNvSpPr>
                        <a:spLocks noChangeShapeType="1"/>
                      </a:cNvSpPr>
                    </a:nvSpPr>
                    <a:spPr bwMode="auto">
                      <a:xfrm>
                        <a:off x="6629400" y="5105400"/>
                        <a:ext cx="0" cy="7620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9239" name="Rectangle 23"/>
                      <a:cNvSpPr>
                        <a:spLocks noChangeArrowheads="1"/>
                      </a:cNvSpPr>
                    </a:nvSpPr>
                    <a:spPr bwMode="auto">
                      <a:xfrm>
                        <a:off x="7453313" y="3940175"/>
                        <a:ext cx="10826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solidFill>
                                <a:schemeClr val="tx2"/>
                              </a:solidFill>
                              <a:effectLst>
                                <a:outerShdw blurRad="38100" dist="38100" dir="2700000" algn="tl">
                                  <a:srgbClr val="C0C0C0"/>
                                </a:outerShdw>
                              </a:effectLst>
                            </a:rPr>
                            <a:t>Policy C</a:t>
                          </a:r>
                        </a:p>
                      </a:txBody>
                      <a:useSpRect/>
                    </a:txSp>
                  </a:sp>
                  <a:sp>
                    <a:nvSpPr>
                      <a:cNvPr id="9240" name="Rectangle 24"/>
                      <a:cNvSpPr>
                        <a:spLocks noChangeArrowheads="1"/>
                      </a:cNvSpPr>
                    </a:nvSpPr>
                    <a:spPr bwMode="auto">
                      <a:xfrm>
                        <a:off x="7453313" y="3025775"/>
                        <a:ext cx="10826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solidFill>
                                <a:schemeClr val="hlink"/>
                              </a:solidFill>
                              <a:effectLst>
                                <a:outerShdw blurRad="38100" dist="38100" dir="2700000" algn="tl">
                                  <a:srgbClr val="C0C0C0"/>
                                </a:outerShdw>
                              </a:effectLst>
                            </a:rPr>
                            <a:t>Policy A</a:t>
                          </a:r>
                        </a:p>
                      </a:txBody>
                      <a:useSpRect/>
                    </a:txSp>
                  </a:sp>
                  <a:sp>
                    <a:nvSpPr>
                      <a:cNvPr id="9241" name="Rectangle 25"/>
                      <a:cNvSpPr>
                        <a:spLocks noChangeArrowheads="1"/>
                      </a:cNvSpPr>
                    </a:nvSpPr>
                    <a:spPr bwMode="auto">
                      <a:xfrm>
                        <a:off x="7453313" y="3482975"/>
                        <a:ext cx="10826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solidFill>
                                <a:srgbClr val="42B200"/>
                              </a:solidFill>
                              <a:effectLst>
                                <a:outerShdw blurRad="38100" dist="38100" dir="2700000" algn="tl">
                                  <a:srgbClr val="C0C0C0"/>
                                </a:outerShdw>
                              </a:effectLst>
                            </a:rPr>
                            <a:t>Policy B</a:t>
                          </a:r>
                        </a:p>
                      </a:txBody>
                      <a:useSpRect/>
                    </a:txSp>
                  </a:sp>
                </lc:lockedCanvas>
              </a:graphicData>
            </a:graphic>
          </wp:inline>
        </w:drawing>
      </w:r>
    </w:p>
    <w:p w:rsidR="003558E0" w:rsidRDefault="003558E0" w:rsidP="00E44553">
      <w:pPr>
        <w:rPr>
          <w:rFonts w:ascii="GE Inspira" w:hAnsi="GE Inspira"/>
          <w:sz w:val="24"/>
          <w:szCs w:val="24"/>
        </w:rPr>
      </w:pPr>
    </w:p>
    <w:p w:rsidR="003558E0" w:rsidRDefault="003558E0" w:rsidP="00E44553">
      <w:pPr>
        <w:rPr>
          <w:rFonts w:ascii="GE Inspira" w:hAnsi="GE Inspira"/>
          <w:sz w:val="24"/>
          <w:szCs w:val="24"/>
        </w:rPr>
      </w:pPr>
    </w:p>
    <w:p w:rsidR="003558E0" w:rsidRDefault="003558E0" w:rsidP="00E44553">
      <w:pPr>
        <w:rPr>
          <w:rFonts w:ascii="GE Inspira" w:hAnsi="GE Inspira"/>
          <w:sz w:val="24"/>
          <w:szCs w:val="24"/>
        </w:rPr>
      </w:pPr>
    </w:p>
    <w:p w:rsidR="003558E0" w:rsidRPr="003558E0" w:rsidRDefault="003558E0" w:rsidP="00E44553">
      <w:pPr>
        <w:rPr>
          <w:rFonts w:ascii="GE Inspira" w:hAnsi="GE Inspira"/>
          <w:sz w:val="24"/>
          <w:szCs w:val="24"/>
        </w:rPr>
      </w:pPr>
    </w:p>
    <w:p w:rsidR="00E44553" w:rsidRPr="003558E0" w:rsidRDefault="00E44553" w:rsidP="00E44553">
      <w:pPr>
        <w:rPr>
          <w:rFonts w:ascii="GE Inspira" w:hAnsi="GE Inspira"/>
          <w:sz w:val="24"/>
          <w:szCs w:val="24"/>
        </w:rPr>
      </w:pPr>
      <w:r w:rsidRPr="003558E0">
        <w:rPr>
          <w:rFonts w:ascii="GE Inspira" w:hAnsi="GE Inspira"/>
          <w:sz w:val="24"/>
          <w:szCs w:val="24"/>
        </w:rPr>
        <w:lastRenderedPageBreak/>
        <w:drawing>
          <wp:inline distT="0" distB="0" distL="0" distR="0">
            <wp:extent cx="5943600" cy="542925"/>
            <wp:effectExtent l="0" t="0" r="0" b="0"/>
            <wp:docPr id="5"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315200" cy="1276350"/>
                      <a:chOff x="1676400" y="476250"/>
                      <a:chExt cx="7315200" cy="1276350"/>
                    </a:xfrm>
                  </a:grpSpPr>
                  <a:sp>
                    <a:nvSpPr>
                      <a:cNvPr id="10244" name="Rectangle 4"/>
                      <a:cNvSpPr>
                        <a:spLocks noGrp="1" noChangeArrowheads="1"/>
                      </a:cNvSpPr>
                    </a:nvSpPr>
                    <a:spPr bwMode="auto">
                      <a:xfrm>
                        <a:off x="1676400" y="476250"/>
                        <a:ext cx="7315200" cy="1276350"/>
                      </a:xfrm>
                      <a:prstGeom prst="rect">
                        <a:avLst/>
                      </a:prstGeom>
                      <a:noFill/>
                      <a:ln w="12700">
                        <a:noFill/>
                        <a:miter lim="800000"/>
                        <a:headEnd/>
                        <a:tailEnd/>
                      </a:ln>
                      <a:effectLst/>
                    </a:spPr>
                    <a:txSp>
                      <a:txBody>
                        <a:bodyPr vert="horz" wrap="square" lIns="90488" tIns="44450" rIns="90488" bIns="44450" numCol="1" anchor="ctr" anchorCtr="0" compatLnSpc="1">
                          <a:prstTxWarp prst="textNoShape">
                            <a:avLst/>
                          </a:prstTxWarp>
                        </a:bodyPr>
                        <a:lstStyle>
                          <a:lvl1pPr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mj-lt"/>
                              <a:ea typeface="+mj-ea"/>
                              <a:cs typeface="+mj-cs"/>
                            </a:defRPr>
                          </a:lvl1pPr>
                          <a:lvl2pPr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2pPr>
                          <a:lvl3pPr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3pPr>
                          <a:lvl4pPr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4pPr>
                          <a:lvl5pPr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5pPr>
                          <a:lvl6pPr marL="457200"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6pPr>
                          <a:lvl7pPr marL="914400"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7pPr>
                          <a:lvl8pPr marL="1371600"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8pPr>
                          <a:lvl9pPr marL="1828800"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9pPr>
                        </a:lstStyle>
                        <a:p>
                          <a:r>
                            <a:rPr lang="en-US" b="1" dirty="0"/>
                            <a:t>Impact on Liquidity</a:t>
                          </a:r>
                        </a:p>
                      </a:txBody>
                      <a:useSpRect/>
                    </a:txSp>
                  </a:sp>
                </lc:lockedCanvas>
              </a:graphicData>
            </a:graphic>
          </wp:inline>
        </w:drawing>
      </w:r>
    </w:p>
    <w:p w:rsidR="00E44553" w:rsidRPr="003558E0" w:rsidRDefault="00E44553" w:rsidP="00E44553">
      <w:pPr>
        <w:rPr>
          <w:rFonts w:ascii="GE Inspira" w:hAnsi="GE Inspira"/>
          <w:sz w:val="24"/>
          <w:szCs w:val="24"/>
        </w:rPr>
      </w:pPr>
      <w:r w:rsidRPr="003558E0">
        <w:rPr>
          <w:rFonts w:ascii="GE Inspira" w:hAnsi="GE Inspira"/>
          <w:sz w:val="24"/>
          <w:szCs w:val="24"/>
        </w:rPr>
        <w:drawing>
          <wp:inline distT="0" distB="0" distL="0" distR="0">
            <wp:extent cx="5943600" cy="3214370"/>
            <wp:effectExtent l="0" t="0" r="0" b="0"/>
            <wp:docPr id="4"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510588" cy="4602163"/>
                      <a:chOff x="381000" y="1911350"/>
                      <a:chExt cx="8510588" cy="4602163"/>
                    </a:xfrm>
                  </a:grpSpPr>
                  <a:sp>
                    <a:nvSpPr>
                      <a:cNvPr id="10242" name="Rectangle 2"/>
                      <a:cNvSpPr>
                        <a:spLocks noChangeArrowheads="1"/>
                      </a:cNvSpPr>
                    </a:nvSpPr>
                    <a:spPr bwMode="auto">
                      <a:xfrm>
                        <a:off x="1454150" y="1911350"/>
                        <a:ext cx="6235700" cy="520700"/>
                      </a:xfrm>
                      <a:prstGeom prst="rect">
                        <a:avLst/>
                      </a:prstGeom>
                      <a:pattFill prst="narVert">
                        <a:fgClr>
                          <a:schemeClr val="accent1"/>
                        </a:fgClr>
                        <a:bgClr>
                          <a:schemeClr val="bg1"/>
                        </a:bgClr>
                      </a:pattFill>
                      <a:ln w="12700">
                        <a:solidFill>
                          <a:srgbClr val="000000"/>
                        </a:solidFill>
                        <a:miter lim="800000"/>
                        <a:headEnd/>
                        <a:tailEnd/>
                      </a:ln>
                      <a:effectLst/>
                    </a:spPr>
                    <a:txSp>
                      <a:txBody>
                        <a:bodyPr wrap="none" anchor="ct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0245" name="Rectangle 5"/>
                      <a:cNvSpPr>
                        <a:spLocks noGrp="1" noChangeArrowheads="1"/>
                      </a:cNvSpPr>
                    </a:nvSpPr>
                    <a:spPr bwMode="auto">
                      <a:xfrm>
                        <a:off x="381000" y="2590800"/>
                        <a:ext cx="3467100" cy="3867150"/>
                      </a:xfrm>
                      <a:prstGeom prst="rect">
                        <a:avLst/>
                      </a:prstGeom>
                      <a:noFill/>
                      <a:ln w="38100" cap="flat" cmpd="dbl">
                        <a:solidFill>
                          <a:srgbClr val="000000"/>
                        </a:solidFill>
                        <a:miter lim="800000"/>
                        <a:headEnd/>
                        <a:tailEnd/>
                      </a:ln>
                      <a:effectLst/>
                    </a:spPr>
                    <a:txSp>
                      <a:txBody>
                        <a:bodyPr vert="horz" wrap="square" lIns="90488" tIns="44450" rIns="90488" bIns="44450" numCol="1" anchor="t" anchorCtr="0" compatLnSpc="1">
                          <a:prstTxWarp prst="textNoShape">
                            <a:avLst/>
                          </a:prstTxWarp>
                        </a:bodyPr>
                        <a:lstStyle>
                          <a:lvl1pPr marL="342900" indent="-342900" algn="l" rtl="0" eaLnBrk="0" fontAlgn="base" hangingPunct="0">
                            <a:spcBef>
                              <a:spcPct val="20000"/>
                            </a:spcBef>
                            <a:spcAft>
                              <a:spcPct val="20000"/>
                            </a:spcAft>
                            <a:buClr>
                              <a:schemeClr val="tx2"/>
                            </a:buClr>
                            <a:buSzPct val="75000"/>
                            <a:buFont typeface="Monotype Sorts" pitchFamily="2" charset="2"/>
                            <a:buChar char="u"/>
                            <a:defRPr sz="2800" b="1">
                              <a:solidFill>
                                <a:srgbClr val="000000"/>
                              </a:solidFill>
                              <a:latin typeface="+mn-lt"/>
                              <a:ea typeface="+mn-ea"/>
                              <a:cs typeface="+mn-cs"/>
                            </a:defRPr>
                          </a:lvl1pPr>
                          <a:lvl2pPr marL="742950" indent="-285750" algn="l" rtl="0" eaLnBrk="0" fontAlgn="base" hangingPunct="0">
                            <a:spcBef>
                              <a:spcPct val="20000"/>
                            </a:spcBef>
                            <a:spcAft>
                              <a:spcPct val="20000"/>
                            </a:spcAft>
                            <a:buClr>
                              <a:schemeClr val="tx2"/>
                            </a:buClr>
                            <a:buSzPct val="75000"/>
                            <a:buFont typeface="Monotype Sorts" pitchFamily="2" charset="2"/>
                            <a:buChar char="u"/>
                            <a:defRPr sz="2400" b="1">
                              <a:solidFill>
                                <a:srgbClr val="000000"/>
                              </a:solidFill>
                              <a:latin typeface="+mn-lt"/>
                            </a:defRPr>
                          </a:lvl2pPr>
                          <a:lvl3pPr marL="1143000" indent="-228600" algn="l" rtl="0" eaLnBrk="0" fontAlgn="base" hangingPunct="0">
                            <a:spcBef>
                              <a:spcPct val="20000"/>
                            </a:spcBef>
                            <a:spcAft>
                              <a:spcPct val="20000"/>
                            </a:spcAft>
                            <a:buClr>
                              <a:schemeClr val="tx2"/>
                            </a:buClr>
                            <a:buSzPct val="65000"/>
                            <a:buFont typeface="Monotype Sorts" pitchFamily="2" charset="2"/>
                            <a:buChar char="u"/>
                            <a:defRPr sz="2000" b="1">
                              <a:solidFill>
                                <a:srgbClr val="000000"/>
                              </a:solidFill>
                              <a:latin typeface="+mn-lt"/>
                            </a:defRPr>
                          </a:lvl3pPr>
                          <a:lvl4pPr marL="1600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4pPr>
                          <a:lvl5pPr marL="20574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5pPr>
                          <a:lvl6pPr marL="25146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6pPr>
                          <a:lvl7pPr marL="29718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7pPr>
                          <a:lvl8pPr marL="34290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8pPr>
                          <a:lvl9pPr marL="3886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9pPr>
                        </a:lstStyle>
                        <a:p>
                          <a:pPr marL="0" indent="0" algn="ctr">
                            <a:spcBef>
                              <a:spcPct val="10000"/>
                            </a:spcBef>
                            <a:spcAft>
                              <a:spcPct val="10000"/>
                            </a:spcAft>
                            <a:buFont typeface="Monotype Sorts" pitchFamily="2" charset="2"/>
                            <a:buNone/>
                          </a:pPr>
                          <a:r>
                            <a:rPr lang="en-US" sz="2400" u="sng"/>
                            <a:t>Liquidity Analysis</a:t>
                          </a:r>
                        </a:p>
                        <a:p>
                          <a:pPr marL="0" indent="0">
                            <a:spcBef>
                              <a:spcPct val="10000"/>
                            </a:spcBef>
                            <a:spcAft>
                              <a:spcPct val="10000"/>
                            </a:spcAft>
                            <a:buFont typeface="Monotype Sorts" pitchFamily="2" charset="2"/>
                            <a:buNone/>
                          </a:pPr>
                          <a:r>
                            <a:rPr lang="en-US" sz="2400" i="1" u="sng">
                              <a:effectLst>
                                <a:outerShdw blurRad="38100" dist="38100" dir="2700000" algn="tl">
                                  <a:srgbClr val="C0C0C0"/>
                                </a:outerShdw>
                              </a:effectLst>
                            </a:rPr>
                            <a:t>Policy</a:t>
                          </a:r>
                          <a:r>
                            <a:rPr lang="en-US" sz="2400" i="1">
                              <a:effectLst>
                                <a:outerShdw blurRad="38100" dist="38100" dir="2700000" algn="tl">
                                  <a:srgbClr val="C0C0C0"/>
                                </a:outerShdw>
                              </a:effectLst>
                            </a:rPr>
                            <a:t>		</a:t>
                          </a:r>
                          <a:r>
                            <a:rPr lang="en-US" sz="2400" i="1" u="sng">
                              <a:effectLst>
                                <a:outerShdw blurRad="38100" dist="38100" dir="2700000" algn="tl">
                                  <a:srgbClr val="C0C0C0"/>
                                </a:outerShdw>
                              </a:effectLst>
                            </a:rPr>
                            <a:t>Liquidity</a:t>
                          </a:r>
                          <a:endParaRPr lang="en-US" sz="2400"/>
                        </a:p>
                        <a:p>
                          <a:pPr marL="0" indent="0">
                            <a:spcBef>
                              <a:spcPct val="10000"/>
                            </a:spcBef>
                            <a:spcAft>
                              <a:spcPct val="10000"/>
                            </a:spcAft>
                            <a:buFont typeface="Monotype Sorts" pitchFamily="2" charset="2"/>
                            <a:buNone/>
                          </a:pPr>
                          <a:r>
                            <a:rPr lang="en-US" sz="2400">
                              <a:solidFill>
                                <a:schemeClr val="hlink"/>
                              </a:solidFill>
                              <a:effectLst>
                                <a:outerShdw blurRad="38100" dist="38100" dir="2700000" algn="tl">
                                  <a:srgbClr val="C0C0C0"/>
                                </a:outerShdw>
                              </a:effectLst>
                            </a:rPr>
                            <a:t>    A		High</a:t>
                          </a:r>
                        </a:p>
                        <a:p>
                          <a:pPr marL="0" indent="0">
                            <a:spcBef>
                              <a:spcPct val="10000"/>
                            </a:spcBef>
                            <a:spcAft>
                              <a:spcPct val="10000"/>
                            </a:spcAft>
                            <a:buFont typeface="Monotype Sorts" pitchFamily="2" charset="2"/>
                            <a:buNone/>
                          </a:pPr>
                          <a:r>
                            <a:rPr lang="en-US" sz="2400">
                              <a:solidFill>
                                <a:srgbClr val="42B200"/>
                              </a:solidFill>
                              <a:effectLst>
                                <a:outerShdw blurRad="38100" dist="38100" dir="2700000" algn="tl">
                                  <a:srgbClr val="C0C0C0"/>
                                </a:outerShdw>
                              </a:effectLst>
                            </a:rPr>
                            <a:t>    B		Average</a:t>
                          </a:r>
                        </a:p>
                        <a:p>
                          <a:pPr marL="0" indent="0">
                            <a:spcBef>
                              <a:spcPct val="10000"/>
                            </a:spcBef>
                            <a:spcAft>
                              <a:spcPct val="10000"/>
                            </a:spcAft>
                            <a:buFont typeface="Monotype Sorts" pitchFamily="2" charset="2"/>
                            <a:buNone/>
                          </a:pPr>
                          <a:r>
                            <a:rPr lang="en-US" sz="2400">
                              <a:solidFill>
                                <a:schemeClr val="tx2"/>
                              </a:solidFill>
                              <a:effectLst>
                                <a:outerShdw blurRad="38100" dist="38100" dir="2700000" algn="tl">
                                  <a:srgbClr val="C0C0C0"/>
                                </a:outerShdw>
                              </a:effectLst>
                            </a:rPr>
                            <a:t>    C		Low</a:t>
                          </a:r>
                          <a:endParaRPr lang="en-US" sz="2400">
                            <a:solidFill>
                              <a:schemeClr val="tx2"/>
                            </a:solidFill>
                          </a:endParaRPr>
                        </a:p>
                        <a:p>
                          <a:pPr marL="0" indent="0" algn="ctr">
                            <a:spcBef>
                              <a:spcPct val="30000"/>
                            </a:spcBef>
                            <a:spcAft>
                              <a:spcPct val="10000"/>
                            </a:spcAft>
                            <a:buFont typeface="Monotype Sorts" pitchFamily="2" charset="2"/>
                            <a:buNone/>
                          </a:pPr>
                          <a:r>
                            <a:rPr lang="en-US" sz="2400"/>
                            <a:t>Greater current asset levels generate more liquidity; all other factors held constant.</a:t>
                          </a:r>
                        </a:p>
                      </a:txBody>
                      <a:useSpRect/>
                    </a:txSp>
                  </a:sp>
                  <a:sp>
                    <a:nvSpPr>
                      <a:cNvPr id="10247" name="Rectangle 7"/>
                      <a:cNvSpPr>
                        <a:spLocks noGrp="1" noChangeArrowheads="1"/>
                      </a:cNvSpPr>
                    </a:nvSpPr>
                    <a:spPr bwMode="auto">
                      <a:xfrm>
                        <a:off x="685800" y="1981200"/>
                        <a:ext cx="7772400" cy="533400"/>
                      </a:xfrm>
                      <a:prstGeom prst="rect">
                        <a:avLst/>
                      </a:prstGeom>
                      <a:noFill/>
                      <a:ln w="12700">
                        <a:noFill/>
                        <a:miter lim="800000"/>
                        <a:headEnd/>
                        <a:tailEnd/>
                      </a:ln>
                      <a:effectLst/>
                    </a:spPr>
                    <a:txSp>
                      <a:txBody>
                        <a:bodyPr vert="horz" wrap="square" lIns="90488" tIns="44450" rIns="90488" bIns="44450" numCol="1" anchor="t" anchorCtr="0" compatLnSpc="1">
                          <a:prstTxWarp prst="textNoShape">
                            <a:avLst/>
                          </a:prstTxWarp>
                        </a:bodyPr>
                        <a:lstStyle>
                          <a:lvl1pPr marL="342900" indent="-342900" algn="l" rtl="0" eaLnBrk="0" fontAlgn="base" hangingPunct="0">
                            <a:spcBef>
                              <a:spcPct val="20000"/>
                            </a:spcBef>
                            <a:spcAft>
                              <a:spcPct val="20000"/>
                            </a:spcAft>
                            <a:buClr>
                              <a:schemeClr val="tx2"/>
                            </a:buClr>
                            <a:buSzPct val="75000"/>
                            <a:buFont typeface="Monotype Sorts" pitchFamily="2" charset="2"/>
                            <a:buChar char="u"/>
                            <a:defRPr sz="2800" b="1">
                              <a:solidFill>
                                <a:srgbClr val="000000"/>
                              </a:solidFill>
                              <a:latin typeface="+mn-lt"/>
                              <a:ea typeface="+mn-ea"/>
                              <a:cs typeface="+mn-cs"/>
                            </a:defRPr>
                          </a:lvl1pPr>
                          <a:lvl2pPr marL="742950" indent="-285750" algn="l" rtl="0" eaLnBrk="0" fontAlgn="base" hangingPunct="0">
                            <a:spcBef>
                              <a:spcPct val="20000"/>
                            </a:spcBef>
                            <a:spcAft>
                              <a:spcPct val="20000"/>
                            </a:spcAft>
                            <a:buClr>
                              <a:schemeClr val="tx2"/>
                            </a:buClr>
                            <a:buSzPct val="75000"/>
                            <a:buFont typeface="Monotype Sorts" pitchFamily="2" charset="2"/>
                            <a:buChar char="u"/>
                            <a:defRPr sz="2400" b="1">
                              <a:solidFill>
                                <a:srgbClr val="000000"/>
                              </a:solidFill>
                              <a:latin typeface="+mn-lt"/>
                            </a:defRPr>
                          </a:lvl2pPr>
                          <a:lvl3pPr marL="1143000" indent="-228600" algn="l" rtl="0" eaLnBrk="0" fontAlgn="base" hangingPunct="0">
                            <a:spcBef>
                              <a:spcPct val="20000"/>
                            </a:spcBef>
                            <a:spcAft>
                              <a:spcPct val="20000"/>
                            </a:spcAft>
                            <a:buClr>
                              <a:schemeClr val="tx2"/>
                            </a:buClr>
                            <a:buSzPct val="65000"/>
                            <a:buFont typeface="Monotype Sorts" pitchFamily="2" charset="2"/>
                            <a:buChar char="u"/>
                            <a:defRPr sz="2000" b="1">
                              <a:solidFill>
                                <a:srgbClr val="000000"/>
                              </a:solidFill>
                              <a:latin typeface="+mn-lt"/>
                            </a:defRPr>
                          </a:lvl3pPr>
                          <a:lvl4pPr marL="1600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4pPr>
                          <a:lvl5pPr marL="20574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5pPr>
                          <a:lvl6pPr marL="25146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6pPr>
                          <a:lvl7pPr marL="29718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7pPr>
                          <a:lvl8pPr marL="34290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8pPr>
                          <a:lvl9pPr marL="3886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9pPr>
                        </a:lstStyle>
                        <a:p>
                          <a:pPr algn="ctr">
                            <a:spcBef>
                              <a:spcPct val="10000"/>
                            </a:spcBef>
                            <a:spcAft>
                              <a:spcPct val="10000"/>
                            </a:spcAft>
                            <a:buFont typeface="Monotype Sorts" pitchFamily="2" charset="2"/>
                            <a:buNone/>
                          </a:pPr>
                          <a:r>
                            <a:rPr lang="en-US" sz="2400"/>
                            <a:t>Optimal Amount (Level) of Current Assets</a:t>
                          </a:r>
                        </a:p>
                      </a:txBody>
                      <a:useSpRect/>
                    </a:txSp>
                  </a:sp>
                  <a:sp>
                    <a:nvSpPr>
                      <a:cNvPr id="10248" name="Line 8"/>
                      <a:cNvSpPr>
                        <a:spLocks noChangeShapeType="1"/>
                      </a:cNvSpPr>
                    </a:nvSpPr>
                    <a:spPr bwMode="auto">
                      <a:xfrm flipH="1">
                        <a:off x="4495800" y="5867400"/>
                        <a:ext cx="4114800" cy="0"/>
                      </a:xfrm>
                      <a:prstGeom prst="line">
                        <a:avLst/>
                      </a:prstGeom>
                      <a:noFill/>
                      <a:ln w="50800">
                        <a:solidFill>
                          <a:srgbClr val="000000"/>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0249" name="Line 9"/>
                      <a:cNvSpPr>
                        <a:spLocks noChangeShapeType="1"/>
                      </a:cNvSpPr>
                    </a:nvSpPr>
                    <a:spPr bwMode="auto">
                      <a:xfrm>
                        <a:off x="4495800" y="2667000"/>
                        <a:ext cx="0" cy="3200400"/>
                      </a:xfrm>
                      <a:prstGeom prst="line">
                        <a:avLst/>
                      </a:prstGeom>
                      <a:noFill/>
                      <a:ln w="50800">
                        <a:solidFill>
                          <a:srgbClr val="000000"/>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0250" name="Arc 10"/>
                      <a:cNvSpPr>
                        <a:spLocks/>
                      </a:cNvSpPr>
                    </a:nvSpPr>
                    <a:spPr bwMode="auto">
                      <a:xfrm rot="10800000">
                        <a:off x="4495800" y="3810000"/>
                        <a:ext cx="3962400" cy="1981200"/>
                      </a:xfrm>
                      <a:custGeom>
                        <a:avLst/>
                        <a:gdLst>
                          <a:gd name="G0" fmla="+- 0 0 0"/>
                          <a:gd name="G1" fmla="+- 0 0 0"/>
                          <a:gd name="G2" fmla="+- 21600 0 0"/>
                          <a:gd name="T0" fmla="*/ 21600 w 21600"/>
                          <a:gd name="T1" fmla="*/ 0 h 21600"/>
                          <a:gd name="T2" fmla="*/ 0 w 21600"/>
                          <a:gd name="T3" fmla="*/ 21600 h 21600"/>
                          <a:gd name="T4" fmla="*/ 0 w 21600"/>
                          <a:gd name="T5" fmla="*/ 0 h 21600"/>
                        </a:gdLst>
                        <a:ahLst/>
                        <a:cxnLst>
                          <a:cxn ang="0">
                            <a:pos x="T0" y="T1"/>
                          </a:cxn>
                          <a:cxn ang="0">
                            <a:pos x="T2" y="T3"/>
                          </a:cxn>
                          <a:cxn ang="0">
                            <a:pos x="T4" y="T5"/>
                          </a:cxn>
                        </a:cxnLst>
                        <a:rect l="0" t="0" r="r" b="b"/>
                        <a:pathLst>
                          <a:path w="21600" h="21600" fill="none" extrusionOk="0">
                            <a:moveTo>
                              <a:pt x="21600" y="0"/>
                            </a:moveTo>
                            <a:cubicBezTo>
                              <a:pt x="21600" y="11929"/>
                              <a:pt x="11929" y="21599"/>
                              <a:pt x="0" y="21600"/>
                            </a:cubicBezTo>
                          </a:path>
                          <a:path w="21600" h="21600" stroke="0" extrusionOk="0">
                            <a:moveTo>
                              <a:pt x="21600" y="0"/>
                            </a:moveTo>
                            <a:cubicBezTo>
                              <a:pt x="21600" y="11929"/>
                              <a:pt x="11929" y="21599"/>
                              <a:pt x="0" y="21600"/>
                            </a:cubicBezTo>
                            <a:lnTo>
                              <a:pt x="0" y="0"/>
                            </a:lnTo>
                            <a:close/>
                          </a:path>
                        </a:pathLst>
                      </a:custGeom>
                      <a:noFill/>
                      <a:ln w="50800" cap="rnd">
                        <a:solidFill>
                          <a:srgbClr val="42B200"/>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0251" name="Arc 11"/>
                      <a:cNvSpPr>
                        <a:spLocks/>
                      </a:cNvSpPr>
                    </a:nvSpPr>
                    <a:spPr bwMode="auto">
                      <a:xfrm rot="10800000">
                        <a:off x="4495800" y="3352800"/>
                        <a:ext cx="3962400" cy="2438400"/>
                      </a:xfrm>
                      <a:custGeom>
                        <a:avLst/>
                        <a:gdLst>
                          <a:gd name="G0" fmla="+- 0 0 0"/>
                          <a:gd name="G1" fmla="+- 0 0 0"/>
                          <a:gd name="G2" fmla="+- 21600 0 0"/>
                          <a:gd name="T0" fmla="*/ 21600 w 21600"/>
                          <a:gd name="T1" fmla="*/ 0 h 21600"/>
                          <a:gd name="T2" fmla="*/ 0 w 21600"/>
                          <a:gd name="T3" fmla="*/ 21600 h 21600"/>
                          <a:gd name="T4" fmla="*/ 0 w 21600"/>
                          <a:gd name="T5" fmla="*/ 0 h 21600"/>
                        </a:gdLst>
                        <a:ahLst/>
                        <a:cxnLst>
                          <a:cxn ang="0">
                            <a:pos x="T0" y="T1"/>
                          </a:cxn>
                          <a:cxn ang="0">
                            <a:pos x="T2" y="T3"/>
                          </a:cxn>
                          <a:cxn ang="0">
                            <a:pos x="T4" y="T5"/>
                          </a:cxn>
                        </a:cxnLst>
                        <a:rect l="0" t="0" r="r" b="b"/>
                        <a:pathLst>
                          <a:path w="21600" h="21600" fill="none" extrusionOk="0">
                            <a:moveTo>
                              <a:pt x="21600" y="0"/>
                            </a:moveTo>
                            <a:cubicBezTo>
                              <a:pt x="21600" y="11929"/>
                              <a:pt x="11929" y="21599"/>
                              <a:pt x="0" y="21600"/>
                            </a:cubicBezTo>
                          </a:path>
                          <a:path w="21600" h="21600" stroke="0" extrusionOk="0">
                            <a:moveTo>
                              <a:pt x="21600" y="0"/>
                            </a:moveTo>
                            <a:cubicBezTo>
                              <a:pt x="21600" y="11929"/>
                              <a:pt x="11929" y="21599"/>
                              <a:pt x="0" y="21600"/>
                            </a:cubicBezTo>
                            <a:lnTo>
                              <a:pt x="0" y="0"/>
                            </a:lnTo>
                            <a:close/>
                          </a:path>
                        </a:pathLst>
                      </a:custGeom>
                      <a:noFill/>
                      <a:ln w="50800" cap="rnd">
                        <a:solidFill>
                          <a:schemeClr val="hlink"/>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0252" name="Arc 12"/>
                      <a:cNvSpPr>
                        <a:spLocks/>
                      </a:cNvSpPr>
                    </a:nvSpPr>
                    <a:spPr bwMode="auto">
                      <a:xfrm rot="10800000">
                        <a:off x="4495800" y="4267200"/>
                        <a:ext cx="3962400" cy="1524000"/>
                      </a:xfrm>
                      <a:custGeom>
                        <a:avLst/>
                        <a:gdLst>
                          <a:gd name="G0" fmla="+- 0 0 0"/>
                          <a:gd name="G1" fmla="+- 0 0 0"/>
                          <a:gd name="G2" fmla="+- 21600 0 0"/>
                          <a:gd name="T0" fmla="*/ 21600 w 21600"/>
                          <a:gd name="T1" fmla="*/ 0 h 21600"/>
                          <a:gd name="T2" fmla="*/ 0 w 21600"/>
                          <a:gd name="T3" fmla="*/ 21600 h 21600"/>
                          <a:gd name="T4" fmla="*/ 0 w 21600"/>
                          <a:gd name="T5" fmla="*/ 0 h 21600"/>
                        </a:gdLst>
                        <a:ahLst/>
                        <a:cxnLst>
                          <a:cxn ang="0">
                            <a:pos x="T0" y="T1"/>
                          </a:cxn>
                          <a:cxn ang="0">
                            <a:pos x="T2" y="T3"/>
                          </a:cxn>
                          <a:cxn ang="0">
                            <a:pos x="T4" y="T5"/>
                          </a:cxn>
                        </a:cxnLst>
                        <a:rect l="0" t="0" r="r" b="b"/>
                        <a:pathLst>
                          <a:path w="21600" h="21600" fill="none" extrusionOk="0">
                            <a:moveTo>
                              <a:pt x="21600" y="0"/>
                            </a:moveTo>
                            <a:cubicBezTo>
                              <a:pt x="21600" y="11929"/>
                              <a:pt x="11929" y="21599"/>
                              <a:pt x="0" y="21600"/>
                            </a:cubicBezTo>
                          </a:path>
                          <a:path w="21600" h="21600" stroke="0" extrusionOk="0">
                            <a:moveTo>
                              <a:pt x="21600" y="0"/>
                            </a:moveTo>
                            <a:cubicBezTo>
                              <a:pt x="21600" y="11929"/>
                              <a:pt x="11929" y="21599"/>
                              <a:pt x="0" y="21600"/>
                            </a:cubicBezTo>
                            <a:lnTo>
                              <a:pt x="0" y="0"/>
                            </a:lnTo>
                            <a:close/>
                          </a:path>
                        </a:pathLst>
                      </a:custGeom>
                      <a:noFill/>
                      <a:ln w="50800" cap="rnd">
                        <a:solidFill>
                          <a:schemeClr val="tx2"/>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0253" name="Rectangle 13"/>
                      <a:cNvSpPr>
                        <a:spLocks noChangeArrowheads="1"/>
                      </a:cNvSpPr>
                    </a:nvSpPr>
                    <a:spPr bwMode="auto">
                      <a:xfrm>
                        <a:off x="4329113" y="5921375"/>
                        <a:ext cx="45624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0                       25,000                      50,000</a:t>
                          </a:r>
                        </a:p>
                      </a:txBody>
                      <a:useSpRect/>
                    </a:txSp>
                  </a:sp>
                  <a:sp>
                    <a:nvSpPr>
                      <a:cNvPr id="10254" name="Rectangle 14"/>
                      <a:cNvSpPr>
                        <a:spLocks noChangeArrowheads="1"/>
                      </a:cNvSpPr>
                    </a:nvSpPr>
                    <a:spPr bwMode="auto">
                      <a:xfrm>
                        <a:off x="5395913" y="6149975"/>
                        <a:ext cx="18827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OUTPUT (units)</a:t>
                          </a:r>
                        </a:p>
                      </a:txBody>
                      <a:useSpRect/>
                    </a:txSp>
                  </a:sp>
                  <a:sp>
                    <a:nvSpPr>
                      <a:cNvPr id="10255" name="Rectangle 15"/>
                      <a:cNvSpPr>
                        <a:spLocks noChangeArrowheads="1"/>
                      </a:cNvSpPr>
                    </a:nvSpPr>
                    <a:spPr bwMode="auto">
                      <a:xfrm rot="16200000">
                        <a:off x="3180556" y="4021932"/>
                        <a:ext cx="20859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ASSET LEVEL ($)</a:t>
                          </a:r>
                        </a:p>
                      </a:txBody>
                      <a:useSpRect/>
                    </a:txSp>
                  </a:sp>
                  <a:sp>
                    <a:nvSpPr>
                      <a:cNvPr id="10256" name="Rectangle 16"/>
                      <a:cNvSpPr>
                        <a:spLocks noChangeArrowheads="1"/>
                      </a:cNvSpPr>
                    </a:nvSpPr>
                    <a:spPr bwMode="auto">
                      <a:xfrm>
                        <a:off x="5548313" y="4778375"/>
                        <a:ext cx="18192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Current Assets</a:t>
                          </a:r>
                        </a:p>
                      </a:txBody>
                      <a:useSpRect/>
                    </a:txSp>
                  </a:sp>
                  <a:sp>
                    <a:nvSpPr>
                      <a:cNvPr id="10257" name="Line 17"/>
                      <a:cNvSpPr>
                        <a:spLocks noChangeShapeType="1"/>
                      </a:cNvSpPr>
                    </a:nvSpPr>
                    <a:spPr bwMode="auto">
                      <a:xfrm flipV="1">
                        <a:off x="6019800" y="3962400"/>
                        <a:ext cx="0" cy="8382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0258" name="Line 18"/>
                      <a:cNvSpPr>
                        <a:spLocks noChangeShapeType="1"/>
                      </a:cNvSpPr>
                    </a:nvSpPr>
                    <a:spPr bwMode="auto">
                      <a:xfrm flipV="1">
                        <a:off x="6324600" y="4191000"/>
                        <a:ext cx="0" cy="6096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0259" name="Line 19"/>
                      <a:cNvSpPr>
                        <a:spLocks noChangeShapeType="1"/>
                      </a:cNvSpPr>
                    </a:nvSpPr>
                    <a:spPr bwMode="auto">
                      <a:xfrm flipV="1">
                        <a:off x="6629400" y="4495800"/>
                        <a:ext cx="0" cy="3048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0260" name="Line 20"/>
                      <a:cNvSpPr>
                        <a:spLocks noChangeShapeType="1"/>
                      </a:cNvSpPr>
                    </a:nvSpPr>
                    <a:spPr bwMode="auto">
                      <a:xfrm>
                        <a:off x="6019800" y="5105400"/>
                        <a:ext cx="0" cy="7620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0261" name="Line 21"/>
                      <a:cNvSpPr>
                        <a:spLocks noChangeShapeType="1"/>
                      </a:cNvSpPr>
                    </a:nvSpPr>
                    <a:spPr bwMode="auto">
                      <a:xfrm>
                        <a:off x="6324600" y="5105400"/>
                        <a:ext cx="0" cy="7620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0262" name="Line 22"/>
                      <a:cNvSpPr>
                        <a:spLocks noChangeShapeType="1"/>
                      </a:cNvSpPr>
                    </a:nvSpPr>
                    <a:spPr bwMode="auto">
                      <a:xfrm>
                        <a:off x="6629400" y="5105400"/>
                        <a:ext cx="0" cy="7620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0263" name="Rectangle 23"/>
                      <a:cNvSpPr>
                        <a:spLocks noChangeArrowheads="1"/>
                      </a:cNvSpPr>
                    </a:nvSpPr>
                    <a:spPr bwMode="auto">
                      <a:xfrm>
                        <a:off x="7453313" y="3940175"/>
                        <a:ext cx="10826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solidFill>
                                <a:schemeClr val="tx2"/>
                              </a:solidFill>
                              <a:effectLst>
                                <a:outerShdw blurRad="38100" dist="38100" dir="2700000" algn="tl">
                                  <a:srgbClr val="C0C0C0"/>
                                </a:outerShdw>
                              </a:effectLst>
                            </a:rPr>
                            <a:t>Policy C</a:t>
                          </a:r>
                        </a:p>
                      </a:txBody>
                      <a:useSpRect/>
                    </a:txSp>
                  </a:sp>
                  <a:sp>
                    <a:nvSpPr>
                      <a:cNvPr id="10264" name="Rectangle 24"/>
                      <a:cNvSpPr>
                        <a:spLocks noChangeArrowheads="1"/>
                      </a:cNvSpPr>
                    </a:nvSpPr>
                    <a:spPr bwMode="auto">
                      <a:xfrm>
                        <a:off x="7453313" y="3025775"/>
                        <a:ext cx="10826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solidFill>
                                <a:schemeClr val="hlink"/>
                              </a:solidFill>
                              <a:effectLst>
                                <a:outerShdw blurRad="38100" dist="38100" dir="2700000" algn="tl">
                                  <a:srgbClr val="C0C0C0"/>
                                </a:outerShdw>
                              </a:effectLst>
                            </a:rPr>
                            <a:t>Policy A</a:t>
                          </a:r>
                        </a:p>
                      </a:txBody>
                      <a:useSpRect/>
                    </a:txSp>
                  </a:sp>
                  <a:sp>
                    <a:nvSpPr>
                      <a:cNvPr id="10265" name="Rectangle 25"/>
                      <a:cNvSpPr>
                        <a:spLocks noChangeArrowheads="1"/>
                      </a:cNvSpPr>
                    </a:nvSpPr>
                    <a:spPr bwMode="auto">
                      <a:xfrm>
                        <a:off x="7453313" y="3482975"/>
                        <a:ext cx="10826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solidFill>
                                <a:srgbClr val="42B200"/>
                              </a:solidFill>
                              <a:effectLst>
                                <a:outerShdw blurRad="38100" dist="38100" dir="2700000" algn="tl">
                                  <a:srgbClr val="C0C0C0"/>
                                </a:outerShdw>
                              </a:effectLst>
                            </a:rPr>
                            <a:t>Policy B</a:t>
                          </a:r>
                        </a:p>
                      </a:txBody>
                      <a:useSpRect/>
                    </a:txSp>
                  </a:sp>
                  <a:sp>
                    <a:nvSpPr>
                      <a:cNvPr id="10266" name="Line 26"/>
                      <a:cNvSpPr>
                        <a:spLocks noChangeShapeType="1"/>
                      </a:cNvSpPr>
                    </a:nvSpPr>
                    <a:spPr bwMode="auto">
                      <a:xfrm>
                        <a:off x="381000" y="4876800"/>
                        <a:ext cx="3505200" cy="0"/>
                      </a:xfrm>
                      <a:prstGeom prst="line">
                        <a:avLst/>
                      </a:prstGeom>
                      <a:noFill/>
                      <a:ln w="38100" cmpd="dbl">
                        <a:solidFill>
                          <a:schemeClr val="tx1"/>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lc:lockedCanvas>
              </a:graphicData>
            </a:graphic>
          </wp:inline>
        </w:drawing>
      </w:r>
    </w:p>
    <w:p w:rsidR="00E44553" w:rsidRPr="003558E0" w:rsidRDefault="00E44553" w:rsidP="00E44553">
      <w:pPr>
        <w:rPr>
          <w:rFonts w:ascii="GE Inspira" w:hAnsi="GE Inspira"/>
          <w:sz w:val="24"/>
          <w:szCs w:val="24"/>
        </w:rPr>
      </w:pPr>
    </w:p>
    <w:p w:rsidR="00E44553" w:rsidRDefault="00E44553" w:rsidP="00E44553">
      <w:pPr>
        <w:rPr>
          <w:rFonts w:ascii="GE Inspira" w:hAnsi="GE Inspira"/>
          <w:sz w:val="24"/>
          <w:szCs w:val="24"/>
        </w:rPr>
      </w:pPr>
    </w:p>
    <w:p w:rsidR="003558E0" w:rsidRDefault="003558E0" w:rsidP="00E44553">
      <w:pPr>
        <w:rPr>
          <w:rFonts w:ascii="GE Inspira" w:hAnsi="GE Inspira"/>
          <w:sz w:val="24"/>
          <w:szCs w:val="24"/>
        </w:rPr>
      </w:pPr>
    </w:p>
    <w:p w:rsidR="003558E0" w:rsidRDefault="003558E0" w:rsidP="00E44553">
      <w:pPr>
        <w:rPr>
          <w:rFonts w:ascii="GE Inspira" w:hAnsi="GE Inspira"/>
          <w:sz w:val="24"/>
          <w:szCs w:val="24"/>
        </w:rPr>
      </w:pPr>
    </w:p>
    <w:p w:rsidR="003558E0" w:rsidRDefault="003558E0" w:rsidP="00E44553">
      <w:pPr>
        <w:rPr>
          <w:rFonts w:ascii="GE Inspira" w:hAnsi="GE Inspira"/>
          <w:sz w:val="24"/>
          <w:szCs w:val="24"/>
        </w:rPr>
      </w:pPr>
    </w:p>
    <w:p w:rsidR="003558E0" w:rsidRDefault="003558E0" w:rsidP="00E44553">
      <w:pPr>
        <w:rPr>
          <w:rFonts w:ascii="GE Inspira" w:hAnsi="GE Inspira"/>
          <w:sz w:val="24"/>
          <w:szCs w:val="24"/>
        </w:rPr>
      </w:pPr>
    </w:p>
    <w:p w:rsidR="003558E0" w:rsidRDefault="003558E0" w:rsidP="00E44553">
      <w:pPr>
        <w:rPr>
          <w:rFonts w:ascii="GE Inspira" w:hAnsi="GE Inspira"/>
          <w:sz w:val="24"/>
          <w:szCs w:val="24"/>
        </w:rPr>
      </w:pPr>
    </w:p>
    <w:p w:rsidR="003558E0" w:rsidRDefault="003558E0" w:rsidP="00E44553">
      <w:pPr>
        <w:rPr>
          <w:rFonts w:ascii="GE Inspira" w:hAnsi="GE Inspira"/>
          <w:sz w:val="24"/>
          <w:szCs w:val="24"/>
        </w:rPr>
      </w:pPr>
    </w:p>
    <w:p w:rsidR="003558E0" w:rsidRDefault="003558E0" w:rsidP="00E44553">
      <w:pPr>
        <w:rPr>
          <w:rFonts w:ascii="GE Inspira" w:hAnsi="GE Inspira"/>
          <w:sz w:val="24"/>
          <w:szCs w:val="24"/>
        </w:rPr>
      </w:pPr>
    </w:p>
    <w:p w:rsidR="003558E0" w:rsidRDefault="003558E0" w:rsidP="00E44553">
      <w:pPr>
        <w:rPr>
          <w:rFonts w:ascii="GE Inspira" w:hAnsi="GE Inspira"/>
          <w:sz w:val="24"/>
          <w:szCs w:val="24"/>
        </w:rPr>
      </w:pPr>
    </w:p>
    <w:p w:rsidR="003558E0" w:rsidRDefault="003558E0" w:rsidP="00E44553">
      <w:pPr>
        <w:rPr>
          <w:rFonts w:ascii="GE Inspira" w:hAnsi="GE Inspira"/>
          <w:sz w:val="24"/>
          <w:szCs w:val="24"/>
        </w:rPr>
      </w:pPr>
    </w:p>
    <w:p w:rsidR="003558E0" w:rsidRDefault="003558E0" w:rsidP="00E44553">
      <w:pPr>
        <w:rPr>
          <w:rFonts w:ascii="GE Inspira" w:hAnsi="GE Inspira"/>
          <w:sz w:val="24"/>
          <w:szCs w:val="24"/>
        </w:rPr>
      </w:pPr>
    </w:p>
    <w:p w:rsidR="003558E0" w:rsidRDefault="003558E0" w:rsidP="00E44553">
      <w:pPr>
        <w:rPr>
          <w:rFonts w:ascii="GE Inspira" w:hAnsi="GE Inspira"/>
          <w:sz w:val="24"/>
          <w:szCs w:val="24"/>
        </w:rPr>
      </w:pPr>
    </w:p>
    <w:p w:rsidR="003558E0" w:rsidRPr="003558E0" w:rsidRDefault="003558E0" w:rsidP="00E44553">
      <w:pPr>
        <w:rPr>
          <w:rFonts w:ascii="GE Inspira" w:hAnsi="GE Inspira"/>
          <w:sz w:val="24"/>
          <w:szCs w:val="24"/>
        </w:rPr>
      </w:pPr>
    </w:p>
    <w:p w:rsidR="00E44553" w:rsidRPr="003558E0" w:rsidRDefault="00E44553" w:rsidP="00E44553">
      <w:pPr>
        <w:rPr>
          <w:rFonts w:ascii="GE Inspira" w:hAnsi="GE Inspira"/>
          <w:sz w:val="24"/>
          <w:szCs w:val="24"/>
        </w:rPr>
      </w:pPr>
      <w:r w:rsidRPr="003558E0">
        <w:rPr>
          <w:rFonts w:ascii="GE Inspira" w:hAnsi="GE Inspira"/>
          <w:sz w:val="24"/>
          <w:szCs w:val="24"/>
        </w:rPr>
        <w:lastRenderedPageBreak/>
        <w:drawing>
          <wp:inline distT="0" distB="0" distL="0" distR="0">
            <wp:extent cx="6067425" cy="723900"/>
            <wp:effectExtent l="0" t="0" r="0" b="0"/>
            <wp:docPr id="7" name="Objec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781800" cy="1676400"/>
                      <a:chOff x="1676400" y="76200"/>
                      <a:chExt cx="6781800" cy="1676400"/>
                    </a:xfrm>
                  </a:grpSpPr>
                  <a:sp>
                    <a:nvSpPr>
                      <a:cNvPr id="11268" name="Rectangle 4"/>
                      <a:cNvSpPr>
                        <a:spLocks noGrp="1" noChangeArrowheads="1"/>
                      </a:cNvSpPr>
                    </a:nvSpPr>
                    <a:spPr bwMode="auto">
                      <a:xfrm>
                        <a:off x="1676400" y="76200"/>
                        <a:ext cx="6781800" cy="1676400"/>
                      </a:xfrm>
                      <a:prstGeom prst="rect">
                        <a:avLst/>
                      </a:prstGeom>
                      <a:noFill/>
                      <a:ln w="12700">
                        <a:noFill/>
                        <a:miter lim="800000"/>
                        <a:headEnd/>
                        <a:tailEnd/>
                      </a:ln>
                      <a:effectLst/>
                    </a:spPr>
                    <a:txSp>
                      <a:txBody>
                        <a:bodyPr vert="horz" wrap="square" lIns="90488" tIns="44450" rIns="90488" bIns="44450" numCol="1" anchor="ctr" anchorCtr="0" compatLnSpc="1">
                          <a:prstTxWarp prst="textNoShape">
                            <a:avLst/>
                          </a:prstTxWarp>
                        </a:bodyPr>
                        <a:lstStyle>
                          <a:lvl1pPr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mj-lt"/>
                              <a:ea typeface="+mj-ea"/>
                              <a:cs typeface="+mj-cs"/>
                            </a:defRPr>
                          </a:lvl1pPr>
                          <a:lvl2pPr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2pPr>
                          <a:lvl3pPr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3pPr>
                          <a:lvl4pPr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4pPr>
                          <a:lvl5pPr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5pPr>
                          <a:lvl6pPr marL="457200"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6pPr>
                          <a:lvl7pPr marL="914400"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7pPr>
                          <a:lvl8pPr marL="1371600"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8pPr>
                          <a:lvl9pPr marL="1828800"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9pPr>
                        </a:lstStyle>
                        <a:p>
                          <a:r>
                            <a:rPr lang="en-US" b="1" dirty="0"/>
                            <a:t>Impact on 	</a:t>
                          </a:r>
                          <a:br>
                            <a:rPr lang="en-US" b="1" dirty="0"/>
                          </a:br>
                          <a:r>
                            <a:rPr lang="en-US" b="1" dirty="0"/>
                            <a:t>Expected Profitability</a:t>
                          </a:r>
                        </a:p>
                      </a:txBody>
                      <a:useSpRect/>
                    </a:txSp>
                  </a:sp>
                </lc:lockedCanvas>
              </a:graphicData>
            </a:graphic>
          </wp:inline>
        </w:drawing>
      </w:r>
    </w:p>
    <w:p w:rsidR="00E44553" w:rsidRPr="003558E0" w:rsidRDefault="00E44553" w:rsidP="00E44553">
      <w:pPr>
        <w:rPr>
          <w:rFonts w:ascii="GE Inspira" w:hAnsi="GE Inspira"/>
          <w:sz w:val="24"/>
          <w:szCs w:val="24"/>
        </w:rPr>
      </w:pPr>
      <w:r w:rsidRPr="003558E0">
        <w:rPr>
          <w:rFonts w:ascii="GE Inspira" w:hAnsi="GE Inspira"/>
          <w:sz w:val="24"/>
          <w:szCs w:val="24"/>
        </w:rPr>
        <w:drawing>
          <wp:inline distT="0" distB="0" distL="0" distR="0">
            <wp:extent cx="5943600" cy="3221355"/>
            <wp:effectExtent l="19050" t="0" r="0" b="0"/>
            <wp:docPr id="6"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91538" cy="4602163"/>
                      <a:chOff x="400050" y="1911350"/>
                      <a:chExt cx="8491538" cy="4602163"/>
                    </a:xfrm>
                  </a:grpSpPr>
                  <a:sp>
                    <a:nvSpPr>
                      <a:cNvPr id="11266" name="Rectangle 2"/>
                      <a:cNvSpPr>
                        <a:spLocks noChangeArrowheads="1"/>
                      </a:cNvSpPr>
                    </a:nvSpPr>
                    <a:spPr bwMode="auto">
                      <a:xfrm>
                        <a:off x="1454150" y="1911350"/>
                        <a:ext cx="6235700" cy="520700"/>
                      </a:xfrm>
                      <a:prstGeom prst="rect">
                        <a:avLst/>
                      </a:prstGeom>
                      <a:pattFill prst="narVert">
                        <a:fgClr>
                          <a:schemeClr val="accent1"/>
                        </a:fgClr>
                        <a:bgClr>
                          <a:schemeClr val="bg1"/>
                        </a:bgClr>
                      </a:pattFill>
                      <a:ln w="12700">
                        <a:solidFill>
                          <a:srgbClr val="000000"/>
                        </a:solidFill>
                        <a:miter lim="800000"/>
                        <a:headEnd/>
                        <a:tailEnd/>
                      </a:ln>
                      <a:effectLst/>
                    </a:spPr>
                    <a:txSp>
                      <a:txBody>
                        <a:bodyPr wrap="none" anchor="ct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1269" name="Rectangle 5"/>
                      <a:cNvSpPr>
                        <a:spLocks noGrp="1" noChangeArrowheads="1"/>
                      </a:cNvSpPr>
                    </a:nvSpPr>
                    <a:spPr bwMode="auto">
                      <a:xfrm>
                        <a:off x="400050" y="2609850"/>
                        <a:ext cx="3467100" cy="3619500"/>
                      </a:xfrm>
                      <a:prstGeom prst="rect">
                        <a:avLst/>
                      </a:prstGeom>
                      <a:noFill/>
                      <a:ln w="38100" cap="flat" cmpd="dbl">
                        <a:solidFill>
                          <a:srgbClr val="000000"/>
                        </a:solidFill>
                        <a:miter lim="800000"/>
                        <a:headEnd/>
                        <a:tailEnd/>
                      </a:ln>
                      <a:effectLst/>
                    </a:spPr>
                    <a:txSp>
                      <a:txBody>
                        <a:bodyPr vert="horz" wrap="square" lIns="90488" tIns="44450" rIns="90488" bIns="44450" numCol="1" anchor="t" anchorCtr="0" compatLnSpc="1">
                          <a:prstTxWarp prst="textNoShape">
                            <a:avLst/>
                          </a:prstTxWarp>
                        </a:bodyPr>
                        <a:lstStyle>
                          <a:lvl1pPr marL="342900" indent="-342900" algn="l" rtl="0" eaLnBrk="0" fontAlgn="base" hangingPunct="0">
                            <a:spcBef>
                              <a:spcPct val="20000"/>
                            </a:spcBef>
                            <a:spcAft>
                              <a:spcPct val="20000"/>
                            </a:spcAft>
                            <a:buClr>
                              <a:schemeClr val="tx2"/>
                            </a:buClr>
                            <a:buSzPct val="75000"/>
                            <a:buFont typeface="Monotype Sorts" pitchFamily="2" charset="2"/>
                            <a:buChar char="u"/>
                            <a:defRPr sz="2800" b="1">
                              <a:solidFill>
                                <a:srgbClr val="000000"/>
                              </a:solidFill>
                              <a:latin typeface="+mn-lt"/>
                              <a:ea typeface="+mn-ea"/>
                              <a:cs typeface="+mn-cs"/>
                            </a:defRPr>
                          </a:lvl1pPr>
                          <a:lvl2pPr marL="742950" indent="-285750" algn="l" rtl="0" eaLnBrk="0" fontAlgn="base" hangingPunct="0">
                            <a:spcBef>
                              <a:spcPct val="20000"/>
                            </a:spcBef>
                            <a:spcAft>
                              <a:spcPct val="20000"/>
                            </a:spcAft>
                            <a:buClr>
                              <a:schemeClr val="tx2"/>
                            </a:buClr>
                            <a:buSzPct val="75000"/>
                            <a:buFont typeface="Monotype Sorts" pitchFamily="2" charset="2"/>
                            <a:buChar char="u"/>
                            <a:defRPr sz="2400" b="1">
                              <a:solidFill>
                                <a:srgbClr val="000000"/>
                              </a:solidFill>
                              <a:latin typeface="+mn-lt"/>
                            </a:defRPr>
                          </a:lvl2pPr>
                          <a:lvl3pPr marL="1143000" indent="-228600" algn="l" rtl="0" eaLnBrk="0" fontAlgn="base" hangingPunct="0">
                            <a:spcBef>
                              <a:spcPct val="20000"/>
                            </a:spcBef>
                            <a:spcAft>
                              <a:spcPct val="20000"/>
                            </a:spcAft>
                            <a:buClr>
                              <a:schemeClr val="tx2"/>
                            </a:buClr>
                            <a:buSzPct val="65000"/>
                            <a:buFont typeface="Monotype Sorts" pitchFamily="2" charset="2"/>
                            <a:buChar char="u"/>
                            <a:defRPr sz="2000" b="1">
                              <a:solidFill>
                                <a:srgbClr val="000000"/>
                              </a:solidFill>
                              <a:latin typeface="+mn-lt"/>
                            </a:defRPr>
                          </a:lvl3pPr>
                          <a:lvl4pPr marL="1600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4pPr>
                          <a:lvl5pPr marL="20574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5pPr>
                          <a:lvl6pPr marL="25146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6pPr>
                          <a:lvl7pPr marL="29718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7pPr>
                          <a:lvl8pPr marL="34290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8pPr>
                          <a:lvl9pPr marL="3886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9pPr>
                        </a:lstStyle>
                        <a:p>
                          <a:pPr marL="0" indent="0" algn="ctr">
                            <a:spcBef>
                              <a:spcPct val="10000"/>
                            </a:spcBef>
                            <a:spcAft>
                              <a:spcPct val="10000"/>
                            </a:spcAft>
                            <a:buFont typeface="Monotype Sorts" pitchFamily="2" charset="2"/>
                            <a:buNone/>
                          </a:pPr>
                          <a:r>
                            <a:rPr lang="en-US" sz="2200" i="1">
                              <a:effectLst>
                                <a:outerShdw blurRad="38100" dist="38100" dir="2700000" algn="tl">
                                  <a:srgbClr val="C0C0C0"/>
                                </a:outerShdw>
                              </a:effectLst>
                            </a:rPr>
                            <a:t>Return on Investment </a:t>
                          </a:r>
                          <a:r>
                            <a:rPr lang="en-US" sz="2200"/>
                            <a:t>=</a:t>
                          </a:r>
                        </a:p>
                        <a:p>
                          <a:pPr marL="0" indent="0" algn="ctr">
                            <a:spcBef>
                              <a:spcPct val="40000"/>
                            </a:spcBef>
                            <a:spcAft>
                              <a:spcPct val="0"/>
                            </a:spcAft>
                            <a:buFont typeface="Monotype Sorts" pitchFamily="2" charset="2"/>
                            <a:buNone/>
                          </a:pPr>
                          <a:r>
                            <a:rPr lang="en-US" sz="2200">
                              <a:effectLst>
                                <a:outerShdw blurRad="38100" dist="38100" dir="2700000" algn="tl">
                                  <a:srgbClr val="C0C0C0"/>
                                </a:outerShdw>
                              </a:effectLst>
                            </a:rPr>
                            <a:t>Net Profit</a:t>
                          </a:r>
                          <a:endParaRPr lang="en-US" sz="2200"/>
                        </a:p>
                        <a:p>
                          <a:pPr marL="0" indent="0" algn="ctr">
                            <a:spcBef>
                              <a:spcPct val="0"/>
                            </a:spcBef>
                            <a:spcAft>
                              <a:spcPct val="0"/>
                            </a:spcAft>
                            <a:buFont typeface="Monotype Sorts" pitchFamily="2" charset="2"/>
                            <a:buNone/>
                          </a:pPr>
                          <a:r>
                            <a:rPr lang="en-US" sz="2200">
                              <a:solidFill>
                                <a:srgbClr val="42B200"/>
                              </a:solidFill>
                              <a:effectLst>
                                <a:outerShdw blurRad="38100" dist="38100" dir="2700000" algn="tl">
                                  <a:srgbClr val="C0C0C0"/>
                                </a:outerShdw>
                              </a:effectLst>
                            </a:rPr>
                            <a:t>Total Assets</a:t>
                          </a:r>
                          <a:endParaRPr lang="en-US" sz="2200"/>
                        </a:p>
                        <a:p>
                          <a:pPr marL="0" indent="0" algn="ctr">
                            <a:spcBef>
                              <a:spcPct val="40000"/>
                            </a:spcBef>
                            <a:spcAft>
                              <a:spcPct val="0"/>
                            </a:spcAft>
                            <a:buFont typeface="Monotype Sorts" pitchFamily="2" charset="2"/>
                            <a:buNone/>
                          </a:pPr>
                          <a:r>
                            <a:rPr lang="en-US" sz="2200"/>
                            <a:t>Let </a:t>
                          </a:r>
                          <a:r>
                            <a:rPr lang="en-US" sz="2200">
                              <a:solidFill>
                                <a:schemeClr val="accent2"/>
                              </a:solidFill>
                              <a:effectLst>
                                <a:outerShdw blurRad="38100" dist="38100" dir="2700000" algn="tl">
                                  <a:srgbClr val="C0C0C0"/>
                                </a:outerShdw>
                              </a:effectLst>
                            </a:rPr>
                            <a:t>Current Assets </a:t>
                          </a:r>
                          <a:r>
                            <a:rPr lang="en-US" sz="2200"/>
                            <a:t>= (Cash + Rec. + Inv.)</a:t>
                          </a:r>
                        </a:p>
                        <a:p>
                          <a:pPr marL="0" indent="0" algn="ctr">
                            <a:spcBef>
                              <a:spcPct val="80000"/>
                            </a:spcBef>
                            <a:spcAft>
                              <a:spcPct val="0"/>
                            </a:spcAft>
                            <a:buFont typeface="Monotype Sorts" pitchFamily="2" charset="2"/>
                            <a:buNone/>
                          </a:pPr>
                          <a:r>
                            <a:rPr lang="en-US" sz="2200" i="1">
                              <a:effectLst>
                                <a:outerShdw blurRad="38100" dist="38100" dir="2700000" algn="tl">
                                  <a:srgbClr val="C0C0C0"/>
                                </a:outerShdw>
                              </a:effectLst>
                            </a:rPr>
                            <a:t>Return on Investment </a:t>
                          </a:r>
                          <a:r>
                            <a:rPr lang="en-US" sz="2200"/>
                            <a:t>= </a:t>
                          </a:r>
                        </a:p>
                        <a:p>
                          <a:pPr marL="0" indent="0" algn="ctr">
                            <a:spcBef>
                              <a:spcPct val="40000"/>
                            </a:spcBef>
                            <a:spcAft>
                              <a:spcPct val="0"/>
                            </a:spcAft>
                            <a:buFont typeface="Monotype Sorts" pitchFamily="2" charset="2"/>
                            <a:buNone/>
                          </a:pPr>
                          <a:r>
                            <a:rPr lang="en-US" sz="2200">
                              <a:effectLst>
                                <a:outerShdw blurRad="38100" dist="38100" dir="2700000" algn="tl">
                                  <a:srgbClr val="C0C0C0"/>
                                </a:outerShdw>
                              </a:effectLst>
                            </a:rPr>
                            <a:t>Net Profit</a:t>
                          </a:r>
                          <a:endParaRPr lang="en-US" sz="2200"/>
                        </a:p>
                        <a:p>
                          <a:pPr marL="0" indent="0" algn="ctr">
                            <a:spcBef>
                              <a:spcPct val="0"/>
                            </a:spcBef>
                            <a:spcAft>
                              <a:spcPct val="0"/>
                            </a:spcAft>
                            <a:buFont typeface="Monotype Sorts" pitchFamily="2" charset="2"/>
                            <a:buNone/>
                          </a:pPr>
                          <a:r>
                            <a:rPr lang="en-US" sz="2200">
                              <a:solidFill>
                                <a:schemeClr val="accent2"/>
                              </a:solidFill>
                              <a:effectLst>
                                <a:outerShdw blurRad="38100" dist="38100" dir="2700000" algn="tl">
                                  <a:srgbClr val="C0C0C0"/>
                                </a:outerShdw>
                              </a:effectLst>
                            </a:rPr>
                            <a:t>Current </a:t>
                          </a:r>
                          <a:r>
                            <a:rPr lang="en-US" sz="2200"/>
                            <a:t>+ </a:t>
                          </a:r>
                          <a:r>
                            <a:rPr lang="en-US" sz="2200">
                              <a:solidFill>
                                <a:schemeClr val="tx2"/>
                              </a:solidFill>
                              <a:effectLst>
                                <a:outerShdw blurRad="38100" dist="38100" dir="2700000" algn="tl">
                                  <a:srgbClr val="C0C0C0"/>
                                </a:outerShdw>
                              </a:effectLst>
                            </a:rPr>
                            <a:t>Fixed Assets</a:t>
                          </a:r>
                        </a:p>
                      </a:txBody>
                      <a:useSpRect/>
                    </a:txSp>
                  </a:sp>
                  <a:sp>
                    <a:nvSpPr>
                      <a:cNvPr id="11271" name="Rectangle 7"/>
                      <a:cNvSpPr>
                        <a:spLocks noGrp="1" noChangeArrowheads="1"/>
                      </a:cNvSpPr>
                    </a:nvSpPr>
                    <a:spPr bwMode="auto">
                      <a:xfrm>
                        <a:off x="685800" y="1981200"/>
                        <a:ext cx="7772400" cy="533400"/>
                      </a:xfrm>
                      <a:prstGeom prst="rect">
                        <a:avLst/>
                      </a:prstGeom>
                      <a:noFill/>
                      <a:ln w="12700">
                        <a:noFill/>
                        <a:miter lim="800000"/>
                        <a:headEnd/>
                        <a:tailEnd/>
                      </a:ln>
                      <a:effectLst/>
                    </a:spPr>
                    <a:txSp>
                      <a:txBody>
                        <a:bodyPr vert="horz" wrap="square" lIns="90488" tIns="44450" rIns="90488" bIns="44450" numCol="1" anchor="t" anchorCtr="0" compatLnSpc="1">
                          <a:prstTxWarp prst="textNoShape">
                            <a:avLst/>
                          </a:prstTxWarp>
                        </a:bodyPr>
                        <a:lstStyle>
                          <a:lvl1pPr marL="342900" indent="-342900" algn="l" rtl="0" eaLnBrk="0" fontAlgn="base" hangingPunct="0">
                            <a:spcBef>
                              <a:spcPct val="20000"/>
                            </a:spcBef>
                            <a:spcAft>
                              <a:spcPct val="20000"/>
                            </a:spcAft>
                            <a:buClr>
                              <a:schemeClr val="tx2"/>
                            </a:buClr>
                            <a:buSzPct val="75000"/>
                            <a:buFont typeface="Monotype Sorts" pitchFamily="2" charset="2"/>
                            <a:buChar char="u"/>
                            <a:defRPr sz="2800" b="1">
                              <a:solidFill>
                                <a:srgbClr val="000000"/>
                              </a:solidFill>
                              <a:latin typeface="+mn-lt"/>
                              <a:ea typeface="+mn-ea"/>
                              <a:cs typeface="+mn-cs"/>
                            </a:defRPr>
                          </a:lvl1pPr>
                          <a:lvl2pPr marL="742950" indent="-285750" algn="l" rtl="0" eaLnBrk="0" fontAlgn="base" hangingPunct="0">
                            <a:spcBef>
                              <a:spcPct val="20000"/>
                            </a:spcBef>
                            <a:spcAft>
                              <a:spcPct val="20000"/>
                            </a:spcAft>
                            <a:buClr>
                              <a:schemeClr val="tx2"/>
                            </a:buClr>
                            <a:buSzPct val="75000"/>
                            <a:buFont typeface="Monotype Sorts" pitchFamily="2" charset="2"/>
                            <a:buChar char="u"/>
                            <a:defRPr sz="2400" b="1">
                              <a:solidFill>
                                <a:srgbClr val="000000"/>
                              </a:solidFill>
                              <a:latin typeface="+mn-lt"/>
                            </a:defRPr>
                          </a:lvl2pPr>
                          <a:lvl3pPr marL="1143000" indent="-228600" algn="l" rtl="0" eaLnBrk="0" fontAlgn="base" hangingPunct="0">
                            <a:spcBef>
                              <a:spcPct val="20000"/>
                            </a:spcBef>
                            <a:spcAft>
                              <a:spcPct val="20000"/>
                            </a:spcAft>
                            <a:buClr>
                              <a:schemeClr val="tx2"/>
                            </a:buClr>
                            <a:buSzPct val="65000"/>
                            <a:buFont typeface="Monotype Sorts" pitchFamily="2" charset="2"/>
                            <a:buChar char="u"/>
                            <a:defRPr sz="2000" b="1">
                              <a:solidFill>
                                <a:srgbClr val="000000"/>
                              </a:solidFill>
                              <a:latin typeface="+mn-lt"/>
                            </a:defRPr>
                          </a:lvl3pPr>
                          <a:lvl4pPr marL="1600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4pPr>
                          <a:lvl5pPr marL="20574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5pPr>
                          <a:lvl6pPr marL="25146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6pPr>
                          <a:lvl7pPr marL="29718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7pPr>
                          <a:lvl8pPr marL="34290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8pPr>
                          <a:lvl9pPr marL="3886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9pPr>
                        </a:lstStyle>
                        <a:p>
                          <a:pPr algn="ctr">
                            <a:spcBef>
                              <a:spcPct val="10000"/>
                            </a:spcBef>
                            <a:spcAft>
                              <a:spcPct val="10000"/>
                            </a:spcAft>
                            <a:buFont typeface="Monotype Sorts" pitchFamily="2" charset="2"/>
                            <a:buNone/>
                          </a:pPr>
                          <a:r>
                            <a:rPr lang="en-US" sz="2400"/>
                            <a:t>Optimal Amount (Level) of Current Assets</a:t>
                          </a:r>
                        </a:p>
                      </a:txBody>
                      <a:useSpRect/>
                    </a:txSp>
                  </a:sp>
                  <a:sp>
                    <a:nvSpPr>
                      <a:cNvPr id="11272" name="Line 8"/>
                      <a:cNvSpPr>
                        <a:spLocks noChangeShapeType="1"/>
                      </a:cNvSpPr>
                    </a:nvSpPr>
                    <a:spPr bwMode="auto">
                      <a:xfrm flipH="1">
                        <a:off x="4495800" y="5867400"/>
                        <a:ext cx="4114800" cy="0"/>
                      </a:xfrm>
                      <a:prstGeom prst="line">
                        <a:avLst/>
                      </a:prstGeom>
                      <a:noFill/>
                      <a:ln w="50800">
                        <a:solidFill>
                          <a:srgbClr val="000000"/>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1273" name="Line 9"/>
                      <a:cNvSpPr>
                        <a:spLocks noChangeShapeType="1"/>
                      </a:cNvSpPr>
                    </a:nvSpPr>
                    <a:spPr bwMode="auto">
                      <a:xfrm>
                        <a:off x="4495800" y="2667000"/>
                        <a:ext cx="0" cy="3200400"/>
                      </a:xfrm>
                      <a:prstGeom prst="line">
                        <a:avLst/>
                      </a:prstGeom>
                      <a:noFill/>
                      <a:ln w="50800">
                        <a:solidFill>
                          <a:srgbClr val="000000"/>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1274" name="Arc 10"/>
                      <a:cNvSpPr>
                        <a:spLocks/>
                      </a:cNvSpPr>
                    </a:nvSpPr>
                    <a:spPr bwMode="auto">
                      <a:xfrm rot="10800000">
                        <a:off x="4495800" y="3810000"/>
                        <a:ext cx="3962400" cy="1981200"/>
                      </a:xfrm>
                      <a:custGeom>
                        <a:avLst/>
                        <a:gdLst>
                          <a:gd name="G0" fmla="+- 0 0 0"/>
                          <a:gd name="G1" fmla="+- 0 0 0"/>
                          <a:gd name="G2" fmla="+- 21600 0 0"/>
                          <a:gd name="T0" fmla="*/ 21600 w 21600"/>
                          <a:gd name="T1" fmla="*/ 0 h 21600"/>
                          <a:gd name="T2" fmla="*/ 0 w 21600"/>
                          <a:gd name="T3" fmla="*/ 21600 h 21600"/>
                          <a:gd name="T4" fmla="*/ 0 w 21600"/>
                          <a:gd name="T5" fmla="*/ 0 h 21600"/>
                        </a:gdLst>
                        <a:ahLst/>
                        <a:cxnLst>
                          <a:cxn ang="0">
                            <a:pos x="T0" y="T1"/>
                          </a:cxn>
                          <a:cxn ang="0">
                            <a:pos x="T2" y="T3"/>
                          </a:cxn>
                          <a:cxn ang="0">
                            <a:pos x="T4" y="T5"/>
                          </a:cxn>
                        </a:cxnLst>
                        <a:rect l="0" t="0" r="r" b="b"/>
                        <a:pathLst>
                          <a:path w="21600" h="21600" fill="none" extrusionOk="0">
                            <a:moveTo>
                              <a:pt x="21600" y="0"/>
                            </a:moveTo>
                            <a:cubicBezTo>
                              <a:pt x="21600" y="11929"/>
                              <a:pt x="11929" y="21599"/>
                              <a:pt x="0" y="21600"/>
                            </a:cubicBezTo>
                          </a:path>
                          <a:path w="21600" h="21600" stroke="0" extrusionOk="0">
                            <a:moveTo>
                              <a:pt x="21600" y="0"/>
                            </a:moveTo>
                            <a:cubicBezTo>
                              <a:pt x="21600" y="11929"/>
                              <a:pt x="11929" y="21599"/>
                              <a:pt x="0" y="21600"/>
                            </a:cubicBezTo>
                            <a:lnTo>
                              <a:pt x="0" y="0"/>
                            </a:lnTo>
                            <a:close/>
                          </a:path>
                        </a:pathLst>
                      </a:custGeom>
                      <a:noFill/>
                      <a:ln w="50800" cap="rnd">
                        <a:solidFill>
                          <a:srgbClr val="42B200"/>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1275" name="Arc 11"/>
                      <a:cNvSpPr>
                        <a:spLocks/>
                      </a:cNvSpPr>
                    </a:nvSpPr>
                    <a:spPr bwMode="auto">
                      <a:xfrm rot="10800000">
                        <a:off x="4495800" y="3352800"/>
                        <a:ext cx="3962400" cy="2438400"/>
                      </a:xfrm>
                      <a:custGeom>
                        <a:avLst/>
                        <a:gdLst>
                          <a:gd name="G0" fmla="+- 0 0 0"/>
                          <a:gd name="G1" fmla="+- 0 0 0"/>
                          <a:gd name="G2" fmla="+- 21600 0 0"/>
                          <a:gd name="T0" fmla="*/ 21600 w 21600"/>
                          <a:gd name="T1" fmla="*/ 0 h 21600"/>
                          <a:gd name="T2" fmla="*/ 0 w 21600"/>
                          <a:gd name="T3" fmla="*/ 21600 h 21600"/>
                          <a:gd name="T4" fmla="*/ 0 w 21600"/>
                          <a:gd name="T5" fmla="*/ 0 h 21600"/>
                        </a:gdLst>
                        <a:ahLst/>
                        <a:cxnLst>
                          <a:cxn ang="0">
                            <a:pos x="T0" y="T1"/>
                          </a:cxn>
                          <a:cxn ang="0">
                            <a:pos x="T2" y="T3"/>
                          </a:cxn>
                          <a:cxn ang="0">
                            <a:pos x="T4" y="T5"/>
                          </a:cxn>
                        </a:cxnLst>
                        <a:rect l="0" t="0" r="r" b="b"/>
                        <a:pathLst>
                          <a:path w="21600" h="21600" fill="none" extrusionOk="0">
                            <a:moveTo>
                              <a:pt x="21600" y="0"/>
                            </a:moveTo>
                            <a:cubicBezTo>
                              <a:pt x="21600" y="11929"/>
                              <a:pt x="11929" y="21599"/>
                              <a:pt x="0" y="21600"/>
                            </a:cubicBezTo>
                          </a:path>
                          <a:path w="21600" h="21600" stroke="0" extrusionOk="0">
                            <a:moveTo>
                              <a:pt x="21600" y="0"/>
                            </a:moveTo>
                            <a:cubicBezTo>
                              <a:pt x="21600" y="11929"/>
                              <a:pt x="11929" y="21599"/>
                              <a:pt x="0" y="21600"/>
                            </a:cubicBezTo>
                            <a:lnTo>
                              <a:pt x="0" y="0"/>
                            </a:lnTo>
                            <a:close/>
                          </a:path>
                        </a:pathLst>
                      </a:custGeom>
                      <a:noFill/>
                      <a:ln w="50800" cap="rnd">
                        <a:solidFill>
                          <a:schemeClr val="hlink"/>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1276" name="Arc 12"/>
                      <a:cNvSpPr>
                        <a:spLocks/>
                      </a:cNvSpPr>
                    </a:nvSpPr>
                    <a:spPr bwMode="auto">
                      <a:xfrm rot="10800000">
                        <a:off x="4495800" y="4267200"/>
                        <a:ext cx="3962400" cy="1524000"/>
                      </a:xfrm>
                      <a:custGeom>
                        <a:avLst/>
                        <a:gdLst>
                          <a:gd name="G0" fmla="+- 0 0 0"/>
                          <a:gd name="G1" fmla="+- 0 0 0"/>
                          <a:gd name="G2" fmla="+- 21600 0 0"/>
                          <a:gd name="T0" fmla="*/ 21600 w 21600"/>
                          <a:gd name="T1" fmla="*/ 0 h 21600"/>
                          <a:gd name="T2" fmla="*/ 0 w 21600"/>
                          <a:gd name="T3" fmla="*/ 21600 h 21600"/>
                          <a:gd name="T4" fmla="*/ 0 w 21600"/>
                          <a:gd name="T5" fmla="*/ 0 h 21600"/>
                        </a:gdLst>
                        <a:ahLst/>
                        <a:cxnLst>
                          <a:cxn ang="0">
                            <a:pos x="T0" y="T1"/>
                          </a:cxn>
                          <a:cxn ang="0">
                            <a:pos x="T2" y="T3"/>
                          </a:cxn>
                          <a:cxn ang="0">
                            <a:pos x="T4" y="T5"/>
                          </a:cxn>
                        </a:cxnLst>
                        <a:rect l="0" t="0" r="r" b="b"/>
                        <a:pathLst>
                          <a:path w="21600" h="21600" fill="none" extrusionOk="0">
                            <a:moveTo>
                              <a:pt x="21600" y="0"/>
                            </a:moveTo>
                            <a:cubicBezTo>
                              <a:pt x="21600" y="11929"/>
                              <a:pt x="11929" y="21599"/>
                              <a:pt x="0" y="21600"/>
                            </a:cubicBezTo>
                          </a:path>
                          <a:path w="21600" h="21600" stroke="0" extrusionOk="0">
                            <a:moveTo>
                              <a:pt x="21600" y="0"/>
                            </a:moveTo>
                            <a:cubicBezTo>
                              <a:pt x="21600" y="11929"/>
                              <a:pt x="11929" y="21599"/>
                              <a:pt x="0" y="21600"/>
                            </a:cubicBezTo>
                            <a:lnTo>
                              <a:pt x="0" y="0"/>
                            </a:lnTo>
                            <a:close/>
                          </a:path>
                        </a:pathLst>
                      </a:custGeom>
                      <a:noFill/>
                      <a:ln w="50800" cap="rnd">
                        <a:solidFill>
                          <a:schemeClr val="tx2"/>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1277" name="Rectangle 13"/>
                      <a:cNvSpPr>
                        <a:spLocks noChangeArrowheads="1"/>
                      </a:cNvSpPr>
                    </a:nvSpPr>
                    <a:spPr bwMode="auto">
                      <a:xfrm>
                        <a:off x="4329113" y="5921375"/>
                        <a:ext cx="45624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0                       25,000                      50,000</a:t>
                          </a:r>
                        </a:p>
                      </a:txBody>
                      <a:useSpRect/>
                    </a:txSp>
                  </a:sp>
                  <a:sp>
                    <a:nvSpPr>
                      <a:cNvPr id="11278" name="Rectangle 14"/>
                      <a:cNvSpPr>
                        <a:spLocks noChangeArrowheads="1"/>
                      </a:cNvSpPr>
                    </a:nvSpPr>
                    <a:spPr bwMode="auto">
                      <a:xfrm>
                        <a:off x="5395913" y="6149975"/>
                        <a:ext cx="18827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OUTPUT (units)</a:t>
                          </a:r>
                        </a:p>
                      </a:txBody>
                      <a:useSpRect/>
                    </a:txSp>
                  </a:sp>
                  <a:sp>
                    <a:nvSpPr>
                      <a:cNvPr id="11279" name="Rectangle 15"/>
                      <a:cNvSpPr>
                        <a:spLocks noChangeArrowheads="1"/>
                      </a:cNvSpPr>
                    </a:nvSpPr>
                    <a:spPr bwMode="auto">
                      <a:xfrm rot="16200000">
                        <a:off x="3180556" y="4021932"/>
                        <a:ext cx="20859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ASSET LEVEL ($)</a:t>
                          </a:r>
                        </a:p>
                      </a:txBody>
                      <a:useSpRect/>
                    </a:txSp>
                  </a:sp>
                  <a:sp>
                    <a:nvSpPr>
                      <a:cNvPr id="11280" name="Rectangle 16"/>
                      <a:cNvSpPr>
                        <a:spLocks noChangeArrowheads="1"/>
                      </a:cNvSpPr>
                    </a:nvSpPr>
                    <a:spPr bwMode="auto">
                      <a:xfrm>
                        <a:off x="5548313" y="4778375"/>
                        <a:ext cx="18192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Current Assets</a:t>
                          </a:r>
                        </a:p>
                      </a:txBody>
                      <a:useSpRect/>
                    </a:txSp>
                  </a:sp>
                  <a:sp>
                    <a:nvSpPr>
                      <a:cNvPr id="11281" name="Line 17"/>
                      <a:cNvSpPr>
                        <a:spLocks noChangeShapeType="1"/>
                      </a:cNvSpPr>
                    </a:nvSpPr>
                    <a:spPr bwMode="auto">
                      <a:xfrm flipV="1">
                        <a:off x="6019800" y="3962400"/>
                        <a:ext cx="0" cy="8382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1282" name="Line 18"/>
                      <a:cNvSpPr>
                        <a:spLocks noChangeShapeType="1"/>
                      </a:cNvSpPr>
                    </a:nvSpPr>
                    <a:spPr bwMode="auto">
                      <a:xfrm flipV="1">
                        <a:off x="6324600" y="4191000"/>
                        <a:ext cx="0" cy="6096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1283" name="Line 19"/>
                      <a:cNvSpPr>
                        <a:spLocks noChangeShapeType="1"/>
                      </a:cNvSpPr>
                    </a:nvSpPr>
                    <a:spPr bwMode="auto">
                      <a:xfrm flipV="1">
                        <a:off x="6629400" y="4495800"/>
                        <a:ext cx="0" cy="3048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1284" name="Line 20"/>
                      <a:cNvSpPr>
                        <a:spLocks noChangeShapeType="1"/>
                      </a:cNvSpPr>
                    </a:nvSpPr>
                    <a:spPr bwMode="auto">
                      <a:xfrm>
                        <a:off x="6019800" y="5105400"/>
                        <a:ext cx="0" cy="7620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1285" name="Line 21"/>
                      <a:cNvSpPr>
                        <a:spLocks noChangeShapeType="1"/>
                      </a:cNvSpPr>
                    </a:nvSpPr>
                    <a:spPr bwMode="auto">
                      <a:xfrm>
                        <a:off x="6324600" y="5105400"/>
                        <a:ext cx="0" cy="7620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1286" name="Line 22"/>
                      <a:cNvSpPr>
                        <a:spLocks noChangeShapeType="1"/>
                      </a:cNvSpPr>
                    </a:nvSpPr>
                    <a:spPr bwMode="auto">
                      <a:xfrm>
                        <a:off x="6629400" y="5105400"/>
                        <a:ext cx="0" cy="7620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1287" name="Rectangle 23"/>
                      <a:cNvSpPr>
                        <a:spLocks noChangeArrowheads="1"/>
                      </a:cNvSpPr>
                    </a:nvSpPr>
                    <a:spPr bwMode="auto">
                      <a:xfrm>
                        <a:off x="7453313" y="3940175"/>
                        <a:ext cx="10826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solidFill>
                                <a:schemeClr val="tx2"/>
                              </a:solidFill>
                              <a:effectLst>
                                <a:outerShdw blurRad="38100" dist="38100" dir="2700000" algn="tl">
                                  <a:srgbClr val="C0C0C0"/>
                                </a:outerShdw>
                              </a:effectLst>
                            </a:rPr>
                            <a:t>Policy C</a:t>
                          </a:r>
                        </a:p>
                      </a:txBody>
                      <a:useSpRect/>
                    </a:txSp>
                  </a:sp>
                  <a:sp>
                    <a:nvSpPr>
                      <a:cNvPr id="11288" name="Rectangle 24"/>
                      <a:cNvSpPr>
                        <a:spLocks noChangeArrowheads="1"/>
                      </a:cNvSpPr>
                    </a:nvSpPr>
                    <a:spPr bwMode="auto">
                      <a:xfrm>
                        <a:off x="7453313" y="3025775"/>
                        <a:ext cx="10826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solidFill>
                                <a:schemeClr val="hlink"/>
                              </a:solidFill>
                              <a:effectLst>
                                <a:outerShdw blurRad="38100" dist="38100" dir="2700000" algn="tl">
                                  <a:srgbClr val="C0C0C0"/>
                                </a:outerShdw>
                              </a:effectLst>
                            </a:rPr>
                            <a:t>Policy A</a:t>
                          </a:r>
                        </a:p>
                      </a:txBody>
                      <a:useSpRect/>
                    </a:txSp>
                  </a:sp>
                  <a:sp>
                    <a:nvSpPr>
                      <a:cNvPr id="11289" name="Rectangle 25"/>
                      <a:cNvSpPr>
                        <a:spLocks noChangeArrowheads="1"/>
                      </a:cNvSpPr>
                    </a:nvSpPr>
                    <a:spPr bwMode="auto">
                      <a:xfrm>
                        <a:off x="7453313" y="3482975"/>
                        <a:ext cx="10826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solidFill>
                                <a:srgbClr val="42B200"/>
                              </a:solidFill>
                              <a:effectLst>
                                <a:outerShdw blurRad="38100" dist="38100" dir="2700000" algn="tl">
                                  <a:srgbClr val="C0C0C0"/>
                                </a:outerShdw>
                              </a:effectLst>
                            </a:rPr>
                            <a:t>Policy B</a:t>
                          </a:r>
                        </a:p>
                      </a:txBody>
                      <a:useSpRect/>
                    </a:txSp>
                  </a:sp>
                  <a:sp>
                    <a:nvSpPr>
                      <a:cNvPr id="11290" name="Line 26"/>
                      <a:cNvSpPr>
                        <a:spLocks noChangeShapeType="1"/>
                      </a:cNvSpPr>
                    </a:nvSpPr>
                    <a:spPr bwMode="auto">
                      <a:xfrm>
                        <a:off x="381000" y="4724400"/>
                        <a:ext cx="3505200" cy="0"/>
                      </a:xfrm>
                      <a:prstGeom prst="line">
                        <a:avLst/>
                      </a:prstGeom>
                      <a:noFill/>
                      <a:ln w="38100" cmpd="dbl">
                        <a:solidFill>
                          <a:schemeClr val="tx1"/>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1291" name="Line 27"/>
                      <a:cNvSpPr>
                        <a:spLocks noChangeShapeType="1"/>
                      </a:cNvSpPr>
                    </a:nvSpPr>
                    <a:spPr bwMode="auto">
                      <a:xfrm>
                        <a:off x="381000" y="3886200"/>
                        <a:ext cx="3505200" cy="0"/>
                      </a:xfrm>
                      <a:prstGeom prst="line">
                        <a:avLst/>
                      </a:prstGeom>
                      <a:noFill/>
                      <a:ln w="38100" cmpd="dbl">
                        <a:solidFill>
                          <a:schemeClr val="tx1"/>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1292" name="Line 28"/>
                      <a:cNvSpPr>
                        <a:spLocks noChangeShapeType="1"/>
                      </a:cNvSpPr>
                    </a:nvSpPr>
                    <a:spPr bwMode="auto">
                      <a:xfrm>
                        <a:off x="609600" y="5715000"/>
                        <a:ext cx="3048000" cy="0"/>
                      </a:xfrm>
                      <a:prstGeom prst="line">
                        <a:avLst/>
                      </a:prstGeom>
                      <a:noFill/>
                      <a:ln w="25400">
                        <a:solidFill>
                          <a:schemeClr val="tx1"/>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1293" name="Line 29"/>
                      <a:cNvSpPr>
                        <a:spLocks noChangeShapeType="1"/>
                      </a:cNvSpPr>
                    </a:nvSpPr>
                    <a:spPr bwMode="auto">
                      <a:xfrm>
                        <a:off x="1295400" y="3505200"/>
                        <a:ext cx="1676400" cy="0"/>
                      </a:xfrm>
                      <a:prstGeom prst="line">
                        <a:avLst/>
                      </a:prstGeom>
                      <a:noFill/>
                      <a:ln w="25400">
                        <a:solidFill>
                          <a:schemeClr val="tx1"/>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lc:lockedCanvas>
              </a:graphicData>
            </a:graphic>
          </wp:inline>
        </w:drawing>
      </w:r>
    </w:p>
    <w:p w:rsidR="00671B39" w:rsidRPr="003558E0" w:rsidRDefault="00671B39" w:rsidP="00E44553">
      <w:pPr>
        <w:rPr>
          <w:rFonts w:ascii="GE Inspira" w:hAnsi="GE Inspira"/>
          <w:sz w:val="24"/>
          <w:szCs w:val="24"/>
        </w:rPr>
      </w:pPr>
    </w:p>
    <w:p w:rsidR="00671B39" w:rsidRPr="003558E0" w:rsidRDefault="00671B39" w:rsidP="00E44553">
      <w:pPr>
        <w:rPr>
          <w:rFonts w:ascii="GE Inspira" w:hAnsi="GE Inspira"/>
          <w:sz w:val="24"/>
          <w:szCs w:val="24"/>
        </w:rPr>
      </w:pPr>
      <w:r w:rsidRPr="003558E0">
        <w:rPr>
          <w:rFonts w:ascii="GE Inspira" w:hAnsi="GE Inspira"/>
          <w:sz w:val="24"/>
          <w:szCs w:val="24"/>
        </w:rPr>
        <w:drawing>
          <wp:inline distT="0" distB="0" distL="0" distR="0">
            <wp:extent cx="5943600" cy="3221355"/>
            <wp:effectExtent l="0" t="0" r="0" b="0"/>
            <wp:docPr id="9" name="Objec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91538" cy="4602163"/>
                      <a:chOff x="400050" y="1911350"/>
                      <a:chExt cx="8491538" cy="4602163"/>
                    </a:xfrm>
                  </a:grpSpPr>
                  <a:sp>
                    <a:nvSpPr>
                      <a:cNvPr id="12290" name="Rectangle 2"/>
                      <a:cNvSpPr>
                        <a:spLocks noChangeArrowheads="1"/>
                      </a:cNvSpPr>
                    </a:nvSpPr>
                    <a:spPr bwMode="auto">
                      <a:xfrm>
                        <a:off x="1454150" y="1911350"/>
                        <a:ext cx="6235700" cy="520700"/>
                      </a:xfrm>
                      <a:prstGeom prst="rect">
                        <a:avLst/>
                      </a:prstGeom>
                      <a:pattFill prst="narVert">
                        <a:fgClr>
                          <a:schemeClr val="accent1"/>
                        </a:fgClr>
                        <a:bgClr>
                          <a:schemeClr val="bg1"/>
                        </a:bgClr>
                      </a:pattFill>
                      <a:ln w="12700">
                        <a:solidFill>
                          <a:srgbClr val="000000"/>
                        </a:solidFill>
                        <a:miter lim="800000"/>
                        <a:headEnd/>
                        <a:tailEnd/>
                      </a:ln>
                      <a:effectLst/>
                    </a:spPr>
                    <a:txSp>
                      <a:txBody>
                        <a:bodyPr wrap="none" anchor="ct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2293" name="Rectangle 5"/>
                      <a:cNvSpPr>
                        <a:spLocks noGrp="1" noChangeArrowheads="1"/>
                      </a:cNvSpPr>
                    </a:nvSpPr>
                    <a:spPr bwMode="auto">
                      <a:xfrm>
                        <a:off x="400050" y="2609850"/>
                        <a:ext cx="3467100" cy="3771900"/>
                      </a:xfrm>
                      <a:prstGeom prst="rect">
                        <a:avLst/>
                      </a:prstGeom>
                      <a:noFill/>
                      <a:ln w="38100" cap="flat" cmpd="dbl">
                        <a:solidFill>
                          <a:srgbClr val="000000"/>
                        </a:solidFill>
                        <a:miter lim="800000"/>
                        <a:headEnd/>
                        <a:tailEnd/>
                      </a:ln>
                      <a:effectLst/>
                    </a:spPr>
                    <a:txSp>
                      <a:txBody>
                        <a:bodyPr vert="horz" wrap="square" lIns="90488" tIns="44450" rIns="90488" bIns="44450" numCol="1" anchor="t" anchorCtr="0" compatLnSpc="1">
                          <a:prstTxWarp prst="textNoShape">
                            <a:avLst/>
                          </a:prstTxWarp>
                        </a:bodyPr>
                        <a:lstStyle>
                          <a:lvl1pPr marL="342900" indent="-342900" algn="l" rtl="0" eaLnBrk="0" fontAlgn="base" hangingPunct="0">
                            <a:spcBef>
                              <a:spcPct val="20000"/>
                            </a:spcBef>
                            <a:spcAft>
                              <a:spcPct val="20000"/>
                            </a:spcAft>
                            <a:buClr>
                              <a:schemeClr val="tx2"/>
                            </a:buClr>
                            <a:buSzPct val="75000"/>
                            <a:buFont typeface="Monotype Sorts" pitchFamily="2" charset="2"/>
                            <a:buChar char="u"/>
                            <a:defRPr sz="2800" b="1">
                              <a:solidFill>
                                <a:srgbClr val="000000"/>
                              </a:solidFill>
                              <a:latin typeface="+mn-lt"/>
                              <a:ea typeface="+mn-ea"/>
                              <a:cs typeface="+mn-cs"/>
                            </a:defRPr>
                          </a:lvl1pPr>
                          <a:lvl2pPr marL="742950" indent="-285750" algn="l" rtl="0" eaLnBrk="0" fontAlgn="base" hangingPunct="0">
                            <a:spcBef>
                              <a:spcPct val="20000"/>
                            </a:spcBef>
                            <a:spcAft>
                              <a:spcPct val="20000"/>
                            </a:spcAft>
                            <a:buClr>
                              <a:schemeClr val="tx2"/>
                            </a:buClr>
                            <a:buSzPct val="75000"/>
                            <a:buFont typeface="Monotype Sorts" pitchFamily="2" charset="2"/>
                            <a:buChar char="u"/>
                            <a:defRPr sz="2400" b="1">
                              <a:solidFill>
                                <a:srgbClr val="000000"/>
                              </a:solidFill>
                              <a:latin typeface="+mn-lt"/>
                            </a:defRPr>
                          </a:lvl2pPr>
                          <a:lvl3pPr marL="1143000" indent="-228600" algn="l" rtl="0" eaLnBrk="0" fontAlgn="base" hangingPunct="0">
                            <a:spcBef>
                              <a:spcPct val="20000"/>
                            </a:spcBef>
                            <a:spcAft>
                              <a:spcPct val="20000"/>
                            </a:spcAft>
                            <a:buClr>
                              <a:schemeClr val="tx2"/>
                            </a:buClr>
                            <a:buSzPct val="65000"/>
                            <a:buFont typeface="Monotype Sorts" pitchFamily="2" charset="2"/>
                            <a:buChar char="u"/>
                            <a:defRPr sz="2000" b="1">
                              <a:solidFill>
                                <a:srgbClr val="000000"/>
                              </a:solidFill>
                              <a:latin typeface="+mn-lt"/>
                            </a:defRPr>
                          </a:lvl3pPr>
                          <a:lvl4pPr marL="1600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4pPr>
                          <a:lvl5pPr marL="20574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5pPr>
                          <a:lvl6pPr marL="25146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6pPr>
                          <a:lvl7pPr marL="29718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7pPr>
                          <a:lvl8pPr marL="34290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8pPr>
                          <a:lvl9pPr marL="3886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9pPr>
                        </a:lstStyle>
                        <a:p>
                          <a:pPr marL="0" indent="0" algn="ctr">
                            <a:spcBef>
                              <a:spcPct val="10000"/>
                            </a:spcBef>
                            <a:spcAft>
                              <a:spcPct val="10000"/>
                            </a:spcAft>
                            <a:buFont typeface="Monotype Sorts" pitchFamily="2" charset="2"/>
                            <a:buNone/>
                          </a:pPr>
                          <a:r>
                            <a:rPr lang="en-US" sz="2400" u="sng"/>
                            <a:t>Profitability Analysis</a:t>
                          </a:r>
                        </a:p>
                        <a:p>
                          <a:pPr marL="0" indent="0">
                            <a:spcBef>
                              <a:spcPct val="10000"/>
                            </a:spcBef>
                            <a:spcAft>
                              <a:spcPct val="10000"/>
                            </a:spcAft>
                            <a:buFont typeface="Monotype Sorts" pitchFamily="2" charset="2"/>
                            <a:buNone/>
                          </a:pPr>
                          <a:r>
                            <a:rPr lang="en-US" sz="2400" i="1" u="sng">
                              <a:effectLst>
                                <a:outerShdw blurRad="38100" dist="38100" dir="2700000" algn="tl">
                                  <a:srgbClr val="C0C0C0"/>
                                </a:outerShdw>
                              </a:effectLst>
                            </a:rPr>
                            <a:t>Policy</a:t>
                          </a:r>
                          <a:r>
                            <a:rPr lang="en-US" sz="2400" i="1">
                              <a:effectLst>
                                <a:outerShdw blurRad="38100" dist="38100" dir="2700000" algn="tl">
                                  <a:srgbClr val="C0C0C0"/>
                                </a:outerShdw>
                              </a:effectLst>
                            </a:rPr>
                            <a:t>	       </a:t>
                          </a:r>
                          <a:r>
                            <a:rPr lang="en-US" sz="2400" i="1" u="sng">
                              <a:effectLst>
                                <a:outerShdw blurRad="38100" dist="38100" dir="2700000" algn="tl">
                                  <a:srgbClr val="C0C0C0"/>
                                </a:outerShdw>
                              </a:effectLst>
                            </a:rPr>
                            <a:t>Profitability</a:t>
                          </a:r>
                          <a:endParaRPr lang="en-US" sz="2400"/>
                        </a:p>
                        <a:p>
                          <a:pPr marL="0" indent="0">
                            <a:spcBef>
                              <a:spcPct val="10000"/>
                            </a:spcBef>
                            <a:spcAft>
                              <a:spcPct val="10000"/>
                            </a:spcAft>
                            <a:buFont typeface="Monotype Sorts" pitchFamily="2" charset="2"/>
                            <a:buNone/>
                          </a:pPr>
                          <a:r>
                            <a:rPr lang="en-US" sz="2400">
                              <a:solidFill>
                                <a:schemeClr val="hlink"/>
                              </a:solidFill>
                              <a:effectLst>
                                <a:outerShdw blurRad="38100" dist="38100" dir="2700000" algn="tl">
                                  <a:srgbClr val="C0C0C0"/>
                                </a:outerShdw>
                              </a:effectLst>
                            </a:rPr>
                            <a:t>    A		Low</a:t>
                          </a:r>
                        </a:p>
                        <a:p>
                          <a:pPr marL="0" indent="0">
                            <a:spcBef>
                              <a:spcPct val="10000"/>
                            </a:spcBef>
                            <a:spcAft>
                              <a:spcPct val="10000"/>
                            </a:spcAft>
                            <a:buFont typeface="Monotype Sorts" pitchFamily="2" charset="2"/>
                            <a:buNone/>
                          </a:pPr>
                          <a:r>
                            <a:rPr lang="en-US" sz="2400">
                              <a:solidFill>
                                <a:srgbClr val="42B200"/>
                              </a:solidFill>
                              <a:effectLst>
                                <a:outerShdw blurRad="38100" dist="38100" dir="2700000" algn="tl">
                                  <a:srgbClr val="C0C0C0"/>
                                </a:outerShdw>
                              </a:effectLst>
                            </a:rPr>
                            <a:t>    B		Average</a:t>
                          </a:r>
                        </a:p>
                        <a:p>
                          <a:pPr marL="0" indent="0">
                            <a:spcBef>
                              <a:spcPct val="10000"/>
                            </a:spcBef>
                            <a:spcAft>
                              <a:spcPct val="10000"/>
                            </a:spcAft>
                            <a:buFont typeface="Monotype Sorts" pitchFamily="2" charset="2"/>
                            <a:buNone/>
                          </a:pPr>
                          <a:r>
                            <a:rPr lang="en-US" sz="2400">
                              <a:solidFill>
                                <a:schemeClr val="tx2"/>
                              </a:solidFill>
                              <a:effectLst>
                                <a:outerShdw blurRad="38100" dist="38100" dir="2700000" algn="tl">
                                  <a:srgbClr val="C0C0C0"/>
                                </a:outerShdw>
                              </a:effectLst>
                            </a:rPr>
                            <a:t>    C		High</a:t>
                          </a:r>
                          <a:endParaRPr lang="en-US" sz="2400">
                            <a:solidFill>
                              <a:schemeClr val="tx2"/>
                            </a:solidFill>
                          </a:endParaRPr>
                        </a:p>
                        <a:p>
                          <a:pPr marL="0" indent="0" algn="ctr">
                            <a:spcBef>
                              <a:spcPct val="30000"/>
                            </a:spcBef>
                            <a:spcAft>
                              <a:spcPct val="10000"/>
                            </a:spcAft>
                            <a:buFont typeface="Monotype Sorts" pitchFamily="2" charset="2"/>
                            <a:buNone/>
                          </a:pPr>
                          <a:r>
                            <a:rPr lang="en-US" sz="2200"/>
                            <a:t>As current asset levels decline, total assets will decline and the ROI will rise.</a:t>
                          </a:r>
                        </a:p>
                      </a:txBody>
                      <a:useSpRect/>
                    </a:txSp>
                  </a:sp>
                  <a:sp>
                    <a:nvSpPr>
                      <a:cNvPr id="12294" name="Rectangle 6"/>
                      <a:cNvSpPr>
                        <a:spLocks noGrp="1" noChangeArrowheads="1"/>
                      </a:cNvSpPr>
                    </a:nvSpPr>
                    <a:spPr bwMode="auto">
                      <a:xfrm>
                        <a:off x="685800" y="1981200"/>
                        <a:ext cx="7772400" cy="533400"/>
                      </a:xfrm>
                      <a:prstGeom prst="rect">
                        <a:avLst/>
                      </a:prstGeom>
                      <a:noFill/>
                      <a:ln w="12700">
                        <a:noFill/>
                        <a:miter lim="800000"/>
                        <a:headEnd/>
                        <a:tailEnd/>
                      </a:ln>
                      <a:effectLst/>
                    </a:spPr>
                    <a:txSp>
                      <a:txBody>
                        <a:bodyPr vert="horz" wrap="square" lIns="90488" tIns="44450" rIns="90488" bIns="44450" numCol="1" anchor="t" anchorCtr="0" compatLnSpc="1">
                          <a:prstTxWarp prst="textNoShape">
                            <a:avLst/>
                          </a:prstTxWarp>
                        </a:bodyPr>
                        <a:lstStyle>
                          <a:lvl1pPr marL="342900" indent="-342900" algn="l" rtl="0" eaLnBrk="0" fontAlgn="base" hangingPunct="0">
                            <a:spcBef>
                              <a:spcPct val="20000"/>
                            </a:spcBef>
                            <a:spcAft>
                              <a:spcPct val="20000"/>
                            </a:spcAft>
                            <a:buClr>
                              <a:schemeClr val="tx2"/>
                            </a:buClr>
                            <a:buSzPct val="75000"/>
                            <a:buFont typeface="Monotype Sorts" pitchFamily="2" charset="2"/>
                            <a:buChar char="u"/>
                            <a:defRPr sz="2800" b="1">
                              <a:solidFill>
                                <a:srgbClr val="000000"/>
                              </a:solidFill>
                              <a:latin typeface="+mn-lt"/>
                              <a:ea typeface="+mn-ea"/>
                              <a:cs typeface="+mn-cs"/>
                            </a:defRPr>
                          </a:lvl1pPr>
                          <a:lvl2pPr marL="742950" indent="-285750" algn="l" rtl="0" eaLnBrk="0" fontAlgn="base" hangingPunct="0">
                            <a:spcBef>
                              <a:spcPct val="20000"/>
                            </a:spcBef>
                            <a:spcAft>
                              <a:spcPct val="20000"/>
                            </a:spcAft>
                            <a:buClr>
                              <a:schemeClr val="tx2"/>
                            </a:buClr>
                            <a:buSzPct val="75000"/>
                            <a:buFont typeface="Monotype Sorts" pitchFamily="2" charset="2"/>
                            <a:buChar char="u"/>
                            <a:defRPr sz="2400" b="1">
                              <a:solidFill>
                                <a:srgbClr val="000000"/>
                              </a:solidFill>
                              <a:latin typeface="+mn-lt"/>
                            </a:defRPr>
                          </a:lvl2pPr>
                          <a:lvl3pPr marL="1143000" indent="-228600" algn="l" rtl="0" eaLnBrk="0" fontAlgn="base" hangingPunct="0">
                            <a:spcBef>
                              <a:spcPct val="20000"/>
                            </a:spcBef>
                            <a:spcAft>
                              <a:spcPct val="20000"/>
                            </a:spcAft>
                            <a:buClr>
                              <a:schemeClr val="tx2"/>
                            </a:buClr>
                            <a:buSzPct val="65000"/>
                            <a:buFont typeface="Monotype Sorts" pitchFamily="2" charset="2"/>
                            <a:buChar char="u"/>
                            <a:defRPr sz="2000" b="1">
                              <a:solidFill>
                                <a:srgbClr val="000000"/>
                              </a:solidFill>
                              <a:latin typeface="+mn-lt"/>
                            </a:defRPr>
                          </a:lvl3pPr>
                          <a:lvl4pPr marL="1600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4pPr>
                          <a:lvl5pPr marL="20574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5pPr>
                          <a:lvl6pPr marL="25146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6pPr>
                          <a:lvl7pPr marL="29718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7pPr>
                          <a:lvl8pPr marL="34290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8pPr>
                          <a:lvl9pPr marL="3886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9pPr>
                        </a:lstStyle>
                        <a:p>
                          <a:pPr algn="ctr">
                            <a:spcBef>
                              <a:spcPct val="10000"/>
                            </a:spcBef>
                            <a:spcAft>
                              <a:spcPct val="10000"/>
                            </a:spcAft>
                            <a:buFont typeface="Monotype Sorts" pitchFamily="2" charset="2"/>
                            <a:buNone/>
                          </a:pPr>
                          <a:r>
                            <a:rPr lang="en-US" sz="2400"/>
                            <a:t>Optimal Amount (Level) of Current Assets</a:t>
                          </a:r>
                        </a:p>
                      </a:txBody>
                      <a:useSpRect/>
                    </a:txSp>
                  </a:sp>
                  <a:sp>
                    <a:nvSpPr>
                      <a:cNvPr id="12295" name="Line 7"/>
                      <a:cNvSpPr>
                        <a:spLocks noChangeShapeType="1"/>
                      </a:cNvSpPr>
                    </a:nvSpPr>
                    <a:spPr bwMode="auto">
                      <a:xfrm flipH="1">
                        <a:off x="4495800" y="5867400"/>
                        <a:ext cx="4114800" cy="0"/>
                      </a:xfrm>
                      <a:prstGeom prst="line">
                        <a:avLst/>
                      </a:prstGeom>
                      <a:noFill/>
                      <a:ln w="50800">
                        <a:solidFill>
                          <a:srgbClr val="000000"/>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2296" name="Line 8"/>
                      <a:cNvSpPr>
                        <a:spLocks noChangeShapeType="1"/>
                      </a:cNvSpPr>
                    </a:nvSpPr>
                    <a:spPr bwMode="auto">
                      <a:xfrm>
                        <a:off x="4495800" y="2667000"/>
                        <a:ext cx="0" cy="3200400"/>
                      </a:xfrm>
                      <a:prstGeom prst="line">
                        <a:avLst/>
                      </a:prstGeom>
                      <a:noFill/>
                      <a:ln w="50800">
                        <a:solidFill>
                          <a:srgbClr val="000000"/>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2297" name="Arc 9"/>
                      <a:cNvSpPr>
                        <a:spLocks/>
                      </a:cNvSpPr>
                    </a:nvSpPr>
                    <a:spPr bwMode="auto">
                      <a:xfrm rot="10800000">
                        <a:off x="4495800" y="3810000"/>
                        <a:ext cx="3962400" cy="1981200"/>
                      </a:xfrm>
                      <a:custGeom>
                        <a:avLst/>
                        <a:gdLst>
                          <a:gd name="G0" fmla="+- 0 0 0"/>
                          <a:gd name="G1" fmla="+- 0 0 0"/>
                          <a:gd name="G2" fmla="+- 21600 0 0"/>
                          <a:gd name="T0" fmla="*/ 21600 w 21600"/>
                          <a:gd name="T1" fmla="*/ 0 h 21600"/>
                          <a:gd name="T2" fmla="*/ 0 w 21600"/>
                          <a:gd name="T3" fmla="*/ 21600 h 21600"/>
                          <a:gd name="T4" fmla="*/ 0 w 21600"/>
                          <a:gd name="T5" fmla="*/ 0 h 21600"/>
                        </a:gdLst>
                        <a:ahLst/>
                        <a:cxnLst>
                          <a:cxn ang="0">
                            <a:pos x="T0" y="T1"/>
                          </a:cxn>
                          <a:cxn ang="0">
                            <a:pos x="T2" y="T3"/>
                          </a:cxn>
                          <a:cxn ang="0">
                            <a:pos x="T4" y="T5"/>
                          </a:cxn>
                        </a:cxnLst>
                        <a:rect l="0" t="0" r="r" b="b"/>
                        <a:pathLst>
                          <a:path w="21600" h="21600" fill="none" extrusionOk="0">
                            <a:moveTo>
                              <a:pt x="21600" y="0"/>
                            </a:moveTo>
                            <a:cubicBezTo>
                              <a:pt x="21600" y="11929"/>
                              <a:pt x="11929" y="21599"/>
                              <a:pt x="0" y="21600"/>
                            </a:cubicBezTo>
                          </a:path>
                          <a:path w="21600" h="21600" stroke="0" extrusionOk="0">
                            <a:moveTo>
                              <a:pt x="21600" y="0"/>
                            </a:moveTo>
                            <a:cubicBezTo>
                              <a:pt x="21600" y="11929"/>
                              <a:pt x="11929" y="21599"/>
                              <a:pt x="0" y="21600"/>
                            </a:cubicBezTo>
                            <a:lnTo>
                              <a:pt x="0" y="0"/>
                            </a:lnTo>
                            <a:close/>
                          </a:path>
                        </a:pathLst>
                      </a:custGeom>
                      <a:noFill/>
                      <a:ln w="50800" cap="rnd">
                        <a:solidFill>
                          <a:srgbClr val="42B200"/>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2298" name="Arc 10"/>
                      <a:cNvSpPr>
                        <a:spLocks/>
                      </a:cNvSpPr>
                    </a:nvSpPr>
                    <a:spPr bwMode="auto">
                      <a:xfrm rot="10800000">
                        <a:off x="4495800" y="3352800"/>
                        <a:ext cx="3962400" cy="2438400"/>
                      </a:xfrm>
                      <a:custGeom>
                        <a:avLst/>
                        <a:gdLst>
                          <a:gd name="G0" fmla="+- 0 0 0"/>
                          <a:gd name="G1" fmla="+- 0 0 0"/>
                          <a:gd name="G2" fmla="+- 21600 0 0"/>
                          <a:gd name="T0" fmla="*/ 21600 w 21600"/>
                          <a:gd name="T1" fmla="*/ 0 h 21600"/>
                          <a:gd name="T2" fmla="*/ 0 w 21600"/>
                          <a:gd name="T3" fmla="*/ 21600 h 21600"/>
                          <a:gd name="T4" fmla="*/ 0 w 21600"/>
                          <a:gd name="T5" fmla="*/ 0 h 21600"/>
                        </a:gdLst>
                        <a:ahLst/>
                        <a:cxnLst>
                          <a:cxn ang="0">
                            <a:pos x="T0" y="T1"/>
                          </a:cxn>
                          <a:cxn ang="0">
                            <a:pos x="T2" y="T3"/>
                          </a:cxn>
                          <a:cxn ang="0">
                            <a:pos x="T4" y="T5"/>
                          </a:cxn>
                        </a:cxnLst>
                        <a:rect l="0" t="0" r="r" b="b"/>
                        <a:pathLst>
                          <a:path w="21600" h="21600" fill="none" extrusionOk="0">
                            <a:moveTo>
                              <a:pt x="21600" y="0"/>
                            </a:moveTo>
                            <a:cubicBezTo>
                              <a:pt x="21600" y="11929"/>
                              <a:pt x="11929" y="21599"/>
                              <a:pt x="0" y="21600"/>
                            </a:cubicBezTo>
                          </a:path>
                          <a:path w="21600" h="21600" stroke="0" extrusionOk="0">
                            <a:moveTo>
                              <a:pt x="21600" y="0"/>
                            </a:moveTo>
                            <a:cubicBezTo>
                              <a:pt x="21600" y="11929"/>
                              <a:pt x="11929" y="21599"/>
                              <a:pt x="0" y="21600"/>
                            </a:cubicBezTo>
                            <a:lnTo>
                              <a:pt x="0" y="0"/>
                            </a:lnTo>
                            <a:close/>
                          </a:path>
                        </a:pathLst>
                      </a:custGeom>
                      <a:noFill/>
                      <a:ln w="50800" cap="rnd">
                        <a:solidFill>
                          <a:schemeClr val="hlink"/>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2299" name="Arc 11"/>
                      <a:cNvSpPr>
                        <a:spLocks/>
                      </a:cNvSpPr>
                    </a:nvSpPr>
                    <a:spPr bwMode="auto">
                      <a:xfrm rot="10800000">
                        <a:off x="4495800" y="4267200"/>
                        <a:ext cx="3962400" cy="1524000"/>
                      </a:xfrm>
                      <a:custGeom>
                        <a:avLst/>
                        <a:gdLst>
                          <a:gd name="G0" fmla="+- 0 0 0"/>
                          <a:gd name="G1" fmla="+- 0 0 0"/>
                          <a:gd name="G2" fmla="+- 21600 0 0"/>
                          <a:gd name="T0" fmla="*/ 21600 w 21600"/>
                          <a:gd name="T1" fmla="*/ 0 h 21600"/>
                          <a:gd name="T2" fmla="*/ 0 w 21600"/>
                          <a:gd name="T3" fmla="*/ 21600 h 21600"/>
                          <a:gd name="T4" fmla="*/ 0 w 21600"/>
                          <a:gd name="T5" fmla="*/ 0 h 21600"/>
                        </a:gdLst>
                        <a:ahLst/>
                        <a:cxnLst>
                          <a:cxn ang="0">
                            <a:pos x="T0" y="T1"/>
                          </a:cxn>
                          <a:cxn ang="0">
                            <a:pos x="T2" y="T3"/>
                          </a:cxn>
                          <a:cxn ang="0">
                            <a:pos x="T4" y="T5"/>
                          </a:cxn>
                        </a:cxnLst>
                        <a:rect l="0" t="0" r="r" b="b"/>
                        <a:pathLst>
                          <a:path w="21600" h="21600" fill="none" extrusionOk="0">
                            <a:moveTo>
                              <a:pt x="21600" y="0"/>
                            </a:moveTo>
                            <a:cubicBezTo>
                              <a:pt x="21600" y="11929"/>
                              <a:pt x="11929" y="21599"/>
                              <a:pt x="0" y="21600"/>
                            </a:cubicBezTo>
                          </a:path>
                          <a:path w="21600" h="21600" stroke="0" extrusionOk="0">
                            <a:moveTo>
                              <a:pt x="21600" y="0"/>
                            </a:moveTo>
                            <a:cubicBezTo>
                              <a:pt x="21600" y="11929"/>
                              <a:pt x="11929" y="21599"/>
                              <a:pt x="0" y="21600"/>
                            </a:cubicBezTo>
                            <a:lnTo>
                              <a:pt x="0" y="0"/>
                            </a:lnTo>
                            <a:close/>
                          </a:path>
                        </a:pathLst>
                      </a:custGeom>
                      <a:noFill/>
                      <a:ln w="50800" cap="rnd">
                        <a:solidFill>
                          <a:schemeClr val="tx2"/>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2300" name="Rectangle 12"/>
                      <a:cNvSpPr>
                        <a:spLocks noChangeArrowheads="1"/>
                      </a:cNvSpPr>
                    </a:nvSpPr>
                    <a:spPr bwMode="auto">
                      <a:xfrm>
                        <a:off x="4329113" y="5921375"/>
                        <a:ext cx="45624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0                       25,000                      50,000</a:t>
                          </a:r>
                        </a:p>
                      </a:txBody>
                      <a:useSpRect/>
                    </a:txSp>
                  </a:sp>
                  <a:sp>
                    <a:nvSpPr>
                      <a:cNvPr id="12301" name="Rectangle 13"/>
                      <a:cNvSpPr>
                        <a:spLocks noChangeArrowheads="1"/>
                      </a:cNvSpPr>
                    </a:nvSpPr>
                    <a:spPr bwMode="auto">
                      <a:xfrm>
                        <a:off x="5395913" y="6149975"/>
                        <a:ext cx="18827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OUTPUT (units)</a:t>
                          </a:r>
                        </a:p>
                      </a:txBody>
                      <a:useSpRect/>
                    </a:txSp>
                  </a:sp>
                  <a:sp>
                    <a:nvSpPr>
                      <a:cNvPr id="12302" name="Rectangle 14"/>
                      <a:cNvSpPr>
                        <a:spLocks noChangeArrowheads="1"/>
                      </a:cNvSpPr>
                    </a:nvSpPr>
                    <a:spPr bwMode="auto">
                      <a:xfrm rot="16200000">
                        <a:off x="3180556" y="4021932"/>
                        <a:ext cx="20859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ASSET LEVEL ($)</a:t>
                          </a:r>
                        </a:p>
                      </a:txBody>
                      <a:useSpRect/>
                    </a:txSp>
                  </a:sp>
                  <a:sp>
                    <a:nvSpPr>
                      <a:cNvPr id="12303" name="Rectangle 15"/>
                      <a:cNvSpPr>
                        <a:spLocks noChangeArrowheads="1"/>
                      </a:cNvSpPr>
                    </a:nvSpPr>
                    <a:spPr bwMode="auto">
                      <a:xfrm>
                        <a:off x="5548313" y="4778375"/>
                        <a:ext cx="18192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Current Assets</a:t>
                          </a:r>
                        </a:p>
                      </a:txBody>
                      <a:useSpRect/>
                    </a:txSp>
                  </a:sp>
                  <a:sp>
                    <a:nvSpPr>
                      <a:cNvPr id="12304" name="Line 16"/>
                      <a:cNvSpPr>
                        <a:spLocks noChangeShapeType="1"/>
                      </a:cNvSpPr>
                    </a:nvSpPr>
                    <a:spPr bwMode="auto">
                      <a:xfrm flipV="1">
                        <a:off x="6019800" y="3962400"/>
                        <a:ext cx="0" cy="8382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2305" name="Line 17"/>
                      <a:cNvSpPr>
                        <a:spLocks noChangeShapeType="1"/>
                      </a:cNvSpPr>
                    </a:nvSpPr>
                    <a:spPr bwMode="auto">
                      <a:xfrm flipV="1">
                        <a:off x="6324600" y="4191000"/>
                        <a:ext cx="0" cy="6096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2306" name="Line 18"/>
                      <a:cNvSpPr>
                        <a:spLocks noChangeShapeType="1"/>
                      </a:cNvSpPr>
                    </a:nvSpPr>
                    <a:spPr bwMode="auto">
                      <a:xfrm flipV="1">
                        <a:off x="6629400" y="4495800"/>
                        <a:ext cx="0" cy="3048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2307" name="Line 19"/>
                      <a:cNvSpPr>
                        <a:spLocks noChangeShapeType="1"/>
                      </a:cNvSpPr>
                    </a:nvSpPr>
                    <a:spPr bwMode="auto">
                      <a:xfrm>
                        <a:off x="6019800" y="5105400"/>
                        <a:ext cx="0" cy="7620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2308" name="Line 20"/>
                      <a:cNvSpPr>
                        <a:spLocks noChangeShapeType="1"/>
                      </a:cNvSpPr>
                    </a:nvSpPr>
                    <a:spPr bwMode="auto">
                      <a:xfrm>
                        <a:off x="6324600" y="5105400"/>
                        <a:ext cx="0" cy="7620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2309" name="Line 21"/>
                      <a:cNvSpPr>
                        <a:spLocks noChangeShapeType="1"/>
                      </a:cNvSpPr>
                    </a:nvSpPr>
                    <a:spPr bwMode="auto">
                      <a:xfrm>
                        <a:off x="6629400" y="5105400"/>
                        <a:ext cx="0" cy="7620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2310" name="Rectangle 22"/>
                      <a:cNvSpPr>
                        <a:spLocks noChangeArrowheads="1"/>
                      </a:cNvSpPr>
                    </a:nvSpPr>
                    <a:spPr bwMode="auto">
                      <a:xfrm>
                        <a:off x="7453313" y="3940175"/>
                        <a:ext cx="10826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solidFill>
                                <a:schemeClr val="tx2"/>
                              </a:solidFill>
                              <a:effectLst>
                                <a:outerShdw blurRad="38100" dist="38100" dir="2700000" algn="tl">
                                  <a:srgbClr val="C0C0C0"/>
                                </a:outerShdw>
                              </a:effectLst>
                            </a:rPr>
                            <a:t>Policy C</a:t>
                          </a:r>
                        </a:p>
                      </a:txBody>
                      <a:useSpRect/>
                    </a:txSp>
                  </a:sp>
                  <a:sp>
                    <a:nvSpPr>
                      <a:cNvPr id="12311" name="Rectangle 23"/>
                      <a:cNvSpPr>
                        <a:spLocks noChangeArrowheads="1"/>
                      </a:cNvSpPr>
                    </a:nvSpPr>
                    <a:spPr bwMode="auto">
                      <a:xfrm>
                        <a:off x="7453313" y="3025775"/>
                        <a:ext cx="10826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solidFill>
                                <a:schemeClr val="hlink"/>
                              </a:solidFill>
                              <a:effectLst>
                                <a:outerShdw blurRad="38100" dist="38100" dir="2700000" algn="tl">
                                  <a:srgbClr val="C0C0C0"/>
                                </a:outerShdw>
                              </a:effectLst>
                            </a:rPr>
                            <a:t>Policy A</a:t>
                          </a:r>
                        </a:p>
                      </a:txBody>
                      <a:useSpRect/>
                    </a:txSp>
                  </a:sp>
                  <a:sp>
                    <a:nvSpPr>
                      <a:cNvPr id="12312" name="Rectangle 24"/>
                      <a:cNvSpPr>
                        <a:spLocks noChangeArrowheads="1"/>
                      </a:cNvSpPr>
                    </a:nvSpPr>
                    <a:spPr bwMode="auto">
                      <a:xfrm>
                        <a:off x="7453313" y="3482975"/>
                        <a:ext cx="10826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solidFill>
                                <a:srgbClr val="42B200"/>
                              </a:solidFill>
                              <a:effectLst>
                                <a:outerShdw blurRad="38100" dist="38100" dir="2700000" algn="tl">
                                  <a:srgbClr val="C0C0C0"/>
                                </a:outerShdw>
                              </a:effectLst>
                            </a:rPr>
                            <a:t>Policy B</a:t>
                          </a:r>
                        </a:p>
                      </a:txBody>
                      <a:useSpRect/>
                    </a:txSp>
                  </a:sp>
                  <a:sp>
                    <a:nvSpPr>
                      <a:cNvPr id="12313" name="Line 25"/>
                      <a:cNvSpPr>
                        <a:spLocks noChangeShapeType="1"/>
                      </a:cNvSpPr>
                    </a:nvSpPr>
                    <a:spPr bwMode="auto">
                      <a:xfrm>
                        <a:off x="381000" y="4876800"/>
                        <a:ext cx="3505200" cy="0"/>
                      </a:xfrm>
                      <a:prstGeom prst="line">
                        <a:avLst/>
                      </a:prstGeom>
                      <a:noFill/>
                      <a:ln w="38100" cmpd="dbl">
                        <a:solidFill>
                          <a:schemeClr val="tx1"/>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lc:lockedCanvas>
              </a:graphicData>
            </a:graphic>
          </wp:inline>
        </w:drawing>
      </w:r>
    </w:p>
    <w:p w:rsidR="00671B39" w:rsidRPr="003558E0" w:rsidRDefault="00671B39" w:rsidP="00E44553">
      <w:pPr>
        <w:rPr>
          <w:rFonts w:ascii="GE Inspira" w:hAnsi="GE Inspira"/>
          <w:sz w:val="24"/>
          <w:szCs w:val="24"/>
        </w:rPr>
      </w:pPr>
    </w:p>
    <w:p w:rsidR="00671B39" w:rsidRPr="003558E0" w:rsidRDefault="00671B39" w:rsidP="00E44553">
      <w:pPr>
        <w:rPr>
          <w:rFonts w:ascii="GE Inspira" w:hAnsi="GE Inspira"/>
          <w:sz w:val="24"/>
          <w:szCs w:val="24"/>
        </w:rPr>
      </w:pPr>
    </w:p>
    <w:p w:rsidR="00671B39" w:rsidRPr="003558E0" w:rsidRDefault="00671B39" w:rsidP="00E44553">
      <w:pPr>
        <w:rPr>
          <w:rFonts w:ascii="GE Inspira" w:hAnsi="GE Inspira"/>
          <w:sz w:val="24"/>
          <w:szCs w:val="24"/>
        </w:rPr>
      </w:pPr>
    </w:p>
    <w:p w:rsidR="00671B39" w:rsidRPr="003558E0" w:rsidRDefault="00671B39" w:rsidP="00E44553">
      <w:pPr>
        <w:rPr>
          <w:rFonts w:ascii="GE Inspira" w:hAnsi="GE Inspira"/>
          <w:sz w:val="24"/>
          <w:szCs w:val="24"/>
        </w:rPr>
      </w:pPr>
      <w:r w:rsidRPr="003558E0">
        <w:rPr>
          <w:rFonts w:ascii="GE Inspira" w:hAnsi="GE Inspira"/>
          <w:sz w:val="24"/>
          <w:szCs w:val="24"/>
        </w:rPr>
        <w:lastRenderedPageBreak/>
        <w:drawing>
          <wp:inline distT="0" distB="0" distL="0" distR="0">
            <wp:extent cx="5943600" cy="609600"/>
            <wp:effectExtent l="0" t="0" r="0" b="0"/>
            <wp:docPr id="10" name="Object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781800" cy="1219200"/>
                      <a:chOff x="1676400" y="533400"/>
                      <a:chExt cx="6781800" cy="1219200"/>
                    </a:xfrm>
                  </a:grpSpPr>
                  <a:sp>
                    <a:nvSpPr>
                      <a:cNvPr id="13316" name="Rectangle 4"/>
                      <a:cNvSpPr>
                        <a:spLocks noGrp="1" noChangeArrowheads="1"/>
                      </a:cNvSpPr>
                    </a:nvSpPr>
                    <a:spPr bwMode="auto">
                      <a:xfrm>
                        <a:off x="1676400" y="533400"/>
                        <a:ext cx="6781800" cy="1219200"/>
                      </a:xfrm>
                      <a:prstGeom prst="rect">
                        <a:avLst/>
                      </a:prstGeom>
                      <a:noFill/>
                      <a:ln w="12700">
                        <a:noFill/>
                        <a:miter lim="800000"/>
                        <a:headEnd/>
                        <a:tailEnd/>
                      </a:ln>
                      <a:effectLst/>
                    </a:spPr>
                    <a:txSp>
                      <a:txBody>
                        <a:bodyPr vert="horz" wrap="square" lIns="90488" tIns="44450" rIns="90488" bIns="44450" numCol="1" anchor="ctr" anchorCtr="0" compatLnSpc="1">
                          <a:prstTxWarp prst="textNoShape">
                            <a:avLst/>
                          </a:prstTxWarp>
                        </a:bodyPr>
                        <a:lstStyle>
                          <a:lvl1pPr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mj-lt"/>
                              <a:ea typeface="+mj-ea"/>
                              <a:cs typeface="+mj-cs"/>
                            </a:defRPr>
                          </a:lvl1pPr>
                          <a:lvl2pPr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2pPr>
                          <a:lvl3pPr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3pPr>
                          <a:lvl4pPr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4pPr>
                          <a:lvl5pPr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5pPr>
                          <a:lvl6pPr marL="457200"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6pPr>
                          <a:lvl7pPr marL="914400"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7pPr>
                          <a:lvl8pPr marL="1371600"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8pPr>
                          <a:lvl9pPr marL="1828800"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9pPr>
                        </a:lstStyle>
                        <a:p>
                          <a:r>
                            <a:rPr lang="en-US" b="1"/>
                            <a:t>Impact on Risk</a:t>
                          </a:r>
                        </a:p>
                      </a:txBody>
                      <a:useSpRect/>
                    </a:txSp>
                  </a:sp>
                </lc:lockedCanvas>
              </a:graphicData>
            </a:graphic>
          </wp:inline>
        </w:drawing>
      </w:r>
    </w:p>
    <w:p w:rsidR="00671B39" w:rsidRPr="003558E0" w:rsidRDefault="00671B39" w:rsidP="00E44553">
      <w:pPr>
        <w:rPr>
          <w:rFonts w:ascii="GE Inspira" w:hAnsi="GE Inspira"/>
          <w:sz w:val="24"/>
          <w:szCs w:val="24"/>
        </w:rPr>
      </w:pPr>
      <w:r w:rsidRPr="003558E0">
        <w:rPr>
          <w:rFonts w:ascii="GE Inspira" w:hAnsi="GE Inspira"/>
          <w:sz w:val="24"/>
          <w:szCs w:val="24"/>
        </w:rPr>
        <w:drawing>
          <wp:inline distT="0" distB="0" distL="0" distR="0">
            <wp:extent cx="5943600" cy="3221355"/>
            <wp:effectExtent l="19050" t="0" r="0" b="0"/>
            <wp:docPr id="11" name="Object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91538" cy="4602163"/>
                      <a:chOff x="400050" y="1911350"/>
                      <a:chExt cx="8491538" cy="4602163"/>
                    </a:xfrm>
                  </a:grpSpPr>
                  <a:sp>
                    <a:nvSpPr>
                      <a:cNvPr id="13314" name="Rectangle 2"/>
                      <a:cNvSpPr>
                        <a:spLocks noChangeArrowheads="1"/>
                      </a:cNvSpPr>
                    </a:nvSpPr>
                    <a:spPr bwMode="auto">
                      <a:xfrm>
                        <a:off x="1454150" y="1911350"/>
                        <a:ext cx="6235700" cy="520700"/>
                      </a:xfrm>
                      <a:prstGeom prst="rect">
                        <a:avLst/>
                      </a:prstGeom>
                      <a:pattFill prst="narVert">
                        <a:fgClr>
                          <a:schemeClr val="accent1"/>
                        </a:fgClr>
                        <a:bgClr>
                          <a:schemeClr val="bg1"/>
                        </a:bgClr>
                      </a:pattFill>
                      <a:ln w="12700">
                        <a:solidFill>
                          <a:srgbClr val="000000"/>
                        </a:solidFill>
                        <a:miter lim="800000"/>
                        <a:headEnd/>
                        <a:tailEnd/>
                      </a:ln>
                      <a:effectLst/>
                    </a:spPr>
                    <a:txSp>
                      <a:txBody>
                        <a:bodyPr wrap="none" anchor="ct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3317" name="Rectangle 5"/>
                      <a:cNvSpPr>
                        <a:spLocks noGrp="1" noChangeArrowheads="1"/>
                      </a:cNvSpPr>
                    </a:nvSpPr>
                    <a:spPr bwMode="auto">
                      <a:xfrm>
                        <a:off x="400050" y="2609850"/>
                        <a:ext cx="3467100" cy="3771900"/>
                      </a:xfrm>
                      <a:prstGeom prst="rect">
                        <a:avLst/>
                      </a:prstGeom>
                      <a:noFill/>
                      <a:ln w="38100" cap="flat" cmpd="dbl">
                        <a:solidFill>
                          <a:srgbClr val="000000"/>
                        </a:solidFill>
                        <a:miter lim="800000"/>
                        <a:headEnd/>
                        <a:tailEnd/>
                      </a:ln>
                      <a:effectLst/>
                    </a:spPr>
                    <a:txSp>
                      <a:txBody>
                        <a:bodyPr vert="horz" wrap="square" lIns="90488" tIns="44450" rIns="90488" bIns="44450" numCol="1" anchor="t" anchorCtr="0" compatLnSpc="1">
                          <a:prstTxWarp prst="textNoShape">
                            <a:avLst/>
                          </a:prstTxWarp>
                        </a:bodyPr>
                        <a:lstStyle>
                          <a:lvl1pPr marL="342900" indent="-342900" algn="l" rtl="0" eaLnBrk="0" fontAlgn="base" hangingPunct="0">
                            <a:spcBef>
                              <a:spcPct val="20000"/>
                            </a:spcBef>
                            <a:spcAft>
                              <a:spcPct val="20000"/>
                            </a:spcAft>
                            <a:buClr>
                              <a:schemeClr val="tx2"/>
                            </a:buClr>
                            <a:buSzPct val="75000"/>
                            <a:buFont typeface="Monotype Sorts" pitchFamily="2" charset="2"/>
                            <a:buChar char="u"/>
                            <a:defRPr sz="2800" b="1">
                              <a:solidFill>
                                <a:srgbClr val="000000"/>
                              </a:solidFill>
                              <a:latin typeface="+mn-lt"/>
                              <a:ea typeface="+mn-ea"/>
                              <a:cs typeface="+mn-cs"/>
                            </a:defRPr>
                          </a:lvl1pPr>
                          <a:lvl2pPr marL="742950" indent="-285750" algn="l" rtl="0" eaLnBrk="0" fontAlgn="base" hangingPunct="0">
                            <a:spcBef>
                              <a:spcPct val="20000"/>
                            </a:spcBef>
                            <a:spcAft>
                              <a:spcPct val="20000"/>
                            </a:spcAft>
                            <a:buClr>
                              <a:schemeClr val="tx2"/>
                            </a:buClr>
                            <a:buSzPct val="75000"/>
                            <a:buFont typeface="Monotype Sorts" pitchFamily="2" charset="2"/>
                            <a:buChar char="u"/>
                            <a:defRPr sz="2400" b="1">
                              <a:solidFill>
                                <a:srgbClr val="000000"/>
                              </a:solidFill>
                              <a:latin typeface="+mn-lt"/>
                            </a:defRPr>
                          </a:lvl2pPr>
                          <a:lvl3pPr marL="1143000" indent="-228600" algn="l" rtl="0" eaLnBrk="0" fontAlgn="base" hangingPunct="0">
                            <a:spcBef>
                              <a:spcPct val="20000"/>
                            </a:spcBef>
                            <a:spcAft>
                              <a:spcPct val="20000"/>
                            </a:spcAft>
                            <a:buClr>
                              <a:schemeClr val="tx2"/>
                            </a:buClr>
                            <a:buSzPct val="65000"/>
                            <a:buFont typeface="Monotype Sorts" pitchFamily="2" charset="2"/>
                            <a:buChar char="u"/>
                            <a:defRPr sz="2000" b="1">
                              <a:solidFill>
                                <a:srgbClr val="000000"/>
                              </a:solidFill>
                              <a:latin typeface="+mn-lt"/>
                            </a:defRPr>
                          </a:lvl3pPr>
                          <a:lvl4pPr marL="1600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4pPr>
                          <a:lvl5pPr marL="20574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5pPr>
                          <a:lvl6pPr marL="25146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6pPr>
                          <a:lvl7pPr marL="29718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7pPr>
                          <a:lvl8pPr marL="34290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8pPr>
                          <a:lvl9pPr marL="3886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9pPr>
                        </a:lstStyle>
                        <a:p>
                          <a:pPr marL="228600" indent="-228600">
                            <a:spcBef>
                              <a:spcPct val="10000"/>
                            </a:spcBef>
                            <a:spcAft>
                              <a:spcPct val="10000"/>
                            </a:spcAft>
                          </a:pPr>
                          <a:r>
                            <a:rPr lang="en-US" sz="2000" u="sng"/>
                            <a:t>Decreasing cash </a:t>
                          </a:r>
                          <a:r>
                            <a:rPr lang="en-US" sz="2000"/>
                            <a:t>reduces the firm’s ability to meet its financial obligations.  </a:t>
                          </a:r>
                          <a:r>
                            <a:rPr lang="en-US" sz="2000">
                              <a:solidFill>
                                <a:schemeClr val="hlink"/>
                              </a:solidFill>
                              <a:effectLst>
                                <a:outerShdw blurRad="38100" dist="38100" dir="2700000" algn="tl">
                                  <a:srgbClr val="C0C0C0"/>
                                </a:outerShdw>
                              </a:effectLst>
                            </a:rPr>
                            <a:t>More risk!</a:t>
                          </a:r>
                          <a:endParaRPr lang="en-US" sz="2000"/>
                        </a:p>
                        <a:p>
                          <a:pPr marL="228600" indent="-228600">
                            <a:spcBef>
                              <a:spcPct val="10000"/>
                            </a:spcBef>
                            <a:spcAft>
                              <a:spcPct val="10000"/>
                            </a:spcAft>
                          </a:pPr>
                          <a:r>
                            <a:rPr lang="en-US" sz="2000"/>
                            <a:t>Stricter credit policies </a:t>
                          </a:r>
                          <a:r>
                            <a:rPr lang="en-US" sz="2000" u="sng"/>
                            <a:t>reduce receivables</a:t>
                          </a:r>
                          <a:r>
                            <a:rPr lang="en-US" sz="2000"/>
                            <a:t> and possibly lose sales and customers.  </a:t>
                          </a:r>
                          <a:r>
                            <a:rPr lang="en-US" sz="2000">
                              <a:solidFill>
                                <a:schemeClr val="hlink"/>
                              </a:solidFill>
                              <a:effectLst>
                                <a:outerShdw blurRad="38100" dist="38100" dir="2700000" algn="tl">
                                  <a:srgbClr val="C0C0C0"/>
                                </a:outerShdw>
                              </a:effectLst>
                            </a:rPr>
                            <a:t>More risk!</a:t>
                          </a:r>
                          <a:endParaRPr lang="en-US" sz="2000"/>
                        </a:p>
                        <a:p>
                          <a:pPr marL="228600" indent="-228600">
                            <a:spcBef>
                              <a:spcPct val="10000"/>
                            </a:spcBef>
                            <a:spcAft>
                              <a:spcPct val="10000"/>
                            </a:spcAft>
                          </a:pPr>
                          <a:r>
                            <a:rPr lang="en-US" sz="2000" u="sng"/>
                            <a:t>Lower inventory levels </a:t>
                          </a:r>
                          <a:r>
                            <a:rPr lang="en-US" sz="2000"/>
                            <a:t>increase stockouts and lost sales.  </a:t>
                          </a:r>
                          <a:r>
                            <a:rPr lang="en-US" sz="2000">
                              <a:solidFill>
                                <a:schemeClr val="hlink"/>
                              </a:solidFill>
                              <a:effectLst>
                                <a:outerShdw blurRad="38100" dist="38100" dir="2700000" algn="tl">
                                  <a:srgbClr val="C0C0C0"/>
                                </a:outerShdw>
                              </a:effectLst>
                            </a:rPr>
                            <a:t>More risk!</a:t>
                          </a:r>
                        </a:p>
                      </a:txBody>
                      <a:useSpRect/>
                    </a:txSp>
                  </a:sp>
                  <a:sp>
                    <a:nvSpPr>
                      <a:cNvPr id="13318" name="Rectangle 6"/>
                      <a:cNvSpPr>
                        <a:spLocks noGrp="1" noChangeArrowheads="1"/>
                      </a:cNvSpPr>
                    </a:nvSpPr>
                    <a:spPr bwMode="auto">
                      <a:xfrm>
                        <a:off x="685800" y="1981200"/>
                        <a:ext cx="7772400" cy="533400"/>
                      </a:xfrm>
                      <a:prstGeom prst="rect">
                        <a:avLst/>
                      </a:prstGeom>
                      <a:noFill/>
                      <a:ln w="12700">
                        <a:noFill/>
                        <a:miter lim="800000"/>
                        <a:headEnd/>
                        <a:tailEnd/>
                      </a:ln>
                      <a:effectLst/>
                    </a:spPr>
                    <a:txSp>
                      <a:txBody>
                        <a:bodyPr vert="horz" wrap="square" lIns="90488" tIns="44450" rIns="90488" bIns="44450" numCol="1" anchor="t" anchorCtr="0" compatLnSpc="1">
                          <a:prstTxWarp prst="textNoShape">
                            <a:avLst/>
                          </a:prstTxWarp>
                        </a:bodyPr>
                        <a:lstStyle>
                          <a:lvl1pPr marL="342900" indent="-342900" algn="l" rtl="0" eaLnBrk="0" fontAlgn="base" hangingPunct="0">
                            <a:spcBef>
                              <a:spcPct val="20000"/>
                            </a:spcBef>
                            <a:spcAft>
                              <a:spcPct val="20000"/>
                            </a:spcAft>
                            <a:buClr>
                              <a:schemeClr val="tx2"/>
                            </a:buClr>
                            <a:buSzPct val="75000"/>
                            <a:buFont typeface="Monotype Sorts" pitchFamily="2" charset="2"/>
                            <a:buChar char="u"/>
                            <a:defRPr sz="2800" b="1">
                              <a:solidFill>
                                <a:srgbClr val="000000"/>
                              </a:solidFill>
                              <a:latin typeface="+mn-lt"/>
                              <a:ea typeface="+mn-ea"/>
                              <a:cs typeface="+mn-cs"/>
                            </a:defRPr>
                          </a:lvl1pPr>
                          <a:lvl2pPr marL="742950" indent="-285750" algn="l" rtl="0" eaLnBrk="0" fontAlgn="base" hangingPunct="0">
                            <a:spcBef>
                              <a:spcPct val="20000"/>
                            </a:spcBef>
                            <a:spcAft>
                              <a:spcPct val="20000"/>
                            </a:spcAft>
                            <a:buClr>
                              <a:schemeClr val="tx2"/>
                            </a:buClr>
                            <a:buSzPct val="75000"/>
                            <a:buFont typeface="Monotype Sorts" pitchFamily="2" charset="2"/>
                            <a:buChar char="u"/>
                            <a:defRPr sz="2400" b="1">
                              <a:solidFill>
                                <a:srgbClr val="000000"/>
                              </a:solidFill>
                              <a:latin typeface="+mn-lt"/>
                            </a:defRPr>
                          </a:lvl2pPr>
                          <a:lvl3pPr marL="1143000" indent="-228600" algn="l" rtl="0" eaLnBrk="0" fontAlgn="base" hangingPunct="0">
                            <a:spcBef>
                              <a:spcPct val="20000"/>
                            </a:spcBef>
                            <a:spcAft>
                              <a:spcPct val="20000"/>
                            </a:spcAft>
                            <a:buClr>
                              <a:schemeClr val="tx2"/>
                            </a:buClr>
                            <a:buSzPct val="65000"/>
                            <a:buFont typeface="Monotype Sorts" pitchFamily="2" charset="2"/>
                            <a:buChar char="u"/>
                            <a:defRPr sz="2000" b="1">
                              <a:solidFill>
                                <a:srgbClr val="000000"/>
                              </a:solidFill>
                              <a:latin typeface="+mn-lt"/>
                            </a:defRPr>
                          </a:lvl3pPr>
                          <a:lvl4pPr marL="1600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4pPr>
                          <a:lvl5pPr marL="20574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5pPr>
                          <a:lvl6pPr marL="25146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6pPr>
                          <a:lvl7pPr marL="29718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7pPr>
                          <a:lvl8pPr marL="34290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8pPr>
                          <a:lvl9pPr marL="3886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9pPr>
                        </a:lstStyle>
                        <a:p>
                          <a:pPr algn="ctr">
                            <a:spcBef>
                              <a:spcPct val="10000"/>
                            </a:spcBef>
                            <a:spcAft>
                              <a:spcPct val="10000"/>
                            </a:spcAft>
                            <a:buFont typeface="Monotype Sorts" pitchFamily="2" charset="2"/>
                            <a:buNone/>
                          </a:pPr>
                          <a:r>
                            <a:rPr lang="en-US" sz="2400"/>
                            <a:t>Optimal Amount (Level) of Current Assets</a:t>
                          </a:r>
                        </a:p>
                      </a:txBody>
                      <a:useSpRect/>
                    </a:txSp>
                  </a:sp>
                  <a:sp>
                    <a:nvSpPr>
                      <a:cNvPr id="13319" name="Line 7"/>
                      <a:cNvSpPr>
                        <a:spLocks noChangeShapeType="1"/>
                      </a:cNvSpPr>
                    </a:nvSpPr>
                    <a:spPr bwMode="auto">
                      <a:xfrm flipH="1">
                        <a:off x="4495800" y="5867400"/>
                        <a:ext cx="4114800" cy="0"/>
                      </a:xfrm>
                      <a:prstGeom prst="line">
                        <a:avLst/>
                      </a:prstGeom>
                      <a:noFill/>
                      <a:ln w="50800">
                        <a:solidFill>
                          <a:srgbClr val="000000"/>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3320" name="Line 8"/>
                      <a:cNvSpPr>
                        <a:spLocks noChangeShapeType="1"/>
                      </a:cNvSpPr>
                    </a:nvSpPr>
                    <a:spPr bwMode="auto">
                      <a:xfrm>
                        <a:off x="4495800" y="2667000"/>
                        <a:ext cx="0" cy="3200400"/>
                      </a:xfrm>
                      <a:prstGeom prst="line">
                        <a:avLst/>
                      </a:prstGeom>
                      <a:noFill/>
                      <a:ln w="50800">
                        <a:solidFill>
                          <a:srgbClr val="000000"/>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3321" name="Arc 9"/>
                      <a:cNvSpPr>
                        <a:spLocks/>
                      </a:cNvSpPr>
                    </a:nvSpPr>
                    <a:spPr bwMode="auto">
                      <a:xfrm rot="10800000">
                        <a:off x="4495800" y="3810000"/>
                        <a:ext cx="3962400" cy="1981200"/>
                      </a:xfrm>
                      <a:custGeom>
                        <a:avLst/>
                        <a:gdLst>
                          <a:gd name="G0" fmla="+- 0 0 0"/>
                          <a:gd name="G1" fmla="+- 0 0 0"/>
                          <a:gd name="G2" fmla="+- 21600 0 0"/>
                          <a:gd name="T0" fmla="*/ 21600 w 21600"/>
                          <a:gd name="T1" fmla="*/ 0 h 21600"/>
                          <a:gd name="T2" fmla="*/ 0 w 21600"/>
                          <a:gd name="T3" fmla="*/ 21600 h 21600"/>
                          <a:gd name="T4" fmla="*/ 0 w 21600"/>
                          <a:gd name="T5" fmla="*/ 0 h 21600"/>
                        </a:gdLst>
                        <a:ahLst/>
                        <a:cxnLst>
                          <a:cxn ang="0">
                            <a:pos x="T0" y="T1"/>
                          </a:cxn>
                          <a:cxn ang="0">
                            <a:pos x="T2" y="T3"/>
                          </a:cxn>
                          <a:cxn ang="0">
                            <a:pos x="T4" y="T5"/>
                          </a:cxn>
                        </a:cxnLst>
                        <a:rect l="0" t="0" r="r" b="b"/>
                        <a:pathLst>
                          <a:path w="21600" h="21600" fill="none" extrusionOk="0">
                            <a:moveTo>
                              <a:pt x="21600" y="0"/>
                            </a:moveTo>
                            <a:cubicBezTo>
                              <a:pt x="21600" y="11929"/>
                              <a:pt x="11929" y="21599"/>
                              <a:pt x="0" y="21600"/>
                            </a:cubicBezTo>
                          </a:path>
                          <a:path w="21600" h="21600" stroke="0" extrusionOk="0">
                            <a:moveTo>
                              <a:pt x="21600" y="0"/>
                            </a:moveTo>
                            <a:cubicBezTo>
                              <a:pt x="21600" y="11929"/>
                              <a:pt x="11929" y="21599"/>
                              <a:pt x="0" y="21600"/>
                            </a:cubicBezTo>
                            <a:lnTo>
                              <a:pt x="0" y="0"/>
                            </a:lnTo>
                            <a:close/>
                          </a:path>
                        </a:pathLst>
                      </a:custGeom>
                      <a:noFill/>
                      <a:ln w="50800" cap="rnd">
                        <a:solidFill>
                          <a:srgbClr val="42B200"/>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3322" name="Arc 10"/>
                      <a:cNvSpPr>
                        <a:spLocks/>
                      </a:cNvSpPr>
                    </a:nvSpPr>
                    <a:spPr bwMode="auto">
                      <a:xfrm rot="10800000">
                        <a:off x="4495800" y="3352800"/>
                        <a:ext cx="3962400" cy="2438400"/>
                      </a:xfrm>
                      <a:custGeom>
                        <a:avLst/>
                        <a:gdLst>
                          <a:gd name="G0" fmla="+- 0 0 0"/>
                          <a:gd name="G1" fmla="+- 0 0 0"/>
                          <a:gd name="G2" fmla="+- 21600 0 0"/>
                          <a:gd name="T0" fmla="*/ 21600 w 21600"/>
                          <a:gd name="T1" fmla="*/ 0 h 21600"/>
                          <a:gd name="T2" fmla="*/ 0 w 21600"/>
                          <a:gd name="T3" fmla="*/ 21600 h 21600"/>
                          <a:gd name="T4" fmla="*/ 0 w 21600"/>
                          <a:gd name="T5" fmla="*/ 0 h 21600"/>
                        </a:gdLst>
                        <a:ahLst/>
                        <a:cxnLst>
                          <a:cxn ang="0">
                            <a:pos x="T0" y="T1"/>
                          </a:cxn>
                          <a:cxn ang="0">
                            <a:pos x="T2" y="T3"/>
                          </a:cxn>
                          <a:cxn ang="0">
                            <a:pos x="T4" y="T5"/>
                          </a:cxn>
                        </a:cxnLst>
                        <a:rect l="0" t="0" r="r" b="b"/>
                        <a:pathLst>
                          <a:path w="21600" h="21600" fill="none" extrusionOk="0">
                            <a:moveTo>
                              <a:pt x="21600" y="0"/>
                            </a:moveTo>
                            <a:cubicBezTo>
                              <a:pt x="21600" y="11929"/>
                              <a:pt x="11929" y="21599"/>
                              <a:pt x="0" y="21600"/>
                            </a:cubicBezTo>
                          </a:path>
                          <a:path w="21600" h="21600" stroke="0" extrusionOk="0">
                            <a:moveTo>
                              <a:pt x="21600" y="0"/>
                            </a:moveTo>
                            <a:cubicBezTo>
                              <a:pt x="21600" y="11929"/>
                              <a:pt x="11929" y="21599"/>
                              <a:pt x="0" y="21600"/>
                            </a:cubicBezTo>
                            <a:lnTo>
                              <a:pt x="0" y="0"/>
                            </a:lnTo>
                            <a:close/>
                          </a:path>
                        </a:pathLst>
                      </a:custGeom>
                      <a:noFill/>
                      <a:ln w="50800" cap="rnd">
                        <a:solidFill>
                          <a:schemeClr val="hlink"/>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3323" name="Arc 11"/>
                      <a:cNvSpPr>
                        <a:spLocks/>
                      </a:cNvSpPr>
                    </a:nvSpPr>
                    <a:spPr bwMode="auto">
                      <a:xfrm rot="10800000">
                        <a:off x="4495800" y="4267200"/>
                        <a:ext cx="3962400" cy="1524000"/>
                      </a:xfrm>
                      <a:custGeom>
                        <a:avLst/>
                        <a:gdLst>
                          <a:gd name="G0" fmla="+- 0 0 0"/>
                          <a:gd name="G1" fmla="+- 0 0 0"/>
                          <a:gd name="G2" fmla="+- 21600 0 0"/>
                          <a:gd name="T0" fmla="*/ 21600 w 21600"/>
                          <a:gd name="T1" fmla="*/ 0 h 21600"/>
                          <a:gd name="T2" fmla="*/ 0 w 21600"/>
                          <a:gd name="T3" fmla="*/ 21600 h 21600"/>
                          <a:gd name="T4" fmla="*/ 0 w 21600"/>
                          <a:gd name="T5" fmla="*/ 0 h 21600"/>
                        </a:gdLst>
                        <a:ahLst/>
                        <a:cxnLst>
                          <a:cxn ang="0">
                            <a:pos x="T0" y="T1"/>
                          </a:cxn>
                          <a:cxn ang="0">
                            <a:pos x="T2" y="T3"/>
                          </a:cxn>
                          <a:cxn ang="0">
                            <a:pos x="T4" y="T5"/>
                          </a:cxn>
                        </a:cxnLst>
                        <a:rect l="0" t="0" r="r" b="b"/>
                        <a:pathLst>
                          <a:path w="21600" h="21600" fill="none" extrusionOk="0">
                            <a:moveTo>
                              <a:pt x="21600" y="0"/>
                            </a:moveTo>
                            <a:cubicBezTo>
                              <a:pt x="21600" y="11929"/>
                              <a:pt x="11929" y="21599"/>
                              <a:pt x="0" y="21600"/>
                            </a:cubicBezTo>
                          </a:path>
                          <a:path w="21600" h="21600" stroke="0" extrusionOk="0">
                            <a:moveTo>
                              <a:pt x="21600" y="0"/>
                            </a:moveTo>
                            <a:cubicBezTo>
                              <a:pt x="21600" y="11929"/>
                              <a:pt x="11929" y="21599"/>
                              <a:pt x="0" y="21600"/>
                            </a:cubicBezTo>
                            <a:lnTo>
                              <a:pt x="0" y="0"/>
                            </a:lnTo>
                            <a:close/>
                          </a:path>
                        </a:pathLst>
                      </a:custGeom>
                      <a:noFill/>
                      <a:ln w="50800" cap="rnd">
                        <a:solidFill>
                          <a:schemeClr val="tx2"/>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3324" name="Rectangle 12"/>
                      <a:cNvSpPr>
                        <a:spLocks noChangeArrowheads="1"/>
                      </a:cNvSpPr>
                    </a:nvSpPr>
                    <a:spPr bwMode="auto">
                      <a:xfrm>
                        <a:off x="4329113" y="5921375"/>
                        <a:ext cx="45624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0                       25,000                      50,000</a:t>
                          </a:r>
                        </a:p>
                      </a:txBody>
                      <a:useSpRect/>
                    </a:txSp>
                  </a:sp>
                  <a:sp>
                    <a:nvSpPr>
                      <a:cNvPr id="13325" name="Rectangle 13"/>
                      <a:cNvSpPr>
                        <a:spLocks noChangeArrowheads="1"/>
                      </a:cNvSpPr>
                    </a:nvSpPr>
                    <a:spPr bwMode="auto">
                      <a:xfrm>
                        <a:off x="5395913" y="6149975"/>
                        <a:ext cx="18827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OUTPUT (units)</a:t>
                          </a:r>
                        </a:p>
                      </a:txBody>
                      <a:useSpRect/>
                    </a:txSp>
                  </a:sp>
                  <a:sp>
                    <a:nvSpPr>
                      <a:cNvPr id="13326" name="Rectangle 14"/>
                      <a:cNvSpPr>
                        <a:spLocks noChangeArrowheads="1"/>
                      </a:cNvSpPr>
                    </a:nvSpPr>
                    <a:spPr bwMode="auto">
                      <a:xfrm rot="16200000">
                        <a:off x="3180556" y="4021932"/>
                        <a:ext cx="20859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ASSET LEVEL ($)</a:t>
                          </a:r>
                        </a:p>
                      </a:txBody>
                      <a:useSpRect/>
                    </a:txSp>
                  </a:sp>
                  <a:sp>
                    <a:nvSpPr>
                      <a:cNvPr id="13327" name="Rectangle 15"/>
                      <a:cNvSpPr>
                        <a:spLocks noChangeArrowheads="1"/>
                      </a:cNvSpPr>
                    </a:nvSpPr>
                    <a:spPr bwMode="auto">
                      <a:xfrm>
                        <a:off x="5548313" y="4778375"/>
                        <a:ext cx="18192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Current Assets</a:t>
                          </a:r>
                        </a:p>
                      </a:txBody>
                      <a:useSpRect/>
                    </a:txSp>
                  </a:sp>
                  <a:sp>
                    <a:nvSpPr>
                      <a:cNvPr id="13328" name="Line 16"/>
                      <a:cNvSpPr>
                        <a:spLocks noChangeShapeType="1"/>
                      </a:cNvSpPr>
                    </a:nvSpPr>
                    <a:spPr bwMode="auto">
                      <a:xfrm flipV="1">
                        <a:off x="6019800" y="3962400"/>
                        <a:ext cx="0" cy="8382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3329" name="Line 17"/>
                      <a:cNvSpPr>
                        <a:spLocks noChangeShapeType="1"/>
                      </a:cNvSpPr>
                    </a:nvSpPr>
                    <a:spPr bwMode="auto">
                      <a:xfrm flipV="1">
                        <a:off x="6324600" y="4191000"/>
                        <a:ext cx="0" cy="6096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3330" name="Line 18"/>
                      <a:cNvSpPr>
                        <a:spLocks noChangeShapeType="1"/>
                      </a:cNvSpPr>
                    </a:nvSpPr>
                    <a:spPr bwMode="auto">
                      <a:xfrm flipV="1">
                        <a:off x="6629400" y="4495800"/>
                        <a:ext cx="0" cy="3048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3331" name="Line 19"/>
                      <a:cNvSpPr>
                        <a:spLocks noChangeShapeType="1"/>
                      </a:cNvSpPr>
                    </a:nvSpPr>
                    <a:spPr bwMode="auto">
                      <a:xfrm>
                        <a:off x="6019800" y="5105400"/>
                        <a:ext cx="0" cy="7620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3332" name="Line 20"/>
                      <a:cNvSpPr>
                        <a:spLocks noChangeShapeType="1"/>
                      </a:cNvSpPr>
                    </a:nvSpPr>
                    <a:spPr bwMode="auto">
                      <a:xfrm>
                        <a:off x="6324600" y="5105400"/>
                        <a:ext cx="0" cy="7620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3333" name="Line 21"/>
                      <a:cNvSpPr>
                        <a:spLocks noChangeShapeType="1"/>
                      </a:cNvSpPr>
                    </a:nvSpPr>
                    <a:spPr bwMode="auto">
                      <a:xfrm>
                        <a:off x="6629400" y="5105400"/>
                        <a:ext cx="0" cy="7620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3334" name="Rectangle 22"/>
                      <a:cNvSpPr>
                        <a:spLocks noChangeArrowheads="1"/>
                      </a:cNvSpPr>
                    </a:nvSpPr>
                    <a:spPr bwMode="auto">
                      <a:xfrm>
                        <a:off x="7453313" y="3940175"/>
                        <a:ext cx="10826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solidFill>
                                <a:schemeClr val="tx2"/>
                              </a:solidFill>
                              <a:effectLst>
                                <a:outerShdw blurRad="38100" dist="38100" dir="2700000" algn="tl">
                                  <a:srgbClr val="C0C0C0"/>
                                </a:outerShdw>
                              </a:effectLst>
                            </a:rPr>
                            <a:t>Policy C</a:t>
                          </a:r>
                        </a:p>
                      </a:txBody>
                      <a:useSpRect/>
                    </a:txSp>
                  </a:sp>
                  <a:sp>
                    <a:nvSpPr>
                      <a:cNvPr id="13335" name="Rectangle 23"/>
                      <a:cNvSpPr>
                        <a:spLocks noChangeArrowheads="1"/>
                      </a:cNvSpPr>
                    </a:nvSpPr>
                    <a:spPr bwMode="auto">
                      <a:xfrm>
                        <a:off x="7453313" y="3025775"/>
                        <a:ext cx="10826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solidFill>
                                <a:schemeClr val="hlink"/>
                              </a:solidFill>
                              <a:effectLst>
                                <a:outerShdw blurRad="38100" dist="38100" dir="2700000" algn="tl">
                                  <a:srgbClr val="C0C0C0"/>
                                </a:outerShdw>
                              </a:effectLst>
                            </a:rPr>
                            <a:t>Policy A</a:t>
                          </a:r>
                        </a:p>
                      </a:txBody>
                      <a:useSpRect/>
                    </a:txSp>
                  </a:sp>
                  <a:sp>
                    <a:nvSpPr>
                      <a:cNvPr id="13336" name="Rectangle 24"/>
                      <a:cNvSpPr>
                        <a:spLocks noChangeArrowheads="1"/>
                      </a:cNvSpPr>
                    </a:nvSpPr>
                    <a:spPr bwMode="auto">
                      <a:xfrm>
                        <a:off x="7453313" y="3482975"/>
                        <a:ext cx="10826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solidFill>
                                <a:srgbClr val="42B200"/>
                              </a:solidFill>
                              <a:effectLst>
                                <a:outerShdw blurRad="38100" dist="38100" dir="2700000" algn="tl">
                                  <a:srgbClr val="C0C0C0"/>
                                </a:outerShdw>
                              </a:effectLst>
                            </a:rPr>
                            <a:t>Policy B</a:t>
                          </a:r>
                        </a:p>
                      </a:txBody>
                      <a:useSpRect/>
                    </a:txSp>
                  </a:sp>
                  <a:sp>
                    <a:nvSpPr>
                      <a:cNvPr id="13338" name="Line 26"/>
                      <a:cNvSpPr>
                        <a:spLocks noChangeShapeType="1"/>
                      </a:cNvSpPr>
                    </a:nvSpPr>
                    <a:spPr bwMode="auto">
                      <a:xfrm>
                        <a:off x="381000" y="3924300"/>
                        <a:ext cx="3505200" cy="0"/>
                      </a:xfrm>
                      <a:prstGeom prst="line">
                        <a:avLst/>
                      </a:prstGeom>
                      <a:noFill/>
                      <a:ln w="38100" cmpd="dbl">
                        <a:solidFill>
                          <a:schemeClr val="tx1"/>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3339" name="Line 27"/>
                      <a:cNvSpPr>
                        <a:spLocks noChangeShapeType="1"/>
                      </a:cNvSpPr>
                    </a:nvSpPr>
                    <a:spPr bwMode="auto">
                      <a:xfrm>
                        <a:off x="381000" y="5207000"/>
                        <a:ext cx="3505200" cy="0"/>
                      </a:xfrm>
                      <a:prstGeom prst="line">
                        <a:avLst/>
                      </a:prstGeom>
                      <a:noFill/>
                      <a:ln w="38100" cmpd="dbl">
                        <a:solidFill>
                          <a:schemeClr val="tx1"/>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lc:lockedCanvas>
              </a:graphicData>
            </a:graphic>
          </wp:inline>
        </w:drawing>
      </w:r>
    </w:p>
    <w:p w:rsidR="00671B39" w:rsidRPr="003558E0" w:rsidRDefault="00671B39" w:rsidP="00E44553">
      <w:pPr>
        <w:rPr>
          <w:rFonts w:ascii="GE Inspira" w:hAnsi="GE Inspira"/>
          <w:sz w:val="24"/>
          <w:szCs w:val="24"/>
        </w:rPr>
      </w:pPr>
    </w:p>
    <w:p w:rsidR="00671B39" w:rsidRPr="003558E0" w:rsidRDefault="00671B39" w:rsidP="00E44553">
      <w:pPr>
        <w:rPr>
          <w:rFonts w:ascii="GE Inspira" w:hAnsi="GE Inspira"/>
          <w:sz w:val="24"/>
          <w:szCs w:val="24"/>
        </w:rPr>
      </w:pPr>
      <w:r w:rsidRPr="003558E0">
        <w:rPr>
          <w:rFonts w:ascii="GE Inspira" w:hAnsi="GE Inspira"/>
          <w:sz w:val="24"/>
          <w:szCs w:val="24"/>
        </w:rPr>
        <w:drawing>
          <wp:inline distT="0" distB="0" distL="0" distR="0">
            <wp:extent cx="5943600" cy="3221355"/>
            <wp:effectExtent l="0" t="0" r="0" b="0"/>
            <wp:docPr id="12" name="Object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91538" cy="4602163"/>
                      <a:chOff x="400050" y="1911350"/>
                      <a:chExt cx="8491538" cy="4602163"/>
                    </a:xfrm>
                  </a:grpSpPr>
                  <a:sp>
                    <a:nvSpPr>
                      <a:cNvPr id="14338" name="Rectangle 2"/>
                      <a:cNvSpPr>
                        <a:spLocks noChangeArrowheads="1"/>
                      </a:cNvSpPr>
                    </a:nvSpPr>
                    <a:spPr bwMode="auto">
                      <a:xfrm>
                        <a:off x="1454150" y="1911350"/>
                        <a:ext cx="6235700" cy="520700"/>
                      </a:xfrm>
                      <a:prstGeom prst="rect">
                        <a:avLst/>
                      </a:prstGeom>
                      <a:pattFill prst="narVert">
                        <a:fgClr>
                          <a:schemeClr val="accent1"/>
                        </a:fgClr>
                        <a:bgClr>
                          <a:schemeClr val="bg1"/>
                        </a:bgClr>
                      </a:pattFill>
                      <a:ln w="12700">
                        <a:solidFill>
                          <a:srgbClr val="000000"/>
                        </a:solidFill>
                        <a:miter lim="800000"/>
                        <a:headEnd/>
                        <a:tailEnd/>
                      </a:ln>
                      <a:effectLst/>
                    </a:spPr>
                    <a:txSp>
                      <a:txBody>
                        <a:bodyPr wrap="none" anchor="ct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4341" name="Rectangle 5"/>
                      <a:cNvSpPr>
                        <a:spLocks noGrp="1" noChangeArrowheads="1"/>
                      </a:cNvSpPr>
                    </a:nvSpPr>
                    <a:spPr bwMode="auto">
                      <a:xfrm>
                        <a:off x="400050" y="2609850"/>
                        <a:ext cx="3467100" cy="3771900"/>
                      </a:xfrm>
                      <a:prstGeom prst="rect">
                        <a:avLst/>
                      </a:prstGeom>
                      <a:noFill/>
                      <a:ln w="38100" cap="flat" cmpd="dbl">
                        <a:solidFill>
                          <a:srgbClr val="000000"/>
                        </a:solidFill>
                        <a:miter lim="800000"/>
                        <a:headEnd/>
                        <a:tailEnd/>
                      </a:ln>
                      <a:effectLst/>
                    </a:spPr>
                    <a:txSp>
                      <a:txBody>
                        <a:bodyPr vert="horz" wrap="square" lIns="90488" tIns="44450" rIns="90488" bIns="44450" numCol="1" anchor="t" anchorCtr="0" compatLnSpc="1">
                          <a:prstTxWarp prst="textNoShape">
                            <a:avLst/>
                          </a:prstTxWarp>
                        </a:bodyPr>
                        <a:lstStyle>
                          <a:lvl1pPr marL="342900" indent="-342900" algn="l" rtl="0" eaLnBrk="0" fontAlgn="base" hangingPunct="0">
                            <a:spcBef>
                              <a:spcPct val="20000"/>
                            </a:spcBef>
                            <a:spcAft>
                              <a:spcPct val="20000"/>
                            </a:spcAft>
                            <a:buClr>
                              <a:schemeClr val="tx2"/>
                            </a:buClr>
                            <a:buSzPct val="75000"/>
                            <a:buFont typeface="Monotype Sorts" pitchFamily="2" charset="2"/>
                            <a:buChar char="u"/>
                            <a:defRPr sz="2800" b="1">
                              <a:solidFill>
                                <a:srgbClr val="000000"/>
                              </a:solidFill>
                              <a:latin typeface="+mn-lt"/>
                              <a:ea typeface="+mn-ea"/>
                              <a:cs typeface="+mn-cs"/>
                            </a:defRPr>
                          </a:lvl1pPr>
                          <a:lvl2pPr marL="742950" indent="-285750" algn="l" rtl="0" eaLnBrk="0" fontAlgn="base" hangingPunct="0">
                            <a:spcBef>
                              <a:spcPct val="20000"/>
                            </a:spcBef>
                            <a:spcAft>
                              <a:spcPct val="20000"/>
                            </a:spcAft>
                            <a:buClr>
                              <a:schemeClr val="tx2"/>
                            </a:buClr>
                            <a:buSzPct val="75000"/>
                            <a:buFont typeface="Monotype Sorts" pitchFamily="2" charset="2"/>
                            <a:buChar char="u"/>
                            <a:defRPr sz="2400" b="1">
                              <a:solidFill>
                                <a:srgbClr val="000000"/>
                              </a:solidFill>
                              <a:latin typeface="+mn-lt"/>
                            </a:defRPr>
                          </a:lvl2pPr>
                          <a:lvl3pPr marL="1143000" indent="-228600" algn="l" rtl="0" eaLnBrk="0" fontAlgn="base" hangingPunct="0">
                            <a:spcBef>
                              <a:spcPct val="20000"/>
                            </a:spcBef>
                            <a:spcAft>
                              <a:spcPct val="20000"/>
                            </a:spcAft>
                            <a:buClr>
                              <a:schemeClr val="tx2"/>
                            </a:buClr>
                            <a:buSzPct val="65000"/>
                            <a:buFont typeface="Monotype Sorts" pitchFamily="2" charset="2"/>
                            <a:buChar char="u"/>
                            <a:defRPr sz="2000" b="1">
                              <a:solidFill>
                                <a:srgbClr val="000000"/>
                              </a:solidFill>
                              <a:latin typeface="+mn-lt"/>
                            </a:defRPr>
                          </a:lvl3pPr>
                          <a:lvl4pPr marL="1600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4pPr>
                          <a:lvl5pPr marL="20574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5pPr>
                          <a:lvl6pPr marL="25146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6pPr>
                          <a:lvl7pPr marL="29718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7pPr>
                          <a:lvl8pPr marL="34290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8pPr>
                          <a:lvl9pPr marL="3886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9pPr>
                        </a:lstStyle>
                        <a:p>
                          <a:pPr marL="0" indent="0" algn="ctr">
                            <a:spcBef>
                              <a:spcPct val="10000"/>
                            </a:spcBef>
                            <a:spcAft>
                              <a:spcPct val="10000"/>
                            </a:spcAft>
                            <a:buFont typeface="Monotype Sorts" pitchFamily="2" charset="2"/>
                            <a:buNone/>
                          </a:pPr>
                          <a:r>
                            <a:rPr lang="en-US" sz="2400" u="sng"/>
                            <a:t>Risk Analysis</a:t>
                          </a:r>
                        </a:p>
                        <a:p>
                          <a:pPr marL="0" indent="0">
                            <a:spcBef>
                              <a:spcPct val="10000"/>
                            </a:spcBef>
                            <a:spcAft>
                              <a:spcPct val="10000"/>
                            </a:spcAft>
                            <a:buFont typeface="Monotype Sorts" pitchFamily="2" charset="2"/>
                            <a:buNone/>
                          </a:pPr>
                          <a:r>
                            <a:rPr lang="en-US" sz="2400" i="1" u="sng">
                              <a:effectLst>
                                <a:outerShdw blurRad="38100" dist="38100" dir="2700000" algn="tl">
                                  <a:srgbClr val="C0C0C0"/>
                                </a:outerShdw>
                              </a:effectLst>
                            </a:rPr>
                            <a:t>Policy</a:t>
                          </a:r>
                          <a:r>
                            <a:rPr lang="en-US" sz="2400" i="1">
                              <a:effectLst>
                                <a:outerShdw blurRad="38100" dist="38100" dir="2700000" algn="tl">
                                  <a:srgbClr val="C0C0C0"/>
                                </a:outerShdw>
                              </a:effectLst>
                            </a:rPr>
                            <a:t>		</a:t>
                          </a:r>
                          <a:r>
                            <a:rPr lang="en-US" sz="2400" i="1" u="sng">
                              <a:effectLst>
                                <a:outerShdw blurRad="38100" dist="38100" dir="2700000" algn="tl">
                                  <a:srgbClr val="C0C0C0"/>
                                </a:outerShdw>
                              </a:effectLst>
                            </a:rPr>
                            <a:t>Risk</a:t>
                          </a:r>
                          <a:endParaRPr lang="en-US" sz="2400"/>
                        </a:p>
                        <a:p>
                          <a:pPr marL="0" indent="0">
                            <a:spcBef>
                              <a:spcPct val="10000"/>
                            </a:spcBef>
                            <a:spcAft>
                              <a:spcPct val="10000"/>
                            </a:spcAft>
                            <a:buFont typeface="Monotype Sorts" pitchFamily="2" charset="2"/>
                            <a:buNone/>
                          </a:pPr>
                          <a:r>
                            <a:rPr lang="en-US" sz="2400">
                              <a:solidFill>
                                <a:schemeClr val="hlink"/>
                              </a:solidFill>
                              <a:effectLst>
                                <a:outerShdw blurRad="38100" dist="38100" dir="2700000" algn="tl">
                                  <a:srgbClr val="C0C0C0"/>
                                </a:outerShdw>
                              </a:effectLst>
                            </a:rPr>
                            <a:t>    A		Low</a:t>
                          </a:r>
                        </a:p>
                        <a:p>
                          <a:pPr marL="0" indent="0">
                            <a:spcBef>
                              <a:spcPct val="10000"/>
                            </a:spcBef>
                            <a:spcAft>
                              <a:spcPct val="10000"/>
                            </a:spcAft>
                            <a:buFont typeface="Monotype Sorts" pitchFamily="2" charset="2"/>
                            <a:buNone/>
                          </a:pPr>
                          <a:r>
                            <a:rPr lang="en-US" sz="2400">
                              <a:solidFill>
                                <a:srgbClr val="42B200"/>
                              </a:solidFill>
                              <a:effectLst>
                                <a:outerShdw blurRad="38100" dist="38100" dir="2700000" algn="tl">
                                  <a:srgbClr val="C0C0C0"/>
                                </a:outerShdw>
                              </a:effectLst>
                            </a:rPr>
                            <a:t>    B		Average</a:t>
                          </a:r>
                        </a:p>
                        <a:p>
                          <a:pPr marL="0" indent="0">
                            <a:spcBef>
                              <a:spcPct val="10000"/>
                            </a:spcBef>
                            <a:spcAft>
                              <a:spcPct val="10000"/>
                            </a:spcAft>
                            <a:buFont typeface="Monotype Sorts" pitchFamily="2" charset="2"/>
                            <a:buNone/>
                          </a:pPr>
                          <a:r>
                            <a:rPr lang="en-US" sz="2400">
                              <a:solidFill>
                                <a:schemeClr val="tx2"/>
                              </a:solidFill>
                              <a:effectLst>
                                <a:outerShdw blurRad="38100" dist="38100" dir="2700000" algn="tl">
                                  <a:srgbClr val="C0C0C0"/>
                                </a:outerShdw>
                              </a:effectLst>
                            </a:rPr>
                            <a:t>    C		High</a:t>
                          </a:r>
                          <a:endParaRPr lang="en-US" sz="2400">
                            <a:solidFill>
                              <a:schemeClr val="tx2"/>
                            </a:solidFill>
                          </a:endParaRPr>
                        </a:p>
                        <a:p>
                          <a:pPr marL="0" indent="0" algn="ctr">
                            <a:spcBef>
                              <a:spcPct val="90000"/>
                            </a:spcBef>
                            <a:spcAft>
                              <a:spcPct val="10000"/>
                            </a:spcAft>
                            <a:buFont typeface="Monotype Sorts" pitchFamily="2" charset="2"/>
                            <a:buNone/>
                          </a:pPr>
                          <a:r>
                            <a:rPr lang="en-US" sz="2200"/>
                            <a:t>Risk increases as the level of current assets are reduced.</a:t>
                          </a:r>
                        </a:p>
                      </a:txBody>
                      <a:useSpRect/>
                    </a:txSp>
                  </a:sp>
                  <a:sp>
                    <a:nvSpPr>
                      <a:cNvPr id="14342" name="Rectangle 6"/>
                      <a:cNvSpPr>
                        <a:spLocks noGrp="1" noChangeArrowheads="1"/>
                      </a:cNvSpPr>
                    </a:nvSpPr>
                    <a:spPr bwMode="auto">
                      <a:xfrm>
                        <a:off x="685800" y="1981200"/>
                        <a:ext cx="7772400" cy="533400"/>
                      </a:xfrm>
                      <a:prstGeom prst="rect">
                        <a:avLst/>
                      </a:prstGeom>
                      <a:noFill/>
                      <a:ln w="12700">
                        <a:noFill/>
                        <a:miter lim="800000"/>
                        <a:headEnd/>
                        <a:tailEnd/>
                      </a:ln>
                      <a:effectLst/>
                    </a:spPr>
                    <a:txSp>
                      <a:txBody>
                        <a:bodyPr vert="horz" wrap="square" lIns="90488" tIns="44450" rIns="90488" bIns="44450" numCol="1" anchor="t" anchorCtr="0" compatLnSpc="1">
                          <a:prstTxWarp prst="textNoShape">
                            <a:avLst/>
                          </a:prstTxWarp>
                        </a:bodyPr>
                        <a:lstStyle>
                          <a:lvl1pPr marL="342900" indent="-342900" algn="l" rtl="0" eaLnBrk="0" fontAlgn="base" hangingPunct="0">
                            <a:spcBef>
                              <a:spcPct val="20000"/>
                            </a:spcBef>
                            <a:spcAft>
                              <a:spcPct val="20000"/>
                            </a:spcAft>
                            <a:buClr>
                              <a:schemeClr val="tx2"/>
                            </a:buClr>
                            <a:buSzPct val="75000"/>
                            <a:buFont typeface="Monotype Sorts" pitchFamily="2" charset="2"/>
                            <a:buChar char="u"/>
                            <a:defRPr sz="2800" b="1">
                              <a:solidFill>
                                <a:srgbClr val="000000"/>
                              </a:solidFill>
                              <a:latin typeface="+mn-lt"/>
                              <a:ea typeface="+mn-ea"/>
                              <a:cs typeface="+mn-cs"/>
                            </a:defRPr>
                          </a:lvl1pPr>
                          <a:lvl2pPr marL="742950" indent="-285750" algn="l" rtl="0" eaLnBrk="0" fontAlgn="base" hangingPunct="0">
                            <a:spcBef>
                              <a:spcPct val="20000"/>
                            </a:spcBef>
                            <a:spcAft>
                              <a:spcPct val="20000"/>
                            </a:spcAft>
                            <a:buClr>
                              <a:schemeClr val="tx2"/>
                            </a:buClr>
                            <a:buSzPct val="75000"/>
                            <a:buFont typeface="Monotype Sorts" pitchFamily="2" charset="2"/>
                            <a:buChar char="u"/>
                            <a:defRPr sz="2400" b="1">
                              <a:solidFill>
                                <a:srgbClr val="000000"/>
                              </a:solidFill>
                              <a:latin typeface="+mn-lt"/>
                            </a:defRPr>
                          </a:lvl2pPr>
                          <a:lvl3pPr marL="1143000" indent="-228600" algn="l" rtl="0" eaLnBrk="0" fontAlgn="base" hangingPunct="0">
                            <a:spcBef>
                              <a:spcPct val="20000"/>
                            </a:spcBef>
                            <a:spcAft>
                              <a:spcPct val="20000"/>
                            </a:spcAft>
                            <a:buClr>
                              <a:schemeClr val="tx2"/>
                            </a:buClr>
                            <a:buSzPct val="65000"/>
                            <a:buFont typeface="Monotype Sorts" pitchFamily="2" charset="2"/>
                            <a:buChar char="u"/>
                            <a:defRPr sz="2000" b="1">
                              <a:solidFill>
                                <a:srgbClr val="000000"/>
                              </a:solidFill>
                              <a:latin typeface="+mn-lt"/>
                            </a:defRPr>
                          </a:lvl3pPr>
                          <a:lvl4pPr marL="1600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4pPr>
                          <a:lvl5pPr marL="20574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5pPr>
                          <a:lvl6pPr marL="25146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6pPr>
                          <a:lvl7pPr marL="29718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7pPr>
                          <a:lvl8pPr marL="34290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8pPr>
                          <a:lvl9pPr marL="3886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9pPr>
                        </a:lstStyle>
                        <a:p>
                          <a:pPr algn="ctr">
                            <a:spcBef>
                              <a:spcPct val="10000"/>
                            </a:spcBef>
                            <a:spcAft>
                              <a:spcPct val="10000"/>
                            </a:spcAft>
                            <a:buFont typeface="Monotype Sorts" pitchFamily="2" charset="2"/>
                            <a:buNone/>
                          </a:pPr>
                          <a:r>
                            <a:rPr lang="en-US" sz="2400"/>
                            <a:t>Optimal Amount (Level) of Current Assets</a:t>
                          </a:r>
                        </a:p>
                      </a:txBody>
                      <a:useSpRect/>
                    </a:txSp>
                  </a:sp>
                  <a:sp>
                    <a:nvSpPr>
                      <a:cNvPr id="14343" name="Line 7"/>
                      <a:cNvSpPr>
                        <a:spLocks noChangeShapeType="1"/>
                      </a:cNvSpPr>
                    </a:nvSpPr>
                    <a:spPr bwMode="auto">
                      <a:xfrm flipH="1">
                        <a:off x="4495800" y="5867400"/>
                        <a:ext cx="4114800" cy="0"/>
                      </a:xfrm>
                      <a:prstGeom prst="line">
                        <a:avLst/>
                      </a:prstGeom>
                      <a:noFill/>
                      <a:ln w="50800">
                        <a:solidFill>
                          <a:srgbClr val="000000"/>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4344" name="Line 8"/>
                      <a:cNvSpPr>
                        <a:spLocks noChangeShapeType="1"/>
                      </a:cNvSpPr>
                    </a:nvSpPr>
                    <a:spPr bwMode="auto">
                      <a:xfrm>
                        <a:off x="4495800" y="2667000"/>
                        <a:ext cx="0" cy="3200400"/>
                      </a:xfrm>
                      <a:prstGeom prst="line">
                        <a:avLst/>
                      </a:prstGeom>
                      <a:noFill/>
                      <a:ln w="50800">
                        <a:solidFill>
                          <a:srgbClr val="000000"/>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4345" name="Arc 9"/>
                      <a:cNvSpPr>
                        <a:spLocks/>
                      </a:cNvSpPr>
                    </a:nvSpPr>
                    <a:spPr bwMode="auto">
                      <a:xfrm rot="10800000">
                        <a:off x="4495800" y="3810000"/>
                        <a:ext cx="3962400" cy="1981200"/>
                      </a:xfrm>
                      <a:custGeom>
                        <a:avLst/>
                        <a:gdLst>
                          <a:gd name="G0" fmla="+- 0 0 0"/>
                          <a:gd name="G1" fmla="+- 0 0 0"/>
                          <a:gd name="G2" fmla="+- 21600 0 0"/>
                          <a:gd name="T0" fmla="*/ 21600 w 21600"/>
                          <a:gd name="T1" fmla="*/ 0 h 21600"/>
                          <a:gd name="T2" fmla="*/ 0 w 21600"/>
                          <a:gd name="T3" fmla="*/ 21600 h 21600"/>
                          <a:gd name="T4" fmla="*/ 0 w 21600"/>
                          <a:gd name="T5" fmla="*/ 0 h 21600"/>
                        </a:gdLst>
                        <a:ahLst/>
                        <a:cxnLst>
                          <a:cxn ang="0">
                            <a:pos x="T0" y="T1"/>
                          </a:cxn>
                          <a:cxn ang="0">
                            <a:pos x="T2" y="T3"/>
                          </a:cxn>
                          <a:cxn ang="0">
                            <a:pos x="T4" y="T5"/>
                          </a:cxn>
                        </a:cxnLst>
                        <a:rect l="0" t="0" r="r" b="b"/>
                        <a:pathLst>
                          <a:path w="21600" h="21600" fill="none" extrusionOk="0">
                            <a:moveTo>
                              <a:pt x="21600" y="0"/>
                            </a:moveTo>
                            <a:cubicBezTo>
                              <a:pt x="21600" y="11929"/>
                              <a:pt x="11929" y="21599"/>
                              <a:pt x="0" y="21600"/>
                            </a:cubicBezTo>
                          </a:path>
                          <a:path w="21600" h="21600" stroke="0" extrusionOk="0">
                            <a:moveTo>
                              <a:pt x="21600" y="0"/>
                            </a:moveTo>
                            <a:cubicBezTo>
                              <a:pt x="21600" y="11929"/>
                              <a:pt x="11929" y="21599"/>
                              <a:pt x="0" y="21600"/>
                            </a:cubicBezTo>
                            <a:lnTo>
                              <a:pt x="0" y="0"/>
                            </a:lnTo>
                            <a:close/>
                          </a:path>
                        </a:pathLst>
                      </a:custGeom>
                      <a:noFill/>
                      <a:ln w="50800" cap="rnd">
                        <a:solidFill>
                          <a:srgbClr val="42B200"/>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4346" name="Arc 10"/>
                      <a:cNvSpPr>
                        <a:spLocks/>
                      </a:cNvSpPr>
                    </a:nvSpPr>
                    <a:spPr bwMode="auto">
                      <a:xfrm rot="10800000">
                        <a:off x="4495800" y="3352800"/>
                        <a:ext cx="3962400" cy="2438400"/>
                      </a:xfrm>
                      <a:custGeom>
                        <a:avLst/>
                        <a:gdLst>
                          <a:gd name="G0" fmla="+- 0 0 0"/>
                          <a:gd name="G1" fmla="+- 0 0 0"/>
                          <a:gd name="G2" fmla="+- 21600 0 0"/>
                          <a:gd name="T0" fmla="*/ 21600 w 21600"/>
                          <a:gd name="T1" fmla="*/ 0 h 21600"/>
                          <a:gd name="T2" fmla="*/ 0 w 21600"/>
                          <a:gd name="T3" fmla="*/ 21600 h 21600"/>
                          <a:gd name="T4" fmla="*/ 0 w 21600"/>
                          <a:gd name="T5" fmla="*/ 0 h 21600"/>
                        </a:gdLst>
                        <a:ahLst/>
                        <a:cxnLst>
                          <a:cxn ang="0">
                            <a:pos x="T0" y="T1"/>
                          </a:cxn>
                          <a:cxn ang="0">
                            <a:pos x="T2" y="T3"/>
                          </a:cxn>
                          <a:cxn ang="0">
                            <a:pos x="T4" y="T5"/>
                          </a:cxn>
                        </a:cxnLst>
                        <a:rect l="0" t="0" r="r" b="b"/>
                        <a:pathLst>
                          <a:path w="21600" h="21600" fill="none" extrusionOk="0">
                            <a:moveTo>
                              <a:pt x="21600" y="0"/>
                            </a:moveTo>
                            <a:cubicBezTo>
                              <a:pt x="21600" y="11929"/>
                              <a:pt x="11929" y="21599"/>
                              <a:pt x="0" y="21600"/>
                            </a:cubicBezTo>
                          </a:path>
                          <a:path w="21600" h="21600" stroke="0" extrusionOk="0">
                            <a:moveTo>
                              <a:pt x="21600" y="0"/>
                            </a:moveTo>
                            <a:cubicBezTo>
                              <a:pt x="21600" y="11929"/>
                              <a:pt x="11929" y="21599"/>
                              <a:pt x="0" y="21600"/>
                            </a:cubicBezTo>
                            <a:lnTo>
                              <a:pt x="0" y="0"/>
                            </a:lnTo>
                            <a:close/>
                          </a:path>
                        </a:pathLst>
                      </a:custGeom>
                      <a:noFill/>
                      <a:ln w="50800" cap="rnd">
                        <a:solidFill>
                          <a:schemeClr val="hlink"/>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4347" name="Arc 11"/>
                      <a:cNvSpPr>
                        <a:spLocks/>
                      </a:cNvSpPr>
                    </a:nvSpPr>
                    <a:spPr bwMode="auto">
                      <a:xfrm rot="10800000">
                        <a:off x="4495800" y="4267200"/>
                        <a:ext cx="3962400" cy="1524000"/>
                      </a:xfrm>
                      <a:custGeom>
                        <a:avLst/>
                        <a:gdLst>
                          <a:gd name="G0" fmla="+- 0 0 0"/>
                          <a:gd name="G1" fmla="+- 0 0 0"/>
                          <a:gd name="G2" fmla="+- 21600 0 0"/>
                          <a:gd name="T0" fmla="*/ 21600 w 21600"/>
                          <a:gd name="T1" fmla="*/ 0 h 21600"/>
                          <a:gd name="T2" fmla="*/ 0 w 21600"/>
                          <a:gd name="T3" fmla="*/ 21600 h 21600"/>
                          <a:gd name="T4" fmla="*/ 0 w 21600"/>
                          <a:gd name="T5" fmla="*/ 0 h 21600"/>
                        </a:gdLst>
                        <a:ahLst/>
                        <a:cxnLst>
                          <a:cxn ang="0">
                            <a:pos x="T0" y="T1"/>
                          </a:cxn>
                          <a:cxn ang="0">
                            <a:pos x="T2" y="T3"/>
                          </a:cxn>
                          <a:cxn ang="0">
                            <a:pos x="T4" y="T5"/>
                          </a:cxn>
                        </a:cxnLst>
                        <a:rect l="0" t="0" r="r" b="b"/>
                        <a:pathLst>
                          <a:path w="21600" h="21600" fill="none" extrusionOk="0">
                            <a:moveTo>
                              <a:pt x="21600" y="0"/>
                            </a:moveTo>
                            <a:cubicBezTo>
                              <a:pt x="21600" y="11929"/>
                              <a:pt x="11929" y="21599"/>
                              <a:pt x="0" y="21600"/>
                            </a:cubicBezTo>
                          </a:path>
                          <a:path w="21600" h="21600" stroke="0" extrusionOk="0">
                            <a:moveTo>
                              <a:pt x="21600" y="0"/>
                            </a:moveTo>
                            <a:cubicBezTo>
                              <a:pt x="21600" y="11929"/>
                              <a:pt x="11929" y="21599"/>
                              <a:pt x="0" y="21600"/>
                            </a:cubicBezTo>
                            <a:lnTo>
                              <a:pt x="0" y="0"/>
                            </a:lnTo>
                            <a:close/>
                          </a:path>
                        </a:pathLst>
                      </a:custGeom>
                      <a:noFill/>
                      <a:ln w="50800" cap="rnd">
                        <a:solidFill>
                          <a:schemeClr val="tx2"/>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4348" name="Rectangle 12"/>
                      <a:cNvSpPr>
                        <a:spLocks noChangeArrowheads="1"/>
                      </a:cNvSpPr>
                    </a:nvSpPr>
                    <a:spPr bwMode="auto">
                      <a:xfrm>
                        <a:off x="4329113" y="5921375"/>
                        <a:ext cx="45624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0                       25,000                      50,000</a:t>
                          </a:r>
                        </a:p>
                      </a:txBody>
                      <a:useSpRect/>
                    </a:txSp>
                  </a:sp>
                  <a:sp>
                    <a:nvSpPr>
                      <a:cNvPr id="14349" name="Rectangle 13"/>
                      <a:cNvSpPr>
                        <a:spLocks noChangeArrowheads="1"/>
                      </a:cNvSpPr>
                    </a:nvSpPr>
                    <a:spPr bwMode="auto">
                      <a:xfrm>
                        <a:off x="5395913" y="6149975"/>
                        <a:ext cx="18827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OUTPUT (units)</a:t>
                          </a:r>
                        </a:p>
                      </a:txBody>
                      <a:useSpRect/>
                    </a:txSp>
                  </a:sp>
                  <a:sp>
                    <a:nvSpPr>
                      <a:cNvPr id="14350" name="Rectangle 14"/>
                      <a:cNvSpPr>
                        <a:spLocks noChangeArrowheads="1"/>
                      </a:cNvSpPr>
                    </a:nvSpPr>
                    <a:spPr bwMode="auto">
                      <a:xfrm rot="16200000">
                        <a:off x="3180556" y="4021932"/>
                        <a:ext cx="20859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ASSET LEVEL ($)</a:t>
                          </a:r>
                        </a:p>
                      </a:txBody>
                      <a:useSpRect/>
                    </a:txSp>
                  </a:sp>
                  <a:sp>
                    <a:nvSpPr>
                      <a:cNvPr id="14351" name="Rectangle 15"/>
                      <a:cNvSpPr>
                        <a:spLocks noChangeArrowheads="1"/>
                      </a:cNvSpPr>
                    </a:nvSpPr>
                    <a:spPr bwMode="auto">
                      <a:xfrm>
                        <a:off x="5548313" y="4778375"/>
                        <a:ext cx="18192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t>Current Assets</a:t>
                          </a:r>
                        </a:p>
                      </a:txBody>
                      <a:useSpRect/>
                    </a:txSp>
                  </a:sp>
                  <a:sp>
                    <a:nvSpPr>
                      <a:cNvPr id="14352" name="Line 16"/>
                      <a:cNvSpPr>
                        <a:spLocks noChangeShapeType="1"/>
                      </a:cNvSpPr>
                    </a:nvSpPr>
                    <a:spPr bwMode="auto">
                      <a:xfrm flipV="1">
                        <a:off x="6019800" y="3962400"/>
                        <a:ext cx="0" cy="8382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4353" name="Line 17"/>
                      <a:cNvSpPr>
                        <a:spLocks noChangeShapeType="1"/>
                      </a:cNvSpPr>
                    </a:nvSpPr>
                    <a:spPr bwMode="auto">
                      <a:xfrm flipV="1">
                        <a:off x="6324600" y="4191000"/>
                        <a:ext cx="0" cy="6096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4354" name="Line 18"/>
                      <a:cNvSpPr>
                        <a:spLocks noChangeShapeType="1"/>
                      </a:cNvSpPr>
                    </a:nvSpPr>
                    <a:spPr bwMode="auto">
                      <a:xfrm flipV="1">
                        <a:off x="6629400" y="4495800"/>
                        <a:ext cx="0" cy="3048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4355" name="Line 19"/>
                      <a:cNvSpPr>
                        <a:spLocks noChangeShapeType="1"/>
                      </a:cNvSpPr>
                    </a:nvSpPr>
                    <a:spPr bwMode="auto">
                      <a:xfrm>
                        <a:off x="6019800" y="5105400"/>
                        <a:ext cx="0" cy="7620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4356" name="Line 20"/>
                      <a:cNvSpPr>
                        <a:spLocks noChangeShapeType="1"/>
                      </a:cNvSpPr>
                    </a:nvSpPr>
                    <a:spPr bwMode="auto">
                      <a:xfrm>
                        <a:off x="6324600" y="5105400"/>
                        <a:ext cx="0" cy="7620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4357" name="Line 21"/>
                      <a:cNvSpPr>
                        <a:spLocks noChangeShapeType="1"/>
                      </a:cNvSpPr>
                    </a:nvSpPr>
                    <a:spPr bwMode="auto">
                      <a:xfrm>
                        <a:off x="6629400" y="5105400"/>
                        <a:ext cx="0" cy="762000"/>
                      </a:xfrm>
                      <a:prstGeom prst="line">
                        <a:avLst/>
                      </a:prstGeom>
                      <a:noFill/>
                      <a:ln w="12700">
                        <a:solidFill>
                          <a:schemeClr val="tx1"/>
                        </a:solidFill>
                        <a:round/>
                        <a:headEnd/>
                        <a:tailEnd type="triangle" w="med" len="me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4358" name="Rectangle 22"/>
                      <a:cNvSpPr>
                        <a:spLocks noChangeArrowheads="1"/>
                      </a:cNvSpPr>
                    </a:nvSpPr>
                    <a:spPr bwMode="auto">
                      <a:xfrm>
                        <a:off x="7453313" y="3940175"/>
                        <a:ext cx="10826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solidFill>
                                <a:schemeClr val="tx2"/>
                              </a:solidFill>
                              <a:effectLst>
                                <a:outerShdw blurRad="38100" dist="38100" dir="2700000" algn="tl">
                                  <a:srgbClr val="C0C0C0"/>
                                </a:outerShdw>
                              </a:effectLst>
                            </a:rPr>
                            <a:t>Policy C</a:t>
                          </a:r>
                        </a:p>
                      </a:txBody>
                      <a:useSpRect/>
                    </a:txSp>
                  </a:sp>
                  <a:sp>
                    <a:nvSpPr>
                      <a:cNvPr id="14359" name="Rectangle 23"/>
                      <a:cNvSpPr>
                        <a:spLocks noChangeArrowheads="1"/>
                      </a:cNvSpPr>
                    </a:nvSpPr>
                    <a:spPr bwMode="auto">
                      <a:xfrm>
                        <a:off x="7453313" y="3025775"/>
                        <a:ext cx="10826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solidFill>
                                <a:schemeClr val="hlink"/>
                              </a:solidFill>
                              <a:effectLst>
                                <a:outerShdw blurRad="38100" dist="38100" dir="2700000" algn="tl">
                                  <a:srgbClr val="C0C0C0"/>
                                </a:outerShdw>
                              </a:effectLst>
                            </a:rPr>
                            <a:t>Policy A</a:t>
                          </a:r>
                        </a:p>
                      </a:txBody>
                      <a:useSpRect/>
                    </a:txSp>
                  </a:sp>
                  <a:sp>
                    <a:nvSpPr>
                      <a:cNvPr id="14360" name="Rectangle 24"/>
                      <a:cNvSpPr>
                        <a:spLocks noChangeArrowheads="1"/>
                      </a:cNvSpPr>
                    </a:nvSpPr>
                    <a:spPr bwMode="auto">
                      <a:xfrm>
                        <a:off x="7453313" y="3482975"/>
                        <a:ext cx="1082675" cy="36353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r>
                            <a:rPr lang="en-US" sz="1800">
                              <a:solidFill>
                                <a:srgbClr val="42B200"/>
                              </a:solidFill>
                              <a:effectLst>
                                <a:outerShdw blurRad="38100" dist="38100" dir="2700000" algn="tl">
                                  <a:srgbClr val="C0C0C0"/>
                                </a:outerShdw>
                              </a:effectLst>
                            </a:rPr>
                            <a:t>Policy B</a:t>
                          </a:r>
                        </a:p>
                      </a:txBody>
                      <a:useSpRect/>
                    </a:txSp>
                  </a:sp>
                  <a:sp>
                    <a:nvSpPr>
                      <a:cNvPr id="14361" name="Line 25"/>
                      <a:cNvSpPr>
                        <a:spLocks noChangeShapeType="1"/>
                      </a:cNvSpPr>
                    </a:nvSpPr>
                    <a:spPr bwMode="auto">
                      <a:xfrm>
                        <a:off x="381000" y="4876800"/>
                        <a:ext cx="3505200" cy="0"/>
                      </a:xfrm>
                      <a:prstGeom prst="line">
                        <a:avLst/>
                      </a:prstGeom>
                      <a:noFill/>
                      <a:ln w="38100" cmpd="dbl">
                        <a:solidFill>
                          <a:schemeClr val="tx1"/>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lc:lockedCanvas>
              </a:graphicData>
            </a:graphic>
          </wp:inline>
        </w:drawing>
      </w:r>
    </w:p>
    <w:p w:rsidR="00671B39" w:rsidRPr="003558E0" w:rsidRDefault="00671B39" w:rsidP="00E44553">
      <w:pPr>
        <w:rPr>
          <w:rFonts w:ascii="GE Inspira" w:hAnsi="GE Inspira"/>
          <w:sz w:val="24"/>
          <w:szCs w:val="24"/>
        </w:rPr>
      </w:pPr>
    </w:p>
    <w:p w:rsidR="00671B39" w:rsidRPr="003558E0" w:rsidRDefault="00671B39" w:rsidP="00E44553">
      <w:pPr>
        <w:rPr>
          <w:rFonts w:ascii="GE Inspira" w:hAnsi="GE Inspira"/>
          <w:sz w:val="24"/>
          <w:szCs w:val="24"/>
        </w:rPr>
      </w:pPr>
    </w:p>
    <w:p w:rsidR="00671B39" w:rsidRPr="003558E0" w:rsidRDefault="00671B39" w:rsidP="00E44553">
      <w:pPr>
        <w:rPr>
          <w:rFonts w:ascii="GE Inspira" w:hAnsi="GE Inspira"/>
          <w:sz w:val="24"/>
          <w:szCs w:val="24"/>
        </w:rPr>
      </w:pPr>
    </w:p>
    <w:p w:rsidR="00671B39" w:rsidRPr="003558E0" w:rsidRDefault="00671B39" w:rsidP="00E44553">
      <w:pPr>
        <w:rPr>
          <w:rFonts w:ascii="GE Inspira" w:hAnsi="GE Inspira"/>
          <w:sz w:val="24"/>
          <w:szCs w:val="24"/>
        </w:rPr>
      </w:pPr>
    </w:p>
    <w:p w:rsidR="00671B39" w:rsidRPr="003558E0" w:rsidRDefault="00671B39" w:rsidP="00E44553">
      <w:pPr>
        <w:rPr>
          <w:rFonts w:ascii="GE Inspira" w:hAnsi="GE Inspira"/>
          <w:sz w:val="24"/>
          <w:szCs w:val="24"/>
        </w:rPr>
      </w:pPr>
      <w:r w:rsidRPr="003558E0">
        <w:rPr>
          <w:rFonts w:ascii="GE Inspira" w:hAnsi="GE Inspira"/>
          <w:sz w:val="24"/>
          <w:szCs w:val="24"/>
        </w:rPr>
        <w:lastRenderedPageBreak/>
        <w:drawing>
          <wp:inline distT="0" distB="0" distL="0" distR="0">
            <wp:extent cx="5943600" cy="733425"/>
            <wp:effectExtent l="0" t="0" r="0" b="0"/>
            <wp:docPr id="13" name="Object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404100" cy="1701800"/>
                      <a:chOff x="1676400" y="50800"/>
                      <a:chExt cx="7404100" cy="1701800"/>
                    </a:xfrm>
                  </a:grpSpPr>
                  <a:sp>
                    <a:nvSpPr>
                      <a:cNvPr id="15364" name="Rectangle 4"/>
                      <a:cNvSpPr>
                        <a:spLocks noGrp="1" noChangeArrowheads="1"/>
                      </a:cNvSpPr>
                    </a:nvSpPr>
                    <a:spPr bwMode="auto">
                      <a:xfrm>
                        <a:off x="1676400" y="50800"/>
                        <a:ext cx="7404100" cy="1701800"/>
                      </a:xfrm>
                      <a:prstGeom prst="rect">
                        <a:avLst/>
                      </a:prstGeom>
                      <a:noFill/>
                      <a:ln w="12700">
                        <a:noFill/>
                        <a:miter lim="800000"/>
                        <a:headEnd/>
                        <a:tailEnd/>
                      </a:ln>
                      <a:effectLst/>
                    </a:spPr>
                    <a:txSp>
                      <a:txBody>
                        <a:bodyPr vert="horz" wrap="square" lIns="90488" tIns="44450" rIns="90488" bIns="44450" numCol="1" anchor="ctr" anchorCtr="0" compatLnSpc="1">
                          <a:prstTxWarp prst="textNoShape">
                            <a:avLst/>
                          </a:prstTxWarp>
                        </a:bodyPr>
                        <a:lstStyle>
                          <a:lvl1pPr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mj-lt"/>
                              <a:ea typeface="+mj-ea"/>
                              <a:cs typeface="+mj-cs"/>
                            </a:defRPr>
                          </a:lvl1pPr>
                          <a:lvl2pPr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2pPr>
                          <a:lvl3pPr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3pPr>
                          <a:lvl4pPr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4pPr>
                          <a:lvl5pPr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5pPr>
                          <a:lvl6pPr marL="457200"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6pPr>
                          <a:lvl7pPr marL="914400"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7pPr>
                          <a:lvl8pPr marL="1371600"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8pPr>
                          <a:lvl9pPr marL="1828800" algn="l" rtl="0" eaLnBrk="0" fontAlgn="base" hangingPunct="0">
                            <a:spcBef>
                              <a:spcPct val="0"/>
                            </a:spcBef>
                            <a:spcAft>
                              <a:spcPct val="0"/>
                            </a:spcAft>
                            <a:defRPr sz="4400" i="1">
                              <a:solidFill>
                                <a:schemeClr val="tx2"/>
                              </a:solidFill>
                              <a:effectLst>
                                <a:outerShdw blurRad="38100" dist="38100" dir="2700000" algn="tl">
                                  <a:srgbClr val="C0C0C0"/>
                                </a:outerShdw>
                              </a:effectLst>
                              <a:latin typeface="Arial" charset="0"/>
                            </a:defRPr>
                          </a:lvl9pPr>
                        </a:lstStyle>
                        <a:p>
                          <a:r>
                            <a:rPr lang="en-US" b="1" dirty="0"/>
                            <a:t>Summary of the Optimal Amount of Current Assets</a:t>
                          </a:r>
                        </a:p>
                      </a:txBody>
                      <a:useSpRect/>
                    </a:txSp>
                  </a:sp>
                </lc:lockedCanvas>
              </a:graphicData>
            </a:graphic>
          </wp:inline>
        </w:drawing>
      </w:r>
    </w:p>
    <w:p w:rsidR="00671B39" w:rsidRPr="003558E0" w:rsidRDefault="00671B39" w:rsidP="00E44553">
      <w:pPr>
        <w:rPr>
          <w:rFonts w:ascii="GE Inspira" w:hAnsi="GE Inspira"/>
          <w:sz w:val="24"/>
          <w:szCs w:val="24"/>
        </w:rPr>
      </w:pPr>
      <w:r w:rsidRPr="003558E0">
        <w:rPr>
          <w:rFonts w:ascii="GE Inspira" w:hAnsi="GE Inspira"/>
          <w:sz w:val="24"/>
          <w:szCs w:val="24"/>
        </w:rPr>
        <w:drawing>
          <wp:inline distT="0" distB="0" distL="0" distR="0">
            <wp:extent cx="5943600" cy="3067050"/>
            <wp:effectExtent l="0" t="0" r="0" b="0"/>
            <wp:docPr id="14" name="Object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772400" cy="4565650"/>
                      <a:chOff x="762000" y="1981200"/>
                      <a:chExt cx="7772400" cy="4565650"/>
                    </a:xfrm>
                  </a:grpSpPr>
                  <a:sp>
                    <a:nvSpPr>
                      <a:cNvPr id="15362" name="Rectangle 2"/>
                      <a:cNvSpPr>
                        <a:spLocks noChangeArrowheads="1"/>
                      </a:cNvSpPr>
                    </a:nvSpPr>
                    <a:spPr bwMode="auto">
                      <a:xfrm>
                        <a:off x="768350" y="1987550"/>
                        <a:ext cx="7759700" cy="520700"/>
                      </a:xfrm>
                      <a:prstGeom prst="rect">
                        <a:avLst/>
                      </a:prstGeom>
                      <a:solidFill>
                        <a:schemeClr val="accent1"/>
                      </a:solidFill>
                      <a:ln w="12700">
                        <a:solidFill>
                          <a:schemeClr val="tx1"/>
                        </a:solidFill>
                        <a:miter lim="800000"/>
                        <a:headEnd/>
                        <a:tailEnd/>
                      </a:ln>
                      <a:effectLst/>
                    </a:spPr>
                    <a:txSp>
                      <a:txBody>
                        <a:bodyPr wrap="none" anchor="ct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5365" name="Rectangle 5"/>
                      <a:cNvSpPr>
                        <a:spLocks noGrp="1" noChangeArrowheads="1"/>
                      </a:cNvSpPr>
                    </a:nvSpPr>
                    <a:spPr bwMode="auto">
                      <a:xfrm>
                        <a:off x="762000" y="1981200"/>
                        <a:ext cx="7772400" cy="2438400"/>
                      </a:xfrm>
                      <a:prstGeom prst="rect">
                        <a:avLst/>
                      </a:prstGeom>
                      <a:noFill/>
                      <a:ln w="12700">
                        <a:noFill/>
                        <a:miter lim="800000"/>
                        <a:headEnd/>
                        <a:tailEnd/>
                      </a:ln>
                      <a:effectLst/>
                    </a:spPr>
                    <a:txSp>
                      <a:txBody>
                        <a:bodyPr vert="horz" wrap="square" lIns="90488" tIns="44450" rIns="90488" bIns="44450" numCol="1" anchor="t" anchorCtr="0" compatLnSpc="1">
                          <a:prstTxWarp prst="textNoShape">
                            <a:avLst/>
                          </a:prstTxWarp>
                        </a:bodyPr>
                        <a:lstStyle>
                          <a:lvl1pPr marL="342900" indent="-342900" algn="l" rtl="0" eaLnBrk="0" fontAlgn="base" hangingPunct="0">
                            <a:spcBef>
                              <a:spcPct val="20000"/>
                            </a:spcBef>
                            <a:spcAft>
                              <a:spcPct val="20000"/>
                            </a:spcAft>
                            <a:buClr>
                              <a:schemeClr val="tx2"/>
                            </a:buClr>
                            <a:buSzPct val="75000"/>
                            <a:buFont typeface="Monotype Sorts" pitchFamily="2" charset="2"/>
                            <a:buChar char="u"/>
                            <a:defRPr sz="2800" b="1">
                              <a:solidFill>
                                <a:srgbClr val="000000"/>
                              </a:solidFill>
                              <a:latin typeface="+mn-lt"/>
                              <a:ea typeface="+mn-ea"/>
                              <a:cs typeface="+mn-cs"/>
                            </a:defRPr>
                          </a:lvl1pPr>
                          <a:lvl2pPr marL="742950" indent="-285750" algn="l" rtl="0" eaLnBrk="0" fontAlgn="base" hangingPunct="0">
                            <a:spcBef>
                              <a:spcPct val="20000"/>
                            </a:spcBef>
                            <a:spcAft>
                              <a:spcPct val="20000"/>
                            </a:spcAft>
                            <a:buClr>
                              <a:schemeClr val="tx2"/>
                            </a:buClr>
                            <a:buSzPct val="75000"/>
                            <a:buFont typeface="Monotype Sorts" pitchFamily="2" charset="2"/>
                            <a:buChar char="u"/>
                            <a:defRPr sz="2400" b="1">
                              <a:solidFill>
                                <a:srgbClr val="000000"/>
                              </a:solidFill>
                              <a:latin typeface="+mn-lt"/>
                            </a:defRPr>
                          </a:lvl2pPr>
                          <a:lvl3pPr marL="1143000" indent="-228600" algn="l" rtl="0" eaLnBrk="0" fontAlgn="base" hangingPunct="0">
                            <a:spcBef>
                              <a:spcPct val="20000"/>
                            </a:spcBef>
                            <a:spcAft>
                              <a:spcPct val="20000"/>
                            </a:spcAft>
                            <a:buClr>
                              <a:schemeClr val="tx2"/>
                            </a:buClr>
                            <a:buSzPct val="65000"/>
                            <a:buFont typeface="Monotype Sorts" pitchFamily="2" charset="2"/>
                            <a:buChar char="u"/>
                            <a:defRPr sz="2000" b="1">
                              <a:solidFill>
                                <a:srgbClr val="000000"/>
                              </a:solidFill>
                              <a:latin typeface="+mn-lt"/>
                            </a:defRPr>
                          </a:lvl3pPr>
                          <a:lvl4pPr marL="1600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4pPr>
                          <a:lvl5pPr marL="20574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5pPr>
                          <a:lvl6pPr marL="25146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6pPr>
                          <a:lvl7pPr marL="29718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7pPr>
                          <a:lvl8pPr marL="34290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8pPr>
                          <a:lvl9pPr marL="3886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9pPr>
                        </a:lstStyle>
                        <a:p>
                          <a:pPr marL="0" indent="0" algn="ctr">
                            <a:spcBef>
                              <a:spcPct val="10000"/>
                            </a:spcBef>
                            <a:spcAft>
                              <a:spcPct val="10000"/>
                            </a:spcAft>
                            <a:buFont typeface="Monotype Sorts" pitchFamily="2" charset="2"/>
                            <a:buNone/>
                          </a:pPr>
                          <a:r>
                            <a:rPr lang="en-US" i="1">
                              <a:effectLst>
                                <a:outerShdw blurRad="38100" dist="38100" dir="2700000" algn="tl">
                                  <a:srgbClr val="C0C0C0"/>
                                </a:outerShdw>
                              </a:effectLst>
                            </a:rPr>
                            <a:t>S</a:t>
                          </a:r>
                          <a:r>
                            <a:rPr lang="en-US" sz="2000" i="1">
                              <a:effectLst>
                                <a:outerShdw blurRad="38100" dist="38100" dir="2700000" algn="tl">
                                  <a:srgbClr val="C0C0C0"/>
                                </a:outerShdw>
                              </a:effectLst>
                            </a:rPr>
                            <a:t>UMMARY</a:t>
                          </a:r>
                          <a:r>
                            <a:rPr lang="en-US" i="1">
                              <a:effectLst>
                                <a:outerShdw blurRad="38100" dist="38100" dir="2700000" algn="tl">
                                  <a:srgbClr val="C0C0C0"/>
                                </a:outerShdw>
                              </a:effectLst>
                            </a:rPr>
                            <a:t> O</a:t>
                          </a:r>
                          <a:r>
                            <a:rPr lang="en-US" sz="2000" i="1">
                              <a:effectLst>
                                <a:outerShdw blurRad="38100" dist="38100" dir="2700000" algn="tl">
                                  <a:srgbClr val="C0C0C0"/>
                                </a:outerShdw>
                              </a:effectLst>
                            </a:rPr>
                            <a:t>F</a:t>
                          </a:r>
                          <a:r>
                            <a:rPr lang="en-US" i="1">
                              <a:effectLst>
                                <a:outerShdw blurRad="38100" dist="38100" dir="2700000" algn="tl">
                                  <a:srgbClr val="C0C0C0"/>
                                </a:outerShdw>
                              </a:effectLst>
                            </a:rPr>
                            <a:t> O</a:t>
                          </a:r>
                          <a:r>
                            <a:rPr lang="en-US" sz="2000" i="1">
                              <a:effectLst>
                                <a:outerShdw blurRad="38100" dist="38100" dir="2700000" algn="tl">
                                  <a:srgbClr val="C0C0C0"/>
                                </a:outerShdw>
                              </a:effectLst>
                            </a:rPr>
                            <a:t>PTIMAL</a:t>
                          </a:r>
                          <a:r>
                            <a:rPr lang="en-US" i="1">
                              <a:effectLst>
                                <a:outerShdw blurRad="38100" dist="38100" dir="2700000" algn="tl">
                                  <a:srgbClr val="C0C0C0"/>
                                </a:outerShdw>
                              </a:effectLst>
                            </a:rPr>
                            <a:t> C</a:t>
                          </a:r>
                          <a:r>
                            <a:rPr lang="en-US" sz="2000" i="1">
                              <a:effectLst>
                                <a:outerShdw blurRad="38100" dist="38100" dir="2700000" algn="tl">
                                  <a:srgbClr val="C0C0C0"/>
                                </a:outerShdw>
                              </a:effectLst>
                            </a:rPr>
                            <a:t>URRENT</a:t>
                          </a:r>
                          <a:r>
                            <a:rPr lang="en-US" i="1">
                              <a:effectLst>
                                <a:outerShdw blurRad="38100" dist="38100" dir="2700000" algn="tl">
                                  <a:srgbClr val="C0C0C0"/>
                                </a:outerShdw>
                              </a:effectLst>
                            </a:rPr>
                            <a:t> A</a:t>
                          </a:r>
                          <a:r>
                            <a:rPr lang="en-US" sz="2000" i="1">
                              <a:effectLst>
                                <a:outerShdw blurRad="38100" dist="38100" dir="2700000" algn="tl">
                                  <a:srgbClr val="C0C0C0"/>
                                </a:outerShdw>
                              </a:effectLst>
                            </a:rPr>
                            <a:t>SSET</a:t>
                          </a:r>
                          <a:r>
                            <a:rPr lang="en-US" i="1">
                              <a:effectLst>
                                <a:outerShdw blurRad="38100" dist="38100" dir="2700000" algn="tl">
                                  <a:srgbClr val="C0C0C0"/>
                                </a:outerShdw>
                              </a:effectLst>
                            </a:rPr>
                            <a:t> A</a:t>
                          </a:r>
                          <a:r>
                            <a:rPr lang="en-US" sz="2000" i="1">
                              <a:effectLst>
                                <a:outerShdw blurRad="38100" dist="38100" dir="2700000" algn="tl">
                                  <a:srgbClr val="C0C0C0"/>
                                </a:outerShdw>
                              </a:effectLst>
                            </a:rPr>
                            <a:t>NALYSIS</a:t>
                          </a:r>
                          <a:endParaRPr lang="en-US" sz="2400" u="sng"/>
                        </a:p>
                        <a:p>
                          <a:pPr marL="0" indent="0">
                            <a:spcBef>
                              <a:spcPct val="10000"/>
                            </a:spcBef>
                            <a:spcAft>
                              <a:spcPct val="10000"/>
                            </a:spcAft>
                            <a:buFont typeface="Monotype Sorts" pitchFamily="2" charset="2"/>
                            <a:buNone/>
                          </a:pPr>
                          <a:r>
                            <a:rPr lang="en-US" sz="2400" i="1" u="sng">
                              <a:effectLst>
                                <a:outerShdw blurRad="38100" dist="38100" dir="2700000" algn="tl">
                                  <a:srgbClr val="C0C0C0"/>
                                </a:outerShdw>
                              </a:effectLst>
                            </a:rPr>
                            <a:t>Policy	</a:t>
                          </a:r>
                          <a:r>
                            <a:rPr lang="en-US" sz="2400" i="1">
                              <a:effectLst>
                                <a:outerShdw blurRad="38100" dist="38100" dir="2700000" algn="tl">
                                  <a:srgbClr val="C0C0C0"/>
                                </a:outerShdw>
                              </a:effectLst>
                            </a:rPr>
                            <a:t>	</a:t>
                          </a:r>
                          <a:r>
                            <a:rPr lang="en-US" sz="2400" i="1" u="sng">
                              <a:effectLst>
                                <a:outerShdw blurRad="38100" dist="38100" dir="2700000" algn="tl">
                                  <a:srgbClr val="C0C0C0"/>
                                </a:outerShdw>
                              </a:effectLst>
                            </a:rPr>
                            <a:t>Liquidity</a:t>
                          </a:r>
                          <a:r>
                            <a:rPr lang="en-US" sz="2400" i="1">
                              <a:effectLst>
                                <a:outerShdw blurRad="38100" dist="38100" dir="2700000" algn="tl">
                                  <a:srgbClr val="C0C0C0"/>
                                </a:outerShdw>
                              </a:effectLst>
                            </a:rPr>
                            <a:t> 	</a:t>
                          </a:r>
                          <a:r>
                            <a:rPr lang="en-US" sz="2400" i="1" u="sng">
                              <a:effectLst>
                                <a:outerShdw blurRad="38100" dist="38100" dir="2700000" algn="tl">
                                  <a:srgbClr val="C0C0C0"/>
                                </a:outerShdw>
                              </a:effectLst>
                            </a:rPr>
                            <a:t>Profitability</a:t>
                          </a:r>
                          <a:r>
                            <a:rPr lang="en-US" sz="2400" i="1">
                              <a:effectLst>
                                <a:outerShdw blurRad="38100" dist="38100" dir="2700000" algn="tl">
                                  <a:srgbClr val="C0C0C0"/>
                                </a:outerShdw>
                              </a:effectLst>
                            </a:rPr>
                            <a:t>	       </a:t>
                          </a:r>
                          <a:r>
                            <a:rPr lang="en-US" sz="2400" i="1" u="sng">
                              <a:effectLst>
                                <a:outerShdw blurRad="38100" dist="38100" dir="2700000" algn="tl">
                                  <a:srgbClr val="C0C0C0"/>
                                </a:outerShdw>
                              </a:effectLst>
                            </a:rPr>
                            <a:t>Risk</a:t>
                          </a:r>
                          <a:r>
                            <a:rPr lang="en-US" sz="2400">
                              <a:solidFill>
                                <a:schemeClr val="hlink"/>
                              </a:solidFill>
                              <a:effectLst>
                                <a:outerShdw blurRad="38100" dist="38100" dir="2700000" algn="tl">
                                  <a:srgbClr val="C0C0C0"/>
                                </a:outerShdw>
                              </a:effectLst>
                            </a:rPr>
                            <a:t> </a:t>
                          </a:r>
                        </a:p>
                        <a:p>
                          <a:pPr marL="0" indent="0">
                            <a:spcBef>
                              <a:spcPct val="10000"/>
                            </a:spcBef>
                            <a:spcAft>
                              <a:spcPct val="10000"/>
                            </a:spcAft>
                            <a:buFont typeface="Monotype Sorts" pitchFamily="2" charset="2"/>
                            <a:buNone/>
                          </a:pPr>
                          <a:r>
                            <a:rPr lang="en-US" sz="2400">
                              <a:solidFill>
                                <a:schemeClr val="hlink"/>
                              </a:solidFill>
                              <a:effectLst>
                                <a:outerShdw blurRad="38100" dist="38100" dir="2700000" algn="tl">
                                  <a:srgbClr val="C0C0C0"/>
                                </a:outerShdw>
                              </a:effectLst>
                            </a:rPr>
                            <a:t>    A		   High	     Low	       Low</a:t>
                          </a:r>
                        </a:p>
                        <a:p>
                          <a:pPr marL="0" indent="0">
                            <a:spcBef>
                              <a:spcPct val="10000"/>
                            </a:spcBef>
                            <a:spcAft>
                              <a:spcPct val="10000"/>
                            </a:spcAft>
                            <a:buFont typeface="Monotype Sorts" pitchFamily="2" charset="2"/>
                            <a:buNone/>
                          </a:pPr>
                          <a:r>
                            <a:rPr lang="en-US" sz="2400">
                              <a:solidFill>
                                <a:srgbClr val="42B200"/>
                              </a:solidFill>
                              <a:effectLst>
                                <a:outerShdw blurRad="38100" dist="38100" dir="2700000" algn="tl">
                                  <a:srgbClr val="C0C0C0"/>
                                </a:outerShdw>
                              </a:effectLst>
                            </a:rPr>
                            <a:t>    B		Average	  Average	    Average</a:t>
                          </a:r>
                        </a:p>
                        <a:p>
                          <a:pPr marL="0" indent="0">
                            <a:spcBef>
                              <a:spcPct val="10000"/>
                            </a:spcBef>
                            <a:spcAft>
                              <a:spcPct val="10000"/>
                            </a:spcAft>
                            <a:buFont typeface="Monotype Sorts" pitchFamily="2" charset="2"/>
                            <a:buNone/>
                          </a:pPr>
                          <a:r>
                            <a:rPr lang="en-US" sz="2400">
                              <a:solidFill>
                                <a:schemeClr val="tx2"/>
                              </a:solidFill>
                              <a:effectLst>
                                <a:outerShdw blurRad="38100" dist="38100" dir="2700000" algn="tl">
                                  <a:srgbClr val="C0C0C0"/>
                                </a:outerShdw>
                              </a:effectLst>
                            </a:rPr>
                            <a:t>    C		   Low		     High	       High</a:t>
                          </a:r>
                        </a:p>
                      </a:txBody>
                      <a:useSpRect/>
                    </a:txSp>
                  </a:sp>
                  <a:sp>
                    <a:nvSpPr>
                      <a:cNvPr id="15366" name="Rectangle 6"/>
                      <a:cNvSpPr>
                        <a:spLocks noGrp="1" noChangeArrowheads="1"/>
                      </a:cNvSpPr>
                    </a:nvSpPr>
                    <a:spPr bwMode="auto">
                      <a:xfrm>
                        <a:off x="768350" y="4425950"/>
                        <a:ext cx="7759700" cy="2120900"/>
                      </a:xfrm>
                      <a:prstGeom prst="rect">
                        <a:avLst/>
                      </a:prstGeom>
                      <a:solidFill>
                        <a:schemeClr val="accent1"/>
                      </a:solidFill>
                      <a:ln w="12700" cap="flat">
                        <a:solidFill>
                          <a:schemeClr val="tx1"/>
                        </a:solidFill>
                        <a:miter lim="800000"/>
                        <a:headEnd/>
                        <a:tailEnd/>
                      </a:ln>
                      <a:effectLst/>
                    </a:spPr>
                    <a:txSp>
                      <a:txBody>
                        <a:bodyPr vert="horz" wrap="square" lIns="90488" tIns="44450" rIns="90488" bIns="44450" numCol="1" anchor="t" anchorCtr="0" compatLnSpc="1">
                          <a:prstTxWarp prst="textNoShape">
                            <a:avLst/>
                          </a:prstTxWarp>
                        </a:bodyPr>
                        <a:lstStyle>
                          <a:lvl1pPr marL="342900" indent="-342900" algn="l" rtl="0" eaLnBrk="0" fontAlgn="base" hangingPunct="0">
                            <a:spcBef>
                              <a:spcPct val="20000"/>
                            </a:spcBef>
                            <a:spcAft>
                              <a:spcPct val="20000"/>
                            </a:spcAft>
                            <a:buClr>
                              <a:schemeClr val="tx2"/>
                            </a:buClr>
                            <a:buSzPct val="75000"/>
                            <a:buFont typeface="Monotype Sorts" pitchFamily="2" charset="2"/>
                            <a:buChar char="u"/>
                            <a:defRPr sz="2800" b="1">
                              <a:solidFill>
                                <a:srgbClr val="000000"/>
                              </a:solidFill>
                              <a:latin typeface="+mn-lt"/>
                              <a:ea typeface="+mn-ea"/>
                              <a:cs typeface="+mn-cs"/>
                            </a:defRPr>
                          </a:lvl1pPr>
                          <a:lvl2pPr marL="742950" indent="-285750" algn="l" rtl="0" eaLnBrk="0" fontAlgn="base" hangingPunct="0">
                            <a:spcBef>
                              <a:spcPct val="20000"/>
                            </a:spcBef>
                            <a:spcAft>
                              <a:spcPct val="20000"/>
                            </a:spcAft>
                            <a:buClr>
                              <a:schemeClr val="tx2"/>
                            </a:buClr>
                            <a:buSzPct val="75000"/>
                            <a:buFont typeface="Monotype Sorts" pitchFamily="2" charset="2"/>
                            <a:buChar char="u"/>
                            <a:defRPr sz="2400" b="1">
                              <a:solidFill>
                                <a:srgbClr val="000000"/>
                              </a:solidFill>
                              <a:latin typeface="+mn-lt"/>
                            </a:defRPr>
                          </a:lvl2pPr>
                          <a:lvl3pPr marL="1143000" indent="-228600" algn="l" rtl="0" eaLnBrk="0" fontAlgn="base" hangingPunct="0">
                            <a:spcBef>
                              <a:spcPct val="20000"/>
                            </a:spcBef>
                            <a:spcAft>
                              <a:spcPct val="20000"/>
                            </a:spcAft>
                            <a:buClr>
                              <a:schemeClr val="tx2"/>
                            </a:buClr>
                            <a:buSzPct val="65000"/>
                            <a:buFont typeface="Monotype Sorts" pitchFamily="2" charset="2"/>
                            <a:buChar char="u"/>
                            <a:defRPr sz="2000" b="1">
                              <a:solidFill>
                                <a:srgbClr val="000000"/>
                              </a:solidFill>
                              <a:latin typeface="+mn-lt"/>
                            </a:defRPr>
                          </a:lvl3pPr>
                          <a:lvl4pPr marL="1600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4pPr>
                          <a:lvl5pPr marL="20574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5pPr>
                          <a:lvl6pPr marL="25146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6pPr>
                          <a:lvl7pPr marL="29718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7pPr>
                          <a:lvl8pPr marL="34290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8pPr>
                          <a:lvl9pPr marL="3886200" indent="-228600" algn="l" rtl="0" eaLnBrk="0" fontAlgn="base" hangingPunct="0">
                            <a:spcBef>
                              <a:spcPct val="20000"/>
                            </a:spcBef>
                            <a:spcAft>
                              <a:spcPct val="20000"/>
                            </a:spcAft>
                            <a:buClr>
                              <a:schemeClr val="tx2"/>
                            </a:buClr>
                            <a:buSzPct val="65000"/>
                            <a:buFont typeface="Monotype Sorts" pitchFamily="2" charset="2"/>
                            <a:buChar char="u"/>
                            <a:defRPr sz="1800" b="1">
                              <a:solidFill>
                                <a:srgbClr val="000000"/>
                              </a:solidFill>
                              <a:latin typeface="+mn-lt"/>
                            </a:defRPr>
                          </a:lvl9pPr>
                        </a:lstStyle>
                        <a:p>
                          <a:pPr marL="863600" indent="-863600">
                            <a:spcBef>
                              <a:spcPct val="10000"/>
                            </a:spcBef>
                            <a:spcAft>
                              <a:spcPct val="10000"/>
                            </a:spcAft>
                            <a:buFont typeface="Monotype Sorts" pitchFamily="2" charset="2"/>
                            <a:buNone/>
                          </a:pPr>
                          <a:r>
                            <a:rPr lang="en-US"/>
                            <a:t>   1.   Profitability varies inversely with   liquidity.</a:t>
                          </a:r>
                        </a:p>
                        <a:p>
                          <a:pPr marL="863600" indent="-863600">
                            <a:spcBef>
                              <a:spcPct val="10000"/>
                            </a:spcBef>
                            <a:spcAft>
                              <a:spcPct val="0"/>
                            </a:spcAft>
                            <a:buFont typeface="Monotype Sorts" pitchFamily="2" charset="2"/>
                            <a:buNone/>
                          </a:pPr>
                          <a:r>
                            <a:rPr lang="en-US"/>
                            <a:t>   2.   Profitability moves together with risk.</a:t>
                          </a:r>
                          <a:endParaRPr lang="en-US" sz="2400"/>
                        </a:p>
                        <a:p>
                          <a:pPr marL="863600" indent="-863600">
                            <a:spcBef>
                              <a:spcPct val="0"/>
                            </a:spcBef>
                            <a:spcAft>
                              <a:spcPct val="0"/>
                            </a:spcAft>
                            <a:buFont typeface="Monotype Sorts" pitchFamily="2" charset="2"/>
                            <a:buNone/>
                          </a:pPr>
                          <a:r>
                            <a:rPr lang="en-US"/>
                            <a:t>	(risk and return go hand in hand!)</a:t>
                          </a:r>
                        </a:p>
                      </a:txBody>
                      <a:useSpRect/>
                    </a:txSp>
                  </a:sp>
                  <a:sp>
                    <a:nvSpPr>
                      <a:cNvPr id="15368" name="Line 8"/>
                      <a:cNvSpPr>
                        <a:spLocks noChangeShapeType="1"/>
                      </a:cNvSpPr>
                    </a:nvSpPr>
                    <a:spPr bwMode="auto">
                      <a:xfrm>
                        <a:off x="762000" y="1981200"/>
                        <a:ext cx="0" cy="4572000"/>
                      </a:xfrm>
                      <a:prstGeom prst="line">
                        <a:avLst/>
                      </a:prstGeom>
                      <a:noFill/>
                      <a:ln w="12700">
                        <a:solidFill>
                          <a:srgbClr val="000000"/>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a:sp>
                    <a:nvSpPr>
                      <a:cNvPr id="15369" name="Line 9"/>
                      <a:cNvSpPr>
                        <a:spLocks noChangeShapeType="1"/>
                      </a:cNvSpPr>
                    </a:nvSpPr>
                    <a:spPr bwMode="auto">
                      <a:xfrm>
                        <a:off x="8534400" y="1981200"/>
                        <a:ext cx="0" cy="4572000"/>
                      </a:xfrm>
                      <a:prstGeom prst="line">
                        <a:avLst/>
                      </a:prstGeom>
                      <a:noFill/>
                      <a:ln w="12700">
                        <a:solidFill>
                          <a:srgbClr val="000000"/>
                        </a:solidFill>
                        <a:round/>
                        <a:headEnd/>
                        <a:tailEnd/>
                      </a:ln>
                      <a:effectLst/>
                    </a:spPr>
                    <a:txSp>
                      <a:txBody>
                        <a:bodyPr/>
                        <a:lstStyle>
                          <a:defPPr>
                            <a:defRPr lang="en-US"/>
                          </a:defPPr>
                          <a:lvl1pPr algn="l" rtl="0" eaLnBrk="0" fontAlgn="base" hangingPunct="0">
                            <a:spcBef>
                              <a:spcPct val="0"/>
                            </a:spcBef>
                            <a:spcAft>
                              <a:spcPct val="0"/>
                            </a:spcAft>
                            <a:defRPr sz="2400" b="1" kern="1200">
                              <a:solidFill>
                                <a:schemeClr val="tx1"/>
                              </a:solidFill>
                              <a:latin typeface="Arial" charset="0"/>
                              <a:ea typeface="+mn-ea"/>
                              <a:cs typeface="+mn-cs"/>
                            </a:defRPr>
                          </a:lvl1pPr>
                          <a:lvl2pPr marL="457200" algn="l" rtl="0" eaLnBrk="0" fontAlgn="base" hangingPunct="0">
                            <a:spcBef>
                              <a:spcPct val="0"/>
                            </a:spcBef>
                            <a:spcAft>
                              <a:spcPct val="0"/>
                            </a:spcAft>
                            <a:defRPr sz="2400" b="1" kern="1200">
                              <a:solidFill>
                                <a:schemeClr val="tx1"/>
                              </a:solidFill>
                              <a:latin typeface="Arial" charset="0"/>
                              <a:ea typeface="+mn-ea"/>
                              <a:cs typeface="+mn-cs"/>
                            </a:defRPr>
                          </a:lvl2pPr>
                          <a:lvl3pPr marL="914400" algn="l" rtl="0" eaLnBrk="0" fontAlgn="base" hangingPunct="0">
                            <a:spcBef>
                              <a:spcPct val="0"/>
                            </a:spcBef>
                            <a:spcAft>
                              <a:spcPct val="0"/>
                            </a:spcAft>
                            <a:defRPr sz="2400" b="1" kern="1200">
                              <a:solidFill>
                                <a:schemeClr val="tx1"/>
                              </a:solidFill>
                              <a:latin typeface="Arial" charset="0"/>
                              <a:ea typeface="+mn-ea"/>
                              <a:cs typeface="+mn-cs"/>
                            </a:defRPr>
                          </a:lvl3pPr>
                          <a:lvl4pPr marL="1371600" algn="l" rtl="0" eaLnBrk="0" fontAlgn="base" hangingPunct="0">
                            <a:spcBef>
                              <a:spcPct val="0"/>
                            </a:spcBef>
                            <a:spcAft>
                              <a:spcPct val="0"/>
                            </a:spcAft>
                            <a:defRPr sz="2400" b="1" kern="1200">
                              <a:solidFill>
                                <a:schemeClr val="tx1"/>
                              </a:solidFill>
                              <a:latin typeface="Arial" charset="0"/>
                              <a:ea typeface="+mn-ea"/>
                              <a:cs typeface="+mn-cs"/>
                            </a:defRPr>
                          </a:lvl4pPr>
                          <a:lvl5pPr marL="1828800" algn="l" rtl="0" eaLnBrk="0" fontAlgn="base" hangingPunct="0">
                            <a:spcBef>
                              <a:spcPct val="0"/>
                            </a:spcBef>
                            <a:spcAft>
                              <a:spcPct val="0"/>
                            </a:spcAft>
                            <a:defRPr sz="2400" b="1" kern="1200">
                              <a:solidFill>
                                <a:schemeClr val="tx1"/>
                              </a:solidFill>
                              <a:latin typeface="Arial" charset="0"/>
                              <a:ea typeface="+mn-ea"/>
                              <a:cs typeface="+mn-cs"/>
                            </a:defRPr>
                          </a:lvl5pPr>
                          <a:lvl6pPr marL="2286000" algn="l" defTabSz="914400" rtl="0" eaLnBrk="1" latinLnBrk="0" hangingPunct="1">
                            <a:defRPr sz="2400" b="1" kern="1200">
                              <a:solidFill>
                                <a:schemeClr val="tx1"/>
                              </a:solidFill>
                              <a:latin typeface="Arial" charset="0"/>
                              <a:ea typeface="+mn-ea"/>
                              <a:cs typeface="+mn-cs"/>
                            </a:defRPr>
                          </a:lvl6pPr>
                          <a:lvl7pPr marL="2743200" algn="l" defTabSz="914400" rtl="0" eaLnBrk="1" latinLnBrk="0" hangingPunct="1">
                            <a:defRPr sz="2400" b="1" kern="1200">
                              <a:solidFill>
                                <a:schemeClr val="tx1"/>
                              </a:solidFill>
                              <a:latin typeface="Arial" charset="0"/>
                              <a:ea typeface="+mn-ea"/>
                              <a:cs typeface="+mn-cs"/>
                            </a:defRPr>
                          </a:lvl7pPr>
                          <a:lvl8pPr marL="3200400" algn="l" defTabSz="914400" rtl="0" eaLnBrk="1" latinLnBrk="0" hangingPunct="1">
                            <a:defRPr sz="2400" b="1" kern="1200">
                              <a:solidFill>
                                <a:schemeClr val="tx1"/>
                              </a:solidFill>
                              <a:latin typeface="Arial" charset="0"/>
                              <a:ea typeface="+mn-ea"/>
                              <a:cs typeface="+mn-cs"/>
                            </a:defRPr>
                          </a:lvl8pPr>
                          <a:lvl9pPr marL="3657600" algn="l" defTabSz="914400" rtl="0" eaLnBrk="1" latinLnBrk="0" hangingPunct="1">
                            <a:defRPr sz="2400" b="1" kern="1200">
                              <a:solidFill>
                                <a:schemeClr val="tx1"/>
                              </a:solidFill>
                              <a:latin typeface="Arial" charset="0"/>
                              <a:ea typeface="+mn-ea"/>
                              <a:cs typeface="+mn-cs"/>
                            </a:defRPr>
                          </a:lvl9pPr>
                        </a:lstStyle>
                        <a:p>
                          <a:endParaRPr lang="en-US"/>
                        </a:p>
                      </a:txBody>
                      <a:useSpRect/>
                    </a:txSp>
                  </a:sp>
                </lc:lockedCanvas>
              </a:graphicData>
            </a:graphic>
          </wp:inline>
        </w:drawing>
      </w:r>
    </w:p>
    <w:p w:rsidR="00671B39" w:rsidRPr="003558E0" w:rsidRDefault="00671B39" w:rsidP="00E44553">
      <w:pPr>
        <w:rPr>
          <w:rFonts w:ascii="GE Inspira" w:hAnsi="GE Inspira"/>
          <w:sz w:val="24"/>
          <w:szCs w:val="24"/>
        </w:rPr>
      </w:pPr>
    </w:p>
    <w:p w:rsidR="00671B39" w:rsidRPr="003558E0" w:rsidRDefault="00671B39" w:rsidP="00E44553">
      <w:pPr>
        <w:rPr>
          <w:rFonts w:ascii="GE Inspira" w:hAnsi="GE Inspira"/>
          <w:sz w:val="24"/>
          <w:szCs w:val="24"/>
        </w:rPr>
      </w:pPr>
    </w:p>
    <w:p w:rsidR="00671B39" w:rsidRPr="003558E0" w:rsidRDefault="00671B39" w:rsidP="00E44553">
      <w:pPr>
        <w:rPr>
          <w:rFonts w:ascii="GE Inspira" w:hAnsi="GE Inspira"/>
          <w:b/>
          <w:i/>
          <w:sz w:val="24"/>
          <w:szCs w:val="24"/>
        </w:rPr>
      </w:pPr>
      <w:r w:rsidRPr="003558E0">
        <w:rPr>
          <w:rFonts w:ascii="GE Inspira" w:hAnsi="GE Inspira"/>
          <w:b/>
          <w:i/>
          <w:sz w:val="24"/>
          <w:szCs w:val="24"/>
        </w:rPr>
        <w:t xml:space="preserve">Now we </w:t>
      </w:r>
      <w:r w:rsidR="000E0CA0" w:rsidRPr="003558E0">
        <w:rPr>
          <w:rFonts w:ascii="GE Inspira" w:hAnsi="GE Inspira"/>
          <w:b/>
          <w:i/>
          <w:sz w:val="24"/>
          <w:szCs w:val="24"/>
        </w:rPr>
        <w:t xml:space="preserve">have </w:t>
      </w:r>
      <w:r w:rsidRPr="003558E0">
        <w:rPr>
          <w:rFonts w:ascii="GE Inspira" w:hAnsi="GE Inspira"/>
          <w:b/>
          <w:i/>
          <w:sz w:val="24"/>
          <w:szCs w:val="24"/>
        </w:rPr>
        <w:t>come to know</w:t>
      </w:r>
      <w:r w:rsidR="001F1667" w:rsidRPr="003558E0">
        <w:rPr>
          <w:rFonts w:ascii="GE Inspira" w:hAnsi="GE Inspira"/>
          <w:b/>
          <w:i/>
          <w:sz w:val="24"/>
          <w:szCs w:val="24"/>
        </w:rPr>
        <w:t xml:space="preserve"> about</w:t>
      </w:r>
      <w:r w:rsidRPr="003558E0">
        <w:rPr>
          <w:rFonts w:ascii="GE Inspira" w:hAnsi="GE Inspira"/>
          <w:b/>
          <w:i/>
          <w:sz w:val="24"/>
          <w:szCs w:val="24"/>
        </w:rPr>
        <w:t xml:space="preserve"> the importance of Working capital but </w:t>
      </w:r>
      <w:r w:rsidR="001F1667" w:rsidRPr="003558E0">
        <w:rPr>
          <w:rFonts w:ascii="GE Inspira" w:hAnsi="GE Inspira"/>
          <w:b/>
          <w:i/>
          <w:sz w:val="24"/>
          <w:szCs w:val="24"/>
        </w:rPr>
        <w:t xml:space="preserve">our basic question </w:t>
      </w:r>
      <w:r w:rsidR="0057305A" w:rsidRPr="003558E0">
        <w:rPr>
          <w:rFonts w:ascii="GE Inspira" w:hAnsi="GE Inspira"/>
          <w:b/>
          <w:i/>
          <w:sz w:val="24"/>
          <w:szCs w:val="24"/>
        </w:rPr>
        <w:t>which are listed initially are still pending. Now let’s solve them one by one</w:t>
      </w:r>
    </w:p>
    <w:p w:rsidR="001F1667" w:rsidRPr="003558E0" w:rsidRDefault="001F1667" w:rsidP="00E44553">
      <w:pPr>
        <w:rPr>
          <w:rFonts w:ascii="GE Inspira" w:hAnsi="GE Inspira"/>
          <w:b/>
          <w:i/>
          <w:sz w:val="24"/>
          <w:szCs w:val="24"/>
        </w:rPr>
      </w:pPr>
      <w:r w:rsidRPr="003558E0">
        <w:rPr>
          <w:rFonts w:ascii="GE Inspira" w:hAnsi="GE Inspira"/>
          <w:b/>
          <w:i/>
          <w:sz w:val="24"/>
          <w:szCs w:val="24"/>
        </w:rPr>
        <w:t xml:space="preserve">For finding out the answer of the question what </w:t>
      </w:r>
      <w:r w:rsidR="0057305A" w:rsidRPr="003558E0">
        <w:rPr>
          <w:rFonts w:ascii="GE Inspira" w:hAnsi="GE Inspira"/>
          <w:b/>
          <w:i/>
          <w:sz w:val="24"/>
          <w:szCs w:val="24"/>
        </w:rPr>
        <w:t>the appropriate level of WC is,</w:t>
      </w:r>
      <w:r w:rsidRPr="003558E0">
        <w:rPr>
          <w:rFonts w:ascii="GE Inspira" w:hAnsi="GE Inspira"/>
          <w:b/>
          <w:i/>
          <w:sz w:val="24"/>
          <w:szCs w:val="24"/>
        </w:rPr>
        <w:t xml:space="preserve"> let’s discuss some points</w:t>
      </w:r>
      <w:r w:rsidR="00EE6746" w:rsidRPr="003558E0">
        <w:rPr>
          <w:rFonts w:ascii="GE Inspira" w:hAnsi="GE Inspira"/>
          <w:b/>
          <w:i/>
          <w:sz w:val="24"/>
          <w:szCs w:val="24"/>
        </w:rPr>
        <w:t xml:space="preserve"> which should be kept in mind while determining the appropriate level of WC:</w:t>
      </w:r>
    </w:p>
    <w:p w:rsidR="00EE6746" w:rsidRPr="003558E0" w:rsidRDefault="00EE6746" w:rsidP="00EE6746">
      <w:pPr>
        <w:pStyle w:val="ListParagraph"/>
        <w:numPr>
          <w:ilvl w:val="0"/>
          <w:numId w:val="8"/>
        </w:numPr>
        <w:rPr>
          <w:rFonts w:ascii="GE Inspira" w:hAnsi="GE Inspira"/>
          <w:b/>
          <w:i/>
          <w:sz w:val="24"/>
          <w:szCs w:val="24"/>
        </w:rPr>
      </w:pPr>
      <w:r w:rsidRPr="003558E0">
        <w:rPr>
          <w:rFonts w:ascii="GE Inspira" w:hAnsi="GE Inspira"/>
          <w:sz w:val="24"/>
          <w:szCs w:val="24"/>
        </w:rPr>
        <w:t>Cost incurred on Material, Wages and overheads.</w:t>
      </w:r>
    </w:p>
    <w:p w:rsidR="00EE6746" w:rsidRPr="003558E0" w:rsidRDefault="00EE6746" w:rsidP="00EE6746">
      <w:pPr>
        <w:pStyle w:val="ListParagraph"/>
        <w:numPr>
          <w:ilvl w:val="0"/>
          <w:numId w:val="8"/>
        </w:numPr>
        <w:rPr>
          <w:rFonts w:ascii="GE Inspira" w:hAnsi="GE Inspira"/>
          <w:b/>
          <w:i/>
          <w:sz w:val="24"/>
          <w:szCs w:val="24"/>
        </w:rPr>
      </w:pPr>
      <w:r w:rsidRPr="003558E0">
        <w:rPr>
          <w:rFonts w:ascii="GE Inspira" w:hAnsi="GE Inspira"/>
          <w:sz w:val="24"/>
          <w:szCs w:val="24"/>
        </w:rPr>
        <w:t>Time period taken for which raw material kept in stores</w:t>
      </w:r>
    </w:p>
    <w:p w:rsidR="00EE6746" w:rsidRPr="003558E0" w:rsidRDefault="00EE6746" w:rsidP="00EE6746">
      <w:pPr>
        <w:pStyle w:val="ListParagraph"/>
        <w:numPr>
          <w:ilvl w:val="0"/>
          <w:numId w:val="8"/>
        </w:numPr>
        <w:rPr>
          <w:rFonts w:ascii="GE Inspira" w:hAnsi="GE Inspira"/>
          <w:b/>
          <w:i/>
          <w:sz w:val="24"/>
          <w:szCs w:val="24"/>
        </w:rPr>
      </w:pPr>
      <w:r w:rsidRPr="003558E0">
        <w:rPr>
          <w:rFonts w:ascii="GE Inspira" w:hAnsi="GE Inspira"/>
          <w:sz w:val="24"/>
          <w:szCs w:val="24"/>
        </w:rPr>
        <w:t>Time period taken for converting WIP into Finished Goods.</w:t>
      </w:r>
    </w:p>
    <w:p w:rsidR="00EE6746" w:rsidRPr="003558E0" w:rsidRDefault="00EE6746" w:rsidP="00EE6746">
      <w:pPr>
        <w:pStyle w:val="ListParagraph"/>
        <w:numPr>
          <w:ilvl w:val="0"/>
          <w:numId w:val="8"/>
        </w:numPr>
        <w:rPr>
          <w:rFonts w:ascii="GE Inspira" w:hAnsi="GE Inspira"/>
          <w:b/>
          <w:i/>
          <w:sz w:val="24"/>
          <w:szCs w:val="24"/>
        </w:rPr>
      </w:pPr>
      <w:r w:rsidRPr="003558E0">
        <w:rPr>
          <w:rFonts w:ascii="GE Inspira" w:hAnsi="GE Inspira"/>
          <w:sz w:val="24"/>
          <w:szCs w:val="24"/>
        </w:rPr>
        <w:t>Time period taken for which Finished goods are stored in warehouse before sales.</w:t>
      </w:r>
    </w:p>
    <w:p w:rsidR="00EE6746" w:rsidRPr="003558E0" w:rsidRDefault="00EE6746" w:rsidP="00EE6746">
      <w:pPr>
        <w:pStyle w:val="ListParagraph"/>
        <w:numPr>
          <w:ilvl w:val="0"/>
          <w:numId w:val="8"/>
        </w:numPr>
        <w:rPr>
          <w:rFonts w:ascii="GE Inspira" w:hAnsi="GE Inspira"/>
          <w:b/>
          <w:i/>
          <w:sz w:val="24"/>
          <w:szCs w:val="24"/>
        </w:rPr>
      </w:pPr>
      <w:r w:rsidRPr="003558E0">
        <w:rPr>
          <w:rFonts w:ascii="GE Inspira" w:hAnsi="GE Inspira"/>
          <w:sz w:val="24"/>
          <w:szCs w:val="24"/>
        </w:rPr>
        <w:t>Credit period allowed to customers</w:t>
      </w:r>
    </w:p>
    <w:p w:rsidR="00EE6746" w:rsidRPr="003558E0" w:rsidRDefault="00EE6746" w:rsidP="00EE6746">
      <w:pPr>
        <w:pStyle w:val="ListParagraph"/>
        <w:numPr>
          <w:ilvl w:val="0"/>
          <w:numId w:val="8"/>
        </w:numPr>
        <w:rPr>
          <w:rFonts w:ascii="GE Inspira" w:hAnsi="GE Inspira"/>
          <w:b/>
          <w:i/>
          <w:sz w:val="24"/>
          <w:szCs w:val="24"/>
        </w:rPr>
      </w:pPr>
      <w:r w:rsidRPr="003558E0">
        <w:rPr>
          <w:rFonts w:ascii="GE Inspira" w:hAnsi="GE Inspira"/>
          <w:sz w:val="24"/>
          <w:szCs w:val="24"/>
        </w:rPr>
        <w:t xml:space="preserve">Average credit period for which advances </w:t>
      </w:r>
      <w:r w:rsidR="0057305A" w:rsidRPr="003558E0">
        <w:rPr>
          <w:rFonts w:ascii="GE Inspira" w:hAnsi="GE Inspira"/>
          <w:sz w:val="24"/>
          <w:szCs w:val="24"/>
        </w:rPr>
        <w:t>payments is made.</w:t>
      </w:r>
    </w:p>
    <w:p w:rsidR="0057305A" w:rsidRPr="003558E0" w:rsidRDefault="0057305A" w:rsidP="00EE6746">
      <w:pPr>
        <w:pStyle w:val="ListParagraph"/>
        <w:numPr>
          <w:ilvl w:val="0"/>
          <w:numId w:val="8"/>
        </w:numPr>
        <w:rPr>
          <w:rFonts w:ascii="GE Inspira" w:hAnsi="GE Inspira"/>
          <w:b/>
          <w:i/>
          <w:sz w:val="24"/>
          <w:szCs w:val="24"/>
        </w:rPr>
      </w:pPr>
      <w:r w:rsidRPr="003558E0">
        <w:rPr>
          <w:rFonts w:ascii="GE Inspira" w:hAnsi="GE Inspira"/>
          <w:sz w:val="24"/>
          <w:szCs w:val="24"/>
        </w:rPr>
        <w:t>Credit period allowed by suppliers to the firm for making payments.</w:t>
      </w:r>
    </w:p>
    <w:p w:rsidR="0057305A" w:rsidRPr="003558E0" w:rsidRDefault="0057305A" w:rsidP="00EE6746">
      <w:pPr>
        <w:pStyle w:val="ListParagraph"/>
        <w:numPr>
          <w:ilvl w:val="0"/>
          <w:numId w:val="8"/>
        </w:numPr>
        <w:rPr>
          <w:rFonts w:ascii="GE Inspira" w:hAnsi="GE Inspira"/>
          <w:b/>
          <w:i/>
          <w:sz w:val="24"/>
          <w:szCs w:val="24"/>
        </w:rPr>
      </w:pPr>
      <w:r w:rsidRPr="003558E0">
        <w:rPr>
          <w:rFonts w:ascii="GE Inspira" w:hAnsi="GE Inspira"/>
          <w:sz w:val="24"/>
          <w:szCs w:val="24"/>
        </w:rPr>
        <w:t>Time taken in making payments to labors for their wages and other expenses.</w:t>
      </w:r>
    </w:p>
    <w:p w:rsidR="0057305A" w:rsidRPr="003558E0" w:rsidRDefault="0057305A" w:rsidP="00EE6746">
      <w:pPr>
        <w:pStyle w:val="ListParagraph"/>
        <w:numPr>
          <w:ilvl w:val="0"/>
          <w:numId w:val="8"/>
        </w:numPr>
        <w:rPr>
          <w:rFonts w:ascii="GE Inspira" w:hAnsi="GE Inspira"/>
          <w:b/>
          <w:i/>
          <w:sz w:val="24"/>
          <w:szCs w:val="24"/>
        </w:rPr>
      </w:pPr>
      <w:r w:rsidRPr="003558E0">
        <w:rPr>
          <w:rFonts w:ascii="GE Inspira" w:hAnsi="GE Inspira"/>
          <w:sz w:val="24"/>
          <w:szCs w:val="24"/>
        </w:rPr>
        <w:t xml:space="preserve">Margin of safety </w:t>
      </w:r>
      <w:proofErr w:type="gramStart"/>
      <w:r w:rsidRPr="003558E0">
        <w:rPr>
          <w:rFonts w:ascii="GE Inspira" w:hAnsi="GE Inspira"/>
          <w:sz w:val="24"/>
          <w:szCs w:val="24"/>
        </w:rPr>
        <w:t>required :</w:t>
      </w:r>
      <w:proofErr w:type="gramEnd"/>
      <w:r w:rsidRPr="003558E0">
        <w:rPr>
          <w:rFonts w:ascii="GE Inspira" w:hAnsi="GE Inspira"/>
          <w:sz w:val="24"/>
          <w:szCs w:val="24"/>
        </w:rPr>
        <w:t xml:space="preserve"> It is generally calculated as a fixed % of Working Capital.</w:t>
      </w:r>
    </w:p>
    <w:p w:rsidR="0057305A" w:rsidRPr="003558E0" w:rsidRDefault="0057305A" w:rsidP="00E44553">
      <w:pPr>
        <w:rPr>
          <w:rFonts w:ascii="GE Inspira" w:hAnsi="GE Inspira"/>
          <w:sz w:val="24"/>
          <w:szCs w:val="24"/>
        </w:rPr>
      </w:pPr>
    </w:p>
    <w:p w:rsidR="0057305A" w:rsidRDefault="00AA5651" w:rsidP="00E44553">
      <w:pPr>
        <w:rPr>
          <w:rFonts w:ascii="GE Inspira" w:hAnsi="GE Inspira"/>
          <w:sz w:val="24"/>
          <w:szCs w:val="24"/>
        </w:rPr>
      </w:pPr>
      <w:r>
        <w:rPr>
          <w:rFonts w:ascii="GE Inspira" w:hAnsi="GE Inspira"/>
          <w:sz w:val="24"/>
          <w:szCs w:val="24"/>
        </w:rPr>
        <w:t xml:space="preserve">Hopefully now you can </w:t>
      </w:r>
      <w:r w:rsidR="0057305A" w:rsidRPr="003558E0">
        <w:rPr>
          <w:rFonts w:ascii="GE Inspira" w:hAnsi="GE Inspira"/>
          <w:sz w:val="24"/>
          <w:szCs w:val="24"/>
        </w:rPr>
        <w:t>understand how to determine the optimum level of WC.</w:t>
      </w:r>
    </w:p>
    <w:p w:rsidR="00AA5651" w:rsidRDefault="00AA5651" w:rsidP="00E44553">
      <w:pPr>
        <w:rPr>
          <w:rFonts w:ascii="GE Inspira" w:hAnsi="GE Inspira"/>
          <w:sz w:val="24"/>
          <w:szCs w:val="24"/>
        </w:rPr>
      </w:pPr>
      <w:r>
        <w:rPr>
          <w:rFonts w:ascii="GE Inspira" w:hAnsi="GE Inspira"/>
          <w:sz w:val="24"/>
          <w:szCs w:val="24"/>
        </w:rPr>
        <w:t>I will try to given answer of our other two questions in the next articles.</w:t>
      </w:r>
    </w:p>
    <w:p w:rsidR="00AA5651" w:rsidRPr="003558E0" w:rsidRDefault="00AA5651" w:rsidP="00E44553">
      <w:pPr>
        <w:rPr>
          <w:rFonts w:ascii="GE Inspira" w:hAnsi="GE Inspira"/>
          <w:sz w:val="24"/>
          <w:szCs w:val="24"/>
        </w:rPr>
      </w:pPr>
    </w:p>
    <w:p w:rsidR="00842D55" w:rsidRDefault="00AA5651" w:rsidP="00671B39">
      <w:pPr>
        <w:rPr>
          <w:rFonts w:ascii="GE Inspira" w:hAnsi="GE Inspira"/>
          <w:sz w:val="24"/>
          <w:szCs w:val="24"/>
        </w:rPr>
      </w:pPr>
      <w:proofErr w:type="gramStart"/>
      <w:r>
        <w:rPr>
          <w:rFonts w:ascii="GE Inspira" w:hAnsi="GE Inspira"/>
          <w:sz w:val="24"/>
          <w:szCs w:val="24"/>
        </w:rPr>
        <w:lastRenderedPageBreak/>
        <w:t>Note :</w:t>
      </w:r>
      <w:proofErr w:type="gramEnd"/>
    </w:p>
    <w:p w:rsidR="00AA5651" w:rsidRDefault="00AA5651" w:rsidP="00671B39">
      <w:pPr>
        <w:rPr>
          <w:rFonts w:ascii="GE Inspira" w:hAnsi="GE Inspira"/>
          <w:sz w:val="24"/>
          <w:szCs w:val="24"/>
        </w:rPr>
      </w:pPr>
      <w:r>
        <w:rPr>
          <w:rFonts w:ascii="GE Inspira" w:hAnsi="GE Inspira"/>
          <w:sz w:val="24"/>
          <w:szCs w:val="24"/>
        </w:rPr>
        <w:t xml:space="preserve">(The author is the member of ICAI. His area of interest is Finance. For any queries and suggestions he can be approached at </w:t>
      </w:r>
    </w:p>
    <w:p w:rsidR="00AA5651" w:rsidRDefault="00AA5651" w:rsidP="00671B39">
      <w:pPr>
        <w:rPr>
          <w:rFonts w:ascii="GE Inspira" w:hAnsi="GE Inspira"/>
          <w:sz w:val="24"/>
          <w:szCs w:val="24"/>
        </w:rPr>
      </w:pPr>
      <w:r>
        <w:rPr>
          <w:rFonts w:ascii="GE Inspira" w:hAnsi="GE Inspira"/>
          <w:sz w:val="24"/>
          <w:szCs w:val="24"/>
        </w:rPr>
        <w:t>Email : arvindagarwall@yahoo.co.in)</w:t>
      </w:r>
    </w:p>
    <w:sectPr w:rsidR="00AA5651" w:rsidSect="00E44553">
      <w:pgSz w:w="12240" w:h="15840"/>
      <w:pgMar w:top="63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GE Inspira">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TimesNewRomanPS-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C5EC1"/>
    <w:multiLevelType w:val="hybridMultilevel"/>
    <w:tmpl w:val="81C03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792A88"/>
    <w:multiLevelType w:val="hybridMultilevel"/>
    <w:tmpl w:val="FCC26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B23DD3"/>
    <w:multiLevelType w:val="hybridMultilevel"/>
    <w:tmpl w:val="366C4DA6"/>
    <w:lvl w:ilvl="0" w:tplc="EE4213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B446FF8"/>
    <w:multiLevelType w:val="hybridMultilevel"/>
    <w:tmpl w:val="815AD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4732C5"/>
    <w:multiLevelType w:val="hybridMultilevel"/>
    <w:tmpl w:val="D416E2C0"/>
    <w:lvl w:ilvl="0" w:tplc="907EC1F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D61265"/>
    <w:multiLevelType w:val="hybridMultilevel"/>
    <w:tmpl w:val="CD608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6C4562"/>
    <w:multiLevelType w:val="hybridMultilevel"/>
    <w:tmpl w:val="F96ADFF2"/>
    <w:lvl w:ilvl="0" w:tplc="E1088B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709237D"/>
    <w:multiLevelType w:val="hybridMultilevel"/>
    <w:tmpl w:val="F5DA3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0"/>
  </w:num>
  <w:num w:numId="4">
    <w:abstractNumId w:val="1"/>
  </w:num>
  <w:num w:numId="5">
    <w:abstractNumId w:val="6"/>
  </w:num>
  <w:num w:numId="6">
    <w:abstractNumId w:val="2"/>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C2875"/>
    <w:rsid w:val="000E0CA0"/>
    <w:rsid w:val="001F1667"/>
    <w:rsid w:val="003558E0"/>
    <w:rsid w:val="003C148B"/>
    <w:rsid w:val="0057305A"/>
    <w:rsid w:val="005B788E"/>
    <w:rsid w:val="00671B39"/>
    <w:rsid w:val="006F30E7"/>
    <w:rsid w:val="00842D55"/>
    <w:rsid w:val="008C2875"/>
    <w:rsid w:val="00AA5651"/>
    <w:rsid w:val="00E44553"/>
    <w:rsid w:val="00EE67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0E7"/>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2875"/>
    <w:pPr>
      <w:ind w:left="720"/>
      <w:contextualSpacing/>
    </w:pPr>
  </w:style>
  <w:style w:type="paragraph" w:styleId="BalloonText">
    <w:name w:val="Balloon Text"/>
    <w:basedOn w:val="Normal"/>
    <w:link w:val="BalloonTextChar"/>
    <w:uiPriority w:val="99"/>
    <w:semiHidden/>
    <w:unhideWhenUsed/>
    <w:rsid w:val="00E445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5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Pankaj</dc:creator>
  <cp:keywords/>
  <dc:description/>
  <cp:lastModifiedBy>Pankaj</cp:lastModifiedBy>
  <cp:revision>3</cp:revision>
  <dcterms:created xsi:type="dcterms:W3CDTF">2013-07-06T16:48:00Z</dcterms:created>
  <dcterms:modified xsi:type="dcterms:W3CDTF">2013-07-06T16:52:00Z</dcterms:modified>
</cp:coreProperties>
</file>