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1A3" w:rsidRPr="00BB11A3" w:rsidRDefault="00BB11A3" w:rsidP="00BB11A3">
      <w:pPr>
        <w:spacing w:before="100" w:beforeAutospacing="1" w:after="100" w:afterAutospacing="1" w:line="240" w:lineRule="auto"/>
        <w:outlineLvl w:val="2"/>
        <w:rPr>
          <w:rFonts w:ascii="Times New Roman" w:eastAsia="Times New Roman" w:hAnsi="Times New Roman" w:cs="Times New Roman"/>
          <w:b/>
          <w:bCs/>
          <w:sz w:val="27"/>
          <w:szCs w:val="27"/>
        </w:rPr>
      </w:pPr>
      <w:r w:rsidRPr="00BB11A3">
        <w:rPr>
          <w:rFonts w:ascii="Times New Roman" w:eastAsia="Times New Roman" w:hAnsi="Times New Roman" w:cs="Times New Roman"/>
          <w:b/>
          <w:bCs/>
          <w:sz w:val="27"/>
          <w:szCs w:val="27"/>
        </w:rPr>
        <w:t xml:space="preserve">Preliminary Expenses not Written Off </w:t>
      </w:r>
    </w:p>
    <w:p w:rsidR="00BB11A3" w:rsidRPr="00BB11A3" w:rsidRDefault="00BB11A3" w:rsidP="00BB11A3">
      <w:pPr>
        <w:spacing w:after="0" w:line="240" w:lineRule="auto"/>
        <w:jc w:val="both"/>
        <w:rPr>
          <w:rFonts w:ascii="Times New Roman" w:eastAsia="Times New Roman" w:hAnsi="Times New Roman" w:cs="Times New Roman"/>
          <w:sz w:val="24"/>
          <w:szCs w:val="24"/>
        </w:rPr>
      </w:pPr>
      <w:r w:rsidRPr="00BB11A3">
        <w:rPr>
          <w:rFonts w:ascii="Times New Roman" w:eastAsia="Times New Roman" w:hAnsi="Times New Roman" w:cs="Times New Roman"/>
          <w:sz w:val="24"/>
          <w:szCs w:val="24"/>
        </w:rPr>
        <w:t>Generally any pre incorporation costs and pre operating costs will be deferred over 3 to 5 years. These preliminary expenses not written off will be carried to balanc</w:t>
      </w:r>
      <w:r w:rsidR="0026719A">
        <w:rPr>
          <w:rFonts w:ascii="Times New Roman" w:eastAsia="Times New Roman" w:hAnsi="Times New Roman" w:cs="Times New Roman"/>
          <w:sz w:val="24"/>
          <w:szCs w:val="24"/>
        </w:rPr>
        <w:t xml:space="preserve">e sheet and shown after current </w:t>
      </w:r>
      <w:r w:rsidRPr="00BB11A3">
        <w:rPr>
          <w:rFonts w:ascii="Times New Roman" w:eastAsia="Times New Roman" w:hAnsi="Times New Roman" w:cs="Times New Roman"/>
          <w:sz w:val="24"/>
          <w:szCs w:val="24"/>
        </w:rPr>
        <w:t>assets.</w:t>
      </w:r>
      <w:r w:rsidRPr="00BB11A3">
        <w:rPr>
          <w:rFonts w:ascii="Times New Roman" w:eastAsia="Times New Roman" w:hAnsi="Times New Roman" w:cs="Times New Roman"/>
          <w:sz w:val="24"/>
          <w:szCs w:val="24"/>
        </w:rPr>
        <w:br/>
        <w:t xml:space="preserve">But after issue of AS-26 by ICAI, all companies cannot </w:t>
      </w:r>
      <w:proofErr w:type="gramStart"/>
      <w:r w:rsidRPr="00BB11A3">
        <w:rPr>
          <w:rFonts w:ascii="Times New Roman" w:eastAsia="Times New Roman" w:hAnsi="Times New Roman" w:cs="Times New Roman"/>
          <w:sz w:val="24"/>
          <w:szCs w:val="24"/>
        </w:rPr>
        <w:t>carried</w:t>
      </w:r>
      <w:proofErr w:type="gramEnd"/>
      <w:r w:rsidRPr="00BB11A3">
        <w:rPr>
          <w:rFonts w:ascii="Times New Roman" w:eastAsia="Times New Roman" w:hAnsi="Times New Roman" w:cs="Times New Roman"/>
          <w:sz w:val="24"/>
          <w:szCs w:val="24"/>
        </w:rPr>
        <w:t xml:space="preserve"> forward to Balance sheet.</w:t>
      </w:r>
      <w:r w:rsidRPr="00BB11A3">
        <w:rPr>
          <w:rFonts w:ascii="Times New Roman" w:eastAsia="Times New Roman" w:hAnsi="Times New Roman" w:cs="Times New Roman"/>
          <w:sz w:val="24"/>
          <w:szCs w:val="24"/>
        </w:rPr>
        <w:br/>
        <w:t xml:space="preserve">The reason being as per AS 26, an intangible asset can be </w:t>
      </w:r>
      <w:proofErr w:type="spellStart"/>
      <w:r w:rsidRPr="00BB11A3">
        <w:rPr>
          <w:rFonts w:ascii="Times New Roman" w:eastAsia="Times New Roman" w:hAnsi="Times New Roman" w:cs="Times New Roman"/>
          <w:sz w:val="24"/>
          <w:szCs w:val="24"/>
        </w:rPr>
        <w:t>recognised</w:t>
      </w:r>
      <w:proofErr w:type="spellEnd"/>
      <w:r w:rsidRPr="00BB11A3">
        <w:rPr>
          <w:rFonts w:ascii="Times New Roman" w:eastAsia="Times New Roman" w:hAnsi="Times New Roman" w:cs="Times New Roman"/>
          <w:sz w:val="24"/>
          <w:szCs w:val="24"/>
        </w:rPr>
        <w:t xml:space="preserve"> only when it meets the following </w:t>
      </w:r>
      <w:proofErr w:type="gramStart"/>
      <w:r w:rsidRPr="00BB11A3">
        <w:rPr>
          <w:rFonts w:ascii="Times New Roman" w:eastAsia="Times New Roman" w:hAnsi="Times New Roman" w:cs="Times New Roman"/>
          <w:sz w:val="24"/>
          <w:szCs w:val="24"/>
        </w:rPr>
        <w:t>criteria</w:t>
      </w:r>
      <w:proofErr w:type="gramEnd"/>
      <w:r w:rsidRPr="00BB11A3">
        <w:rPr>
          <w:rFonts w:ascii="Times New Roman" w:eastAsia="Times New Roman" w:hAnsi="Times New Roman" w:cs="Times New Roman"/>
          <w:sz w:val="24"/>
          <w:szCs w:val="24"/>
        </w:rPr>
        <w:br/>
      </w:r>
      <w:r w:rsidRPr="00BB11A3">
        <w:rPr>
          <w:rFonts w:ascii="Times New Roman" w:eastAsia="Times New Roman" w:hAnsi="Times New Roman" w:cs="Times New Roman"/>
          <w:sz w:val="24"/>
          <w:szCs w:val="24"/>
        </w:rPr>
        <w:br/>
        <w:t>(a) it is probable that the future economic benefits that are attributable to the asset will flow to the enterprise; and</w:t>
      </w:r>
      <w:r w:rsidRPr="00BB11A3">
        <w:rPr>
          <w:rFonts w:ascii="Times New Roman" w:eastAsia="Times New Roman" w:hAnsi="Times New Roman" w:cs="Times New Roman"/>
          <w:sz w:val="24"/>
          <w:szCs w:val="24"/>
        </w:rPr>
        <w:br/>
        <w:t>(b) the cost of the asset can be measured reliably.</w:t>
      </w:r>
      <w:r w:rsidRPr="00BB11A3">
        <w:rPr>
          <w:rFonts w:ascii="Times New Roman" w:eastAsia="Times New Roman" w:hAnsi="Times New Roman" w:cs="Times New Roman"/>
          <w:sz w:val="24"/>
          <w:szCs w:val="24"/>
        </w:rPr>
        <w:br/>
      </w:r>
      <w:r w:rsidRPr="00BB11A3">
        <w:rPr>
          <w:rFonts w:ascii="Times New Roman" w:eastAsia="Times New Roman" w:hAnsi="Times New Roman" w:cs="Times New Roman"/>
          <w:sz w:val="24"/>
          <w:szCs w:val="24"/>
        </w:rPr>
        <w:br/>
      </w:r>
      <w:r w:rsidRPr="00BB11A3">
        <w:rPr>
          <w:rFonts w:ascii="Times New Roman" w:eastAsia="Times New Roman" w:hAnsi="Times New Roman" w:cs="Times New Roman"/>
          <w:sz w:val="24"/>
          <w:szCs w:val="24"/>
        </w:rPr>
        <w:br/>
        <w:t xml:space="preserve">Preliminary expenses, therefore, incurred on or after, the date on which the Standard becomes mandatory for an enterprise or the preliminary expenses incurred on or after the date on which the enterprise opts to apply the Standard in the preparation and presentation of financial statements would be </w:t>
      </w:r>
      <w:r w:rsidRPr="00BB11A3">
        <w:rPr>
          <w:rFonts w:ascii="Times New Roman" w:eastAsia="Times New Roman" w:hAnsi="Times New Roman" w:cs="Times New Roman"/>
          <w:b/>
          <w:bCs/>
          <w:sz w:val="24"/>
          <w:szCs w:val="24"/>
        </w:rPr>
        <w:t>written off in the year in which they are incurred</w:t>
      </w:r>
      <w:r w:rsidRPr="00BB11A3">
        <w:rPr>
          <w:rFonts w:ascii="Times New Roman" w:eastAsia="Times New Roman" w:hAnsi="Times New Roman" w:cs="Times New Roman"/>
          <w:sz w:val="24"/>
          <w:szCs w:val="24"/>
        </w:rPr>
        <w:t>.</w:t>
      </w:r>
      <w:r w:rsidRPr="00BB11A3">
        <w:rPr>
          <w:rFonts w:ascii="Times New Roman" w:eastAsia="Times New Roman" w:hAnsi="Times New Roman" w:cs="Times New Roman"/>
          <w:sz w:val="24"/>
          <w:szCs w:val="24"/>
        </w:rPr>
        <w:br/>
      </w:r>
      <w:r w:rsidRPr="00BB11A3">
        <w:rPr>
          <w:rFonts w:ascii="Times New Roman" w:eastAsia="Times New Roman" w:hAnsi="Times New Roman" w:cs="Times New Roman"/>
          <w:sz w:val="24"/>
          <w:szCs w:val="24"/>
        </w:rPr>
        <w:br/>
        <w:t xml:space="preserve">The expenditure on preliminary expenses </w:t>
      </w:r>
      <w:r w:rsidRPr="00BB11A3">
        <w:rPr>
          <w:rFonts w:ascii="Times New Roman" w:eastAsia="Times New Roman" w:hAnsi="Times New Roman" w:cs="Times New Roman"/>
          <w:b/>
          <w:bCs/>
          <w:sz w:val="24"/>
          <w:szCs w:val="24"/>
        </w:rPr>
        <w:t>shall not be carried forward in the balance sheet</w:t>
      </w:r>
      <w:r w:rsidRPr="00BB11A3">
        <w:rPr>
          <w:rFonts w:ascii="Times New Roman" w:eastAsia="Times New Roman" w:hAnsi="Times New Roman" w:cs="Times New Roman"/>
          <w:sz w:val="24"/>
          <w:szCs w:val="24"/>
        </w:rPr>
        <w:t xml:space="preserve"> to be written off in subsequent accounting periods. </w:t>
      </w:r>
      <w:r w:rsidRPr="00BB11A3">
        <w:rPr>
          <w:rFonts w:ascii="Times New Roman" w:eastAsia="Times New Roman" w:hAnsi="Times New Roman" w:cs="Times New Roman"/>
          <w:sz w:val="24"/>
          <w:szCs w:val="24"/>
        </w:rPr>
        <w:br/>
      </w:r>
      <w:r w:rsidRPr="00BB11A3">
        <w:rPr>
          <w:rFonts w:ascii="Times New Roman" w:eastAsia="Times New Roman" w:hAnsi="Times New Roman" w:cs="Times New Roman"/>
          <w:sz w:val="24"/>
          <w:szCs w:val="24"/>
        </w:rPr>
        <w:br/>
      </w:r>
      <w:r w:rsidRPr="00BB11A3">
        <w:rPr>
          <w:rFonts w:ascii="Times New Roman" w:eastAsia="Times New Roman" w:hAnsi="Times New Roman" w:cs="Times New Roman"/>
          <w:b/>
          <w:bCs/>
          <w:sz w:val="24"/>
          <w:szCs w:val="24"/>
        </w:rPr>
        <w:t>Applicability of AS 26</w:t>
      </w:r>
      <w:proofErr w:type="gramStart"/>
      <w:r w:rsidRPr="00BB11A3">
        <w:rPr>
          <w:rFonts w:ascii="Times New Roman" w:eastAsia="Times New Roman" w:hAnsi="Times New Roman" w:cs="Times New Roman"/>
          <w:b/>
          <w:bCs/>
          <w:sz w:val="24"/>
          <w:szCs w:val="24"/>
        </w:rPr>
        <w:t>:</w:t>
      </w:r>
      <w:proofErr w:type="gramEnd"/>
      <w:r w:rsidRPr="00BB11A3">
        <w:rPr>
          <w:rFonts w:ascii="Times New Roman" w:eastAsia="Times New Roman" w:hAnsi="Times New Roman" w:cs="Times New Roman"/>
          <w:sz w:val="24"/>
          <w:szCs w:val="24"/>
        </w:rPr>
        <w:br/>
      </w:r>
      <w:r w:rsidRPr="00BB11A3">
        <w:rPr>
          <w:rFonts w:ascii="Times New Roman" w:eastAsia="Times New Roman" w:hAnsi="Times New Roman" w:cs="Times New Roman"/>
          <w:sz w:val="24"/>
          <w:szCs w:val="24"/>
        </w:rPr>
        <w:br/>
        <w:t xml:space="preserve">Accounting Standard (AS) 26, 'Intangible Assets' comes into effect in respect of expenditure incurred on intangible items during accounting periods commencing </w:t>
      </w:r>
      <w:r w:rsidRPr="00BB11A3">
        <w:rPr>
          <w:rFonts w:ascii="Times New Roman" w:eastAsia="Times New Roman" w:hAnsi="Times New Roman" w:cs="Times New Roman"/>
          <w:b/>
          <w:bCs/>
          <w:sz w:val="24"/>
          <w:szCs w:val="24"/>
        </w:rPr>
        <w:t>on or after 1</w:t>
      </w:r>
      <w:r w:rsidRPr="00BB11A3">
        <w:rPr>
          <w:rFonts w:ascii="Times New Roman" w:eastAsia="Times New Roman" w:hAnsi="Times New Roman" w:cs="Times New Roman"/>
          <w:b/>
          <w:bCs/>
          <w:sz w:val="24"/>
          <w:szCs w:val="24"/>
        </w:rPr>
        <w:noBreakHyphen/>
        <w:t>4</w:t>
      </w:r>
      <w:r w:rsidRPr="00BB11A3">
        <w:rPr>
          <w:rFonts w:ascii="Times New Roman" w:eastAsia="Times New Roman" w:hAnsi="Times New Roman" w:cs="Times New Roman"/>
          <w:b/>
          <w:bCs/>
          <w:sz w:val="24"/>
          <w:szCs w:val="24"/>
        </w:rPr>
        <w:noBreakHyphen/>
        <w:t>2003</w:t>
      </w:r>
      <w:r w:rsidRPr="00BB11A3">
        <w:rPr>
          <w:rFonts w:ascii="Times New Roman" w:eastAsia="Times New Roman" w:hAnsi="Times New Roman" w:cs="Times New Roman"/>
          <w:sz w:val="24"/>
          <w:szCs w:val="24"/>
        </w:rPr>
        <w:t xml:space="preserve"> and is mandatory nature from that date for the following: </w:t>
      </w:r>
    </w:p>
    <w:p w:rsidR="00BB11A3" w:rsidRPr="00BB11A3" w:rsidRDefault="00BB11A3" w:rsidP="00BB11A3">
      <w:pPr>
        <w:spacing w:before="100" w:beforeAutospacing="1" w:after="100" w:afterAutospacing="1" w:line="240" w:lineRule="auto"/>
        <w:ind w:left="1080" w:hanging="720"/>
        <w:jc w:val="both"/>
        <w:rPr>
          <w:rFonts w:ascii="Times New Roman" w:eastAsia="Times New Roman" w:hAnsi="Times New Roman" w:cs="Times New Roman"/>
          <w:sz w:val="24"/>
          <w:szCs w:val="24"/>
        </w:rPr>
      </w:pPr>
      <w:r w:rsidRPr="00BB11A3">
        <w:rPr>
          <w:rFonts w:ascii="Times New Roman" w:eastAsia="Times New Roman" w:hAnsi="Times New Roman" w:cs="Times New Roman"/>
          <w:sz w:val="24"/>
          <w:szCs w:val="24"/>
        </w:rPr>
        <w:t>(</w:t>
      </w:r>
      <w:proofErr w:type="spellStart"/>
      <w:r w:rsidRPr="00BB11A3">
        <w:rPr>
          <w:rFonts w:ascii="Times New Roman" w:eastAsia="Times New Roman" w:hAnsi="Times New Roman" w:cs="Times New Roman"/>
          <w:sz w:val="24"/>
          <w:szCs w:val="24"/>
        </w:rPr>
        <w:t>i</w:t>
      </w:r>
      <w:proofErr w:type="spellEnd"/>
      <w:r w:rsidRPr="00BB11A3">
        <w:rPr>
          <w:rFonts w:ascii="Times New Roman" w:eastAsia="Times New Roman" w:hAnsi="Times New Roman" w:cs="Times New Roman"/>
          <w:sz w:val="24"/>
          <w:szCs w:val="24"/>
        </w:rPr>
        <w:t xml:space="preserve">) Enterprises whose equity or debt securities are listed on a </w:t>
      </w:r>
      <w:proofErr w:type="spellStart"/>
      <w:r w:rsidRPr="00BB11A3">
        <w:rPr>
          <w:rFonts w:ascii="Times New Roman" w:eastAsia="Times New Roman" w:hAnsi="Times New Roman" w:cs="Times New Roman"/>
          <w:sz w:val="24"/>
          <w:szCs w:val="24"/>
        </w:rPr>
        <w:t>recognised</w:t>
      </w:r>
      <w:proofErr w:type="spellEnd"/>
      <w:r w:rsidRPr="00BB11A3">
        <w:rPr>
          <w:rFonts w:ascii="Times New Roman" w:eastAsia="Times New Roman" w:hAnsi="Times New Roman" w:cs="Times New Roman"/>
          <w:sz w:val="24"/>
          <w:szCs w:val="24"/>
        </w:rPr>
        <w:t xml:space="preserve"> stock exchange in India, and enterprises that are in the process of issuing equity or debt securities that will be listed on a </w:t>
      </w:r>
      <w:proofErr w:type="spellStart"/>
      <w:r w:rsidRPr="00BB11A3">
        <w:rPr>
          <w:rFonts w:ascii="Times New Roman" w:eastAsia="Times New Roman" w:hAnsi="Times New Roman" w:cs="Times New Roman"/>
          <w:sz w:val="24"/>
          <w:szCs w:val="24"/>
        </w:rPr>
        <w:t>recognised</w:t>
      </w:r>
      <w:proofErr w:type="spellEnd"/>
      <w:r w:rsidRPr="00BB11A3">
        <w:rPr>
          <w:rFonts w:ascii="Times New Roman" w:eastAsia="Times New Roman" w:hAnsi="Times New Roman" w:cs="Times New Roman"/>
          <w:sz w:val="24"/>
          <w:szCs w:val="24"/>
        </w:rPr>
        <w:t xml:space="preserve"> stock exchange in India as evidenced by the board of directors' resolution in this regard.</w:t>
      </w:r>
    </w:p>
    <w:p w:rsidR="00BB11A3" w:rsidRPr="00BB11A3" w:rsidRDefault="00BB11A3" w:rsidP="00BB11A3">
      <w:pPr>
        <w:spacing w:before="100" w:beforeAutospacing="1" w:after="100" w:afterAutospacing="1" w:line="240" w:lineRule="auto"/>
        <w:ind w:left="1080" w:hanging="720"/>
        <w:jc w:val="both"/>
        <w:rPr>
          <w:rFonts w:ascii="Times New Roman" w:eastAsia="Times New Roman" w:hAnsi="Times New Roman" w:cs="Times New Roman"/>
          <w:sz w:val="24"/>
          <w:szCs w:val="24"/>
        </w:rPr>
      </w:pPr>
      <w:r w:rsidRPr="00BB11A3">
        <w:rPr>
          <w:rFonts w:ascii="Times New Roman" w:eastAsia="Times New Roman" w:hAnsi="Times New Roman" w:cs="Times New Roman"/>
          <w:sz w:val="24"/>
          <w:szCs w:val="24"/>
        </w:rPr>
        <w:t>(ii) All other commercial, industrial and business reporting enterprises, whose turnover for the accounting period exceeds Rs. 50 crores.</w:t>
      </w:r>
    </w:p>
    <w:p w:rsidR="00BB11A3" w:rsidRPr="00BB11A3" w:rsidRDefault="00BB11A3" w:rsidP="00BB11A3">
      <w:pPr>
        <w:spacing w:before="100" w:beforeAutospacing="1" w:after="100" w:afterAutospacing="1" w:line="240" w:lineRule="auto"/>
        <w:jc w:val="both"/>
        <w:rPr>
          <w:rFonts w:ascii="Times New Roman" w:eastAsia="Times New Roman" w:hAnsi="Times New Roman" w:cs="Times New Roman"/>
          <w:sz w:val="24"/>
          <w:szCs w:val="24"/>
        </w:rPr>
      </w:pPr>
      <w:r w:rsidRPr="00BB11A3">
        <w:rPr>
          <w:rFonts w:ascii="Times New Roman" w:eastAsia="Times New Roman" w:hAnsi="Times New Roman" w:cs="Times New Roman"/>
          <w:sz w:val="24"/>
          <w:szCs w:val="24"/>
        </w:rPr>
        <w:t>In respect of all other enterprises, the Accounting Standard comes into effect in respect of expenditure incurred on intangible items during accounting periods commencing on or after 1</w:t>
      </w:r>
      <w:r w:rsidRPr="00BB11A3">
        <w:rPr>
          <w:rFonts w:ascii="Times New Roman" w:eastAsia="Times New Roman" w:hAnsi="Times New Roman" w:cs="Times New Roman"/>
          <w:sz w:val="24"/>
          <w:szCs w:val="24"/>
        </w:rPr>
        <w:noBreakHyphen/>
        <w:t>4</w:t>
      </w:r>
      <w:r w:rsidRPr="00BB11A3">
        <w:rPr>
          <w:rFonts w:ascii="Times New Roman" w:eastAsia="Times New Roman" w:hAnsi="Times New Roman" w:cs="Times New Roman"/>
          <w:sz w:val="24"/>
          <w:szCs w:val="24"/>
        </w:rPr>
        <w:noBreakHyphen/>
        <w:t>2004 and is mandatory from that date. The Accounting Standard, however, encourages earlier application.</w:t>
      </w:r>
    </w:p>
    <w:p w:rsidR="00BB11A3" w:rsidRPr="00BB11A3" w:rsidRDefault="00BB11A3" w:rsidP="00BB11A3">
      <w:pPr>
        <w:spacing w:after="240" w:line="240" w:lineRule="auto"/>
        <w:jc w:val="both"/>
        <w:rPr>
          <w:rFonts w:ascii="Times New Roman" w:eastAsia="Times New Roman" w:hAnsi="Times New Roman" w:cs="Times New Roman"/>
          <w:sz w:val="24"/>
          <w:szCs w:val="24"/>
        </w:rPr>
      </w:pPr>
      <w:r w:rsidRPr="00BB11A3">
        <w:rPr>
          <w:rFonts w:ascii="Times New Roman" w:eastAsia="Times New Roman" w:hAnsi="Times New Roman" w:cs="Times New Roman"/>
          <w:sz w:val="24"/>
          <w:szCs w:val="24"/>
        </w:rPr>
        <w:br/>
        <w:t xml:space="preserve">Paragraph 56 </w:t>
      </w:r>
      <w:proofErr w:type="spellStart"/>
      <w:r w:rsidRPr="00BB11A3">
        <w:rPr>
          <w:rFonts w:ascii="Times New Roman" w:eastAsia="Times New Roman" w:hAnsi="Times New Roman" w:cs="Times New Roman"/>
          <w:sz w:val="24"/>
          <w:szCs w:val="24"/>
        </w:rPr>
        <w:t>ofAS</w:t>
      </w:r>
      <w:proofErr w:type="spellEnd"/>
      <w:r w:rsidRPr="00BB11A3">
        <w:rPr>
          <w:rFonts w:ascii="Times New Roman" w:eastAsia="Times New Roman" w:hAnsi="Times New Roman" w:cs="Times New Roman"/>
          <w:sz w:val="24"/>
          <w:szCs w:val="24"/>
        </w:rPr>
        <w:t xml:space="preserve"> 26 provides some examples where the </w:t>
      </w:r>
      <w:r w:rsidRPr="00BB11A3">
        <w:rPr>
          <w:rFonts w:ascii="Times New Roman" w:eastAsia="Times New Roman" w:hAnsi="Times New Roman" w:cs="Times New Roman"/>
          <w:b/>
          <w:bCs/>
          <w:sz w:val="24"/>
          <w:szCs w:val="24"/>
        </w:rPr>
        <w:t xml:space="preserve">expenditure is </w:t>
      </w:r>
      <w:proofErr w:type="spellStart"/>
      <w:r w:rsidRPr="00BB11A3">
        <w:rPr>
          <w:rFonts w:ascii="Times New Roman" w:eastAsia="Times New Roman" w:hAnsi="Times New Roman" w:cs="Times New Roman"/>
          <w:b/>
          <w:bCs/>
          <w:sz w:val="24"/>
          <w:szCs w:val="24"/>
        </w:rPr>
        <w:t>recognised</w:t>
      </w:r>
      <w:proofErr w:type="spellEnd"/>
      <w:r w:rsidRPr="00BB11A3">
        <w:rPr>
          <w:rFonts w:ascii="Times New Roman" w:eastAsia="Times New Roman" w:hAnsi="Times New Roman" w:cs="Times New Roman"/>
          <w:b/>
          <w:bCs/>
          <w:sz w:val="24"/>
          <w:szCs w:val="24"/>
        </w:rPr>
        <w:t xml:space="preserve"> as an expense when it is incurred</w:t>
      </w:r>
      <w:r w:rsidRPr="00BB11A3">
        <w:rPr>
          <w:rFonts w:ascii="Times New Roman" w:eastAsia="Times New Roman" w:hAnsi="Times New Roman" w:cs="Times New Roman"/>
          <w:sz w:val="24"/>
          <w:szCs w:val="24"/>
        </w:rPr>
        <w:t>. The examples given include</w:t>
      </w:r>
      <w:proofErr w:type="gramStart"/>
      <w:r w:rsidRPr="00BB11A3">
        <w:rPr>
          <w:rFonts w:ascii="Times New Roman" w:eastAsia="Times New Roman" w:hAnsi="Times New Roman" w:cs="Times New Roman"/>
          <w:sz w:val="24"/>
          <w:szCs w:val="24"/>
        </w:rPr>
        <w:t>,</w:t>
      </w:r>
      <w:proofErr w:type="gramEnd"/>
      <w:r w:rsidRPr="00BB11A3">
        <w:rPr>
          <w:rFonts w:ascii="Times New Roman" w:eastAsia="Times New Roman" w:hAnsi="Times New Roman" w:cs="Times New Roman"/>
          <w:sz w:val="24"/>
          <w:szCs w:val="24"/>
        </w:rPr>
        <w:br/>
      </w:r>
      <w:r w:rsidRPr="00BB11A3">
        <w:rPr>
          <w:rFonts w:ascii="Times New Roman" w:eastAsia="Times New Roman" w:hAnsi="Times New Roman" w:cs="Times New Roman"/>
          <w:sz w:val="24"/>
          <w:szCs w:val="24"/>
        </w:rPr>
        <w:br/>
        <w:t>Expenditure on start</w:t>
      </w:r>
      <w:r w:rsidRPr="00BB11A3">
        <w:rPr>
          <w:rFonts w:ascii="Times New Roman" w:eastAsia="Times New Roman" w:hAnsi="Times New Roman" w:cs="Times New Roman"/>
          <w:sz w:val="24"/>
          <w:szCs w:val="24"/>
        </w:rPr>
        <w:noBreakHyphen/>
        <w:t>up of activities (</w:t>
      </w:r>
      <w:r w:rsidRPr="00BB11A3">
        <w:rPr>
          <w:rFonts w:ascii="Times New Roman" w:eastAsia="Times New Roman" w:hAnsi="Times New Roman" w:cs="Times New Roman"/>
          <w:b/>
          <w:bCs/>
          <w:sz w:val="24"/>
          <w:szCs w:val="24"/>
        </w:rPr>
        <w:t>start</w:t>
      </w:r>
      <w:r w:rsidRPr="00BB11A3">
        <w:rPr>
          <w:rFonts w:ascii="Times New Roman" w:eastAsia="Times New Roman" w:hAnsi="Times New Roman" w:cs="Times New Roman"/>
          <w:b/>
          <w:bCs/>
          <w:sz w:val="24"/>
          <w:szCs w:val="24"/>
        </w:rPr>
        <w:noBreakHyphen/>
        <w:t>up costs</w:t>
      </w:r>
      <w:r w:rsidRPr="00BB11A3">
        <w:rPr>
          <w:rFonts w:ascii="Times New Roman" w:eastAsia="Times New Roman" w:hAnsi="Times New Roman" w:cs="Times New Roman"/>
          <w:sz w:val="24"/>
          <w:szCs w:val="24"/>
        </w:rPr>
        <w:t xml:space="preserve">), unless the expenditure is included in the cost of an item of fixed </w:t>
      </w:r>
      <w:proofErr w:type="spellStart"/>
      <w:r w:rsidRPr="00BB11A3">
        <w:rPr>
          <w:rFonts w:ascii="Times New Roman" w:eastAsia="Times New Roman" w:hAnsi="Times New Roman" w:cs="Times New Roman"/>
          <w:sz w:val="24"/>
          <w:szCs w:val="24"/>
        </w:rPr>
        <w:t>asseet</w:t>
      </w:r>
      <w:proofErr w:type="spellEnd"/>
      <w:r w:rsidRPr="00BB11A3">
        <w:rPr>
          <w:rFonts w:ascii="Times New Roman" w:eastAsia="Times New Roman" w:hAnsi="Times New Roman" w:cs="Times New Roman"/>
          <w:sz w:val="24"/>
          <w:szCs w:val="24"/>
        </w:rPr>
        <w:t xml:space="preserve"> under AS 10. Start-up costs may consist of preliminary expenses incurred in establishing a legal entity such as legal and secretarial costs, expenditure to open a new facility or business (</w:t>
      </w:r>
      <w:r w:rsidRPr="00BB11A3">
        <w:rPr>
          <w:rFonts w:ascii="Times New Roman" w:eastAsia="Times New Roman" w:hAnsi="Times New Roman" w:cs="Times New Roman"/>
          <w:b/>
          <w:bCs/>
          <w:sz w:val="24"/>
          <w:szCs w:val="24"/>
        </w:rPr>
        <w:t>pre</w:t>
      </w:r>
      <w:r w:rsidRPr="00BB11A3">
        <w:rPr>
          <w:rFonts w:ascii="Times New Roman" w:eastAsia="Times New Roman" w:hAnsi="Times New Roman" w:cs="Times New Roman"/>
          <w:b/>
          <w:bCs/>
          <w:sz w:val="24"/>
          <w:szCs w:val="24"/>
        </w:rPr>
        <w:noBreakHyphen/>
        <w:t>opening costs</w:t>
      </w:r>
      <w:r w:rsidRPr="00BB11A3">
        <w:rPr>
          <w:rFonts w:ascii="Times New Roman" w:eastAsia="Times New Roman" w:hAnsi="Times New Roman" w:cs="Times New Roman"/>
          <w:sz w:val="24"/>
          <w:szCs w:val="24"/>
        </w:rPr>
        <w:t>) or expenditure for commencing new operations or launching new products or processes (</w:t>
      </w:r>
      <w:proofErr w:type="spellStart"/>
      <w:r w:rsidRPr="00BB11A3">
        <w:rPr>
          <w:rFonts w:ascii="Times New Roman" w:eastAsia="Times New Roman" w:hAnsi="Times New Roman" w:cs="Times New Roman"/>
          <w:b/>
          <w:bCs/>
          <w:sz w:val="24"/>
          <w:szCs w:val="24"/>
        </w:rPr>
        <w:t>pre</w:t>
      </w:r>
      <w:r w:rsidRPr="00BB11A3">
        <w:rPr>
          <w:rFonts w:ascii="Times New Roman" w:eastAsia="Times New Roman" w:hAnsi="Times New Roman" w:cs="Times New Roman"/>
          <w:b/>
          <w:bCs/>
          <w:sz w:val="24"/>
          <w:szCs w:val="24"/>
        </w:rPr>
        <w:noBreakHyphen/>
        <w:t>operating</w:t>
      </w:r>
      <w:proofErr w:type="spellEnd"/>
      <w:r w:rsidRPr="00BB11A3">
        <w:rPr>
          <w:rFonts w:ascii="Times New Roman" w:eastAsia="Times New Roman" w:hAnsi="Times New Roman" w:cs="Times New Roman"/>
          <w:b/>
          <w:bCs/>
          <w:sz w:val="24"/>
          <w:szCs w:val="24"/>
        </w:rPr>
        <w:t xml:space="preserve"> costs</w:t>
      </w:r>
      <w:r w:rsidRPr="00BB11A3">
        <w:rPr>
          <w:rFonts w:ascii="Times New Roman" w:eastAsia="Times New Roman" w:hAnsi="Times New Roman" w:cs="Times New Roman"/>
          <w:sz w:val="24"/>
          <w:szCs w:val="24"/>
        </w:rPr>
        <w:t>).</w:t>
      </w:r>
    </w:p>
    <w:p w:rsidR="0080711F" w:rsidRDefault="0080711F"/>
    <w:p w:rsidR="00017D5A" w:rsidRDefault="0026719A" w:rsidP="00017D5A">
      <w:pPr>
        <w:pStyle w:val="NormalWeb"/>
        <w:jc w:val="both"/>
      </w:pPr>
      <w:r>
        <w:t>I</w:t>
      </w:r>
      <w:r w:rsidR="00017D5A">
        <w:t xml:space="preserve">n terms of </w:t>
      </w:r>
      <w:proofErr w:type="spellStart"/>
      <w:r w:rsidR="00017D5A">
        <w:t>para</w:t>
      </w:r>
      <w:proofErr w:type="spellEnd"/>
      <w:r w:rsidR="00017D5A">
        <w:t xml:space="preserve"> 56 of AS 26 "Intangible Assets" and also an opinion of the Expert Advisory Committee of the ICAI, preliminary expenses do not qualify to be an intangible asset. Preliminary Expenses incurred in connection with the incorporation of a company aren't a </w:t>
      </w:r>
      <w:r w:rsidR="00017D5A">
        <w:rPr>
          <w:b/>
          <w:bCs/>
        </w:rPr>
        <w:t>resource</w:t>
      </w:r>
      <w:r w:rsidR="00017D5A">
        <w:t xml:space="preserve"> controlled by an entity from which economic benefits are likely to flow to the enterprise in future. As such they must be expensed in the year of incurrence itself.</w:t>
      </w:r>
    </w:p>
    <w:p w:rsidR="0026719A" w:rsidRDefault="00017D5A" w:rsidP="00017D5A">
      <w:pPr>
        <w:pStyle w:val="NormalWeb"/>
        <w:jc w:val="both"/>
      </w:pPr>
      <w:r>
        <w:t xml:space="preserve"> But Section 35D of the Income Tax Act requires such expenditure to be claimed over a period of five years. If we scrupulously follow AS 26 and write off the preliminary expenses, lazy chartered accountants like me are faced with the herculean task of accounting for the timing difference and creating a deferred tax asset on it in terms of AS 22. This DTA will be completely realized in the fifth year when the Section 35D </w:t>
      </w:r>
      <w:proofErr w:type="gramStart"/>
      <w:r>
        <w:t>allowance</w:t>
      </w:r>
      <w:proofErr w:type="gramEnd"/>
      <w:r>
        <w:t xml:space="preserve"> will have caught up with accounting expense recognized in the very first year. So in case of small, private companies what we do is </w:t>
      </w:r>
      <w:r>
        <w:rPr>
          <w:b/>
          <w:bCs/>
        </w:rPr>
        <w:t xml:space="preserve">ignore </w:t>
      </w:r>
      <w:r>
        <w:t>the accounting standard altogether and charge the preliminary expenses in the accounts in the same ratio in which we claim it under the Income tax Act.</w:t>
      </w:r>
    </w:p>
    <w:p w:rsidR="00017D5A" w:rsidRDefault="0026719A" w:rsidP="00017D5A">
      <w:pPr>
        <w:pStyle w:val="NormalWeb"/>
        <w:jc w:val="both"/>
      </w:pPr>
      <w:proofErr w:type="spellStart"/>
      <w:r>
        <w:t>T</w:t>
      </w:r>
      <w:r w:rsidR="00017D5A">
        <w:t>the</w:t>
      </w:r>
      <w:proofErr w:type="spellEnd"/>
      <w:r w:rsidR="00017D5A">
        <w:t xml:space="preserve"> Guidance Note on Revised Schedule VI does not prescribe the treatment of preliminary expenses. But the Revised Schedule VI lets us add additional line items on the face as well as further down in the Notes to the Accounts. Since the whole portion of preliminary expenses won't be written off within the next 12 months, I don't think it is proper to show it as a current asset. At the most, you could show the portion to be amortized over the next one year as an Other Current Asset. But that'd be such a bother, splitting up the preliminary expenses. </w:t>
      </w:r>
    </w:p>
    <w:p w:rsidR="00017D5A" w:rsidRDefault="00017D5A" w:rsidP="00017D5A">
      <w:pPr>
        <w:pStyle w:val="NormalWeb"/>
        <w:jc w:val="both"/>
      </w:pPr>
      <w:r>
        <w:t> </w:t>
      </w:r>
    </w:p>
    <w:p w:rsidR="00017D5A" w:rsidRDefault="00017D5A" w:rsidP="00017D5A">
      <w:pPr>
        <w:pStyle w:val="NormalWeb"/>
        <w:jc w:val="both"/>
      </w:pPr>
      <w:r>
        <w:t>If at all preliminary expenses have to be carried in the balance sheet, it is best to show the entir</w:t>
      </w:r>
      <w:r w:rsidR="0026719A">
        <w:t>e amount as a Non-current Asset as per new schedule VI.</w:t>
      </w:r>
    </w:p>
    <w:p w:rsidR="002C7636" w:rsidRPr="0026719A" w:rsidRDefault="00017D5A" w:rsidP="002C7636">
      <w:pPr>
        <w:pStyle w:val="NormalWeb"/>
        <w:jc w:val="both"/>
        <w:rPr>
          <w:u w:val="single"/>
        </w:rPr>
      </w:pPr>
      <w:r w:rsidRPr="0026719A">
        <w:rPr>
          <w:u w:val="single"/>
        </w:rPr>
        <w:t> </w:t>
      </w:r>
      <w:r w:rsidR="00DA5569" w:rsidRPr="0026719A">
        <w:rPr>
          <w:u w:val="single"/>
        </w:rPr>
        <w:t>Para 56 of AS-26</w:t>
      </w:r>
    </w:p>
    <w:p w:rsidR="0026719A" w:rsidRDefault="002C7636" w:rsidP="0026719A">
      <w:pPr>
        <w:pStyle w:val="NormalWeb"/>
        <w:jc w:val="both"/>
        <w:rPr>
          <w:rFonts w:ascii="Times-Roman" w:hAnsi="Times-Roman" w:cs="Times-Roman"/>
          <w:color w:val="231F20"/>
        </w:rPr>
      </w:pPr>
      <w:r>
        <w:rPr>
          <w:rFonts w:ascii="Times-Roman" w:hAnsi="Times-Roman" w:cs="Times-Roman"/>
          <w:color w:val="231F20"/>
        </w:rPr>
        <w:t>56. In some cases, expenditure is incurred to provide future economic</w:t>
      </w:r>
      <w:r w:rsidR="0026719A">
        <w:rPr>
          <w:rFonts w:ascii="Times-Roman" w:hAnsi="Times-Roman" w:cs="Times-Roman"/>
          <w:color w:val="231F20"/>
        </w:rPr>
        <w:t xml:space="preserve"> </w:t>
      </w:r>
      <w:r>
        <w:rPr>
          <w:rFonts w:ascii="Times-Roman" w:hAnsi="Times-Roman" w:cs="Times-Roman"/>
          <w:color w:val="231F20"/>
        </w:rPr>
        <w:t xml:space="preserve">benefits to an enterprise, but no intangible asset or other asset is acquired </w:t>
      </w:r>
      <w:proofErr w:type="spellStart"/>
      <w:r>
        <w:rPr>
          <w:rFonts w:ascii="Times-Roman" w:hAnsi="Times-Roman" w:cs="Times-Roman"/>
          <w:color w:val="231F20"/>
        </w:rPr>
        <w:t>orcreated</w:t>
      </w:r>
      <w:proofErr w:type="spellEnd"/>
      <w:r>
        <w:rPr>
          <w:rFonts w:ascii="Times-Roman" w:hAnsi="Times-Roman" w:cs="Times-Roman"/>
          <w:color w:val="231F20"/>
        </w:rPr>
        <w:t xml:space="preserve"> that can be </w:t>
      </w:r>
      <w:proofErr w:type="spellStart"/>
      <w:r>
        <w:rPr>
          <w:rFonts w:ascii="Times-Roman" w:hAnsi="Times-Roman" w:cs="Times-Roman"/>
          <w:color w:val="231F20"/>
        </w:rPr>
        <w:t>recognised</w:t>
      </w:r>
      <w:proofErr w:type="spellEnd"/>
      <w:r>
        <w:rPr>
          <w:rFonts w:ascii="Times-Roman" w:hAnsi="Times-Roman" w:cs="Times-Roman"/>
          <w:color w:val="231F20"/>
        </w:rPr>
        <w:t xml:space="preserve">. In these cases, the expenditure is </w:t>
      </w:r>
      <w:r w:rsidR="0026719A">
        <w:rPr>
          <w:rFonts w:ascii="Times-Roman" w:hAnsi="Times-Roman" w:cs="Times-Roman"/>
          <w:color w:val="231F20"/>
        </w:rPr>
        <w:t xml:space="preserve">recognized </w:t>
      </w:r>
      <w:r>
        <w:rPr>
          <w:rFonts w:ascii="Times-Roman" w:hAnsi="Times-Roman" w:cs="Times-Roman"/>
          <w:color w:val="231F20"/>
        </w:rPr>
        <w:t>as an expense when it is incurred. For example, expenditure on research is</w:t>
      </w:r>
      <w:r w:rsidR="0026719A">
        <w:rPr>
          <w:rFonts w:ascii="Times-Roman" w:hAnsi="Times-Roman" w:cs="Times-Roman"/>
          <w:color w:val="231F20"/>
        </w:rPr>
        <w:t xml:space="preserve"> </w:t>
      </w:r>
      <w:r>
        <w:rPr>
          <w:rFonts w:ascii="Times-Roman" w:hAnsi="Times-Roman" w:cs="Times-Roman"/>
          <w:color w:val="231F20"/>
        </w:rPr>
        <w:t xml:space="preserve">always </w:t>
      </w:r>
      <w:proofErr w:type="spellStart"/>
      <w:r>
        <w:rPr>
          <w:rFonts w:ascii="Times-Roman" w:hAnsi="Times-Roman" w:cs="Times-Roman"/>
          <w:color w:val="231F20"/>
        </w:rPr>
        <w:t>recognised</w:t>
      </w:r>
      <w:proofErr w:type="spellEnd"/>
      <w:r>
        <w:rPr>
          <w:rFonts w:ascii="Times-Roman" w:hAnsi="Times-Roman" w:cs="Times-Roman"/>
          <w:color w:val="231F20"/>
        </w:rPr>
        <w:t xml:space="preserve"> as an expense when it is incurred (see paragraph 41).</w:t>
      </w:r>
    </w:p>
    <w:p w:rsidR="002C7636" w:rsidRPr="0026719A" w:rsidRDefault="002C7636" w:rsidP="0026719A">
      <w:pPr>
        <w:pStyle w:val="NormalWeb"/>
        <w:jc w:val="both"/>
        <w:rPr>
          <w:rFonts w:ascii="Times-Roman" w:hAnsi="Times-Roman" w:cs="Times-Roman"/>
          <w:color w:val="231F20"/>
        </w:rPr>
      </w:pPr>
      <w:r>
        <w:rPr>
          <w:rFonts w:ascii="Times-Roman" w:hAnsi="Times-Roman" w:cs="Times-Roman"/>
          <w:color w:val="231F20"/>
        </w:rPr>
        <w:t xml:space="preserve">Examples of other expenditure that is </w:t>
      </w:r>
      <w:proofErr w:type="spellStart"/>
      <w:r>
        <w:rPr>
          <w:rFonts w:ascii="Times-Roman" w:hAnsi="Times-Roman" w:cs="Times-Roman"/>
          <w:color w:val="231F20"/>
        </w:rPr>
        <w:t>recognised</w:t>
      </w:r>
      <w:proofErr w:type="spellEnd"/>
      <w:r>
        <w:rPr>
          <w:rFonts w:ascii="Times-Roman" w:hAnsi="Times-Roman" w:cs="Times-Roman"/>
          <w:color w:val="231F20"/>
        </w:rPr>
        <w:t xml:space="preserve"> as an expense when it is</w:t>
      </w:r>
    </w:p>
    <w:p w:rsidR="002C7636" w:rsidRDefault="002C7636" w:rsidP="002C7636">
      <w:pPr>
        <w:autoSpaceDE w:val="0"/>
        <w:autoSpaceDN w:val="0"/>
        <w:adjustRightInd w:val="0"/>
        <w:spacing w:after="0" w:line="240" w:lineRule="auto"/>
        <w:rPr>
          <w:rFonts w:ascii="Times-Roman" w:hAnsi="Times-Roman" w:cs="Times-Roman"/>
          <w:color w:val="231F20"/>
        </w:rPr>
      </w:pPr>
      <w:proofErr w:type="gramStart"/>
      <w:r>
        <w:rPr>
          <w:rFonts w:ascii="Times-Roman" w:hAnsi="Times-Roman" w:cs="Times-Roman"/>
          <w:color w:val="231F20"/>
        </w:rPr>
        <w:t>incurred</w:t>
      </w:r>
      <w:proofErr w:type="gramEnd"/>
      <w:r>
        <w:rPr>
          <w:rFonts w:ascii="Times-Roman" w:hAnsi="Times-Roman" w:cs="Times-Roman"/>
          <w:color w:val="231F20"/>
        </w:rPr>
        <w:t xml:space="preserve"> include:</w:t>
      </w:r>
    </w:p>
    <w:p w:rsidR="002C7636" w:rsidRPr="0026719A" w:rsidRDefault="002C7636" w:rsidP="002C7636">
      <w:pPr>
        <w:autoSpaceDE w:val="0"/>
        <w:autoSpaceDN w:val="0"/>
        <w:adjustRightInd w:val="0"/>
        <w:spacing w:after="0" w:line="240" w:lineRule="auto"/>
        <w:rPr>
          <w:rFonts w:ascii="Times New Roman" w:eastAsia="Times New Roman" w:hAnsi="Times New Roman" w:cs="Times New Roman"/>
          <w:sz w:val="24"/>
          <w:szCs w:val="24"/>
        </w:rPr>
      </w:pPr>
      <w:r w:rsidRPr="0026719A">
        <w:rPr>
          <w:rFonts w:ascii="Times New Roman" w:eastAsia="Times New Roman" w:hAnsi="Times New Roman" w:cs="Times New Roman"/>
          <w:sz w:val="24"/>
          <w:szCs w:val="24"/>
        </w:rPr>
        <w:t xml:space="preserve">(a) </w:t>
      </w:r>
      <w:proofErr w:type="gramStart"/>
      <w:r w:rsidRPr="0026719A">
        <w:rPr>
          <w:rFonts w:ascii="Times New Roman" w:eastAsia="Times New Roman" w:hAnsi="Times New Roman" w:cs="Times New Roman"/>
          <w:sz w:val="24"/>
          <w:szCs w:val="24"/>
        </w:rPr>
        <w:t>expenditure</w:t>
      </w:r>
      <w:proofErr w:type="gramEnd"/>
      <w:r w:rsidRPr="0026719A">
        <w:rPr>
          <w:rFonts w:ascii="Times New Roman" w:eastAsia="Times New Roman" w:hAnsi="Times New Roman" w:cs="Times New Roman"/>
          <w:sz w:val="24"/>
          <w:szCs w:val="24"/>
        </w:rPr>
        <w:t xml:space="preserve"> on start-up activities (start-up costs), unless this</w:t>
      </w:r>
    </w:p>
    <w:p w:rsidR="002C7636" w:rsidRPr="0026719A" w:rsidRDefault="002C7636" w:rsidP="002C7636">
      <w:pPr>
        <w:autoSpaceDE w:val="0"/>
        <w:autoSpaceDN w:val="0"/>
        <w:adjustRightInd w:val="0"/>
        <w:spacing w:after="0" w:line="240" w:lineRule="auto"/>
        <w:rPr>
          <w:rFonts w:ascii="Times New Roman" w:eastAsia="Times New Roman" w:hAnsi="Times New Roman" w:cs="Times New Roman"/>
          <w:sz w:val="24"/>
          <w:szCs w:val="24"/>
        </w:rPr>
      </w:pPr>
      <w:proofErr w:type="gramStart"/>
      <w:r w:rsidRPr="0026719A">
        <w:rPr>
          <w:rFonts w:ascii="Times New Roman" w:eastAsia="Times New Roman" w:hAnsi="Times New Roman" w:cs="Times New Roman"/>
          <w:sz w:val="24"/>
          <w:szCs w:val="24"/>
        </w:rPr>
        <w:t>expenditure</w:t>
      </w:r>
      <w:proofErr w:type="gramEnd"/>
      <w:r w:rsidRPr="0026719A">
        <w:rPr>
          <w:rFonts w:ascii="Times New Roman" w:eastAsia="Times New Roman" w:hAnsi="Times New Roman" w:cs="Times New Roman"/>
          <w:sz w:val="24"/>
          <w:szCs w:val="24"/>
        </w:rPr>
        <w:t xml:space="preserve"> is included in the cost of an item of fixed asset under</w:t>
      </w:r>
    </w:p>
    <w:p w:rsidR="002C7636" w:rsidRPr="0026719A" w:rsidRDefault="002C7636" w:rsidP="002C7636">
      <w:pPr>
        <w:autoSpaceDE w:val="0"/>
        <w:autoSpaceDN w:val="0"/>
        <w:adjustRightInd w:val="0"/>
        <w:spacing w:after="0" w:line="240" w:lineRule="auto"/>
        <w:rPr>
          <w:rFonts w:ascii="Times New Roman" w:eastAsia="Times New Roman" w:hAnsi="Times New Roman" w:cs="Times New Roman"/>
          <w:sz w:val="24"/>
          <w:szCs w:val="24"/>
        </w:rPr>
      </w:pPr>
      <w:proofErr w:type="gramStart"/>
      <w:r w:rsidRPr="0026719A">
        <w:rPr>
          <w:rFonts w:ascii="Times New Roman" w:eastAsia="Times New Roman" w:hAnsi="Times New Roman" w:cs="Times New Roman"/>
          <w:sz w:val="24"/>
          <w:szCs w:val="24"/>
        </w:rPr>
        <w:t>AS 10.</w:t>
      </w:r>
      <w:proofErr w:type="gramEnd"/>
      <w:r w:rsidRPr="0026719A">
        <w:rPr>
          <w:rFonts w:ascii="Times New Roman" w:eastAsia="Times New Roman" w:hAnsi="Times New Roman" w:cs="Times New Roman"/>
          <w:sz w:val="24"/>
          <w:szCs w:val="24"/>
        </w:rPr>
        <w:t xml:space="preserve"> Start-up costs may consist of preliminary expenses</w:t>
      </w:r>
    </w:p>
    <w:p w:rsidR="002C7636" w:rsidRPr="0026719A" w:rsidRDefault="002C7636" w:rsidP="002C7636">
      <w:pPr>
        <w:autoSpaceDE w:val="0"/>
        <w:autoSpaceDN w:val="0"/>
        <w:adjustRightInd w:val="0"/>
        <w:spacing w:after="0" w:line="240" w:lineRule="auto"/>
        <w:rPr>
          <w:rFonts w:ascii="Times New Roman" w:eastAsia="Times New Roman" w:hAnsi="Times New Roman" w:cs="Times New Roman"/>
          <w:sz w:val="24"/>
          <w:szCs w:val="24"/>
        </w:rPr>
      </w:pPr>
      <w:proofErr w:type="gramStart"/>
      <w:r w:rsidRPr="0026719A">
        <w:rPr>
          <w:rFonts w:ascii="Times New Roman" w:eastAsia="Times New Roman" w:hAnsi="Times New Roman" w:cs="Times New Roman"/>
          <w:sz w:val="24"/>
          <w:szCs w:val="24"/>
        </w:rPr>
        <w:t>incurred</w:t>
      </w:r>
      <w:proofErr w:type="gramEnd"/>
      <w:r w:rsidRPr="0026719A">
        <w:rPr>
          <w:rFonts w:ascii="Times New Roman" w:eastAsia="Times New Roman" w:hAnsi="Times New Roman" w:cs="Times New Roman"/>
          <w:sz w:val="24"/>
          <w:szCs w:val="24"/>
        </w:rPr>
        <w:t xml:space="preserve"> in establishing a legal entity such as legal and secretarial</w:t>
      </w:r>
    </w:p>
    <w:p w:rsidR="002C7636" w:rsidRPr="0026719A" w:rsidRDefault="002C7636" w:rsidP="002C7636">
      <w:pPr>
        <w:autoSpaceDE w:val="0"/>
        <w:autoSpaceDN w:val="0"/>
        <w:adjustRightInd w:val="0"/>
        <w:spacing w:after="0" w:line="240" w:lineRule="auto"/>
        <w:rPr>
          <w:rFonts w:ascii="Times New Roman" w:eastAsia="Times New Roman" w:hAnsi="Times New Roman" w:cs="Times New Roman"/>
          <w:sz w:val="24"/>
          <w:szCs w:val="24"/>
        </w:rPr>
      </w:pPr>
      <w:proofErr w:type="gramStart"/>
      <w:r w:rsidRPr="0026719A">
        <w:rPr>
          <w:rFonts w:ascii="Times New Roman" w:eastAsia="Times New Roman" w:hAnsi="Times New Roman" w:cs="Times New Roman"/>
          <w:sz w:val="24"/>
          <w:szCs w:val="24"/>
        </w:rPr>
        <w:t>costs</w:t>
      </w:r>
      <w:proofErr w:type="gramEnd"/>
      <w:r w:rsidRPr="0026719A">
        <w:rPr>
          <w:rFonts w:ascii="Times New Roman" w:eastAsia="Times New Roman" w:hAnsi="Times New Roman" w:cs="Times New Roman"/>
          <w:sz w:val="24"/>
          <w:szCs w:val="24"/>
        </w:rPr>
        <w:t>, expenditure to open a new facility or business (pre-opening</w:t>
      </w:r>
    </w:p>
    <w:p w:rsidR="002C7636" w:rsidRPr="0026719A" w:rsidRDefault="002C7636" w:rsidP="002C7636">
      <w:pPr>
        <w:autoSpaceDE w:val="0"/>
        <w:autoSpaceDN w:val="0"/>
        <w:adjustRightInd w:val="0"/>
        <w:spacing w:after="0" w:line="240" w:lineRule="auto"/>
        <w:rPr>
          <w:rFonts w:ascii="Times New Roman" w:eastAsia="Times New Roman" w:hAnsi="Times New Roman" w:cs="Times New Roman"/>
          <w:sz w:val="24"/>
          <w:szCs w:val="24"/>
        </w:rPr>
      </w:pPr>
      <w:proofErr w:type="gramStart"/>
      <w:r w:rsidRPr="0026719A">
        <w:rPr>
          <w:rFonts w:ascii="Times New Roman" w:eastAsia="Times New Roman" w:hAnsi="Times New Roman" w:cs="Times New Roman"/>
          <w:sz w:val="24"/>
          <w:szCs w:val="24"/>
        </w:rPr>
        <w:t>costs</w:t>
      </w:r>
      <w:proofErr w:type="gramEnd"/>
      <w:r w:rsidRPr="0026719A">
        <w:rPr>
          <w:rFonts w:ascii="Times New Roman" w:eastAsia="Times New Roman" w:hAnsi="Times New Roman" w:cs="Times New Roman"/>
          <w:sz w:val="24"/>
          <w:szCs w:val="24"/>
        </w:rPr>
        <w:t>) or expenditures for commencing new operations or</w:t>
      </w:r>
    </w:p>
    <w:p w:rsidR="002C7636" w:rsidRPr="0026719A" w:rsidRDefault="002C7636" w:rsidP="002C7636">
      <w:pPr>
        <w:autoSpaceDE w:val="0"/>
        <w:autoSpaceDN w:val="0"/>
        <w:adjustRightInd w:val="0"/>
        <w:spacing w:after="0" w:line="240" w:lineRule="auto"/>
        <w:rPr>
          <w:rFonts w:ascii="Times New Roman" w:eastAsia="Times New Roman" w:hAnsi="Times New Roman" w:cs="Times New Roman"/>
          <w:sz w:val="24"/>
          <w:szCs w:val="24"/>
        </w:rPr>
      </w:pPr>
      <w:proofErr w:type="gramStart"/>
      <w:r w:rsidRPr="0026719A">
        <w:rPr>
          <w:rFonts w:ascii="Times New Roman" w:eastAsia="Times New Roman" w:hAnsi="Times New Roman" w:cs="Times New Roman"/>
          <w:sz w:val="24"/>
          <w:szCs w:val="24"/>
        </w:rPr>
        <w:t>launching</w:t>
      </w:r>
      <w:proofErr w:type="gramEnd"/>
      <w:r w:rsidRPr="0026719A">
        <w:rPr>
          <w:rFonts w:ascii="Times New Roman" w:eastAsia="Times New Roman" w:hAnsi="Times New Roman" w:cs="Times New Roman"/>
          <w:sz w:val="24"/>
          <w:szCs w:val="24"/>
        </w:rPr>
        <w:t xml:space="preserve"> new products or processes (pre-operating costs);</w:t>
      </w:r>
    </w:p>
    <w:p w:rsidR="002C7636" w:rsidRPr="0026719A" w:rsidRDefault="002C7636" w:rsidP="002C7636">
      <w:pPr>
        <w:autoSpaceDE w:val="0"/>
        <w:autoSpaceDN w:val="0"/>
        <w:adjustRightInd w:val="0"/>
        <w:spacing w:after="0" w:line="240" w:lineRule="auto"/>
        <w:rPr>
          <w:rFonts w:ascii="Times New Roman" w:eastAsia="Times New Roman" w:hAnsi="Times New Roman" w:cs="Times New Roman"/>
          <w:sz w:val="24"/>
          <w:szCs w:val="24"/>
        </w:rPr>
      </w:pPr>
      <w:r w:rsidRPr="0026719A">
        <w:rPr>
          <w:rFonts w:ascii="Times New Roman" w:eastAsia="Times New Roman" w:hAnsi="Times New Roman" w:cs="Times New Roman"/>
          <w:sz w:val="24"/>
          <w:szCs w:val="24"/>
        </w:rPr>
        <w:t xml:space="preserve">(b) </w:t>
      </w:r>
      <w:proofErr w:type="gramStart"/>
      <w:r w:rsidRPr="0026719A">
        <w:rPr>
          <w:rFonts w:ascii="Times New Roman" w:eastAsia="Times New Roman" w:hAnsi="Times New Roman" w:cs="Times New Roman"/>
          <w:sz w:val="24"/>
          <w:szCs w:val="24"/>
        </w:rPr>
        <w:t>expenditure</w:t>
      </w:r>
      <w:proofErr w:type="gramEnd"/>
      <w:r w:rsidRPr="0026719A">
        <w:rPr>
          <w:rFonts w:ascii="Times New Roman" w:eastAsia="Times New Roman" w:hAnsi="Times New Roman" w:cs="Times New Roman"/>
          <w:sz w:val="24"/>
          <w:szCs w:val="24"/>
        </w:rPr>
        <w:t xml:space="preserve"> on training activities;</w:t>
      </w:r>
    </w:p>
    <w:p w:rsidR="002C7636" w:rsidRPr="0026719A" w:rsidRDefault="002C7636" w:rsidP="002C7636">
      <w:pPr>
        <w:autoSpaceDE w:val="0"/>
        <w:autoSpaceDN w:val="0"/>
        <w:adjustRightInd w:val="0"/>
        <w:spacing w:after="0" w:line="240" w:lineRule="auto"/>
        <w:rPr>
          <w:rFonts w:ascii="Times New Roman" w:eastAsia="Times New Roman" w:hAnsi="Times New Roman" w:cs="Times New Roman"/>
          <w:sz w:val="24"/>
          <w:szCs w:val="24"/>
        </w:rPr>
      </w:pPr>
      <w:r w:rsidRPr="0026719A">
        <w:rPr>
          <w:rFonts w:ascii="Times New Roman" w:eastAsia="Times New Roman" w:hAnsi="Times New Roman" w:cs="Times New Roman"/>
          <w:sz w:val="24"/>
          <w:szCs w:val="24"/>
        </w:rPr>
        <w:t xml:space="preserve">(c) </w:t>
      </w:r>
      <w:proofErr w:type="gramStart"/>
      <w:r w:rsidRPr="0026719A">
        <w:rPr>
          <w:rFonts w:ascii="Times New Roman" w:eastAsia="Times New Roman" w:hAnsi="Times New Roman" w:cs="Times New Roman"/>
          <w:sz w:val="24"/>
          <w:szCs w:val="24"/>
        </w:rPr>
        <w:t>expenditure</w:t>
      </w:r>
      <w:proofErr w:type="gramEnd"/>
      <w:r w:rsidRPr="0026719A">
        <w:rPr>
          <w:rFonts w:ascii="Times New Roman" w:eastAsia="Times New Roman" w:hAnsi="Times New Roman" w:cs="Times New Roman"/>
          <w:sz w:val="24"/>
          <w:szCs w:val="24"/>
        </w:rPr>
        <w:t xml:space="preserve"> on advertising and promotional activities; and</w:t>
      </w:r>
    </w:p>
    <w:p w:rsidR="002C7636" w:rsidRPr="0026719A" w:rsidRDefault="002C7636" w:rsidP="0026719A">
      <w:pPr>
        <w:autoSpaceDE w:val="0"/>
        <w:autoSpaceDN w:val="0"/>
        <w:adjustRightInd w:val="0"/>
        <w:spacing w:after="0" w:line="240" w:lineRule="auto"/>
        <w:rPr>
          <w:rFonts w:ascii="Times New Roman" w:eastAsia="Times New Roman" w:hAnsi="Times New Roman" w:cs="Times New Roman"/>
          <w:sz w:val="24"/>
          <w:szCs w:val="24"/>
        </w:rPr>
      </w:pPr>
      <w:r w:rsidRPr="0026719A">
        <w:rPr>
          <w:rFonts w:ascii="Times New Roman" w:eastAsia="Times New Roman" w:hAnsi="Times New Roman" w:cs="Times New Roman"/>
          <w:sz w:val="24"/>
          <w:szCs w:val="24"/>
        </w:rPr>
        <w:t xml:space="preserve">(d) </w:t>
      </w:r>
      <w:proofErr w:type="gramStart"/>
      <w:r w:rsidRPr="0026719A">
        <w:rPr>
          <w:rFonts w:ascii="Times New Roman" w:eastAsia="Times New Roman" w:hAnsi="Times New Roman" w:cs="Times New Roman"/>
          <w:sz w:val="24"/>
          <w:szCs w:val="24"/>
        </w:rPr>
        <w:t>expenditure</w:t>
      </w:r>
      <w:proofErr w:type="gramEnd"/>
      <w:r w:rsidRPr="0026719A">
        <w:rPr>
          <w:rFonts w:ascii="Times New Roman" w:eastAsia="Times New Roman" w:hAnsi="Times New Roman" w:cs="Times New Roman"/>
          <w:sz w:val="24"/>
          <w:szCs w:val="24"/>
        </w:rPr>
        <w:t xml:space="preserve"> on relocating or re-</w:t>
      </w:r>
      <w:proofErr w:type="spellStart"/>
      <w:r w:rsidRPr="0026719A">
        <w:rPr>
          <w:rFonts w:ascii="Times New Roman" w:eastAsia="Times New Roman" w:hAnsi="Times New Roman" w:cs="Times New Roman"/>
          <w:sz w:val="24"/>
          <w:szCs w:val="24"/>
        </w:rPr>
        <w:t>organising</w:t>
      </w:r>
      <w:proofErr w:type="spellEnd"/>
      <w:r w:rsidRPr="0026719A">
        <w:rPr>
          <w:rFonts w:ascii="Times New Roman" w:eastAsia="Times New Roman" w:hAnsi="Times New Roman" w:cs="Times New Roman"/>
          <w:sz w:val="24"/>
          <w:szCs w:val="24"/>
        </w:rPr>
        <w:t xml:space="preserve"> part or all of an</w:t>
      </w:r>
      <w:r w:rsidR="0026719A" w:rsidRPr="0026719A">
        <w:rPr>
          <w:rFonts w:ascii="Times New Roman" w:eastAsia="Times New Roman" w:hAnsi="Times New Roman" w:cs="Times New Roman"/>
          <w:sz w:val="24"/>
          <w:szCs w:val="24"/>
        </w:rPr>
        <w:t xml:space="preserve"> </w:t>
      </w:r>
      <w:r w:rsidRPr="0026719A">
        <w:rPr>
          <w:rFonts w:ascii="Times New Roman" w:eastAsia="Times New Roman" w:hAnsi="Times New Roman" w:cs="Times New Roman"/>
          <w:sz w:val="24"/>
          <w:szCs w:val="24"/>
        </w:rPr>
        <w:t>enterprise.</w:t>
      </w:r>
    </w:p>
    <w:p w:rsidR="0026719A" w:rsidRPr="0026719A" w:rsidRDefault="0026719A" w:rsidP="0026719A">
      <w:pPr>
        <w:autoSpaceDE w:val="0"/>
        <w:autoSpaceDN w:val="0"/>
        <w:adjustRightInd w:val="0"/>
        <w:spacing w:after="0" w:line="240" w:lineRule="auto"/>
        <w:rPr>
          <w:rFonts w:ascii="Times New Roman" w:eastAsia="Times New Roman" w:hAnsi="Times New Roman" w:cs="Times New Roman"/>
          <w:sz w:val="24"/>
          <w:szCs w:val="24"/>
        </w:rPr>
      </w:pPr>
      <w:r w:rsidRPr="0026719A">
        <w:rPr>
          <w:rFonts w:ascii="Times New Roman" w:eastAsia="Times New Roman" w:hAnsi="Times New Roman" w:cs="Times New Roman"/>
          <w:sz w:val="24"/>
          <w:szCs w:val="24"/>
        </w:rPr>
        <w:t>.</w:t>
      </w:r>
    </w:p>
    <w:p w:rsidR="0026719A" w:rsidRPr="0026719A" w:rsidRDefault="0026719A" w:rsidP="0026719A">
      <w:pPr>
        <w:autoSpaceDE w:val="0"/>
        <w:autoSpaceDN w:val="0"/>
        <w:adjustRightInd w:val="0"/>
        <w:spacing w:after="0" w:line="240" w:lineRule="auto"/>
        <w:rPr>
          <w:rFonts w:ascii="Times New Roman" w:eastAsia="Times New Roman" w:hAnsi="Times New Roman" w:cs="Times New Roman"/>
          <w:sz w:val="24"/>
          <w:szCs w:val="24"/>
        </w:rPr>
      </w:pPr>
    </w:p>
    <w:p w:rsidR="0026719A" w:rsidRPr="0026719A" w:rsidRDefault="0026719A" w:rsidP="0026719A">
      <w:pPr>
        <w:autoSpaceDE w:val="0"/>
        <w:autoSpaceDN w:val="0"/>
        <w:adjustRightInd w:val="0"/>
        <w:spacing w:after="0" w:line="240" w:lineRule="auto"/>
        <w:rPr>
          <w:rFonts w:ascii="Times New Roman" w:eastAsia="Times New Roman" w:hAnsi="Times New Roman" w:cs="Times New Roman"/>
          <w:sz w:val="24"/>
          <w:szCs w:val="24"/>
          <w:u w:val="single"/>
        </w:rPr>
      </w:pPr>
      <w:r w:rsidRPr="0026719A">
        <w:rPr>
          <w:rFonts w:ascii="Times New Roman" w:eastAsia="Times New Roman" w:hAnsi="Times New Roman" w:cs="Times New Roman"/>
          <w:sz w:val="24"/>
          <w:szCs w:val="24"/>
          <w:u w:val="single"/>
        </w:rPr>
        <w:t>Some CA’s have this view which is absolutely wrong:</w:t>
      </w:r>
    </w:p>
    <w:p w:rsidR="0026719A" w:rsidRPr="0026719A" w:rsidRDefault="0026719A" w:rsidP="0026719A">
      <w:pPr>
        <w:autoSpaceDE w:val="0"/>
        <w:autoSpaceDN w:val="0"/>
        <w:adjustRightInd w:val="0"/>
        <w:spacing w:after="0" w:line="240" w:lineRule="auto"/>
        <w:rPr>
          <w:rFonts w:ascii="Times New Roman" w:eastAsia="Times New Roman" w:hAnsi="Times New Roman" w:cs="Times New Roman"/>
          <w:sz w:val="24"/>
          <w:szCs w:val="24"/>
        </w:rPr>
      </w:pPr>
    </w:p>
    <w:p w:rsidR="0026719A" w:rsidRPr="0026719A" w:rsidRDefault="0026719A" w:rsidP="0026719A">
      <w:pPr>
        <w:rPr>
          <w:rFonts w:ascii="Times New Roman" w:eastAsia="Times New Roman" w:hAnsi="Times New Roman" w:cs="Times New Roman"/>
          <w:sz w:val="24"/>
          <w:szCs w:val="24"/>
        </w:rPr>
      </w:pPr>
      <w:r w:rsidRPr="0026719A">
        <w:rPr>
          <w:rFonts w:ascii="Times New Roman" w:eastAsia="Times New Roman" w:hAnsi="Times New Roman" w:cs="Times New Roman"/>
          <w:sz w:val="24"/>
          <w:szCs w:val="24"/>
        </w:rPr>
        <w:t xml:space="preserve">Accounting Standard on preliminary expenses: AS 26 dealing with intangible assets covers preliminary expenses as well. The period over which these preliminary expenses are to be </w:t>
      </w:r>
      <w:proofErr w:type="spellStart"/>
      <w:r w:rsidRPr="0026719A">
        <w:rPr>
          <w:rFonts w:ascii="Times New Roman" w:eastAsia="Times New Roman" w:hAnsi="Times New Roman" w:cs="Times New Roman"/>
          <w:sz w:val="24"/>
          <w:szCs w:val="24"/>
        </w:rPr>
        <w:t>amortised</w:t>
      </w:r>
      <w:proofErr w:type="spellEnd"/>
      <w:r w:rsidRPr="0026719A">
        <w:rPr>
          <w:rFonts w:ascii="Times New Roman" w:eastAsia="Times New Roman" w:hAnsi="Times New Roman" w:cs="Times New Roman"/>
          <w:sz w:val="24"/>
          <w:szCs w:val="24"/>
        </w:rPr>
        <w:t xml:space="preserve"> is best left to the judgment of the directors of the company. AS 26 suggests writing off intangible assets over a period of 10 years, though a different period is permissible if it is justified in the opinion of the management. It is a common practice to write off these preliminary expenses in a period of five years, though there is no legal provision to this effect. </w:t>
      </w:r>
    </w:p>
    <w:p w:rsidR="0026719A" w:rsidRPr="0026719A" w:rsidRDefault="0026719A" w:rsidP="0026719A">
      <w:pPr>
        <w:autoSpaceDE w:val="0"/>
        <w:autoSpaceDN w:val="0"/>
        <w:adjustRightInd w:val="0"/>
        <w:spacing w:after="0" w:line="240" w:lineRule="auto"/>
        <w:rPr>
          <w:rFonts w:ascii="Times-Roman" w:hAnsi="Times-Roman" w:cs="Times-Roman"/>
          <w:color w:val="231F20"/>
        </w:rPr>
      </w:pPr>
    </w:p>
    <w:sectPr w:rsidR="0026719A" w:rsidRPr="0026719A" w:rsidSect="0026719A">
      <w:pgSz w:w="12240" w:h="15840"/>
      <w:pgMar w:top="36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imes-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BB11A3"/>
    <w:rsid w:val="00017D5A"/>
    <w:rsid w:val="0026719A"/>
    <w:rsid w:val="002C7636"/>
    <w:rsid w:val="0080711F"/>
    <w:rsid w:val="00BB11A3"/>
    <w:rsid w:val="00BF3265"/>
    <w:rsid w:val="00C61132"/>
    <w:rsid w:val="00DA55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11F"/>
  </w:style>
  <w:style w:type="paragraph" w:styleId="Heading3">
    <w:name w:val="heading 3"/>
    <w:basedOn w:val="Normal"/>
    <w:link w:val="Heading3Char"/>
    <w:uiPriority w:val="9"/>
    <w:qFormat/>
    <w:rsid w:val="00BB11A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B11A3"/>
    <w:rPr>
      <w:rFonts w:ascii="Times New Roman" w:eastAsia="Times New Roman" w:hAnsi="Times New Roman" w:cs="Times New Roman"/>
      <w:b/>
      <w:bCs/>
      <w:sz w:val="27"/>
      <w:szCs w:val="27"/>
    </w:rPr>
  </w:style>
  <w:style w:type="paragraph" w:styleId="NormalWeb">
    <w:name w:val="Normal (Web)"/>
    <w:basedOn w:val="Normal"/>
    <w:uiPriority w:val="99"/>
    <w:unhideWhenUsed/>
    <w:rsid w:val="00BB11A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5856977">
      <w:bodyDiv w:val="1"/>
      <w:marLeft w:val="0"/>
      <w:marRight w:val="0"/>
      <w:marTop w:val="0"/>
      <w:marBottom w:val="0"/>
      <w:divBdr>
        <w:top w:val="none" w:sz="0" w:space="0" w:color="auto"/>
        <w:left w:val="none" w:sz="0" w:space="0" w:color="auto"/>
        <w:bottom w:val="none" w:sz="0" w:space="0" w:color="auto"/>
        <w:right w:val="none" w:sz="0" w:space="0" w:color="auto"/>
      </w:divBdr>
    </w:div>
    <w:div w:id="821429403">
      <w:bodyDiv w:val="1"/>
      <w:marLeft w:val="0"/>
      <w:marRight w:val="0"/>
      <w:marTop w:val="0"/>
      <w:marBottom w:val="0"/>
      <w:divBdr>
        <w:top w:val="none" w:sz="0" w:space="0" w:color="auto"/>
        <w:left w:val="none" w:sz="0" w:space="0" w:color="auto"/>
        <w:bottom w:val="none" w:sz="0" w:space="0" w:color="auto"/>
        <w:right w:val="none" w:sz="0" w:space="0" w:color="auto"/>
      </w:divBdr>
      <w:divsChild>
        <w:div w:id="15835663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Pages>
  <Words>942</Words>
  <Characters>5372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cp:lastPrinted>2013-01-07T09:57:00Z</cp:lastPrinted>
  <dcterms:created xsi:type="dcterms:W3CDTF">2013-01-07T09:21:00Z</dcterms:created>
  <dcterms:modified xsi:type="dcterms:W3CDTF">2013-01-11T12:17:00Z</dcterms:modified>
</cp:coreProperties>
</file>