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DDC" w:rsidRPr="00137559" w:rsidRDefault="00FA6DDC" w:rsidP="00FA6DDC">
      <w:pPr>
        <w:rPr>
          <w:sz w:val="32"/>
          <w:szCs w:val="32"/>
        </w:rPr>
      </w:pPr>
      <w:r w:rsidRPr="00137559">
        <w:rPr>
          <w:sz w:val="32"/>
          <w:szCs w:val="32"/>
        </w:rPr>
        <w:t xml:space="preserve">Changes in Revised </w:t>
      </w:r>
      <w:proofErr w:type="spellStart"/>
      <w:r w:rsidRPr="00137559">
        <w:rPr>
          <w:sz w:val="32"/>
          <w:szCs w:val="32"/>
        </w:rPr>
        <w:t>Sch</w:t>
      </w:r>
      <w:proofErr w:type="spellEnd"/>
      <w:r w:rsidRPr="00137559">
        <w:rPr>
          <w:sz w:val="32"/>
          <w:szCs w:val="32"/>
        </w:rPr>
        <w:t xml:space="preserve"> VI </w:t>
      </w:r>
    </w:p>
    <w:p w:rsidR="00FA6DDC" w:rsidRPr="00137559" w:rsidRDefault="00FA6DDC" w:rsidP="00FA6DDC">
      <w:pPr>
        <w:rPr>
          <w:sz w:val="32"/>
          <w:szCs w:val="32"/>
        </w:rPr>
      </w:pPr>
    </w:p>
    <w:p w:rsidR="00FA6DDC" w:rsidRPr="00137559" w:rsidRDefault="00FA6DDC" w:rsidP="00FA6DDC">
      <w:pPr>
        <w:rPr>
          <w:sz w:val="32"/>
          <w:szCs w:val="32"/>
        </w:rPr>
      </w:pPr>
    </w:p>
    <w:p w:rsidR="00FA6DDC" w:rsidRPr="00137559" w:rsidRDefault="00FA6DDC" w:rsidP="00FA6DDC">
      <w:pPr>
        <w:rPr>
          <w:sz w:val="32"/>
          <w:szCs w:val="32"/>
        </w:rPr>
      </w:pPr>
      <w:r w:rsidRPr="00137559">
        <w:rPr>
          <w:sz w:val="32"/>
          <w:szCs w:val="32"/>
        </w:rPr>
        <w:t>The changes brought in revised format have been segregated in the following manner: -</w:t>
      </w:r>
    </w:p>
    <w:p w:rsidR="00FA6DDC" w:rsidRPr="00137559" w:rsidRDefault="00FA6DDC" w:rsidP="00FA6DDC">
      <w:pPr>
        <w:rPr>
          <w:sz w:val="32"/>
          <w:szCs w:val="32"/>
        </w:rPr>
      </w:pPr>
      <w:r w:rsidRPr="00137559">
        <w:rPr>
          <w:sz w:val="32"/>
          <w:szCs w:val="32"/>
        </w:rPr>
        <w:t>Balance Sheet</w:t>
      </w:r>
    </w:p>
    <w:p w:rsidR="00FA6DDC" w:rsidRPr="00137559" w:rsidRDefault="00FA6DDC" w:rsidP="00FA6DDC">
      <w:pPr>
        <w:rPr>
          <w:sz w:val="32"/>
          <w:szCs w:val="32"/>
        </w:rPr>
      </w:pPr>
      <w:r w:rsidRPr="00137559">
        <w:rPr>
          <w:sz w:val="32"/>
          <w:szCs w:val="32"/>
        </w:rPr>
        <w:t>Profit &amp; Loss A/c</w:t>
      </w:r>
    </w:p>
    <w:p w:rsidR="00FA6DDC" w:rsidRPr="00137559" w:rsidRDefault="00FA6DDC" w:rsidP="00FA6DDC">
      <w:pPr>
        <w:rPr>
          <w:sz w:val="32"/>
          <w:szCs w:val="32"/>
        </w:rPr>
      </w:pPr>
      <w:r w:rsidRPr="00137559">
        <w:rPr>
          <w:sz w:val="32"/>
          <w:szCs w:val="32"/>
        </w:rPr>
        <w:t>General Changes</w:t>
      </w:r>
    </w:p>
    <w:p w:rsidR="00FA6DDC" w:rsidRPr="00137559" w:rsidRDefault="00FA6DDC" w:rsidP="00FA6DDC">
      <w:pPr>
        <w:rPr>
          <w:sz w:val="32"/>
          <w:szCs w:val="32"/>
        </w:rPr>
      </w:pPr>
    </w:p>
    <w:p w:rsidR="00FA6DDC" w:rsidRPr="00137559" w:rsidRDefault="00FA6DDC" w:rsidP="00FA6DDC">
      <w:pPr>
        <w:rPr>
          <w:sz w:val="32"/>
          <w:szCs w:val="32"/>
        </w:rPr>
      </w:pPr>
      <w:r w:rsidRPr="00137559">
        <w:rPr>
          <w:sz w:val="32"/>
          <w:szCs w:val="32"/>
        </w:rPr>
        <w:t>1. While both Vertical and horizontal forms of presentation were allowed under old schedule VI, only vertical form is allowed under revised Schedule VI.</w:t>
      </w:r>
    </w:p>
    <w:p w:rsidR="00FA6DDC" w:rsidRPr="00137559" w:rsidRDefault="00FA6DDC" w:rsidP="00FA6DDC">
      <w:pPr>
        <w:rPr>
          <w:sz w:val="32"/>
          <w:szCs w:val="32"/>
        </w:rPr>
      </w:pPr>
    </w:p>
    <w:p w:rsidR="00FA6DDC" w:rsidRPr="00137559" w:rsidRDefault="00FA6DDC" w:rsidP="00FA6DDC">
      <w:pPr>
        <w:rPr>
          <w:sz w:val="32"/>
          <w:szCs w:val="32"/>
        </w:rPr>
      </w:pPr>
      <w:r w:rsidRPr="00137559">
        <w:rPr>
          <w:sz w:val="32"/>
          <w:szCs w:val="32"/>
        </w:rPr>
        <w:t>2. Once a unit measurement is used, it should be used uniformly in the Financial Statements.</w:t>
      </w:r>
    </w:p>
    <w:p w:rsidR="00FA6DDC" w:rsidRPr="00137559" w:rsidRDefault="00FA6DDC" w:rsidP="00FA6DDC">
      <w:pPr>
        <w:rPr>
          <w:sz w:val="32"/>
          <w:szCs w:val="32"/>
        </w:rPr>
      </w:pPr>
      <w:r w:rsidRPr="00137559">
        <w:rPr>
          <w:sz w:val="32"/>
          <w:szCs w:val="32"/>
        </w:rPr>
        <w:t>Changes in Balance Sheet</w:t>
      </w:r>
    </w:p>
    <w:p w:rsidR="00FA6DDC" w:rsidRPr="00137559" w:rsidRDefault="00FA6DDC" w:rsidP="00FA6DDC">
      <w:pPr>
        <w:rPr>
          <w:sz w:val="32"/>
          <w:szCs w:val="32"/>
        </w:rPr>
      </w:pPr>
      <w:r w:rsidRPr="00137559">
        <w:rPr>
          <w:sz w:val="32"/>
          <w:szCs w:val="32"/>
        </w:rPr>
        <w:t>Liabilities</w:t>
      </w:r>
    </w:p>
    <w:p w:rsidR="00FA6DDC" w:rsidRPr="00137559" w:rsidRDefault="00FA6DDC" w:rsidP="00FA6DDC">
      <w:pPr>
        <w:rPr>
          <w:sz w:val="32"/>
          <w:szCs w:val="32"/>
        </w:rPr>
      </w:pPr>
    </w:p>
    <w:p w:rsidR="00FA6DDC" w:rsidRPr="00137559" w:rsidRDefault="00FA6DDC" w:rsidP="00FA6DDC">
      <w:pPr>
        <w:rPr>
          <w:sz w:val="32"/>
          <w:szCs w:val="32"/>
        </w:rPr>
      </w:pPr>
      <w:r w:rsidRPr="00137559">
        <w:rPr>
          <w:sz w:val="32"/>
          <w:szCs w:val="32"/>
        </w:rPr>
        <w:t>1. Change in nomenclature – “Sources of Funds” has been replaced with “Equity &amp; Liabilities”</w:t>
      </w:r>
    </w:p>
    <w:p w:rsidR="00FA6DDC" w:rsidRPr="00137559" w:rsidRDefault="00FA6DDC" w:rsidP="00FA6DDC">
      <w:pPr>
        <w:rPr>
          <w:sz w:val="32"/>
          <w:szCs w:val="32"/>
        </w:rPr>
      </w:pPr>
    </w:p>
    <w:p w:rsidR="00FA6DDC" w:rsidRPr="00137559" w:rsidRDefault="00FA6DDC" w:rsidP="00FA6DDC">
      <w:pPr>
        <w:rPr>
          <w:sz w:val="32"/>
          <w:szCs w:val="32"/>
        </w:rPr>
      </w:pPr>
      <w:r w:rsidRPr="00137559">
        <w:rPr>
          <w:sz w:val="32"/>
          <w:szCs w:val="32"/>
        </w:rPr>
        <w:t>2. Share Capital – Company would need to show in sub-head à Shares held more than 5% in company along with number of shares</w:t>
      </w:r>
    </w:p>
    <w:p w:rsidR="00FA6DDC" w:rsidRPr="00137559" w:rsidRDefault="00FA6DDC" w:rsidP="00FA6DDC">
      <w:pPr>
        <w:rPr>
          <w:sz w:val="32"/>
          <w:szCs w:val="32"/>
        </w:rPr>
      </w:pPr>
    </w:p>
    <w:p w:rsidR="00FA6DDC" w:rsidRPr="00137559" w:rsidRDefault="00FA6DDC" w:rsidP="00FA6DDC">
      <w:pPr>
        <w:rPr>
          <w:sz w:val="32"/>
          <w:szCs w:val="32"/>
        </w:rPr>
      </w:pPr>
      <w:r w:rsidRPr="00137559">
        <w:rPr>
          <w:sz w:val="32"/>
          <w:szCs w:val="32"/>
        </w:rPr>
        <w:t>3. Debit Balance of P&amp;L A/c shall now be shown as negative figure under head Surplus</w:t>
      </w:r>
    </w:p>
    <w:p w:rsidR="00FA6DDC" w:rsidRPr="00137559" w:rsidRDefault="00FA6DDC" w:rsidP="00FA6DDC">
      <w:pPr>
        <w:rPr>
          <w:sz w:val="32"/>
          <w:szCs w:val="32"/>
        </w:rPr>
      </w:pPr>
    </w:p>
    <w:p w:rsidR="00FA6DDC" w:rsidRPr="00137559" w:rsidRDefault="00FA6DDC" w:rsidP="00FA6DDC">
      <w:pPr>
        <w:rPr>
          <w:sz w:val="32"/>
          <w:szCs w:val="32"/>
        </w:rPr>
      </w:pPr>
      <w:r w:rsidRPr="00137559">
        <w:rPr>
          <w:sz w:val="32"/>
          <w:szCs w:val="32"/>
        </w:rPr>
        <w:t>4. Liabilities will now broadly be classified as</w:t>
      </w:r>
    </w:p>
    <w:p w:rsidR="00FA6DDC" w:rsidRPr="00137559" w:rsidRDefault="00FA6DDC" w:rsidP="00FA6DDC">
      <w:pPr>
        <w:rPr>
          <w:sz w:val="32"/>
          <w:szCs w:val="32"/>
        </w:rPr>
      </w:pPr>
      <w:r w:rsidRPr="00137559">
        <w:rPr>
          <w:sz w:val="32"/>
          <w:szCs w:val="32"/>
        </w:rPr>
        <w:t>Current Liabilities &amp;</w:t>
      </w:r>
    </w:p>
    <w:p w:rsidR="00FA6DDC" w:rsidRPr="00137559" w:rsidRDefault="00FA6DDC" w:rsidP="00FA6DDC">
      <w:pPr>
        <w:rPr>
          <w:sz w:val="32"/>
          <w:szCs w:val="32"/>
        </w:rPr>
      </w:pPr>
      <w:r w:rsidRPr="00137559">
        <w:rPr>
          <w:sz w:val="32"/>
          <w:szCs w:val="32"/>
        </w:rPr>
        <w:t>Non Current Liabilities</w:t>
      </w:r>
    </w:p>
    <w:p w:rsidR="00FA6DDC" w:rsidRPr="00137559" w:rsidRDefault="00FA6DDC" w:rsidP="00FA6DDC">
      <w:pPr>
        <w:rPr>
          <w:sz w:val="32"/>
          <w:szCs w:val="32"/>
        </w:rPr>
      </w:pPr>
    </w:p>
    <w:p w:rsidR="00FA6DDC" w:rsidRPr="00137559" w:rsidRDefault="00FA6DDC" w:rsidP="00FA6DDC">
      <w:pPr>
        <w:rPr>
          <w:sz w:val="32"/>
          <w:szCs w:val="32"/>
        </w:rPr>
      </w:pPr>
      <w:r w:rsidRPr="00137559">
        <w:rPr>
          <w:sz w:val="32"/>
          <w:szCs w:val="32"/>
        </w:rPr>
        <w:t>5. Deferred payment liabilities and loans &amp; advances from related parties to be shown separately under head “Long term Borrowings”.</w:t>
      </w:r>
    </w:p>
    <w:p w:rsidR="00FA6DDC" w:rsidRPr="00137559" w:rsidRDefault="00FA6DDC" w:rsidP="00FA6DDC">
      <w:pPr>
        <w:rPr>
          <w:sz w:val="32"/>
          <w:szCs w:val="32"/>
        </w:rPr>
      </w:pPr>
    </w:p>
    <w:p w:rsidR="00FA6DDC" w:rsidRPr="00137559" w:rsidRDefault="00FA6DDC" w:rsidP="00FA6DDC">
      <w:pPr>
        <w:rPr>
          <w:sz w:val="32"/>
          <w:szCs w:val="32"/>
        </w:rPr>
      </w:pPr>
      <w:r w:rsidRPr="00137559">
        <w:rPr>
          <w:sz w:val="32"/>
          <w:szCs w:val="32"/>
        </w:rPr>
        <w:lastRenderedPageBreak/>
        <w:t>6. Provisions to be classified as Short Term Provisions &amp; Long Term Provisions</w:t>
      </w:r>
    </w:p>
    <w:p w:rsidR="00FA6DDC" w:rsidRPr="00137559" w:rsidRDefault="00FA6DDC" w:rsidP="00FA6DDC">
      <w:pPr>
        <w:rPr>
          <w:sz w:val="32"/>
          <w:szCs w:val="32"/>
        </w:rPr>
      </w:pPr>
      <w:r w:rsidRPr="00137559">
        <w:rPr>
          <w:sz w:val="32"/>
          <w:szCs w:val="32"/>
        </w:rPr>
        <w:t>Assets</w:t>
      </w:r>
    </w:p>
    <w:p w:rsidR="00FA6DDC" w:rsidRPr="00137559" w:rsidRDefault="00FA6DDC" w:rsidP="00FA6DDC">
      <w:pPr>
        <w:rPr>
          <w:sz w:val="32"/>
          <w:szCs w:val="32"/>
        </w:rPr>
      </w:pPr>
    </w:p>
    <w:p w:rsidR="00FA6DDC" w:rsidRPr="00137559" w:rsidRDefault="00FA6DDC" w:rsidP="00FA6DDC">
      <w:pPr>
        <w:rPr>
          <w:sz w:val="32"/>
          <w:szCs w:val="32"/>
        </w:rPr>
      </w:pPr>
      <w:r w:rsidRPr="00137559">
        <w:rPr>
          <w:sz w:val="32"/>
          <w:szCs w:val="32"/>
        </w:rPr>
        <w:t xml:space="preserve">1. Change in nomenclature – “Application </w:t>
      </w:r>
      <w:proofErr w:type="gramStart"/>
      <w:r w:rsidRPr="00137559">
        <w:rPr>
          <w:sz w:val="32"/>
          <w:szCs w:val="32"/>
        </w:rPr>
        <w:t>Of</w:t>
      </w:r>
      <w:proofErr w:type="gramEnd"/>
      <w:r w:rsidRPr="00137559">
        <w:rPr>
          <w:sz w:val="32"/>
          <w:szCs w:val="32"/>
        </w:rPr>
        <w:t xml:space="preserve"> Funds” has been replaced with “Assets”</w:t>
      </w:r>
    </w:p>
    <w:p w:rsidR="00FA6DDC" w:rsidRPr="00137559" w:rsidRDefault="00FA6DDC" w:rsidP="00FA6DDC">
      <w:pPr>
        <w:rPr>
          <w:sz w:val="32"/>
          <w:szCs w:val="32"/>
        </w:rPr>
      </w:pPr>
    </w:p>
    <w:p w:rsidR="00FA6DDC" w:rsidRPr="00137559" w:rsidRDefault="00FA6DDC" w:rsidP="00FA6DDC">
      <w:pPr>
        <w:rPr>
          <w:sz w:val="32"/>
          <w:szCs w:val="32"/>
        </w:rPr>
      </w:pPr>
      <w:r w:rsidRPr="00137559">
        <w:rPr>
          <w:sz w:val="32"/>
          <w:szCs w:val="32"/>
        </w:rPr>
        <w:t>2. Fixed Assets to be further classified as</w:t>
      </w:r>
    </w:p>
    <w:p w:rsidR="00FA6DDC" w:rsidRPr="00137559" w:rsidRDefault="00FA6DDC" w:rsidP="00FA6DDC">
      <w:pPr>
        <w:rPr>
          <w:sz w:val="32"/>
          <w:szCs w:val="32"/>
        </w:rPr>
      </w:pPr>
      <w:r w:rsidRPr="00137559">
        <w:rPr>
          <w:sz w:val="32"/>
          <w:szCs w:val="32"/>
        </w:rPr>
        <w:t>Tangible</w:t>
      </w:r>
    </w:p>
    <w:p w:rsidR="00FA6DDC" w:rsidRPr="00137559" w:rsidRDefault="00FA6DDC" w:rsidP="00FA6DDC">
      <w:pPr>
        <w:rPr>
          <w:sz w:val="32"/>
          <w:szCs w:val="32"/>
        </w:rPr>
      </w:pPr>
      <w:r w:rsidRPr="00137559">
        <w:rPr>
          <w:sz w:val="32"/>
          <w:szCs w:val="32"/>
        </w:rPr>
        <w:t>Non-Tangible</w:t>
      </w:r>
    </w:p>
    <w:p w:rsidR="00FA6DDC" w:rsidRPr="00137559" w:rsidRDefault="00FA6DDC" w:rsidP="00FA6DDC">
      <w:pPr>
        <w:rPr>
          <w:sz w:val="32"/>
          <w:szCs w:val="32"/>
        </w:rPr>
      </w:pPr>
    </w:p>
    <w:p w:rsidR="00FA6DDC" w:rsidRPr="00137559" w:rsidRDefault="00FA6DDC" w:rsidP="00FA6DDC">
      <w:pPr>
        <w:rPr>
          <w:sz w:val="32"/>
          <w:szCs w:val="32"/>
        </w:rPr>
      </w:pPr>
      <w:r w:rsidRPr="00137559">
        <w:rPr>
          <w:sz w:val="32"/>
          <w:szCs w:val="32"/>
        </w:rPr>
        <w:t>4. Current Assets are to be shown under separate head.</w:t>
      </w:r>
    </w:p>
    <w:p w:rsidR="00FA6DDC" w:rsidRPr="00137559" w:rsidRDefault="00FA6DDC" w:rsidP="00FA6DDC">
      <w:pPr>
        <w:rPr>
          <w:sz w:val="32"/>
          <w:szCs w:val="32"/>
        </w:rPr>
      </w:pPr>
    </w:p>
    <w:p w:rsidR="00FA6DDC" w:rsidRPr="00137559" w:rsidRDefault="00FA6DDC" w:rsidP="00FA6DDC">
      <w:pPr>
        <w:rPr>
          <w:sz w:val="32"/>
          <w:szCs w:val="32"/>
        </w:rPr>
      </w:pPr>
      <w:r w:rsidRPr="00137559">
        <w:rPr>
          <w:sz w:val="32"/>
          <w:szCs w:val="32"/>
        </w:rPr>
        <w:t>5. “Sundry Debtors” have now been named “Trade Receivables”</w:t>
      </w:r>
    </w:p>
    <w:p w:rsidR="00FA6DDC" w:rsidRPr="00137559" w:rsidRDefault="00FA6DDC" w:rsidP="00FA6DDC">
      <w:pPr>
        <w:rPr>
          <w:sz w:val="32"/>
          <w:szCs w:val="32"/>
        </w:rPr>
      </w:pPr>
    </w:p>
    <w:p w:rsidR="00FA6DDC" w:rsidRPr="00137559" w:rsidRDefault="00FA6DDC" w:rsidP="00FA6DDC">
      <w:pPr>
        <w:rPr>
          <w:sz w:val="32"/>
          <w:szCs w:val="32"/>
        </w:rPr>
      </w:pPr>
      <w:r w:rsidRPr="00137559">
        <w:rPr>
          <w:sz w:val="32"/>
          <w:szCs w:val="32"/>
        </w:rPr>
        <w:t>6. “Cash and Bank Balances” have now been termed as “Cash and Cash Equivalents”. Classification under this head has been completely revamped.</w:t>
      </w:r>
    </w:p>
    <w:p w:rsidR="00FA6DDC" w:rsidRPr="00137559" w:rsidRDefault="00FA6DDC" w:rsidP="00FA6DDC">
      <w:pPr>
        <w:rPr>
          <w:sz w:val="32"/>
          <w:szCs w:val="32"/>
        </w:rPr>
      </w:pPr>
    </w:p>
    <w:p w:rsidR="00FA6DDC" w:rsidRPr="00137559" w:rsidRDefault="00FA6DDC" w:rsidP="00FA6DDC">
      <w:pPr>
        <w:rPr>
          <w:sz w:val="32"/>
          <w:szCs w:val="32"/>
        </w:rPr>
      </w:pPr>
      <w:r w:rsidRPr="00137559">
        <w:rPr>
          <w:sz w:val="32"/>
          <w:szCs w:val="32"/>
        </w:rPr>
        <w:t>7. Inventories – Goods in transit shall be disclosed under the relevant sub-head of inventories</w:t>
      </w:r>
    </w:p>
    <w:p w:rsidR="00FA6DDC" w:rsidRPr="00137559" w:rsidRDefault="00FA6DDC" w:rsidP="00FA6DDC">
      <w:pPr>
        <w:rPr>
          <w:sz w:val="32"/>
          <w:szCs w:val="32"/>
        </w:rPr>
      </w:pPr>
    </w:p>
    <w:p w:rsidR="00FA6DDC" w:rsidRPr="00137559" w:rsidRDefault="00FA6DDC" w:rsidP="00FA6DDC">
      <w:pPr>
        <w:rPr>
          <w:sz w:val="32"/>
          <w:szCs w:val="32"/>
        </w:rPr>
      </w:pPr>
      <w:r w:rsidRPr="00137559">
        <w:rPr>
          <w:sz w:val="32"/>
          <w:szCs w:val="32"/>
        </w:rPr>
        <w:t>8. Misc expenditure (to the extent not written off or adjusted) shall now not be shown separately under head “Other Current Assets”</w:t>
      </w:r>
    </w:p>
    <w:p w:rsidR="00FA6DDC" w:rsidRPr="00137559" w:rsidRDefault="00FA6DDC" w:rsidP="00FA6DDC">
      <w:pPr>
        <w:rPr>
          <w:sz w:val="32"/>
          <w:szCs w:val="32"/>
        </w:rPr>
      </w:pPr>
    </w:p>
    <w:p w:rsidR="00FA6DDC" w:rsidRPr="00137559" w:rsidRDefault="00FA6DDC" w:rsidP="00FA6DDC">
      <w:pPr>
        <w:rPr>
          <w:sz w:val="32"/>
          <w:szCs w:val="32"/>
        </w:rPr>
      </w:pPr>
      <w:r w:rsidRPr="00137559">
        <w:rPr>
          <w:sz w:val="32"/>
          <w:szCs w:val="32"/>
        </w:rPr>
        <w:t>9. The amount of dividend proposed to be distributed to shareholders (equity and preference) for the period and amount per share to be disclosed separately</w:t>
      </w:r>
    </w:p>
    <w:p w:rsidR="00FA6DDC" w:rsidRPr="00137559" w:rsidRDefault="00FA6DDC" w:rsidP="00FA6DDC">
      <w:pPr>
        <w:rPr>
          <w:sz w:val="32"/>
          <w:szCs w:val="32"/>
        </w:rPr>
      </w:pPr>
      <w:r w:rsidRPr="00137559">
        <w:rPr>
          <w:sz w:val="32"/>
          <w:szCs w:val="32"/>
        </w:rPr>
        <w:t>Changes in Profit &amp; Loss A/c</w:t>
      </w:r>
    </w:p>
    <w:p w:rsidR="00FA6DDC" w:rsidRPr="00137559" w:rsidRDefault="00FA6DDC" w:rsidP="00FA6DDC">
      <w:pPr>
        <w:rPr>
          <w:sz w:val="32"/>
          <w:szCs w:val="32"/>
        </w:rPr>
      </w:pPr>
    </w:p>
    <w:p w:rsidR="00FA6DDC" w:rsidRPr="00137559" w:rsidRDefault="00FA6DDC" w:rsidP="00FA6DDC">
      <w:pPr>
        <w:rPr>
          <w:sz w:val="32"/>
          <w:szCs w:val="32"/>
        </w:rPr>
      </w:pPr>
      <w:r w:rsidRPr="00137559">
        <w:rPr>
          <w:sz w:val="32"/>
          <w:szCs w:val="32"/>
        </w:rPr>
        <w:t xml:space="preserve">1. Under head “Other Income” </w:t>
      </w:r>
      <w:proofErr w:type="gramStart"/>
      <w:r w:rsidRPr="00137559">
        <w:rPr>
          <w:sz w:val="32"/>
          <w:szCs w:val="32"/>
        </w:rPr>
        <w:t>-  Net</w:t>
      </w:r>
      <w:proofErr w:type="gramEnd"/>
      <w:r w:rsidRPr="00137559">
        <w:rPr>
          <w:sz w:val="32"/>
          <w:szCs w:val="32"/>
        </w:rPr>
        <w:t xml:space="preserve"> gain/loss on foreign currency translation and transaction (other than finance cost) shall be disclosed separately.</w:t>
      </w:r>
    </w:p>
    <w:p w:rsidR="00FA6DDC" w:rsidRPr="00137559" w:rsidRDefault="00FA6DDC" w:rsidP="00FA6DDC">
      <w:pPr>
        <w:rPr>
          <w:sz w:val="32"/>
          <w:szCs w:val="32"/>
        </w:rPr>
      </w:pPr>
    </w:p>
    <w:p w:rsidR="00FA6DDC" w:rsidRPr="00137559" w:rsidRDefault="00FA6DDC" w:rsidP="00FA6DDC">
      <w:pPr>
        <w:rPr>
          <w:sz w:val="32"/>
          <w:szCs w:val="32"/>
        </w:rPr>
      </w:pPr>
      <w:r w:rsidRPr="00137559">
        <w:rPr>
          <w:sz w:val="32"/>
          <w:szCs w:val="32"/>
        </w:rPr>
        <w:lastRenderedPageBreak/>
        <w:t>2. Employee benefit expense shall disclose additionally expense on account of Employee stock option scheme (ESOP)</w:t>
      </w:r>
    </w:p>
    <w:p w:rsidR="00FA6DDC" w:rsidRPr="00137559" w:rsidRDefault="00FA6DDC" w:rsidP="00FA6DDC">
      <w:pPr>
        <w:rPr>
          <w:sz w:val="32"/>
          <w:szCs w:val="32"/>
        </w:rPr>
      </w:pPr>
    </w:p>
    <w:p w:rsidR="00FA6DDC" w:rsidRPr="00137559" w:rsidRDefault="00FA6DDC" w:rsidP="00FA6DDC">
      <w:pPr>
        <w:rPr>
          <w:sz w:val="32"/>
          <w:szCs w:val="32"/>
        </w:rPr>
      </w:pPr>
      <w:r w:rsidRPr="00137559">
        <w:rPr>
          <w:sz w:val="32"/>
          <w:szCs w:val="32"/>
        </w:rPr>
        <w:t>3. Following shall now be disclosed separately –</w:t>
      </w:r>
    </w:p>
    <w:p w:rsidR="00FA6DDC" w:rsidRPr="00137559" w:rsidRDefault="00FA6DDC" w:rsidP="00FA6DDC">
      <w:pPr>
        <w:rPr>
          <w:sz w:val="32"/>
          <w:szCs w:val="32"/>
        </w:rPr>
      </w:pPr>
      <w:r w:rsidRPr="00137559">
        <w:rPr>
          <w:sz w:val="32"/>
          <w:szCs w:val="32"/>
        </w:rPr>
        <w:t>Provision for loss of Subsidiary companies</w:t>
      </w:r>
    </w:p>
    <w:p w:rsidR="00FA6DDC" w:rsidRPr="00137559" w:rsidRDefault="00FA6DDC" w:rsidP="00FA6DDC">
      <w:pPr>
        <w:rPr>
          <w:sz w:val="32"/>
          <w:szCs w:val="32"/>
        </w:rPr>
      </w:pPr>
      <w:r w:rsidRPr="00137559">
        <w:rPr>
          <w:sz w:val="32"/>
          <w:szCs w:val="32"/>
        </w:rPr>
        <w:t>Net loss on sale of Investments</w:t>
      </w:r>
    </w:p>
    <w:p w:rsidR="00FA6DDC" w:rsidRPr="00137559" w:rsidRDefault="00FA6DDC" w:rsidP="00FA6DDC">
      <w:pPr>
        <w:rPr>
          <w:sz w:val="32"/>
          <w:szCs w:val="32"/>
        </w:rPr>
      </w:pPr>
      <w:r w:rsidRPr="00137559">
        <w:rPr>
          <w:sz w:val="32"/>
          <w:szCs w:val="32"/>
        </w:rPr>
        <w:t>Details of exceptional and extraordinary items</w:t>
      </w:r>
    </w:p>
    <w:p w:rsidR="00FA6DDC" w:rsidRPr="00137559" w:rsidRDefault="00FA6DDC" w:rsidP="00FA6DDC">
      <w:pPr>
        <w:rPr>
          <w:sz w:val="32"/>
          <w:szCs w:val="32"/>
        </w:rPr>
      </w:pPr>
      <w:r w:rsidRPr="00137559">
        <w:rPr>
          <w:sz w:val="32"/>
          <w:szCs w:val="32"/>
        </w:rPr>
        <w:t>Prior Period items</w:t>
      </w:r>
    </w:p>
    <w:p w:rsidR="00FA6DDC" w:rsidRPr="00137559" w:rsidRDefault="00FA6DDC" w:rsidP="00FA6DDC">
      <w:pPr>
        <w:rPr>
          <w:sz w:val="32"/>
          <w:szCs w:val="32"/>
        </w:rPr>
      </w:pPr>
      <w:r w:rsidRPr="00137559">
        <w:rPr>
          <w:sz w:val="32"/>
          <w:szCs w:val="32"/>
        </w:rPr>
        <w:t>Adjustment to carrying amount of investments</w:t>
      </w:r>
    </w:p>
    <w:p w:rsidR="00FA6DDC" w:rsidRPr="00137559" w:rsidRDefault="00FA6DDC" w:rsidP="00FA6DDC">
      <w:pPr>
        <w:rPr>
          <w:sz w:val="32"/>
          <w:szCs w:val="32"/>
        </w:rPr>
      </w:pPr>
    </w:p>
    <w:p w:rsidR="00FA6DDC" w:rsidRPr="00137559" w:rsidRDefault="00FA6DDC" w:rsidP="00FA6DDC">
      <w:pPr>
        <w:rPr>
          <w:sz w:val="32"/>
          <w:szCs w:val="32"/>
        </w:rPr>
      </w:pPr>
      <w:r w:rsidRPr="00137559">
        <w:rPr>
          <w:sz w:val="32"/>
          <w:szCs w:val="32"/>
        </w:rPr>
        <w:t>4. A new format has been issued for face reporting of Profit &amp; Loss A/c.</w:t>
      </w:r>
    </w:p>
    <w:p w:rsidR="00FA6DDC" w:rsidRPr="00137559" w:rsidRDefault="00FA6DDC" w:rsidP="00FA6DDC">
      <w:pPr>
        <w:rPr>
          <w:sz w:val="32"/>
          <w:szCs w:val="32"/>
        </w:rPr>
      </w:pPr>
      <w:r w:rsidRPr="00137559">
        <w:rPr>
          <w:sz w:val="32"/>
          <w:szCs w:val="32"/>
        </w:rPr>
        <w:t>Impact of Revision in Schedule VI</w:t>
      </w:r>
    </w:p>
    <w:p w:rsidR="00FA6DDC" w:rsidRPr="00137559" w:rsidRDefault="00FA6DDC" w:rsidP="00FA6DDC">
      <w:pPr>
        <w:rPr>
          <w:sz w:val="32"/>
          <w:szCs w:val="32"/>
        </w:rPr>
      </w:pPr>
    </w:p>
    <w:p w:rsidR="00FA6DDC" w:rsidRPr="00137559" w:rsidRDefault="00FA6DDC" w:rsidP="00FA6DDC">
      <w:pPr>
        <w:rPr>
          <w:sz w:val="32"/>
          <w:szCs w:val="32"/>
        </w:rPr>
      </w:pPr>
      <w:r w:rsidRPr="00137559">
        <w:rPr>
          <w:sz w:val="32"/>
          <w:szCs w:val="32"/>
        </w:rPr>
        <w:t xml:space="preserve">1. The revised schedule VI intends to familiarize companies with </w:t>
      </w:r>
      <w:proofErr w:type="spellStart"/>
      <w:r w:rsidRPr="00137559">
        <w:rPr>
          <w:sz w:val="32"/>
          <w:szCs w:val="32"/>
        </w:rPr>
        <w:t>Ind</w:t>
      </w:r>
      <w:proofErr w:type="spellEnd"/>
      <w:r w:rsidRPr="00137559">
        <w:rPr>
          <w:sz w:val="32"/>
          <w:szCs w:val="32"/>
        </w:rPr>
        <w:t>-AS/IFRS by using certain concepts such as current/non-current classification.</w:t>
      </w:r>
    </w:p>
    <w:p w:rsidR="00FA6DDC" w:rsidRPr="00137559" w:rsidRDefault="00FA6DDC" w:rsidP="00FA6DDC">
      <w:pPr>
        <w:rPr>
          <w:sz w:val="32"/>
          <w:szCs w:val="32"/>
        </w:rPr>
      </w:pPr>
    </w:p>
    <w:p w:rsidR="00FA6DDC" w:rsidRPr="00137559" w:rsidRDefault="00FA6DDC" w:rsidP="00FA6DDC">
      <w:pPr>
        <w:rPr>
          <w:sz w:val="32"/>
          <w:szCs w:val="32"/>
        </w:rPr>
      </w:pPr>
      <w:r w:rsidRPr="00137559">
        <w:rPr>
          <w:sz w:val="32"/>
          <w:szCs w:val="32"/>
        </w:rPr>
        <w:t>2. The revised Schedule VI has eliminated the concept of schedules and such information will now be provided in the notes to accounts. This is as done when applying IFRS.</w:t>
      </w:r>
    </w:p>
    <w:p w:rsidR="00FA6DDC" w:rsidRPr="00137559" w:rsidRDefault="00FA6DDC" w:rsidP="00FA6DDC">
      <w:pPr>
        <w:rPr>
          <w:sz w:val="32"/>
          <w:szCs w:val="32"/>
        </w:rPr>
      </w:pPr>
    </w:p>
    <w:p w:rsidR="00FA6DDC" w:rsidRPr="00137559" w:rsidRDefault="00FA6DDC" w:rsidP="00FA6DDC">
      <w:pPr>
        <w:rPr>
          <w:sz w:val="32"/>
          <w:szCs w:val="32"/>
        </w:rPr>
      </w:pPr>
      <w:r w:rsidRPr="00137559">
        <w:rPr>
          <w:sz w:val="32"/>
          <w:szCs w:val="32"/>
        </w:rPr>
        <w:t>3. From now on, the compliance requirements of Act and/or Accounting standards will prevail over schedule VI.</w:t>
      </w:r>
    </w:p>
    <w:p w:rsidR="00FA6DDC" w:rsidRPr="00137559" w:rsidRDefault="00FA6DDC" w:rsidP="00FA6DDC">
      <w:pPr>
        <w:rPr>
          <w:sz w:val="32"/>
          <w:szCs w:val="32"/>
        </w:rPr>
      </w:pPr>
    </w:p>
    <w:p w:rsidR="00F53B77" w:rsidRPr="00137559" w:rsidRDefault="00FA6DDC" w:rsidP="00FA6DDC">
      <w:pPr>
        <w:rPr>
          <w:sz w:val="32"/>
          <w:szCs w:val="32"/>
        </w:rPr>
      </w:pPr>
      <w:r w:rsidRPr="00137559">
        <w:rPr>
          <w:sz w:val="32"/>
          <w:szCs w:val="32"/>
        </w:rPr>
        <w:t>4. Better presentation, disclosure is intended to facilitate better organised data for users of financial statement.</w:t>
      </w:r>
    </w:p>
    <w:sectPr w:rsidR="00F53B77" w:rsidRPr="00137559" w:rsidSect="00D20D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characterSpacingControl w:val="doNotCompress"/>
  <w:compat/>
  <w:rsids>
    <w:rsidRoot w:val="00FA6DDC"/>
    <w:rsid w:val="00137559"/>
    <w:rsid w:val="004C4D51"/>
    <w:rsid w:val="00950802"/>
    <w:rsid w:val="00AE4704"/>
    <w:rsid w:val="00CE1DBF"/>
    <w:rsid w:val="00D20DC6"/>
    <w:rsid w:val="00FA5F05"/>
    <w:rsid w:val="00FA6D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0802"/>
    <w:rPr>
      <w:lang w:val="en-GB"/>
    </w:rPr>
  </w:style>
  <w:style w:type="paragraph" w:styleId="Heading1">
    <w:name w:val="heading 1"/>
    <w:basedOn w:val="Normal"/>
    <w:next w:val="Normal"/>
    <w:link w:val="Heading1Char"/>
    <w:qFormat/>
    <w:rsid w:val="00950802"/>
    <w:pPr>
      <w:keepNext/>
      <w:jc w:val="center"/>
      <w:outlineLvl w:val="0"/>
    </w:pPr>
    <w:rPr>
      <w:rFonts w:ascii="Trebuchet MS" w:hAnsi="Trebuchet MS"/>
      <w:b/>
    </w:rPr>
  </w:style>
  <w:style w:type="paragraph" w:styleId="Heading2">
    <w:name w:val="heading 2"/>
    <w:basedOn w:val="Normal"/>
    <w:next w:val="Normal"/>
    <w:link w:val="Heading2Char"/>
    <w:qFormat/>
    <w:rsid w:val="00950802"/>
    <w:pPr>
      <w:keepNext/>
      <w:outlineLvl w:val="1"/>
    </w:pPr>
    <w:rPr>
      <w:rFonts w:ascii="Trebuchet MS" w:hAnsi="Trebuchet MS"/>
      <w:b/>
    </w:rPr>
  </w:style>
  <w:style w:type="paragraph" w:styleId="Heading3">
    <w:name w:val="heading 3"/>
    <w:basedOn w:val="Normal"/>
    <w:next w:val="Normal"/>
    <w:link w:val="Heading3Char"/>
    <w:qFormat/>
    <w:rsid w:val="00950802"/>
    <w:pPr>
      <w:keepNext/>
      <w:outlineLvl w:val="2"/>
    </w:pPr>
    <w:rPr>
      <w:rFonts w:ascii="Trebuchet MS" w:hAnsi="Trebuchet MS"/>
      <w:i/>
      <w:u w:val="single"/>
    </w:rPr>
  </w:style>
  <w:style w:type="paragraph" w:styleId="Heading4">
    <w:name w:val="heading 4"/>
    <w:basedOn w:val="Normal"/>
    <w:next w:val="Normal"/>
    <w:link w:val="Heading4Char"/>
    <w:qFormat/>
    <w:rsid w:val="00950802"/>
    <w:pPr>
      <w:keepNext/>
      <w:jc w:val="both"/>
      <w:outlineLvl w:val="3"/>
    </w:pPr>
    <w:rPr>
      <w:rFonts w:ascii="Trebuchet MS" w:hAnsi="Trebuchet MS"/>
      <w:b/>
    </w:rPr>
  </w:style>
  <w:style w:type="paragraph" w:styleId="Heading5">
    <w:name w:val="heading 5"/>
    <w:basedOn w:val="Normal"/>
    <w:next w:val="Normal"/>
    <w:link w:val="Heading5Char"/>
    <w:qFormat/>
    <w:rsid w:val="00950802"/>
    <w:pPr>
      <w:keepNext/>
      <w:jc w:val="both"/>
      <w:outlineLvl w:val="4"/>
    </w:pPr>
    <w:rPr>
      <w:rFonts w:ascii="Trebuchet MS" w:hAnsi="Trebuchet MS"/>
      <w:i/>
    </w:rPr>
  </w:style>
  <w:style w:type="paragraph" w:styleId="Heading6">
    <w:name w:val="heading 6"/>
    <w:basedOn w:val="Normal"/>
    <w:next w:val="Normal"/>
    <w:link w:val="Heading6Char"/>
    <w:qFormat/>
    <w:rsid w:val="00950802"/>
    <w:pPr>
      <w:keepNext/>
      <w:jc w:val="both"/>
      <w:outlineLvl w:val="5"/>
    </w:pPr>
    <w:rPr>
      <w:rFonts w:ascii="Trebuchet MS" w:hAnsi="Trebuchet MS"/>
      <w:u w:val="single"/>
    </w:rPr>
  </w:style>
  <w:style w:type="paragraph" w:styleId="Heading8">
    <w:name w:val="heading 8"/>
    <w:basedOn w:val="Normal"/>
    <w:next w:val="Normal"/>
    <w:link w:val="Heading8Char"/>
    <w:qFormat/>
    <w:rsid w:val="00950802"/>
    <w:pPr>
      <w:keepNext/>
      <w:jc w:val="both"/>
      <w:outlineLvl w:val="7"/>
    </w:pPr>
    <w:rPr>
      <w:rFonts w:ascii="Trebuchet MS" w:hAnsi="Trebuchet MS"/>
      <w:color w:val="00000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50802"/>
    <w:rPr>
      <w:rFonts w:ascii="Trebuchet MS" w:hAnsi="Trebuchet MS"/>
      <w:b/>
      <w:lang w:val="en-GB"/>
    </w:rPr>
  </w:style>
  <w:style w:type="character" w:customStyle="1" w:styleId="Heading2Char">
    <w:name w:val="Heading 2 Char"/>
    <w:basedOn w:val="DefaultParagraphFont"/>
    <w:link w:val="Heading2"/>
    <w:rsid w:val="00950802"/>
    <w:rPr>
      <w:rFonts w:ascii="Trebuchet MS" w:hAnsi="Trebuchet MS"/>
      <w:b/>
      <w:lang w:val="en-GB"/>
    </w:rPr>
  </w:style>
  <w:style w:type="character" w:customStyle="1" w:styleId="Heading3Char">
    <w:name w:val="Heading 3 Char"/>
    <w:basedOn w:val="DefaultParagraphFont"/>
    <w:link w:val="Heading3"/>
    <w:rsid w:val="00950802"/>
    <w:rPr>
      <w:rFonts w:ascii="Trebuchet MS" w:hAnsi="Trebuchet MS"/>
      <w:i/>
      <w:u w:val="single"/>
      <w:lang w:val="en-GB"/>
    </w:rPr>
  </w:style>
  <w:style w:type="character" w:customStyle="1" w:styleId="Heading4Char">
    <w:name w:val="Heading 4 Char"/>
    <w:basedOn w:val="DefaultParagraphFont"/>
    <w:link w:val="Heading4"/>
    <w:rsid w:val="00950802"/>
    <w:rPr>
      <w:rFonts w:ascii="Trebuchet MS" w:hAnsi="Trebuchet MS"/>
      <w:b/>
      <w:lang w:val="en-GB"/>
    </w:rPr>
  </w:style>
  <w:style w:type="character" w:customStyle="1" w:styleId="Heading5Char">
    <w:name w:val="Heading 5 Char"/>
    <w:basedOn w:val="DefaultParagraphFont"/>
    <w:link w:val="Heading5"/>
    <w:rsid w:val="00950802"/>
    <w:rPr>
      <w:rFonts w:ascii="Trebuchet MS" w:hAnsi="Trebuchet MS"/>
      <w:i/>
      <w:lang w:val="en-GB"/>
    </w:rPr>
  </w:style>
  <w:style w:type="character" w:customStyle="1" w:styleId="Heading6Char">
    <w:name w:val="Heading 6 Char"/>
    <w:basedOn w:val="DefaultParagraphFont"/>
    <w:link w:val="Heading6"/>
    <w:rsid w:val="00950802"/>
    <w:rPr>
      <w:rFonts w:ascii="Trebuchet MS" w:hAnsi="Trebuchet MS"/>
      <w:u w:val="single"/>
      <w:lang w:val="en-GB"/>
    </w:rPr>
  </w:style>
  <w:style w:type="character" w:customStyle="1" w:styleId="Heading8Char">
    <w:name w:val="Heading 8 Char"/>
    <w:basedOn w:val="DefaultParagraphFont"/>
    <w:link w:val="Heading8"/>
    <w:rsid w:val="00950802"/>
    <w:rPr>
      <w:rFonts w:ascii="Trebuchet MS" w:hAnsi="Trebuchet MS"/>
      <w:color w:val="000000"/>
      <w:u w:val="single"/>
      <w:lang w:val="en-GB"/>
    </w:rPr>
  </w:style>
  <w:style w:type="paragraph" w:styleId="Title">
    <w:name w:val="Title"/>
    <w:basedOn w:val="Normal"/>
    <w:link w:val="TitleChar"/>
    <w:qFormat/>
    <w:rsid w:val="00950802"/>
    <w:pPr>
      <w:jc w:val="center"/>
    </w:pPr>
    <w:rPr>
      <w:rFonts w:ascii="Trebuchet MS" w:hAnsi="Trebuchet MS"/>
      <w:b/>
      <w:sz w:val="28"/>
    </w:rPr>
  </w:style>
  <w:style w:type="character" w:customStyle="1" w:styleId="TitleChar">
    <w:name w:val="Title Char"/>
    <w:basedOn w:val="DefaultParagraphFont"/>
    <w:link w:val="Title"/>
    <w:rsid w:val="00950802"/>
    <w:rPr>
      <w:rFonts w:ascii="Trebuchet MS" w:hAnsi="Trebuchet MS"/>
      <w:b/>
      <w:sz w:val="28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456</Words>
  <Characters>2600</Characters>
  <Application>Microsoft Office Word</Application>
  <DocSecurity>0</DocSecurity>
  <Lines>21</Lines>
  <Paragraphs>6</Paragraphs>
  <ScaleCrop>false</ScaleCrop>
  <Company/>
  <LinksUpToDate>false</LinksUpToDate>
  <CharactersWithSpaces>3050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Shruti</dc:creator>
  <cp:keywords/>
  <dc:description/>
  <cp:lastModifiedBy>Shruti</cp:lastModifiedBy>
  <cp:revision>2</cp:revision>
  <dcterms:created xsi:type="dcterms:W3CDTF">2012-07-21T02:15:00Z</dcterms:created>
  <dcterms:modified xsi:type="dcterms:W3CDTF">2012-07-21T02:22:00Z</dcterms:modified>
</cp:coreProperties>
</file>