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BD" w:rsidRPr="00B32235" w:rsidRDefault="007328BD" w:rsidP="007328BD">
      <w:pPr>
        <w:rPr>
          <w:rFonts w:ascii="Franklin Gothic Medium" w:hAnsi="Franklin Gothic Medium" w:cs="Aharoni"/>
          <w:sz w:val="24"/>
          <w:szCs w:val="24"/>
        </w:rPr>
      </w:pPr>
      <w:r w:rsidRPr="007328BD">
        <w:rPr>
          <w:rFonts w:ascii="Franklin Gothic Medium" w:hAnsi="Franklin Gothic Medium" w:cs="Aharoni"/>
          <w:sz w:val="28"/>
          <w:szCs w:val="28"/>
        </w:rPr>
        <w:t xml:space="preserve">EPS </w:t>
      </w:r>
      <w:r w:rsidRPr="00B32235">
        <w:rPr>
          <w:rFonts w:ascii="Franklin Gothic Medium" w:hAnsi="Franklin Gothic Medium" w:cs="Aharoni"/>
          <w:sz w:val="24"/>
          <w:szCs w:val="24"/>
        </w:rPr>
        <w:t>– is a financial ratio indicating amount of profit or loss for the period attributable to each equity share.</w:t>
      </w:r>
    </w:p>
    <w:p w:rsidR="007328BD" w:rsidRDefault="00B32235" w:rsidP="00FA46E4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As per ASI 12 every </w:t>
      </w:r>
      <w:r w:rsidR="00617F76">
        <w:rPr>
          <w:rFonts w:ascii="Franklin Gothic Medium" w:hAnsi="Franklin Gothic Medium" w:cs="Aharoni"/>
          <w:sz w:val="24"/>
          <w:szCs w:val="24"/>
        </w:rPr>
        <w:t>company,</w:t>
      </w:r>
      <w:r>
        <w:rPr>
          <w:rFonts w:ascii="Franklin Gothic Medium" w:hAnsi="Franklin Gothic Medium" w:cs="Aharoni"/>
          <w:sz w:val="24"/>
          <w:szCs w:val="24"/>
        </w:rPr>
        <w:t xml:space="preserve"> which is required to give information under PART IV of SCHEDULE </w:t>
      </w:r>
      <w:r w:rsidR="00617F76">
        <w:rPr>
          <w:rFonts w:ascii="Franklin Gothic Medium" w:hAnsi="Franklin Gothic Medium" w:cs="Aharoni"/>
          <w:sz w:val="24"/>
          <w:szCs w:val="24"/>
        </w:rPr>
        <w:t>VI to</w:t>
      </w:r>
      <w:r>
        <w:rPr>
          <w:rFonts w:ascii="Franklin Gothic Medium" w:hAnsi="Franklin Gothic Medium" w:cs="Aharoni"/>
          <w:sz w:val="24"/>
          <w:szCs w:val="24"/>
        </w:rPr>
        <w:t xml:space="preserve"> the companies act, 1956 should calculate and disclose EPS in accordance with AS 20 whether or not its shares are listed in stock exchange</w:t>
      </w:r>
      <w:r w:rsidR="00DE3E5E">
        <w:rPr>
          <w:rFonts w:ascii="Franklin Gothic Medium" w:hAnsi="Franklin Gothic Medium" w:cs="Aharoni"/>
          <w:sz w:val="24"/>
          <w:szCs w:val="24"/>
        </w:rPr>
        <w:t>.</w:t>
      </w:r>
    </w:p>
    <w:p w:rsidR="00DE3E5E" w:rsidRPr="00B32235" w:rsidRDefault="00DE3E5E" w:rsidP="00FA46E4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Basic EPS or diluted EPS should be disclosed even if the amounts disclosed are NEGATIVE (loss per share).</w:t>
      </w:r>
    </w:p>
    <w:p w:rsidR="00FA46E4" w:rsidRDefault="00FA46E4" w:rsidP="00FA46E4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sz w:val="28"/>
          <w:szCs w:val="28"/>
        </w:rPr>
        <w:t>Uses of EPS:</w:t>
      </w:r>
    </w:p>
    <w:p w:rsidR="00FA46E4" w:rsidRPr="00B32235" w:rsidRDefault="00B32235" w:rsidP="00FA46E4">
      <w:pPr>
        <w:pStyle w:val="ListParagraph"/>
        <w:numPr>
          <w:ilvl w:val="0"/>
          <w:numId w:val="2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U</w:t>
      </w:r>
      <w:r w:rsidRPr="00B32235">
        <w:rPr>
          <w:rFonts w:ascii="Franklin Gothic Medium" w:hAnsi="Franklin Gothic Medium" w:cs="Aharoni"/>
          <w:sz w:val="24"/>
          <w:szCs w:val="24"/>
        </w:rPr>
        <w:t>sed by investors to compare the growth (shrinkage) of a company's earnings from year to year, as well as to forecast future growth of earnings</w:t>
      </w:r>
    </w:p>
    <w:p w:rsidR="00B32235" w:rsidRDefault="00B32235" w:rsidP="00FA46E4">
      <w:pPr>
        <w:pStyle w:val="ListParagraph"/>
        <w:numPr>
          <w:ilvl w:val="0"/>
          <w:numId w:val="2"/>
        </w:numPr>
        <w:rPr>
          <w:rFonts w:ascii="Franklin Gothic Medium" w:hAnsi="Franklin Gothic Medium" w:cs="Aharoni"/>
          <w:sz w:val="28"/>
          <w:szCs w:val="28"/>
        </w:rPr>
      </w:pPr>
      <w:r w:rsidRPr="00B32235">
        <w:rPr>
          <w:rFonts w:ascii="Franklin Gothic Medium" w:hAnsi="Franklin Gothic Medium" w:cs="Aharoni"/>
          <w:sz w:val="24"/>
          <w:szCs w:val="24"/>
        </w:rPr>
        <w:t>EPS comparisons and forecasts can then be used for deciding which stock to purchase shares in and/or when to sell a shrinking EPS stock in exchange for buying a growing EPS stock</w:t>
      </w:r>
      <w:r w:rsidRPr="00B32235">
        <w:rPr>
          <w:rFonts w:ascii="Franklin Gothic Medium" w:hAnsi="Franklin Gothic Medium" w:cs="Aharoni"/>
          <w:sz w:val="28"/>
          <w:szCs w:val="28"/>
        </w:rPr>
        <w:t>.</w:t>
      </w:r>
    </w:p>
    <w:p w:rsidR="00EC50E1" w:rsidRDefault="00EC50E1" w:rsidP="00EC50E1">
      <w:pPr>
        <w:pStyle w:val="ListParagraph"/>
        <w:rPr>
          <w:rFonts w:ascii="Franklin Gothic Medium" w:hAnsi="Franklin Gothic Medium" w:cs="Aharoni"/>
          <w:sz w:val="24"/>
          <w:szCs w:val="24"/>
        </w:rPr>
      </w:pPr>
    </w:p>
    <w:p w:rsidR="00EC50E1" w:rsidRDefault="00EC50E1" w:rsidP="00EC50E1">
      <w:pPr>
        <w:pStyle w:val="ListParagraph"/>
        <w:rPr>
          <w:rFonts w:ascii="Franklin Gothic Medium" w:hAnsi="Franklin Gothic Medium" w:cs="Aharoni"/>
          <w:sz w:val="24"/>
          <w:szCs w:val="24"/>
        </w:rPr>
      </w:pPr>
    </w:p>
    <w:p w:rsidR="00EC50E1" w:rsidRDefault="00EC50E1" w:rsidP="00EC50E1">
      <w:pPr>
        <w:pStyle w:val="ListParagraph"/>
        <w:rPr>
          <w:rFonts w:ascii="Franklin Gothic Medium" w:hAnsi="Franklin Gothic Medium" w:cs="Aharoni"/>
          <w:sz w:val="28"/>
          <w:szCs w:val="28"/>
        </w:rPr>
      </w:pPr>
    </w:p>
    <w:p w:rsidR="00EC50E1" w:rsidRDefault="00EC50E1" w:rsidP="00EC50E1">
      <w:pPr>
        <w:ind w:left="1440"/>
        <w:rPr>
          <w:rFonts w:ascii="Franklin Gothic Medium" w:hAnsi="Franklin Gothic Medium" w:cs="Aharoni"/>
          <w:sz w:val="32"/>
          <w:szCs w:val="32"/>
        </w:rPr>
      </w:pPr>
      <w:r>
        <w:rPr>
          <w:rFonts w:ascii="Franklin Gothic Medium" w:hAnsi="Franklin Gothic Medium" w:cs="Aharoni"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left:0;text-align:left;margin-left:282.15pt;margin-top:74.75pt;width:7.15pt;height:9.25pt;z-index:251669504" fillcolor="white [3201]" strokecolor="#4f81bd [3204]" strokeweight="2.5pt">
            <v:shadow color="#868686"/>
            <v:textbox style="layout-flow:vertical-ideographic"/>
          </v:shape>
        </w:pict>
      </w:r>
      <w:r w:rsidRPr="00EC50E1">
        <w:rPr>
          <w:rFonts w:ascii="Franklin Gothic Medium" w:hAnsi="Franklin Gothic Medium" w:cs="Aharoni"/>
          <w:sz w:val="32"/>
          <w:szCs w:val="32"/>
        </w:rPr>
        <w:drawing>
          <wp:inline distT="0" distB="0" distL="0" distR="0">
            <wp:extent cx="4104167" cy="905982"/>
            <wp:effectExtent l="0" t="19050" r="0" b="27468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Pr="00EC50E1">
        <w:rPr>
          <w:rFonts w:ascii="Franklin Gothic Medium" w:hAnsi="Franklin Gothic Medium" w:cs="Aharoni"/>
          <w:sz w:val="32"/>
          <w:szCs w:val="32"/>
        </w:rPr>
        <w:t xml:space="preserve"> </w:t>
      </w:r>
    </w:p>
    <w:p w:rsidR="00EC50E1" w:rsidRDefault="00EC50E1" w:rsidP="00EC50E1">
      <w:pPr>
        <w:ind w:left="4320"/>
        <w:rPr>
          <w:rFonts w:ascii="Franklin Gothic Medium" w:hAnsi="Franklin Gothic Medium" w:cs="Aharoni"/>
          <w:sz w:val="32"/>
          <w:szCs w:val="32"/>
        </w:rPr>
      </w:pPr>
      <w:r w:rsidRPr="00EC50E1">
        <w:rPr>
          <w:rFonts w:ascii="Franklin Gothic Medium" w:hAnsi="Franklin Gothic Medium" w:cs="Aharoni"/>
          <w:sz w:val="32"/>
          <w:szCs w:val="32"/>
        </w:rPr>
        <w:drawing>
          <wp:inline distT="0" distB="0" distL="0" distR="0">
            <wp:extent cx="1648047" cy="882502"/>
            <wp:effectExtent l="0" t="0" r="0" b="0"/>
            <wp:docPr id="5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62200" cy="1143000"/>
                      <a:chOff x="4419600" y="2971800"/>
                      <a:chExt cx="2362200" cy="1143000"/>
                    </a:xfrm>
                  </a:grpSpPr>
                  <a:sp>
                    <a:nvSpPr>
                      <a:cNvPr id="4" name="Oval 3"/>
                      <a:cNvSpPr/>
                    </a:nvSpPr>
                    <a:spPr>
                      <a:xfrm>
                        <a:off x="4419600" y="2971800"/>
                        <a:ext cx="2362200" cy="1143000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sz="1400" dirty="0" smtClean="0"/>
                            <a:t>When there are potential equity shares in Capital Structure</a:t>
                          </a:r>
                          <a:endParaRPr lang="en-US" sz="1400" dirty="0"/>
                        </a:p>
                      </a:txBody>
                      <a:useSpRect/>
                    </a:txSp>
                    <a:style>
                      <a:lnRef idx="0">
                        <a:schemeClr val="accent2"/>
                      </a:lnRef>
                      <a:fillRef idx="3">
                        <a:schemeClr val="accent2"/>
                      </a:fillRef>
                      <a:effectRef idx="3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EC50E1" w:rsidRDefault="00EC50E1" w:rsidP="00B32235">
      <w:pPr>
        <w:rPr>
          <w:rFonts w:ascii="Franklin Gothic Medium" w:hAnsi="Franklin Gothic Medium" w:cs="Aharoni"/>
          <w:sz w:val="32"/>
          <w:szCs w:val="32"/>
        </w:rPr>
      </w:pPr>
      <w:r w:rsidRPr="00EC50E1">
        <w:rPr>
          <w:rFonts w:ascii="Franklin Gothic Medium" w:hAnsi="Franklin Gothic Medium" w:cs="Aharoni"/>
          <w:sz w:val="32"/>
          <w:szCs w:val="32"/>
        </w:rPr>
        <w:drawing>
          <wp:inline distT="0" distB="0" distL="0" distR="0">
            <wp:extent cx="5924550" cy="1286539"/>
            <wp:effectExtent l="19050" t="0" r="0" b="0"/>
            <wp:docPr id="6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24800" cy="1905000"/>
                      <a:chOff x="838200" y="4343400"/>
                      <a:chExt cx="7924800" cy="1905000"/>
                    </a:xfrm>
                  </a:grpSpPr>
                  <a:sp>
                    <a:nvSpPr>
                      <a:cNvPr id="5" name="Rounded Rectangle 4"/>
                      <a:cNvSpPr/>
                    </a:nvSpPr>
                    <a:spPr>
                      <a:xfrm>
                        <a:off x="838200" y="4343400"/>
                        <a:ext cx="7924800" cy="1905000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n-US" dirty="0" smtClean="0"/>
                            <a:t>Potential equity shares – Financial instruments entitle its holder the right to acquire equity  shares</a:t>
                          </a:r>
                        </a:p>
                        <a:p>
                          <a:pPr algn="ctr"/>
                          <a:r>
                            <a:rPr lang="en-US" dirty="0" smtClean="0"/>
                            <a:t>Ex: convertible debentures, convertible preference shares, options, warrants etc.</a:t>
                          </a:r>
                          <a:endParaRPr lang="en-US" dirty="0"/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EC50E1" w:rsidRDefault="00EC50E1" w:rsidP="00B32235">
      <w:pPr>
        <w:rPr>
          <w:rFonts w:ascii="Franklin Gothic Medium" w:hAnsi="Franklin Gothic Medium" w:cs="Aharoni"/>
          <w:sz w:val="32"/>
          <w:szCs w:val="32"/>
        </w:rPr>
      </w:pPr>
    </w:p>
    <w:p w:rsidR="00EC50E1" w:rsidRDefault="00EC50E1" w:rsidP="00B32235">
      <w:pPr>
        <w:rPr>
          <w:rFonts w:ascii="Franklin Gothic Medium" w:hAnsi="Franklin Gothic Medium" w:cs="Aharoni"/>
          <w:sz w:val="32"/>
          <w:szCs w:val="32"/>
        </w:rPr>
      </w:pPr>
    </w:p>
    <w:p w:rsidR="00EC50E1" w:rsidRDefault="00EC50E1" w:rsidP="00B32235">
      <w:pPr>
        <w:rPr>
          <w:rFonts w:ascii="Franklin Gothic Medium" w:hAnsi="Franklin Gothic Medium" w:cs="Aharoni"/>
          <w:sz w:val="32"/>
          <w:szCs w:val="32"/>
        </w:rPr>
      </w:pPr>
    </w:p>
    <w:p w:rsidR="00B32235" w:rsidRDefault="00B32235" w:rsidP="00B32235">
      <w:pPr>
        <w:rPr>
          <w:rFonts w:ascii="Franklin Gothic Medium" w:hAnsi="Franklin Gothic Medium" w:cs="Aharoni"/>
          <w:sz w:val="32"/>
          <w:szCs w:val="32"/>
        </w:rPr>
      </w:pPr>
      <w:r>
        <w:rPr>
          <w:rFonts w:ascii="Franklin Gothic Medium" w:hAnsi="Franklin Gothic Medium" w:cs="Aharoni"/>
          <w:sz w:val="32"/>
          <w:szCs w:val="32"/>
        </w:rPr>
        <w:t>Basic EPS:</w:t>
      </w:r>
    </w:p>
    <w:p w:rsidR="00B32235" w:rsidRPr="00B32235" w:rsidRDefault="00B32235" w:rsidP="00B32235">
      <w:pPr>
        <w:rPr>
          <w:rFonts w:ascii="Franklin Gothic Medium" w:hAnsi="Franklin Gothic Medium" w:cs="Aharoni"/>
          <w:sz w:val="32"/>
          <w:szCs w:val="32"/>
        </w:rPr>
      </w:pPr>
      <w:r>
        <w:rPr>
          <w:rFonts w:ascii="Franklin Gothic Medium" w:hAnsi="Franklin Gothic Medium" w:cs="Aharoni"/>
          <w:noProof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9.2pt;margin-top:6.5pt;width:452.95pt;height:87.1pt;z-index:251658240" fillcolor="white [3201]" strokecolor="#c0504d [3205]" strokeweight="2.5pt">
            <v:shadow color="#868686"/>
            <v:textbox>
              <w:txbxContent>
                <w:p w:rsidR="00617F76" w:rsidRPr="00617F76" w:rsidRDefault="00617F76" w:rsidP="00617F76">
                  <w:pP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617F76">
                    <w:rPr>
                      <w:sz w:val="24"/>
                      <w:szCs w:val="24"/>
                    </w:rPr>
                    <w:t xml:space="preserve">                                      Net profit/loss attributable to </w:t>
                  </w:r>
                  <w:r w:rsidRPr="00617F76">
                    <w:rPr>
                      <w:b/>
                      <w:sz w:val="24"/>
                      <w:szCs w:val="24"/>
                    </w:rPr>
                    <w:t>Equity share holders</w:t>
                  </w:r>
                </w:p>
                <w:p w:rsidR="00617F76" w:rsidRPr="00617F76" w:rsidRDefault="00617F76" w:rsidP="00617F76">
                  <w:pPr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 w:rsidRPr="00617F76">
                    <w:rPr>
                      <w:sz w:val="24"/>
                      <w:szCs w:val="24"/>
                    </w:rPr>
                    <w:t xml:space="preserve">Basic EPS =                         </w:t>
                  </w:r>
                </w:p>
                <w:p w:rsidR="00617F76" w:rsidRPr="00617F76" w:rsidRDefault="00617F76" w:rsidP="00617F76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617F76">
                    <w:rPr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617F76">
                    <w:rPr>
                      <w:sz w:val="24"/>
                      <w:szCs w:val="24"/>
                    </w:rPr>
                    <w:t xml:space="preserve">   Weighted average number of equity shares outstanding during the period</w:t>
                  </w:r>
                </w:p>
              </w:txbxContent>
            </v:textbox>
          </v:shape>
        </w:pict>
      </w:r>
    </w:p>
    <w:p w:rsidR="00617F76" w:rsidRDefault="00617F76" w:rsidP="00FA46E4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0.35pt;margin-top:17.55pt;width:355pt;height:.8pt;z-index:251659264" o:connectortype="straight"/>
        </w:pict>
      </w:r>
    </w:p>
    <w:p w:rsidR="00617F76" w:rsidRPr="00617F76" w:rsidRDefault="00617F76" w:rsidP="00617F76">
      <w:pPr>
        <w:rPr>
          <w:rFonts w:ascii="Franklin Gothic Medium" w:hAnsi="Franklin Gothic Medium" w:cs="Aharoni"/>
          <w:sz w:val="28"/>
          <w:szCs w:val="28"/>
        </w:rPr>
      </w:pPr>
    </w:p>
    <w:p w:rsidR="00617F76" w:rsidRDefault="00617F76" w:rsidP="00617F76">
      <w:pPr>
        <w:rPr>
          <w:rFonts w:ascii="Franklin Gothic Medium" w:hAnsi="Franklin Gothic Medium" w:cs="Aharoni"/>
          <w:sz w:val="28"/>
          <w:szCs w:val="28"/>
        </w:rPr>
      </w:pPr>
    </w:p>
    <w:p w:rsidR="00FA46E4" w:rsidRDefault="00617F76" w:rsidP="00617F76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sz w:val="28"/>
          <w:szCs w:val="28"/>
        </w:rPr>
        <w:t>Net profit:</w:t>
      </w:r>
    </w:p>
    <w:p w:rsidR="00617F76" w:rsidRDefault="00617F76" w:rsidP="00617F76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(+) Prior Period items and extra ordinary items as per AS-5</w:t>
      </w:r>
    </w:p>
    <w:p w:rsidR="00DE3E5E" w:rsidRDefault="00617F76" w:rsidP="00617F76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(</w:t>
      </w:r>
      <w:r w:rsidRPr="00617F76">
        <w:rPr>
          <w:rFonts w:ascii="Franklin Gothic Medium" w:hAnsi="Franklin Gothic Medium" w:cs="Aharoni"/>
          <w:sz w:val="24"/>
          <w:szCs w:val="24"/>
        </w:rPr>
        <w:t>-</w:t>
      </w:r>
      <w:r>
        <w:rPr>
          <w:rFonts w:ascii="Franklin Gothic Medium" w:hAnsi="Franklin Gothic Medium" w:cs="Aharoni"/>
          <w:sz w:val="24"/>
          <w:szCs w:val="24"/>
        </w:rPr>
        <w:t xml:space="preserve">) Preference </w:t>
      </w:r>
      <w:proofErr w:type="gramStart"/>
      <w:r>
        <w:rPr>
          <w:rFonts w:ascii="Franklin Gothic Medium" w:hAnsi="Franklin Gothic Medium" w:cs="Aharoni"/>
          <w:sz w:val="24"/>
          <w:szCs w:val="24"/>
        </w:rPr>
        <w:t xml:space="preserve">dividend </w:t>
      </w:r>
      <w:r w:rsidR="00DE3E5E">
        <w:rPr>
          <w:rFonts w:ascii="Franklin Gothic Medium" w:hAnsi="Franklin Gothic Medium" w:cs="Aharoni"/>
          <w:sz w:val="24"/>
          <w:szCs w:val="24"/>
        </w:rPr>
        <w:t>:</w:t>
      </w:r>
      <w:proofErr w:type="gramEnd"/>
      <w:r w:rsidR="00DE3E5E">
        <w:rPr>
          <w:rFonts w:ascii="Franklin Gothic Medium" w:hAnsi="Franklin Gothic Medium" w:cs="Aharoni"/>
          <w:sz w:val="24"/>
          <w:szCs w:val="24"/>
        </w:rPr>
        <w:t xml:space="preserve"> </w:t>
      </w:r>
    </w:p>
    <w:p w:rsidR="00617F76" w:rsidRDefault="00DE3E5E" w:rsidP="00DE3E5E">
      <w:pPr>
        <w:ind w:left="720"/>
        <w:rPr>
          <w:rFonts w:ascii="Franklin Gothic Medium" w:hAnsi="Franklin Gothic Medium" w:cs="Aharoni"/>
          <w:sz w:val="24"/>
          <w:szCs w:val="24"/>
        </w:rPr>
      </w:pPr>
      <w:proofErr w:type="gramStart"/>
      <w:r>
        <w:rPr>
          <w:rFonts w:ascii="Franklin Gothic Medium" w:hAnsi="Franklin Gothic Medium" w:cs="Aharoni"/>
          <w:sz w:val="24"/>
          <w:szCs w:val="24"/>
        </w:rPr>
        <w:t>cumulative</w:t>
      </w:r>
      <w:proofErr w:type="gramEnd"/>
      <w:r>
        <w:rPr>
          <w:rFonts w:ascii="Franklin Gothic Medium" w:hAnsi="Franklin Gothic Medium" w:cs="Aharoni"/>
          <w:sz w:val="24"/>
          <w:szCs w:val="24"/>
        </w:rPr>
        <w:t xml:space="preserve"> preference shares </w:t>
      </w:r>
      <w:r w:rsidRPr="00DE3E5E">
        <w:rPr>
          <w:rFonts w:ascii="Franklin Gothic Medium" w:hAnsi="Franklin Gothic Medium" w:cs="Aharoni"/>
          <w:sz w:val="24"/>
          <w:szCs w:val="24"/>
        </w:rPr>
        <w:sym w:font="Wingdings" w:char="F0E0"/>
      </w:r>
      <w:r>
        <w:rPr>
          <w:rFonts w:ascii="Franklin Gothic Medium" w:hAnsi="Franklin Gothic Medium" w:cs="Aharoni"/>
          <w:sz w:val="24"/>
          <w:szCs w:val="24"/>
        </w:rPr>
        <w:t xml:space="preserve"> dividend should be deducted whether provided or not in accounts</w:t>
      </w:r>
    </w:p>
    <w:p w:rsidR="00DE3E5E" w:rsidRDefault="00DE3E5E" w:rsidP="00DE3E5E">
      <w:pPr>
        <w:ind w:left="720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Non cumulative shares </w:t>
      </w:r>
      <w:r w:rsidRPr="00DE3E5E">
        <w:rPr>
          <w:rFonts w:ascii="Franklin Gothic Medium" w:hAnsi="Franklin Gothic Medium" w:cs="Aharoni"/>
          <w:sz w:val="24"/>
          <w:szCs w:val="24"/>
        </w:rPr>
        <w:sym w:font="Wingdings" w:char="F0E0"/>
      </w:r>
      <w:r>
        <w:rPr>
          <w:rFonts w:ascii="Franklin Gothic Medium" w:hAnsi="Franklin Gothic Medium" w:cs="Aharoni"/>
          <w:sz w:val="24"/>
          <w:szCs w:val="24"/>
        </w:rPr>
        <w:t xml:space="preserve"> dividend is deducted only when provided in accounts.</w:t>
      </w:r>
    </w:p>
    <w:p w:rsidR="00DE3E5E" w:rsidRDefault="00DE3E5E" w:rsidP="00DE3E5E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More than one class of Equity shares – Net profit / loss should be apportioned over different classes of shares in accordance with their </w:t>
      </w:r>
      <w:r w:rsidRPr="00DE3E5E">
        <w:rPr>
          <w:rFonts w:ascii="Franklin Gothic Medium" w:hAnsi="Franklin Gothic Medium" w:cs="Aharoni"/>
          <w:b/>
          <w:i/>
          <w:sz w:val="24"/>
          <w:szCs w:val="24"/>
        </w:rPr>
        <w:t>dividend rights</w:t>
      </w:r>
      <w:r>
        <w:rPr>
          <w:rFonts w:ascii="Franklin Gothic Medium" w:hAnsi="Franklin Gothic Medium" w:cs="Aharoni"/>
          <w:sz w:val="24"/>
          <w:szCs w:val="24"/>
        </w:rPr>
        <w:t>.</w:t>
      </w:r>
    </w:p>
    <w:p w:rsidR="00EC50E1" w:rsidRDefault="00EC50E1" w:rsidP="00DE3E5E">
      <w:pPr>
        <w:rPr>
          <w:rFonts w:ascii="Franklin Gothic Medium" w:hAnsi="Franklin Gothic Medium" w:cs="Aharoni"/>
          <w:sz w:val="28"/>
          <w:szCs w:val="28"/>
        </w:rPr>
      </w:pPr>
    </w:p>
    <w:p w:rsidR="00DE3E5E" w:rsidRDefault="00DE3E5E" w:rsidP="00DE3E5E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sz w:val="28"/>
          <w:szCs w:val="28"/>
        </w:rPr>
        <w:t>Weighted average number of shares:</w:t>
      </w:r>
    </w:p>
    <w:p w:rsidR="00DE3E5E" w:rsidRPr="00DE3E5E" w:rsidRDefault="00D55421" w:rsidP="00DE3E5E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4" type="#_x0000_t88" style="position:absolute;margin-left:346.6pt;margin-top:20.05pt;width:22.6pt;height:78.7pt;z-index:251664384"/>
        </w:pict>
      </w:r>
      <w:r w:rsidR="00DE3E5E">
        <w:rPr>
          <w:rFonts w:ascii="Franklin Gothic Medium" w:hAnsi="Franklin Gothic Medium" w:cs="Aharoni"/>
          <w:noProof/>
          <w:sz w:val="28"/>
          <w:szCs w:val="28"/>
        </w:rPr>
        <w:pict>
          <v:roundrect id="_x0000_s1028" style="position:absolute;margin-left:.85pt;margin-top:5pt;width:471.35pt;height:108.8pt;z-index:251660288" arcsize="10923f" fillcolor="white [3201]" strokecolor="#8064a2 [3207]" strokeweight="5pt">
            <v:stroke linestyle="thickThin"/>
            <v:shadow color="#868686"/>
            <v:textbox style="mso-next-textbox:#_x0000_s1028">
              <w:txbxContent>
                <w:p w:rsidR="00DE3E5E" w:rsidRPr="00D55421" w:rsidRDefault="00D55421" w:rsidP="00D55421">
                  <w:pPr>
                    <w:pStyle w:val="ListParagraph"/>
                    <w:numPr>
                      <w:ilvl w:val="0"/>
                      <w:numId w:val="5"/>
                    </w:numPr>
                    <w:spacing w:line="600" w:lineRule="auto"/>
                  </w:pPr>
                  <w:r>
                    <w:t xml:space="preserve">Number of equity shares outstanding at </w:t>
                  </w:r>
                  <w:r>
                    <w:rPr>
                      <w:b/>
                      <w:i/>
                    </w:rPr>
                    <w:t>beginning of the period</w:t>
                  </w:r>
                </w:p>
                <w:p w:rsidR="00D55421" w:rsidRDefault="00D55421" w:rsidP="00D55421">
                  <w:pPr>
                    <w:pStyle w:val="ListParagraph"/>
                    <w:numPr>
                      <w:ilvl w:val="0"/>
                      <w:numId w:val="5"/>
                    </w:numPr>
                    <w:spacing w:line="600" w:lineRule="auto"/>
                  </w:pPr>
                  <w:r>
                    <w:t>Equity shares bought back</w:t>
                  </w:r>
                </w:p>
                <w:p w:rsidR="00D55421" w:rsidRPr="00D55421" w:rsidRDefault="00D55421" w:rsidP="00D55421">
                  <w:pPr>
                    <w:pStyle w:val="ListParagraph"/>
                    <w:numPr>
                      <w:ilvl w:val="0"/>
                      <w:numId w:val="5"/>
                    </w:numPr>
                    <w:spacing w:line="600" w:lineRule="auto"/>
                  </w:pPr>
                  <w:r>
                    <w:t>Equity shares issued during the current period</w:t>
                  </w:r>
                </w:p>
                <w:p w:rsidR="00D55421" w:rsidRPr="00D55421" w:rsidRDefault="00D55421" w:rsidP="00D55421">
                  <w:pPr>
                    <w:pStyle w:val="ListParagraph"/>
                    <w:spacing w:line="600" w:lineRule="auto"/>
                  </w:pPr>
                </w:p>
                <w:p w:rsidR="00D55421" w:rsidRDefault="00D55421" w:rsidP="00D55421">
                  <w:pPr>
                    <w:pStyle w:val="ListParagraph"/>
                    <w:spacing w:line="600" w:lineRule="auto"/>
                  </w:pPr>
                </w:p>
              </w:txbxContent>
            </v:textbox>
          </v:roundrect>
        </w:pict>
      </w:r>
    </w:p>
    <w:p w:rsidR="00DE3E5E" w:rsidRDefault="00EC50E1" w:rsidP="00617F76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36" type="#_x0000_t32" style="position:absolute;margin-left:376.7pt;margin-top:28.65pt;width:7.5pt;height:13.4pt;flip:x;z-index:251666432" o:connectortype="straight"/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35" type="#_x0000_t32" style="position:absolute;margin-left:376.7pt;margin-top:28.65pt;width:7.5pt;height:13.4pt;z-index:251665408" o:connectortype="straight"/>
        </w:pict>
      </w:r>
      <w:r w:rsidR="00D55421">
        <w:rPr>
          <w:rFonts w:ascii="Franklin Gothic Medium" w:hAnsi="Franklin Gothic Medium" w:cs="Aharon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392.65pt;margin-top:12.75pt;width:60.3pt;height:41.85pt;z-index:251667456">
            <v:textbox>
              <w:txbxContent>
                <w:p w:rsidR="00D55421" w:rsidRDefault="00D55421" w:rsidP="00D55421">
                  <w:pPr>
                    <w:jc w:val="center"/>
                  </w:pPr>
                  <w:r>
                    <w:t>Time factor (t)</w:t>
                  </w:r>
                </w:p>
              </w:txbxContent>
            </v:textbox>
          </v:shape>
        </w:pict>
      </w:r>
      <w:r w:rsidR="00D55421">
        <w:rPr>
          <w:rFonts w:ascii="Franklin Gothic Medium" w:hAnsi="Franklin Gothic Medium" w:cs="Aharoni"/>
          <w:noProof/>
          <w:sz w:val="24"/>
          <w:szCs w:val="24"/>
        </w:rPr>
        <w:pict>
          <v:shape id="_x0000_s1031" type="#_x0000_t32" style="position:absolute;margin-left:2in;margin-top:12.75pt;width:10.9pt;height:0;z-index:251661312" o:connectortype="straight"/>
        </w:pict>
      </w:r>
    </w:p>
    <w:tbl>
      <w:tblPr>
        <w:tblStyle w:val="LightGrid-Accent3"/>
        <w:tblpPr w:leftFromText="180" w:rightFromText="180" w:vertAnchor="text" w:horzAnchor="margin" w:tblpY="-22"/>
        <w:tblW w:w="0" w:type="auto"/>
        <w:tblLook w:val="04A0"/>
      </w:tblPr>
      <w:tblGrid>
        <w:gridCol w:w="4788"/>
        <w:gridCol w:w="4788"/>
      </w:tblGrid>
      <w:tr w:rsidR="00EC50E1" w:rsidTr="00EC50E1">
        <w:trPr>
          <w:cnfStyle w:val="100000000000"/>
        </w:trPr>
        <w:tc>
          <w:tcPr>
            <w:cnfStyle w:val="001000000000"/>
            <w:tcW w:w="4788" w:type="dxa"/>
          </w:tcPr>
          <w:p w:rsidR="00EC50E1" w:rsidRDefault="00EC50E1" w:rsidP="00EC50E1">
            <w:p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lastRenderedPageBreak/>
              <w:t>Purpose of issue of Equity shares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1000000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Period considered for (t) from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Pr="00081B43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In exchange of cash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When cash is receivable</w:t>
            </w:r>
          </w:p>
        </w:tc>
      </w:tr>
      <w:tr w:rsidR="00EC50E1" w:rsidTr="00EC50E1">
        <w:trPr>
          <w:cnfStyle w:val="000000010000"/>
        </w:trPr>
        <w:tc>
          <w:tcPr>
            <w:cnfStyle w:val="001000000000"/>
            <w:tcW w:w="4788" w:type="dxa"/>
          </w:tcPr>
          <w:p w:rsidR="00EC50E1" w:rsidRPr="00081B43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Conversion of debt instrument to equity shares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01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of conversion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issued in lieu of interest or principal on other financial instruments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on which interest ceases to accrue</w:t>
            </w:r>
          </w:p>
        </w:tc>
      </w:tr>
      <w:tr w:rsidR="00EC50E1" w:rsidTr="00EC50E1">
        <w:trPr>
          <w:cnfStyle w:val="00000001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in exchange for settlement of liability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01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the settlement becomes effective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on acquisition of asset other than cash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on which asset is recognized</w:t>
            </w:r>
          </w:p>
        </w:tc>
      </w:tr>
      <w:tr w:rsidR="00EC50E1" w:rsidTr="00EC50E1">
        <w:trPr>
          <w:cnfStyle w:val="00000001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issued for rendering of services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01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on which services are rendered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 xml:space="preserve">Amalgamation </w:t>
            </w: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in the nature of purchase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Date of acquisition</w:t>
            </w:r>
          </w:p>
        </w:tc>
      </w:tr>
      <w:tr w:rsidR="00EC50E1" w:rsidTr="00EC50E1">
        <w:trPr>
          <w:cnfStyle w:val="00000001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 xml:space="preserve">Amalgamation </w:t>
            </w: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in the nature of merger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01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Beginning of the reporting period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Pr="00AE03D2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Partly paid shares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 xml:space="preserve">Treated as Fraction of shares </w:t>
            </w:r>
          </w:p>
        </w:tc>
      </w:tr>
      <w:tr w:rsidR="00EC50E1" w:rsidTr="00EC50E1">
        <w:trPr>
          <w:cnfStyle w:val="000000010000"/>
        </w:trPr>
        <w:tc>
          <w:tcPr>
            <w:cnfStyle w:val="001000000000"/>
            <w:tcW w:w="4788" w:type="dxa"/>
          </w:tcPr>
          <w:p w:rsidR="00EC50E1" w:rsidRPr="00944AE4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Issuable on satisfaction of certain conditions on contractual arrangements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01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When all the necessary conditions to the contract are satisfied</w:t>
            </w:r>
          </w:p>
        </w:tc>
      </w:tr>
      <w:tr w:rsidR="00EC50E1" w:rsidTr="00EC50E1">
        <w:trPr>
          <w:cnfStyle w:val="000000100000"/>
        </w:trPr>
        <w:tc>
          <w:tcPr>
            <w:cnfStyle w:val="001000000000"/>
            <w:tcW w:w="4788" w:type="dxa"/>
          </w:tcPr>
          <w:p w:rsidR="00EC50E1" w:rsidRDefault="00EC50E1" w:rsidP="00EC50E1">
            <w:pPr>
              <w:pStyle w:val="ListParagraph"/>
              <w:numPr>
                <w:ilvl w:val="0"/>
                <w:numId w:val="6"/>
              </w:numPr>
              <w:rPr>
                <w:rFonts w:ascii="Franklin Gothic Medium" w:hAnsi="Franklin Gothic Medium" w:cs="Aharoni"/>
                <w:b w:val="0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b w:val="0"/>
                <w:sz w:val="24"/>
                <w:szCs w:val="24"/>
              </w:rPr>
              <w:t>Bonus shares/share split</w:t>
            </w:r>
          </w:p>
        </w:tc>
        <w:tc>
          <w:tcPr>
            <w:tcW w:w="4788" w:type="dxa"/>
          </w:tcPr>
          <w:p w:rsidR="00EC50E1" w:rsidRDefault="00EC50E1" w:rsidP="00EC50E1">
            <w:pPr>
              <w:cnfStyle w:val="000000100000"/>
              <w:rPr>
                <w:rFonts w:ascii="Franklin Gothic Medium" w:hAnsi="Franklin Gothic Medium" w:cs="Aharoni"/>
                <w:sz w:val="24"/>
                <w:szCs w:val="24"/>
              </w:rPr>
            </w:pPr>
            <w:r>
              <w:rPr>
                <w:rFonts w:ascii="Franklin Gothic Medium" w:hAnsi="Franklin Gothic Medium" w:cs="Aharoni"/>
                <w:sz w:val="24"/>
                <w:szCs w:val="24"/>
              </w:rPr>
              <w:t>As if Issued at the BEGINNING OF THE REPORTING PERIOD</w:t>
            </w:r>
          </w:p>
        </w:tc>
      </w:tr>
    </w:tbl>
    <w:p w:rsidR="00D55421" w:rsidRDefault="00D55421" w:rsidP="00617F76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33" type="#_x0000_t32" style="position:absolute;margin-left:149.85pt;margin-top:13.9pt;width:0;height:10.05pt;z-index:251663360;mso-position-horizontal-relative:text;mso-position-vertical-relative:text" o:connectortype="straight"/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32" type="#_x0000_t32" style="position:absolute;margin-left:2in;margin-top:18.9pt;width:10.9pt;height:0;z-index:251662336;mso-position-horizontal-relative:text;mso-position-vertical-relative:text" o:connectortype="straight"/>
        </w:pict>
      </w:r>
    </w:p>
    <w:p w:rsidR="00DE3E5E" w:rsidRDefault="00081B43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38" type="#_x0000_t32" style="position:absolute;margin-left:72.85pt;margin-top:15.7pt;width:263.7pt;height:0;z-index:251668480" o:connectortype="straight"/>
        </w:pict>
      </w:r>
      <w:r w:rsidR="00D55421">
        <w:rPr>
          <w:rFonts w:ascii="Franklin Gothic Medium" w:hAnsi="Franklin Gothic Medium" w:cs="Aharoni"/>
          <w:sz w:val="24"/>
          <w:szCs w:val="24"/>
        </w:rPr>
        <w:t xml:space="preserve">Time factor = </w:t>
      </w:r>
      <w:r>
        <w:rPr>
          <w:rFonts w:ascii="Franklin Gothic Medium" w:hAnsi="Franklin Gothic Medium" w:cs="Aharoni"/>
          <w:sz w:val="24"/>
          <w:szCs w:val="24"/>
        </w:rPr>
        <w:t>no. of days for which specific shares are outstanding</w:t>
      </w:r>
    </w:p>
    <w:p w:rsidR="00081B43" w:rsidRDefault="00081B43" w:rsidP="00081B43">
      <w:pPr>
        <w:spacing w:line="240" w:lineRule="auto"/>
        <w:ind w:left="2160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Total number of days in the period</w:t>
      </w:r>
    </w:p>
    <w:p w:rsidR="00A70107" w:rsidRDefault="00A70107" w:rsidP="0042720F">
      <w:pPr>
        <w:spacing w:line="240" w:lineRule="auto"/>
        <w:rPr>
          <w:rFonts w:ascii="Franklin Gothic Medium" w:hAnsi="Franklin Gothic Medium" w:cs="Aharoni"/>
          <w:sz w:val="28"/>
          <w:szCs w:val="28"/>
        </w:rPr>
      </w:pPr>
    </w:p>
    <w:p w:rsidR="00A70107" w:rsidRPr="00A70107" w:rsidRDefault="0042720F" w:rsidP="0042720F">
      <w:pPr>
        <w:spacing w:line="240" w:lineRule="auto"/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sz w:val="28"/>
          <w:szCs w:val="28"/>
        </w:rPr>
        <w:t>Right shares:</w:t>
      </w:r>
    </w:p>
    <w:p w:rsidR="0042720F" w:rsidRDefault="0042720F" w:rsidP="0042720F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Exercise price &lt; fair value </w:t>
      </w:r>
      <w:r w:rsidRPr="0042720F">
        <w:rPr>
          <w:rFonts w:ascii="Franklin Gothic Medium" w:hAnsi="Franklin Gothic Medium" w:cs="Aharoni"/>
          <w:sz w:val="24"/>
          <w:szCs w:val="24"/>
        </w:rPr>
        <w:sym w:font="Wingdings" w:char="F0E0"/>
      </w:r>
      <w:r>
        <w:rPr>
          <w:rFonts w:ascii="Franklin Gothic Medium" w:hAnsi="Franklin Gothic Medium" w:cs="Aharoni"/>
          <w:sz w:val="24"/>
          <w:szCs w:val="24"/>
        </w:rPr>
        <w:t xml:space="preserve"> difference is Bonus element</w:t>
      </w:r>
    </w:p>
    <w:p w:rsidR="0042720F" w:rsidRDefault="0042720F" w:rsidP="0042720F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Exercise price is the price at which share holders are offered to buy right shares by the company</w:t>
      </w:r>
    </w:p>
    <w:p w:rsidR="0042720F" w:rsidRDefault="0042720F" w:rsidP="0042720F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Fair value </w:t>
      </w:r>
      <w:r w:rsidRPr="0042720F">
        <w:rPr>
          <w:rFonts w:ascii="Franklin Gothic Medium" w:hAnsi="Franklin Gothic Medium" w:cs="Aharoni"/>
          <w:sz w:val="24"/>
          <w:szCs w:val="24"/>
        </w:rPr>
        <w:sym w:font="Wingdings" w:char="F0E0"/>
      </w:r>
      <w:r>
        <w:rPr>
          <w:rFonts w:ascii="Franklin Gothic Medium" w:hAnsi="Franklin Gothic Medium" w:cs="Aharoni"/>
          <w:sz w:val="24"/>
          <w:szCs w:val="24"/>
        </w:rPr>
        <w:t xml:space="preserve"> current market value of the share </w:t>
      </w:r>
    </w:p>
    <w:p w:rsidR="0042720F" w:rsidRDefault="0042720F" w:rsidP="00A70107">
      <w:pPr>
        <w:spacing w:line="480" w:lineRule="auto"/>
        <w:rPr>
          <w:rFonts w:ascii="Franklin Gothic Medium" w:hAnsi="Franklin Gothic Medium" w:cs="Aharoni"/>
          <w:i/>
          <w:sz w:val="24"/>
          <w:szCs w:val="24"/>
        </w:rPr>
      </w:pPr>
      <w:proofErr w:type="gramStart"/>
      <w:r>
        <w:rPr>
          <w:rFonts w:ascii="Franklin Gothic Medium" w:hAnsi="Franklin Gothic Medium" w:cs="Aharoni"/>
          <w:sz w:val="24"/>
          <w:szCs w:val="24"/>
        </w:rPr>
        <w:t>No .</w:t>
      </w:r>
      <w:proofErr w:type="gramEnd"/>
      <w:r>
        <w:rPr>
          <w:rFonts w:ascii="Franklin Gothic Medium" w:hAnsi="Franklin Gothic Medium" w:cs="Aharoni"/>
          <w:sz w:val="24"/>
          <w:szCs w:val="24"/>
        </w:rPr>
        <w:t xml:space="preserve"> </w:t>
      </w:r>
      <w:proofErr w:type="gramStart"/>
      <w:r>
        <w:rPr>
          <w:rFonts w:ascii="Franklin Gothic Medium" w:hAnsi="Franklin Gothic Medium" w:cs="Aharoni"/>
          <w:sz w:val="24"/>
          <w:szCs w:val="24"/>
        </w:rPr>
        <w:t>of</w:t>
      </w:r>
      <w:proofErr w:type="gramEnd"/>
      <w:r>
        <w:rPr>
          <w:rFonts w:ascii="Franklin Gothic Medium" w:hAnsi="Franklin Gothic Medium" w:cs="Aharoni"/>
          <w:sz w:val="24"/>
          <w:szCs w:val="24"/>
        </w:rPr>
        <w:t xml:space="preserve"> equity shares to be used in calculating BEPS for all </w:t>
      </w:r>
      <w:r>
        <w:rPr>
          <w:rFonts w:ascii="Franklin Gothic Medium" w:hAnsi="Franklin Gothic Medium" w:cs="Aharoni"/>
          <w:i/>
          <w:sz w:val="24"/>
          <w:szCs w:val="24"/>
        </w:rPr>
        <w:t>prior periods to the rights issue</w:t>
      </w:r>
    </w:p>
    <w:p w:rsidR="0042720F" w:rsidRPr="00A70107" w:rsidRDefault="0042720F" w:rsidP="00A70107">
      <w:pPr>
        <w:spacing w:line="480" w:lineRule="auto"/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>Equity shares outstanding prior to the issue * adjustment factor</w:t>
      </w:r>
    </w:p>
    <w:p w:rsidR="0042720F" w:rsidRPr="00A70107" w:rsidRDefault="0042720F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>Adjustment factor = Fair value per share immediately prior to rights issue/</w:t>
      </w:r>
    </w:p>
    <w:p w:rsidR="0042720F" w:rsidRPr="00A70107" w:rsidRDefault="0042720F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  <w:t>Theoretical ex-rights fair value</w:t>
      </w:r>
    </w:p>
    <w:p w:rsidR="00A70107" w:rsidRPr="00A70107" w:rsidRDefault="00A70107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</w:p>
    <w:p w:rsidR="0042720F" w:rsidRPr="00A70107" w:rsidRDefault="0042720F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lastRenderedPageBreak/>
        <w:t xml:space="preserve">Theoretical ex-right fair value = </w:t>
      </w:r>
    </w:p>
    <w:p w:rsidR="0042720F" w:rsidRPr="00A70107" w:rsidRDefault="0042720F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  <w:t xml:space="preserve">Aggregate fair value of shares </w:t>
      </w:r>
      <w:proofErr w:type="spellStart"/>
      <w:r w:rsidRPr="00A70107">
        <w:rPr>
          <w:rFonts w:ascii="Franklin Gothic Medium" w:hAnsi="Franklin Gothic Medium" w:cs="Aharoni"/>
          <w:b/>
          <w:i/>
          <w:sz w:val="24"/>
          <w:szCs w:val="24"/>
        </w:rPr>
        <w:t>immedaiately</w:t>
      </w:r>
      <w:proofErr w:type="spellEnd"/>
      <w:r w:rsidRPr="00A70107">
        <w:rPr>
          <w:rFonts w:ascii="Franklin Gothic Medium" w:hAnsi="Franklin Gothic Medium" w:cs="Aharoni"/>
          <w:b/>
          <w:i/>
          <w:sz w:val="24"/>
          <w:szCs w:val="24"/>
        </w:rPr>
        <w:t xml:space="preserve"> prior</w:t>
      </w:r>
      <w:r w:rsidR="00A70107" w:rsidRPr="00A70107">
        <w:rPr>
          <w:rFonts w:ascii="Franklin Gothic Medium" w:hAnsi="Franklin Gothic Medium" w:cs="Aharoni"/>
          <w:b/>
          <w:i/>
          <w:sz w:val="24"/>
          <w:szCs w:val="24"/>
        </w:rPr>
        <w:t xml:space="preserve"> to excise of the rights </w:t>
      </w:r>
    </w:p>
    <w:p w:rsidR="00A70107" w:rsidRPr="00A70107" w:rsidRDefault="00A70107" w:rsidP="00A70107">
      <w:pPr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  <w:t>+</w:t>
      </w:r>
    </w:p>
    <w:p w:rsidR="00A70107" w:rsidRPr="00A70107" w:rsidRDefault="00A70107" w:rsidP="00A70107">
      <w:pPr>
        <w:spacing w:line="480" w:lineRule="auto"/>
        <w:ind w:left="720"/>
        <w:rPr>
          <w:rFonts w:ascii="Franklin Gothic Medium" w:hAnsi="Franklin Gothic Medium" w:cs="Aharoni"/>
          <w:b/>
          <w:i/>
          <w:sz w:val="24"/>
          <w:szCs w:val="24"/>
        </w:rPr>
      </w:pPr>
      <w:r>
        <w:rPr>
          <w:rFonts w:ascii="Franklin Gothic Medium" w:hAnsi="Franklin Gothic Medium" w:cs="Aharoni"/>
          <w:b/>
          <w:i/>
          <w:noProof/>
          <w:sz w:val="24"/>
          <w:szCs w:val="24"/>
        </w:rPr>
        <w:pict>
          <v:shape id="_x0000_s1040" type="#_x0000_t32" style="position:absolute;left:0;text-align:left;margin-left:47.7pt;margin-top:19.35pt;width:422.8pt;height:0;z-index:251670528" o:connectortype="straight"/>
        </w:pict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</w:r>
      <w:r w:rsidRPr="00A70107">
        <w:rPr>
          <w:rFonts w:ascii="Franklin Gothic Medium" w:hAnsi="Franklin Gothic Medium" w:cs="Aharoni"/>
          <w:b/>
          <w:i/>
          <w:sz w:val="24"/>
          <w:szCs w:val="24"/>
        </w:rPr>
        <w:tab/>
        <w:t>Proceeds from exercise of rights</w:t>
      </w:r>
    </w:p>
    <w:p w:rsidR="00A70107" w:rsidRPr="00A70107" w:rsidRDefault="00A70107" w:rsidP="00A70107">
      <w:pPr>
        <w:spacing w:line="480" w:lineRule="auto"/>
        <w:ind w:left="720" w:firstLine="720"/>
        <w:rPr>
          <w:rFonts w:ascii="Franklin Gothic Medium" w:hAnsi="Franklin Gothic Medium" w:cs="Aharoni"/>
          <w:b/>
          <w:i/>
          <w:sz w:val="24"/>
          <w:szCs w:val="24"/>
        </w:rPr>
      </w:pPr>
      <w:r w:rsidRPr="00A70107">
        <w:rPr>
          <w:rFonts w:ascii="Franklin Gothic Medium" w:hAnsi="Franklin Gothic Medium" w:cs="Aharoni"/>
          <w:b/>
          <w:i/>
          <w:sz w:val="24"/>
          <w:szCs w:val="24"/>
        </w:rPr>
        <w:t xml:space="preserve">Number of shares outstanding immediately after the rights issue </w:t>
      </w:r>
    </w:p>
    <w:p w:rsidR="00081B43" w:rsidRDefault="00081B43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</w:p>
    <w:p w:rsidR="00081B43" w:rsidRPr="0048323A" w:rsidRDefault="0046438E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8"/>
          <w:szCs w:val="28"/>
        </w:rPr>
        <w:t>Diluted Earnings Per Share:</w:t>
      </w:r>
      <w:r w:rsidR="0048323A">
        <w:rPr>
          <w:rFonts w:ascii="Franklin Gothic Medium" w:hAnsi="Franklin Gothic Medium" w:cs="Aharoni"/>
          <w:sz w:val="28"/>
          <w:szCs w:val="28"/>
        </w:rPr>
        <w:t xml:space="preserve"> </w:t>
      </w:r>
      <w:r w:rsidR="0048323A">
        <w:rPr>
          <w:rFonts w:ascii="Franklin Gothic Medium" w:hAnsi="Franklin Gothic Medium" w:cs="Aharoni"/>
          <w:sz w:val="24"/>
          <w:szCs w:val="24"/>
        </w:rPr>
        <w:t>Future earnings per share</w:t>
      </w:r>
    </w:p>
    <w:p w:rsidR="0048323A" w:rsidRDefault="0048323A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</w:p>
    <w:p w:rsidR="0048323A" w:rsidRDefault="0048323A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8"/>
          <w:szCs w:val="28"/>
        </w:rPr>
        <w:pict>
          <v:shape id="_x0000_s1050" type="#_x0000_t202" style="position:absolute;margin-left:276.3pt;margin-top:.75pt;width:87.05pt;height:25.15pt;z-index:251678720" stroked="f">
            <v:textbox>
              <w:txbxContent>
                <w:p w:rsidR="0048323A" w:rsidRDefault="0048323A">
                  <w:r>
                    <w:t>No control</w:t>
                  </w:r>
                </w:p>
              </w:txbxContent>
            </v:textbox>
          </v:shape>
        </w:pict>
      </w:r>
      <w:r>
        <w:rPr>
          <w:rFonts w:ascii="Franklin Gothic Medium" w:hAnsi="Franklin Gothic Medium" w:cs="Aharoni"/>
          <w:noProof/>
          <w:sz w:val="28"/>
          <w:szCs w:val="28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49" type="#_x0000_t105" style="position:absolute;margin-left:211.85pt;margin-top:.75pt;width:64.45pt;height:25.15pt;z-index:251677696" adj=",,5565"/>
        </w:pict>
      </w:r>
    </w:p>
    <w:p w:rsidR="00944AE4" w:rsidRDefault="009B24DB" w:rsidP="00081B43">
      <w:pPr>
        <w:spacing w:line="24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When DEPS arises?</w:t>
      </w:r>
    </w:p>
    <w:p w:rsidR="009B24DB" w:rsidRDefault="0048323A" w:rsidP="009B24DB">
      <w:pPr>
        <w:tabs>
          <w:tab w:val="left" w:pos="6346"/>
        </w:tabs>
        <w:spacing w:line="240" w:lineRule="auto"/>
        <w:ind w:left="720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48" type="#_x0000_t202" style="position:absolute;left:0;text-align:left;margin-left:338.25pt;margin-top:4.1pt;width:49.4pt;height:20.95pt;z-index:251676672">
            <v:textbox>
              <w:txbxContent>
                <w:p w:rsidR="0048323A" w:rsidRDefault="0048323A">
                  <w:r>
                    <w:t>Diluted</w:t>
                  </w:r>
                </w:p>
              </w:txbxContent>
            </v:textbox>
          </v:shape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46" type="#_x0000_t32" style="position:absolute;left:0;text-align:left;margin-left:312.25pt;margin-top:11.65pt;width:8.35pt;height:0;z-index:251674624" o:connectortype="straight"/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47" type="#_x0000_t32" style="position:absolute;left:0;text-align:left;margin-left:312.25pt;margin-top:16.65pt;width:8.35pt;height:0;z-index:251675648" o:connectortype="straight"/>
        </w:pict>
      </w:r>
      <w:r w:rsidR="009B24DB">
        <w:rPr>
          <w:rFonts w:ascii="Franklin Gothic Medium" w:hAnsi="Franklin Gothic Medium" w:cs="Aharoni"/>
          <w:noProof/>
          <w:sz w:val="24"/>
          <w:szCs w:val="24"/>
        </w:rPr>
        <w:pict>
          <v:shape id="_x0000_s1041" type="#_x0000_t32" style="position:absolute;left:0;text-align:left;margin-left:38.5pt;margin-top:15.85pt;width:257.05pt;height:.8pt;z-index:251671552" o:connectortype="straight"/>
        </w:pict>
      </w:r>
      <w:r w:rsidR="009B24DB">
        <w:rPr>
          <w:rFonts w:ascii="Franklin Gothic Medium" w:hAnsi="Franklin Gothic Medium" w:cs="Aharoni"/>
          <w:noProof/>
          <w:sz w:val="24"/>
          <w:szCs w:val="24"/>
        </w:rPr>
        <w:pict>
          <v:shape id="_x0000_s1042" type="#_x0000_t32" style="position:absolute;left:0;text-align:left;margin-left:4in;margin-top:-.1pt;width:0;height:11.75pt;z-index:251672576" o:connectortype="straight">
            <v:stroke endarrow="block"/>
          </v:shape>
        </w:pict>
      </w:r>
      <w:r w:rsidR="009B24DB">
        <w:rPr>
          <w:rFonts w:ascii="Franklin Gothic Medium" w:hAnsi="Franklin Gothic Medium" w:cs="Aharoni"/>
          <w:sz w:val="24"/>
          <w:szCs w:val="24"/>
        </w:rPr>
        <w:t>Net profit attributable to Equity share holders</w:t>
      </w:r>
      <w:r w:rsidR="009B24DB">
        <w:rPr>
          <w:rFonts w:ascii="Franklin Gothic Medium" w:hAnsi="Franklin Gothic Medium" w:cs="Aharoni"/>
          <w:sz w:val="24"/>
          <w:szCs w:val="24"/>
        </w:rPr>
        <w:tab/>
      </w:r>
    </w:p>
    <w:p w:rsidR="00841B2A" w:rsidRDefault="0048323A" w:rsidP="009B24DB">
      <w:pPr>
        <w:spacing w:line="240" w:lineRule="auto"/>
        <w:ind w:left="1440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3" type="#_x0000_t176" style="position:absolute;left:0;text-align:left;margin-left:12.55pt;margin-top:73.95pt;width:457.95pt;height:52.75pt;z-index:251681792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>
              <w:txbxContent>
                <w:p w:rsidR="0003578F" w:rsidRDefault="00841B2A">
                  <w:pPr>
                    <w:rPr>
                      <w:sz w:val="28"/>
                      <w:szCs w:val="28"/>
                    </w:rPr>
                  </w:pPr>
                  <w:r w:rsidRPr="00841B2A">
                    <w:rPr>
                      <w:sz w:val="28"/>
                      <w:szCs w:val="28"/>
                    </w:rPr>
                    <w:t xml:space="preserve">Change in denominator without corresponding increase in numerator </w:t>
                  </w:r>
                  <w:proofErr w:type="gramStart"/>
                  <w:r w:rsidRPr="00841B2A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 xml:space="preserve"> considered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while calculating DEPS</w:t>
                  </w:r>
                </w:p>
                <w:p w:rsidR="00841B2A" w:rsidRPr="00841B2A" w:rsidRDefault="00841B2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2" type="#_x0000_t202" style="position:absolute;left:0;text-align:left;margin-left:281.3pt;margin-top:26.55pt;width:99.65pt;height:27.65pt;z-index:251680768" stroked="f">
            <v:textbox>
              <w:txbxContent>
                <w:p w:rsidR="0048323A" w:rsidRDefault="0048323A">
                  <w:r>
                    <w:t>Can be controlled</w:t>
                  </w:r>
                </w:p>
              </w:txbxContent>
            </v:textbox>
          </v:shape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51" type="#_x0000_t104" style="position:absolute;left:0;text-align:left;margin-left:216.85pt;margin-top:35.75pt;width:64.45pt;height:26.8pt;z-index:251679744" adj=",,16035"/>
        </w:pict>
      </w:r>
      <w:r w:rsidR="009B24DB">
        <w:rPr>
          <w:rFonts w:ascii="Franklin Gothic Medium" w:hAnsi="Franklin Gothic Medium" w:cs="Aharoni"/>
          <w:noProof/>
          <w:sz w:val="24"/>
          <w:szCs w:val="24"/>
        </w:rPr>
        <w:pict>
          <v:shape id="_x0000_s1043" type="#_x0000_t32" style="position:absolute;left:0;text-align:left;margin-left:4in;margin-top:1.45pt;width:0;height:10.05pt;flip:y;z-index:251673600" o:connectortype="straight">
            <v:stroke endarrow="block"/>
          </v:shape>
        </w:pict>
      </w:r>
      <w:r w:rsidR="009B24DB">
        <w:rPr>
          <w:rFonts w:ascii="Franklin Gothic Medium" w:hAnsi="Franklin Gothic Medium" w:cs="Aharoni"/>
          <w:sz w:val="24"/>
          <w:szCs w:val="24"/>
        </w:rPr>
        <w:t xml:space="preserve">Weighted </w:t>
      </w:r>
      <w:proofErr w:type="spellStart"/>
      <w:r w:rsidR="009B24DB">
        <w:rPr>
          <w:rFonts w:ascii="Franklin Gothic Medium" w:hAnsi="Franklin Gothic Medium" w:cs="Aharoni"/>
          <w:sz w:val="24"/>
          <w:szCs w:val="24"/>
        </w:rPr>
        <w:t>avg</w:t>
      </w:r>
      <w:proofErr w:type="spellEnd"/>
      <w:r w:rsidR="009B24DB">
        <w:rPr>
          <w:rFonts w:ascii="Franklin Gothic Medium" w:hAnsi="Franklin Gothic Medium" w:cs="Aharoni"/>
          <w:sz w:val="24"/>
          <w:szCs w:val="24"/>
        </w:rPr>
        <w:t xml:space="preserve"> no of shares</w:t>
      </w:r>
    </w:p>
    <w:p w:rsidR="00841B2A" w:rsidRPr="00841B2A" w:rsidRDefault="00841B2A" w:rsidP="00841B2A">
      <w:pPr>
        <w:rPr>
          <w:rFonts w:ascii="Franklin Gothic Medium" w:hAnsi="Franklin Gothic Medium" w:cs="Aharoni"/>
          <w:sz w:val="24"/>
          <w:szCs w:val="24"/>
        </w:rPr>
      </w:pPr>
    </w:p>
    <w:p w:rsidR="00841B2A" w:rsidRPr="00841B2A" w:rsidRDefault="00841B2A" w:rsidP="00841B2A">
      <w:pPr>
        <w:rPr>
          <w:rFonts w:ascii="Franklin Gothic Medium" w:hAnsi="Franklin Gothic Medium" w:cs="Aharoni"/>
          <w:sz w:val="24"/>
          <w:szCs w:val="24"/>
        </w:rPr>
      </w:pPr>
    </w:p>
    <w:p w:rsidR="00841B2A" w:rsidRPr="00841B2A" w:rsidRDefault="00841B2A" w:rsidP="00841B2A">
      <w:pPr>
        <w:rPr>
          <w:rFonts w:ascii="Franklin Gothic Medium" w:hAnsi="Franklin Gothic Medium" w:cs="Aharoni"/>
          <w:sz w:val="24"/>
          <w:szCs w:val="24"/>
        </w:rPr>
      </w:pPr>
    </w:p>
    <w:p w:rsidR="00841B2A" w:rsidRPr="00841B2A" w:rsidRDefault="00841B2A" w:rsidP="00841B2A">
      <w:pPr>
        <w:rPr>
          <w:rFonts w:ascii="Franklin Gothic Medium" w:hAnsi="Franklin Gothic Medium" w:cs="Aharoni"/>
          <w:sz w:val="24"/>
          <w:szCs w:val="24"/>
        </w:rPr>
      </w:pPr>
    </w:p>
    <w:p w:rsidR="00841B2A" w:rsidRDefault="00841B2A" w:rsidP="00841B2A">
      <w:pPr>
        <w:rPr>
          <w:rFonts w:ascii="Franklin Gothic Medium" w:hAnsi="Franklin Gothic Medium" w:cs="Aharoni"/>
          <w:sz w:val="24"/>
          <w:szCs w:val="24"/>
        </w:rPr>
      </w:pPr>
    </w:p>
    <w:p w:rsidR="009B24DB" w:rsidRDefault="00841B2A" w:rsidP="00841B2A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Don’t consider: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If there is corresponding change in numerator &amp; denominator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If there is change in numerator without change in denominator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4" type="#_x0000_t88" style="position:absolute;left:0;text-align:left;margin-left:190.9pt;margin-top:.8pt;width:25.95pt;height:59.45pt;z-index:251682816"/>
        </w:pict>
      </w:r>
      <w:r>
        <w:rPr>
          <w:rFonts w:ascii="Franklin Gothic Medium" w:hAnsi="Franklin Gothic Medium" w:cs="Aharoni"/>
          <w:sz w:val="24"/>
          <w:szCs w:val="24"/>
        </w:rPr>
        <w:t>Bonus shares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5" type="#_x0000_t202" style="position:absolute;left:0;text-align:left;margin-left:226.9pt;margin-top:6.05pt;width:282.1pt;height:38.55pt;z-index:251683840">
            <v:textbox>
              <w:txbxContent>
                <w:p w:rsidR="00841B2A" w:rsidRDefault="00255FDC">
                  <w:r>
                    <w:t>These will increase only denominator without any change in numerator. (</w:t>
                  </w:r>
                  <w:proofErr w:type="gramStart"/>
                  <w:r>
                    <w:t>considered</w:t>
                  </w:r>
                  <w:proofErr w:type="gramEnd"/>
                  <w:r>
                    <w:t xml:space="preserve"> in BEPS)</w:t>
                  </w:r>
                </w:p>
              </w:txbxContent>
            </v:textbox>
          </v:shape>
        </w:pict>
      </w:r>
      <w:r>
        <w:rPr>
          <w:rFonts w:ascii="Franklin Gothic Medium" w:hAnsi="Franklin Gothic Medium" w:cs="Aharoni"/>
          <w:sz w:val="24"/>
          <w:szCs w:val="24"/>
        </w:rPr>
        <w:t>Share split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Shares consolidation</w:t>
      </w:r>
    </w:p>
    <w:p w:rsidR="00841B2A" w:rsidRDefault="00841B2A" w:rsidP="00841B2A">
      <w:pPr>
        <w:pStyle w:val="ListParagraph"/>
        <w:numPr>
          <w:ilvl w:val="0"/>
          <w:numId w:val="6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Bonus element in rights issue </w:t>
      </w:r>
    </w:p>
    <w:p w:rsidR="00841B2A" w:rsidRDefault="00255FDC" w:rsidP="00841B2A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Potential equity shares are dilutive if their conversion results in reduction of BEPS. If they increase EPS then they should not be considered as dilutive.</w:t>
      </w:r>
    </w:p>
    <w:p w:rsidR="00255FDC" w:rsidRDefault="00255FDC" w:rsidP="00841B2A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Convertible Debentures, Convertible Preference shares and employee stock options – potential equity shares.</w:t>
      </w:r>
    </w:p>
    <w:p w:rsidR="00255FDC" w:rsidRPr="00A303C9" w:rsidRDefault="00255FDC" w:rsidP="00841B2A">
      <w:pPr>
        <w:rPr>
          <w:rFonts w:ascii="Franklin Gothic Medium" w:hAnsi="Franklin Gothic Medium" w:cs="Aharoni"/>
          <w:sz w:val="28"/>
          <w:szCs w:val="28"/>
        </w:rPr>
      </w:pPr>
      <w:r w:rsidRPr="00A303C9">
        <w:rPr>
          <w:rFonts w:ascii="Franklin Gothic Medium" w:hAnsi="Franklin Gothic Medium" w:cs="Aharoni"/>
          <w:sz w:val="28"/>
          <w:szCs w:val="28"/>
        </w:rPr>
        <w:lastRenderedPageBreak/>
        <w:t>Diluted earnings:</w:t>
      </w:r>
    </w:p>
    <w:p w:rsidR="00255FDC" w:rsidRDefault="00255FDC" w:rsidP="00255FDC">
      <w:pPr>
        <w:spacing w:line="48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9" type="#_x0000_t32" style="position:absolute;margin-left:192.55pt;margin-top:20.4pt;width:.05pt;height:9.2pt;z-index:251685888" o:connectortype="straight"/>
        </w:pict>
      </w: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58" type="#_x0000_t32" style="position:absolute;margin-left:185pt;margin-top:24.6pt;width:13.4pt;height:0;z-index:251684864" o:connectortype="straight"/>
        </w:pict>
      </w:r>
      <w:r>
        <w:rPr>
          <w:rFonts w:ascii="Franklin Gothic Medium" w:hAnsi="Franklin Gothic Medium" w:cs="Aharoni"/>
          <w:sz w:val="24"/>
          <w:szCs w:val="24"/>
        </w:rPr>
        <w:t>Net profit or loss attributable for the period to the existing share holders</w:t>
      </w:r>
    </w:p>
    <w:p w:rsidR="00255FDC" w:rsidRDefault="00A303C9" w:rsidP="00255FDC">
      <w:pPr>
        <w:spacing w:line="48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noProof/>
          <w:sz w:val="24"/>
          <w:szCs w:val="24"/>
        </w:rPr>
        <w:pict>
          <v:shape id="_x0000_s1062" type="#_x0000_t32" style="position:absolute;margin-left:192.6pt;margin-top:22.55pt;width:0;height:10.05pt;z-index:251687936" o:connectortype="straight"/>
        </w:pict>
      </w:r>
      <w:r w:rsidR="00255FDC">
        <w:rPr>
          <w:rFonts w:ascii="Franklin Gothic Medium" w:hAnsi="Franklin Gothic Medium" w:cs="Aharoni"/>
          <w:noProof/>
          <w:sz w:val="24"/>
          <w:szCs w:val="24"/>
        </w:rPr>
        <w:pict>
          <v:shape id="_x0000_s1060" type="#_x0000_t32" style="position:absolute;margin-left:186.7pt;margin-top:26.75pt;width:13.4pt;height:0;z-index:251686912" o:connectortype="straight"/>
        </w:pict>
      </w:r>
      <w:r w:rsidR="00255FDC">
        <w:rPr>
          <w:rFonts w:ascii="Franklin Gothic Medium" w:hAnsi="Franklin Gothic Medium" w:cs="Aharoni"/>
          <w:sz w:val="24"/>
          <w:szCs w:val="24"/>
        </w:rPr>
        <w:t xml:space="preserve">Dividend + distribution tax </w:t>
      </w:r>
      <w:proofErr w:type="gramStart"/>
      <w:r w:rsidR="00255FDC">
        <w:rPr>
          <w:rFonts w:ascii="Franklin Gothic Medium" w:hAnsi="Franklin Gothic Medium" w:cs="Aharoni"/>
          <w:sz w:val="24"/>
          <w:szCs w:val="24"/>
        </w:rPr>
        <w:t>( convertible</w:t>
      </w:r>
      <w:proofErr w:type="gramEnd"/>
      <w:r w:rsidR="00255FDC">
        <w:rPr>
          <w:rFonts w:ascii="Franklin Gothic Medium" w:hAnsi="Franklin Gothic Medium" w:cs="Aharoni"/>
          <w:sz w:val="24"/>
          <w:szCs w:val="24"/>
        </w:rPr>
        <w:t xml:space="preserve"> preference shares) previously deducted</w:t>
      </w:r>
    </w:p>
    <w:p w:rsidR="00255FDC" w:rsidRDefault="00255FDC" w:rsidP="00255FDC">
      <w:pPr>
        <w:spacing w:line="480" w:lineRule="auto"/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Interest net </w:t>
      </w:r>
      <w:proofErr w:type="spellStart"/>
      <w:r>
        <w:rPr>
          <w:rFonts w:ascii="Franklin Gothic Medium" w:hAnsi="Franklin Gothic Medium" w:cs="Aharoni"/>
          <w:sz w:val="24"/>
          <w:szCs w:val="24"/>
        </w:rPr>
        <w:t>off</w:t>
      </w:r>
      <w:proofErr w:type="spellEnd"/>
      <w:r>
        <w:rPr>
          <w:rFonts w:ascii="Franklin Gothic Medium" w:hAnsi="Franklin Gothic Medium" w:cs="Aharoni"/>
          <w:sz w:val="24"/>
          <w:szCs w:val="24"/>
        </w:rPr>
        <w:t xml:space="preserve"> tax </w:t>
      </w:r>
      <w:proofErr w:type="gramStart"/>
      <w:r>
        <w:rPr>
          <w:rFonts w:ascii="Franklin Gothic Medium" w:hAnsi="Franklin Gothic Medium" w:cs="Aharoni"/>
          <w:sz w:val="24"/>
          <w:szCs w:val="24"/>
        </w:rPr>
        <w:t>( convertible</w:t>
      </w:r>
      <w:proofErr w:type="gramEnd"/>
      <w:r>
        <w:rPr>
          <w:rFonts w:ascii="Franklin Gothic Medium" w:hAnsi="Franklin Gothic Medium" w:cs="Aharoni"/>
          <w:sz w:val="24"/>
          <w:szCs w:val="24"/>
        </w:rPr>
        <w:t xml:space="preserve"> debentures or loans previously charged)</w:t>
      </w:r>
    </w:p>
    <w:p w:rsidR="00A303C9" w:rsidRPr="00A303C9" w:rsidRDefault="00A303C9" w:rsidP="00A303C9">
      <w:pPr>
        <w:rPr>
          <w:rFonts w:ascii="Franklin Gothic Medium" w:hAnsi="Franklin Gothic Medium" w:cs="Aharoni"/>
          <w:sz w:val="28"/>
          <w:szCs w:val="28"/>
        </w:rPr>
      </w:pPr>
      <w:r w:rsidRPr="00A303C9">
        <w:rPr>
          <w:rFonts w:ascii="Franklin Gothic Medium" w:hAnsi="Franklin Gothic Medium" w:cs="Aharoni"/>
          <w:sz w:val="28"/>
          <w:szCs w:val="28"/>
        </w:rPr>
        <w:t>Order for considering potential equity shares:</w:t>
      </w:r>
    </w:p>
    <w:p w:rsidR="00A303C9" w:rsidRDefault="00A303C9" w:rsidP="00A303C9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Potential equity shares should be ranked in order of dilutive effect.</w:t>
      </w:r>
    </w:p>
    <w:p w:rsidR="00A303C9" w:rsidRDefault="00A303C9" w:rsidP="00A303C9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Dilutive effect = incremental net profit/incremental equity shares arising out of conversion.</w:t>
      </w:r>
    </w:p>
    <w:p w:rsidR="00A303C9" w:rsidRDefault="00A303C9" w:rsidP="00A303C9">
      <w:pPr>
        <w:rPr>
          <w:rFonts w:ascii="Franklin Gothic Medium" w:hAnsi="Franklin Gothic Medium" w:cs="Aharoni"/>
          <w:sz w:val="28"/>
          <w:szCs w:val="28"/>
        </w:rPr>
      </w:pPr>
      <w:r>
        <w:rPr>
          <w:rFonts w:ascii="Franklin Gothic Medium" w:hAnsi="Franklin Gothic Medium" w:cs="Aharoni"/>
          <w:sz w:val="28"/>
          <w:szCs w:val="28"/>
        </w:rPr>
        <w:t>Restatement:</w:t>
      </w:r>
    </w:p>
    <w:p w:rsidR="00A303C9" w:rsidRDefault="00A303C9" w:rsidP="00A303C9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Equity shares or potential equity shares are increased as a result of</w:t>
      </w:r>
    </w:p>
    <w:p w:rsidR="00A303C9" w:rsidRDefault="00A303C9" w:rsidP="00A303C9">
      <w:pPr>
        <w:pStyle w:val="ListParagraph"/>
        <w:numPr>
          <w:ilvl w:val="0"/>
          <w:numId w:val="7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Bonus issue</w:t>
      </w:r>
    </w:p>
    <w:p w:rsidR="00A303C9" w:rsidRDefault="00A303C9" w:rsidP="00A303C9">
      <w:pPr>
        <w:pStyle w:val="ListParagraph"/>
        <w:numPr>
          <w:ilvl w:val="0"/>
          <w:numId w:val="7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Share split</w:t>
      </w:r>
    </w:p>
    <w:p w:rsidR="00A303C9" w:rsidRDefault="00A303C9" w:rsidP="00A303C9">
      <w:pPr>
        <w:pStyle w:val="ListParagraph"/>
        <w:numPr>
          <w:ilvl w:val="0"/>
          <w:numId w:val="7"/>
        </w:num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 xml:space="preserve">Consolidation of shares </w:t>
      </w:r>
    </w:p>
    <w:p w:rsidR="00A303C9" w:rsidRPr="00A303C9" w:rsidRDefault="00A303C9" w:rsidP="00A303C9">
      <w:pPr>
        <w:rPr>
          <w:rFonts w:ascii="Franklin Gothic Medium" w:hAnsi="Franklin Gothic Medium" w:cs="Aharoni"/>
          <w:sz w:val="24"/>
          <w:szCs w:val="24"/>
        </w:rPr>
      </w:pPr>
      <w:r>
        <w:rPr>
          <w:rFonts w:ascii="Franklin Gothic Medium" w:hAnsi="Franklin Gothic Medium" w:cs="Aharoni"/>
          <w:sz w:val="24"/>
          <w:szCs w:val="24"/>
        </w:rPr>
        <w:t>Basic and diluted EPS should be restated for all the periods presented.</w:t>
      </w:r>
    </w:p>
    <w:p w:rsidR="00A303C9" w:rsidRDefault="00A303C9" w:rsidP="00A303C9">
      <w:pPr>
        <w:rPr>
          <w:rFonts w:ascii="Franklin Gothic Medium" w:hAnsi="Franklin Gothic Medium" w:cs="Aharoni"/>
          <w:sz w:val="24"/>
          <w:szCs w:val="24"/>
        </w:rPr>
      </w:pPr>
    </w:p>
    <w:p w:rsidR="00A303C9" w:rsidRDefault="00A303C9" w:rsidP="00255FDC">
      <w:pPr>
        <w:spacing w:line="480" w:lineRule="auto"/>
        <w:rPr>
          <w:rFonts w:ascii="Franklin Gothic Medium" w:hAnsi="Franklin Gothic Medium" w:cs="Aharoni"/>
          <w:sz w:val="24"/>
          <w:szCs w:val="24"/>
        </w:rPr>
      </w:pPr>
    </w:p>
    <w:p w:rsidR="00A303C9" w:rsidRPr="00841B2A" w:rsidRDefault="00A303C9" w:rsidP="00A303C9">
      <w:pPr>
        <w:rPr>
          <w:rFonts w:ascii="Franklin Gothic Medium" w:hAnsi="Franklin Gothic Medium" w:cs="Aharoni"/>
          <w:sz w:val="24"/>
          <w:szCs w:val="24"/>
        </w:rPr>
      </w:pPr>
    </w:p>
    <w:sectPr w:rsidR="00A303C9" w:rsidRPr="00841B2A" w:rsidSect="00DF4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0.9pt;height:10.9pt" o:bullet="t">
        <v:imagedata r:id="rId1" o:title="mso29A4"/>
      </v:shape>
    </w:pict>
  </w:numPicBullet>
  <w:abstractNum w:abstractNumId="0">
    <w:nsid w:val="076D1D48"/>
    <w:multiLevelType w:val="hybridMultilevel"/>
    <w:tmpl w:val="0A3AAA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85694"/>
    <w:multiLevelType w:val="hybridMultilevel"/>
    <w:tmpl w:val="08B2FE6E"/>
    <w:lvl w:ilvl="0" w:tplc="1F22E4AA">
      <w:numFmt w:val="bullet"/>
      <w:lvlText w:val="-"/>
      <w:lvlJc w:val="left"/>
      <w:pPr>
        <w:ind w:left="720" w:hanging="360"/>
      </w:pPr>
      <w:rPr>
        <w:rFonts w:ascii="Franklin Gothic Medium" w:eastAsiaTheme="minorHAnsi" w:hAnsi="Franklin Gothic Medium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31BF"/>
    <w:multiLevelType w:val="hybridMultilevel"/>
    <w:tmpl w:val="B66E0EE6"/>
    <w:lvl w:ilvl="0" w:tplc="BCE2DAC8">
      <w:numFmt w:val="bullet"/>
      <w:lvlText w:val="-"/>
      <w:lvlJc w:val="left"/>
      <w:pPr>
        <w:ind w:left="720" w:hanging="360"/>
      </w:pPr>
      <w:rPr>
        <w:rFonts w:ascii="Franklin Gothic Medium" w:eastAsiaTheme="minorHAnsi" w:hAnsi="Franklin Gothic Medium" w:cs="Aharon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176C9"/>
    <w:multiLevelType w:val="hybridMultilevel"/>
    <w:tmpl w:val="AB84719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20913"/>
    <w:multiLevelType w:val="hybridMultilevel"/>
    <w:tmpl w:val="89AE7F70"/>
    <w:lvl w:ilvl="0" w:tplc="90904C96">
      <w:start w:val="1"/>
      <w:numFmt w:val="bullet"/>
      <w:lvlText w:val="@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E59D7"/>
    <w:multiLevelType w:val="hybridMultilevel"/>
    <w:tmpl w:val="BB903E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11572D"/>
    <w:multiLevelType w:val="hybridMultilevel"/>
    <w:tmpl w:val="27A2E8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328BD"/>
    <w:rsid w:val="0003578F"/>
    <w:rsid w:val="00081B43"/>
    <w:rsid w:val="00255FDC"/>
    <w:rsid w:val="0042720F"/>
    <w:rsid w:val="0046438E"/>
    <w:rsid w:val="0048323A"/>
    <w:rsid w:val="00617F76"/>
    <w:rsid w:val="007328BD"/>
    <w:rsid w:val="00841B2A"/>
    <w:rsid w:val="00944AE4"/>
    <w:rsid w:val="009B24DB"/>
    <w:rsid w:val="00A303C9"/>
    <w:rsid w:val="00A70107"/>
    <w:rsid w:val="00AE03D2"/>
    <w:rsid w:val="00B32235"/>
    <w:rsid w:val="00D55421"/>
    <w:rsid w:val="00DD5865"/>
    <w:rsid w:val="00DE3E5E"/>
    <w:rsid w:val="00DF48AA"/>
    <w:rsid w:val="00E8049B"/>
    <w:rsid w:val="00EC50E1"/>
    <w:rsid w:val="00FA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7"/>
        <o:r id="V:Rule4" type="connector" idref="#_x0000_s1031"/>
        <o:r id="V:Rule6" type="connector" idref="#_x0000_s1032"/>
        <o:r id="V:Rule8" type="connector" idref="#_x0000_s1033"/>
        <o:r id="V:Rule10" type="connector" idref="#_x0000_s1035"/>
        <o:r id="V:Rule12" type="connector" idref="#_x0000_s1036"/>
        <o:r id="V:Rule14" type="connector" idref="#_x0000_s1038"/>
        <o:r id="V:Rule16" type="connector" idref="#_x0000_s1040"/>
        <o:r id="V:Rule18" type="connector" idref="#_x0000_s1041"/>
        <o:r id="V:Rule20" type="connector" idref="#_x0000_s1042"/>
        <o:r id="V:Rule22" type="connector" idref="#_x0000_s1043"/>
        <o:r id="V:Rule26" type="connector" idref="#_x0000_s1046"/>
        <o:r id="V:Rule27" type="connector" idref="#_x0000_s1047"/>
        <o:r id="V:Rule29" type="connector" idref="#_x0000_s1058"/>
        <o:r id="V:Rule31" type="connector" idref="#_x0000_s1059"/>
        <o:r id="V:Rule32" type="connector" idref="#_x0000_s1060"/>
        <o:r id="V:Rule36" type="connector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8A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8B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328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28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328BD"/>
    <w:pPr>
      <w:ind w:left="720"/>
      <w:contextualSpacing/>
    </w:pPr>
  </w:style>
  <w:style w:type="table" w:styleId="TableGrid">
    <w:name w:val="Table Grid"/>
    <w:basedOn w:val="TableNormal"/>
    <w:uiPriority w:val="59"/>
    <w:rsid w:val="00081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081B4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081B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CCB049-7A4A-4522-A9E1-3D7E66FDEAE3}" type="doc">
      <dgm:prSet loTypeId="urn:microsoft.com/office/officeart/2005/8/layout/orgChart1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2561642-DAFC-4829-B162-716CBFFBDF42}">
      <dgm:prSet phldrT="[Text]"/>
      <dgm:spPr/>
      <dgm:t>
        <a:bodyPr/>
        <a:lstStyle/>
        <a:p>
          <a:r>
            <a:rPr lang="en-US" dirty="0" smtClean="0"/>
            <a:t>Types of EPS</a:t>
          </a:r>
          <a:endParaRPr lang="en-US" dirty="0"/>
        </a:p>
      </dgm:t>
    </dgm:pt>
    <dgm:pt modelId="{4EB0E6EA-D3E3-4360-9D86-763E15C10794}" type="parTrans" cxnId="{0D3320A5-6E69-492D-94B8-20A64B73F76B}">
      <dgm:prSet/>
      <dgm:spPr/>
      <dgm:t>
        <a:bodyPr/>
        <a:lstStyle/>
        <a:p>
          <a:endParaRPr lang="en-US"/>
        </a:p>
      </dgm:t>
    </dgm:pt>
    <dgm:pt modelId="{E8C42CC1-A15A-4ADC-8808-1C424386A544}" type="sibTrans" cxnId="{0D3320A5-6E69-492D-94B8-20A64B73F76B}">
      <dgm:prSet/>
      <dgm:spPr/>
      <dgm:t>
        <a:bodyPr/>
        <a:lstStyle/>
        <a:p>
          <a:endParaRPr lang="en-US"/>
        </a:p>
      </dgm:t>
    </dgm:pt>
    <dgm:pt modelId="{C9804DA5-C2D1-4FD8-B566-97C5534CCAF7}">
      <dgm:prSet phldrT="[Text]"/>
      <dgm:spPr/>
      <dgm:t>
        <a:bodyPr/>
        <a:lstStyle/>
        <a:p>
          <a:r>
            <a:rPr lang="en-US" dirty="0" smtClean="0"/>
            <a:t>Basic EPS</a:t>
          </a:r>
          <a:endParaRPr lang="en-US" dirty="0"/>
        </a:p>
      </dgm:t>
    </dgm:pt>
    <dgm:pt modelId="{AC0D0932-C464-4080-9252-FAC70BBFC95A}" type="parTrans" cxnId="{38A54969-7893-43F0-80AE-F1266DF0240F}">
      <dgm:prSet/>
      <dgm:spPr/>
      <dgm:t>
        <a:bodyPr/>
        <a:lstStyle/>
        <a:p>
          <a:endParaRPr lang="en-US"/>
        </a:p>
      </dgm:t>
    </dgm:pt>
    <dgm:pt modelId="{0819C023-9C3A-434D-BBA6-807FA3A58964}" type="sibTrans" cxnId="{38A54969-7893-43F0-80AE-F1266DF0240F}">
      <dgm:prSet/>
      <dgm:spPr/>
      <dgm:t>
        <a:bodyPr/>
        <a:lstStyle/>
        <a:p>
          <a:endParaRPr lang="en-US"/>
        </a:p>
      </dgm:t>
    </dgm:pt>
    <dgm:pt modelId="{D46321A5-6781-497A-B55C-8D405FBB498E}">
      <dgm:prSet phldrT="[Text]"/>
      <dgm:spPr/>
      <dgm:t>
        <a:bodyPr/>
        <a:lstStyle/>
        <a:p>
          <a:r>
            <a:rPr lang="en-US" dirty="0" smtClean="0"/>
            <a:t>Diluted EPS</a:t>
          </a:r>
          <a:endParaRPr lang="en-US" dirty="0"/>
        </a:p>
      </dgm:t>
    </dgm:pt>
    <dgm:pt modelId="{EBD5A71D-E032-4C84-9FEC-B0A26C532A2B}" type="parTrans" cxnId="{41AE2B04-B20B-43C4-BB00-AE705D6A407F}">
      <dgm:prSet/>
      <dgm:spPr/>
      <dgm:t>
        <a:bodyPr/>
        <a:lstStyle/>
        <a:p>
          <a:endParaRPr lang="en-US"/>
        </a:p>
      </dgm:t>
    </dgm:pt>
    <dgm:pt modelId="{03B63CAE-D009-4A10-9EFD-70EC1FAD38BF}" type="sibTrans" cxnId="{41AE2B04-B20B-43C4-BB00-AE705D6A407F}">
      <dgm:prSet/>
      <dgm:spPr/>
      <dgm:t>
        <a:bodyPr/>
        <a:lstStyle/>
        <a:p>
          <a:endParaRPr lang="en-US"/>
        </a:p>
      </dgm:t>
    </dgm:pt>
    <dgm:pt modelId="{2273480F-9616-48AD-8335-66ABE437CA18}" type="pres">
      <dgm:prSet presAssocID="{62CCB049-7A4A-4522-A9E1-3D7E66FDEAE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683C274-D35C-4B46-89F9-3F061C0B86F5}" type="pres">
      <dgm:prSet presAssocID="{42561642-DAFC-4829-B162-716CBFFBDF42}" presName="hierRoot1" presStyleCnt="0">
        <dgm:presLayoutVars>
          <dgm:hierBranch val="init"/>
        </dgm:presLayoutVars>
      </dgm:prSet>
      <dgm:spPr/>
    </dgm:pt>
    <dgm:pt modelId="{68EDBC6F-2F4E-489A-86B4-7BCDBF2534D6}" type="pres">
      <dgm:prSet presAssocID="{42561642-DAFC-4829-B162-716CBFFBDF42}" presName="rootComposite1" presStyleCnt="0"/>
      <dgm:spPr/>
    </dgm:pt>
    <dgm:pt modelId="{4EB51130-E66D-4A2B-AE66-A3E28472EF75}" type="pres">
      <dgm:prSet presAssocID="{42561642-DAFC-4829-B162-716CBFFBDF42}" presName="rootText1" presStyleLbl="node0" presStyleIdx="0" presStyleCnt="1" custScaleY="67243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en-US"/>
        </a:p>
      </dgm:t>
    </dgm:pt>
    <dgm:pt modelId="{44D61AD9-7FCB-4593-B1C0-FF1899B6859E}" type="pres">
      <dgm:prSet presAssocID="{42561642-DAFC-4829-B162-716CBFFBDF42}" presName="rootConnector1" presStyleLbl="node1" presStyleIdx="0" presStyleCnt="0"/>
      <dgm:spPr/>
      <dgm:t>
        <a:bodyPr/>
        <a:lstStyle/>
        <a:p>
          <a:endParaRPr lang="en-US"/>
        </a:p>
      </dgm:t>
    </dgm:pt>
    <dgm:pt modelId="{C4DC53E2-B46B-41AA-AD22-D2C3DC9BC6CE}" type="pres">
      <dgm:prSet presAssocID="{42561642-DAFC-4829-B162-716CBFFBDF42}" presName="hierChild2" presStyleCnt="0"/>
      <dgm:spPr/>
    </dgm:pt>
    <dgm:pt modelId="{BAD4AC83-511F-467B-A51A-302EB823C434}" type="pres">
      <dgm:prSet presAssocID="{AC0D0932-C464-4080-9252-FAC70BBFC95A}" presName="Name37" presStyleLbl="parChTrans1D2" presStyleIdx="0" presStyleCnt="2"/>
      <dgm:spPr/>
      <dgm:t>
        <a:bodyPr/>
        <a:lstStyle/>
        <a:p>
          <a:endParaRPr lang="en-US"/>
        </a:p>
      </dgm:t>
    </dgm:pt>
    <dgm:pt modelId="{CF56C4B6-9269-4C5F-BF23-BCC098FE5328}" type="pres">
      <dgm:prSet presAssocID="{C9804DA5-C2D1-4FD8-B566-97C5534CCAF7}" presName="hierRoot2" presStyleCnt="0">
        <dgm:presLayoutVars>
          <dgm:hierBranch val="init"/>
        </dgm:presLayoutVars>
      </dgm:prSet>
      <dgm:spPr/>
    </dgm:pt>
    <dgm:pt modelId="{94B0F7E7-8A54-4861-93C5-545D2A9157E9}" type="pres">
      <dgm:prSet presAssocID="{C9804DA5-C2D1-4FD8-B566-97C5534CCAF7}" presName="rootComposite" presStyleCnt="0"/>
      <dgm:spPr/>
    </dgm:pt>
    <dgm:pt modelId="{16C36947-5FF4-420C-9740-7DDC8D2E4593}" type="pres">
      <dgm:prSet presAssocID="{C9804DA5-C2D1-4FD8-B566-97C5534CCAF7}" presName="rootText" presStyleLbl="node2" presStyleIdx="0" presStyleCnt="2" custScaleY="6272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CE39E58B-B725-4557-8326-7FAB4853CD11}" type="pres">
      <dgm:prSet presAssocID="{C9804DA5-C2D1-4FD8-B566-97C5534CCAF7}" presName="rootConnector" presStyleLbl="node2" presStyleIdx="0" presStyleCnt="2"/>
      <dgm:spPr/>
      <dgm:t>
        <a:bodyPr/>
        <a:lstStyle/>
        <a:p>
          <a:endParaRPr lang="en-US"/>
        </a:p>
      </dgm:t>
    </dgm:pt>
    <dgm:pt modelId="{AFBD962F-0506-4566-8307-6CAEE2B6926D}" type="pres">
      <dgm:prSet presAssocID="{C9804DA5-C2D1-4FD8-B566-97C5534CCAF7}" presName="hierChild4" presStyleCnt="0"/>
      <dgm:spPr/>
    </dgm:pt>
    <dgm:pt modelId="{2C403BD9-E58F-4777-B8BA-6B9C99560648}" type="pres">
      <dgm:prSet presAssocID="{C9804DA5-C2D1-4FD8-B566-97C5534CCAF7}" presName="hierChild5" presStyleCnt="0"/>
      <dgm:spPr/>
    </dgm:pt>
    <dgm:pt modelId="{DF6C0061-528A-4072-A9C3-38DE54B2586D}" type="pres">
      <dgm:prSet presAssocID="{EBD5A71D-E032-4C84-9FEC-B0A26C532A2B}" presName="Name37" presStyleLbl="parChTrans1D2" presStyleIdx="1" presStyleCnt="2"/>
      <dgm:spPr/>
      <dgm:t>
        <a:bodyPr/>
        <a:lstStyle/>
        <a:p>
          <a:endParaRPr lang="en-US"/>
        </a:p>
      </dgm:t>
    </dgm:pt>
    <dgm:pt modelId="{133C1E77-12DB-4199-967D-5C898156407C}" type="pres">
      <dgm:prSet presAssocID="{D46321A5-6781-497A-B55C-8D405FBB498E}" presName="hierRoot2" presStyleCnt="0">
        <dgm:presLayoutVars>
          <dgm:hierBranch val="init"/>
        </dgm:presLayoutVars>
      </dgm:prSet>
      <dgm:spPr/>
    </dgm:pt>
    <dgm:pt modelId="{BAD9B861-E537-4872-A194-5C21BACE455C}" type="pres">
      <dgm:prSet presAssocID="{D46321A5-6781-497A-B55C-8D405FBB498E}" presName="rootComposite" presStyleCnt="0"/>
      <dgm:spPr/>
    </dgm:pt>
    <dgm:pt modelId="{285C8FCF-F91D-4556-BC5A-4186B8E61BBC}" type="pres">
      <dgm:prSet presAssocID="{D46321A5-6781-497A-B55C-8D405FBB498E}" presName="rootText" presStyleLbl="node2" presStyleIdx="1" presStyleCnt="2" custScaleY="6272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5EA18926-DD46-4EDC-A3BC-FD542E2143FA}" type="pres">
      <dgm:prSet presAssocID="{D46321A5-6781-497A-B55C-8D405FBB498E}" presName="rootConnector" presStyleLbl="node2" presStyleIdx="1" presStyleCnt="2"/>
      <dgm:spPr/>
      <dgm:t>
        <a:bodyPr/>
        <a:lstStyle/>
        <a:p>
          <a:endParaRPr lang="en-US"/>
        </a:p>
      </dgm:t>
    </dgm:pt>
    <dgm:pt modelId="{FB13C6BD-F643-468B-92BC-CC5FFD8899EF}" type="pres">
      <dgm:prSet presAssocID="{D46321A5-6781-497A-B55C-8D405FBB498E}" presName="hierChild4" presStyleCnt="0"/>
      <dgm:spPr/>
    </dgm:pt>
    <dgm:pt modelId="{AD0B61A7-FF77-499F-9622-D6F2C3C28983}" type="pres">
      <dgm:prSet presAssocID="{D46321A5-6781-497A-B55C-8D405FBB498E}" presName="hierChild5" presStyleCnt="0"/>
      <dgm:spPr/>
    </dgm:pt>
    <dgm:pt modelId="{9A193509-9DE7-42D1-B5E5-948F1BB2CAB7}" type="pres">
      <dgm:prSet presAssocID="{42561642-DAFC-4829-B162-716CBFFBDF42}" presName="hierChild3" presStyleCnt="0"/>
      <dgm:spPr/>
    </dgm:pt>
  </dgm:ptLst>
  <dgm:cxnLst>
    <dgm:cxn modelId="{4C3BE8C8-E0A3-49B3-92EF-D0636476900E}" type="presOf" srcId="{C9804DA5-C2D1-4FD8-B566-97C5534CCAF7}" destId="{16C36947-5FF4-420C-9740-7DDC8D2E4593}" srcOrd="0" destOrd="0" presId="urn:microsoft.com/office/officeart/2005/8/layout/orgChart1"/>
    <dgm:cxn modelId="{DF677043-2EC5-4B12-BC2A-8900921209B7}" type="presOf" srcId="{EBD5A71D-E032-4C84-9FEC-B0A26C532A2B}" destId="{DF6C0061-528A-4072-A9C3-38DE54B2586D}" srcOrd="0" destOrd="0" presId="urn:microsoft.com/office/officeart/2005/8/layout/orgChart1"/>
    <dgm:cxn modelId="{6C50417E-6207-4B62-B337-C8F889EB1ACB}" type="presOf" srcId="{D46321A5-6781-497A-B55C-8D405FBB498E}" destId="{5EA18926-DD46-4EDC-A3BC-FD542E2143FA}" srcOrd="1" destOrd="0" presId="urn:microsoft.com/office/officeart/2005/8/layout/orgChart1"/>
    <dgm:cxn modelId="{4FC6A652-C2CB-40E6-905A-2F9EC4B9A3B7}" type="presOf" srcId="{AC0D0932-C464-4080-9252-FAC70BBFC95A}" destId="{BAD4AC83-511F-467B-A51A-302EB823C434}" srcOrd="0" destOrd="0" presId="urn:microsoft.com/office/officeart/2005/8/layout/orgChart1"/>
    <dgm:cxn modelId="{0D3320A5-6E69-492D-94B8-20A64B73F76B}" srcId="{62CCB049-7A4A-4522-A9E1-3D7E66FDEAE3}" destId="{42561642-DAFC-4829-B162-716CBFFBDF42}" srcOrd="0" destOrd="0" parTransId="{4EB0E6EA-D3E3-4360-9D86-763E15C10794}" sibTransId="{E8C42CC1-A15A-4ADC-8808-1C424386A544}"/>
    <dgm:cxn modelId="{41AE2B04-B20B-43C4-BB00-AE705D6A407F}" srcId="{42561642-DAFC-4829-B162-716CBFFBDF42}" destId="{D46321A5-6781-497A-B55C-8D405FBB498E}" srcOrd="1" destOrd="0" parTransId="{EBD5A71D-E032-4C84-9FEC-B0A26C532A2B}" sibTransId="{03B63CAE-D009-4A10-9EFD-70EC1FAD38BF}"/>
    <dgm:cxn modelId="{6063008C-6657-4882-8FB0-D71AA552448B}" type="presOf" srcId="{62CCB049-7A4A-4522-A9E1-3D7E66FDEAE3}" destId="{2273480F-9616-48AD-8335-66ABE437CA18}" srcOrd="0" destOrd="0" presId="urn:microsoft.com/office/officeart/2005/8/layout/orgChart1"/>
    <dgm:cxn modelId="{ECC6D4C5-6F45-4078-A812-59CCFB33525F}" type="presOf" srcId="{D46321A5-6781-497A-B55C-8D405FBB498E}" destId="{285C8FCF-F91D-4556-BC5A-4186B8E61BBC}" srcOrd="0" destOrd="0" presId="urn:microsoft.com/office/officeart/2005/8/layout/orgChart1"/>
    <dgm:cxn modelId="{53CC69CD-E0FD-4568-B7D2-CA20D2D4050F}" type="presOf" srcId="{42561642-DAFC-4829-B162-716CBFFBDF42}" destId="{4EB51130-E66D-4A2B-AE66-A3E28472EF75}" srcOrd="0" destOrd="0" presId="urn:microsoft.com/office/officeart/2005/8/layout/orgChart1"/>
    <dgm:cxn modelId="{368E513C-A0F5-486F-A950-11C6D47200AC}" type="presOf" srcId="{C9804DA5-C2D1-4FD8-B566-97C5534CCAF7}" destId="{CE39E58B-B725-4557-8326-7FAB4853CD11}" srcOrd="1" destOrd="0" presId="urn:microsoft.com/office/officeart/2005/8/layout/orgChart1"/>
    <dgm:cxn modelId="{38A54969-7893-43F0-80AE-F1266DF0240F}" srcId="{42561642-DAFC-4829-B162-716CBFFBDF42}" destId="{C9804DA5-C2D1-4FD8-B566-97C5534CCAF7}" srcOrd="0" destOrd="0" parTransId="{AC0D0932-C464-4080-9252-FAC70BBFC95A}" sibTransId="{0819C023-9C3A-434D-BBA6-807FA3A58964}"/>
    <dgm:cxn modelId="{A737F5ED-0F6E-4564-82FD-88F144F640B5}" type="presOf" srcId="{42561642-DAFC-4829-B162-716CBFFBDF42}" destId="{44D61AD9-7FCB-4593-B1C0-FF1899B6859E}" srcOrd="1" destOrd="0" presId="urn:microsoft.com/office/officeart/2005/8/layout/orgChart1"/>
    <dgm:cxn modelId="{E56DAC66-03B7-4DD2-ADB3-0B478B597698}" type="presParOf" srcId="{2273480F-9616-48AD-8335-66ABE437CA18}" destId="{9683C274-D35C-4B46-89F9-3F061C0B86F5}" srcOrd="0" destOrd="0" presId="urn:microsoft.com/office/officeart/2005/8/layout/orgChart1"/>
    <dgm:cxn modelId="{0A8700BE-B8F4-4959-A270-93176662575D}" type="presParOf" srcId="{9683C274-D35C-4B46-89F9-3F061C0B86F5}" destId="{68EDBC6F-2F4E-489A-86B4-7BCDBF2534D6}" srcOrd="0" destOrd="0" presId="urn:microsoft.com/office/officeart/2005/8/layout/orgChart1"/>
    <dgm:cxn modelId="{5F6DA6E7-F272-4B4B-AB5E-F7F2143E2435}" type="presParOf" srcId="{68EDBC6F-2F4E-489A-86B4-7BCDBF2534D6}" destId="{4EB51130-E66D-4A2B-AE66-A3E28472EF75}" srcOrd="0" destOrd="0" presId="urn:microsoft.com/office/officeart/2005/8/layout/orgChart1"/>
    <dgm:cxn modelId="{24B9EE56-99A5-4D8B-A135-49CD8783E824}" type="presParOf" srcId="{68EDBC6F-2F4E-489A-86B4-7BCDBF2534D6}" destId="{44D61AD9-7FCB-4593-B1C0-FF1899B6859E}" srcOrd="1" destOrd="0" presId="urn:microsoft.com/office/officeart/2005/8/layout/orgChart1"/>
    <dgm:cxn modelId="{1CC3A775-BA7C-42F4-A33C-DAE22818F483}" type="presParOf" srcId="{9683C274-D35C-4B46-89F9-3F061C0B86F5}" destId="{C4DC53E2-B46B-41AA-AD22-D2C3DC9BC6CE}" srcOrd="1" destOrd="0" presId="urn:microsoft.com/office/officeart/2005/8/layout/orgChart1"/>
    <dgm:cxn modelId="{7C12B8C8-5E4E-4CBC-87B1-9E08FF9BF82D}" type="presParOf" srcId="{C4DC53E2-B46B-41AA-AD22-D2C3DC9BC6CE}" destId="{BAD4AC83-511F-467B-A51A-302EB823C434}" srcOrd="0" destOrd="0" presId="urn:microsoft.com/office/officeart/2005/8/layout/orgChart1"/>
    <dgm:cxn modelId="{2AFBD352-C1C9-4C51-B32B-7A3CC341287A}" type="presParOf" srcId="{C4DC53E2-B46B-41AA-AD22-D2C3DC9BC6CE}" destId="{CF56C4B6-9269-4C5F-BF23-BCC098FE5328}" srcOrd="1" destOrd="0" presId="urn:microsoft.com/office/officeart/2005/8/layout/orgChart1"/>
    <dgm:cxn modelId="{EBCFE5FF-BA6B-4C79-84EA-1D609C6DB4B9}" type="presParOf" srcId="{CF56C4B6-9269-4C5F-BF23-BCC098FE5328}" destId="{94B0F7E7-8A54-4861-93C5-545D2A9157E9}" srcOrd="0" destOrd="0" presId="urn:microsoft.com/office/officeart/2005/8/layout/orgChart1"/>
    <dgm:cxn modelId="{4963E463-6D79-4163-8BEC-87E45BC14292}" type="presParOf" srcId="{94B0F7E7-8A54-4861-93C5-545D2A9157E9}" destId="{16C36947-5FF4-420C-9740-7DDC8D2E4593}" srcOrd="0" destOrd="0" presId="urn:microsoft.com/office/officeart/2005/8/layout/orgChart1"/>
    <dgm:cxn modelId="{0F74CD12-F0C0-4C16-8E31-8FD802B5CC66}" type="presParOf" srcId="{94B0F7E7-8A54-4861-93C5-545D2A9157E9}" destId="{CE39E58B-B725-4557-8326-7FAB4853CD11}" srcOrd="1" destOrd="0" presId="urn:microsoft.com/office/officeart/2005/8/layout/orgChart1"/>
    <dgm:cxn modelId="{38B7F2B6-DCD4-420A-A29B-DFF8A53E4B0E}" type="presParOf" srcId="{CF56C4B6-9269-4C5F-BF23-BCC098FE5328}" destId="{AFBD962F-0506-4566-8307-6CAEE2B6926D}" srcOrd="1" destOrd="0" presId="urn:microsoft.com/office/officeart/2005/8/layout/orgChart1"/>
    <dgm:cxn modelId="{CD5B7149-F857-490A-9EA3-CA7F966C2221}" type="presParOf" srcId="{CF56C4B6-9269-4C5F-BF23-BCC098FE5328}" destId="{2C403BD9-E58F-4777-B8BA-6B9C99560648}" srcOrd="2" destOrd="0" presId="urn:microsoft.com/office/officeart/2005/8/layout/orgChart1"/>
    <dgm:cxn modelId="{30DCEF73-343E-4483-9CC2-B0F7FCF6E599}" type="presParOf" srcId="{C4DC53E2-B46B-41AA-AD22-D2C3DC9BC6CE}" destId="{DF6C0061-528A-4072-A9C3-38DE54B2586D}" srcOrd="2" destOrd="0" presId="urn:microsoft.com/office/officeart/2005/8/layout/orgChart1"/>
    <dgm:cxn modelId="{B75E174A-B4D4-4B21-AF95-BB81CDE2426A}" type="presParOf" srcId="{C4DC53E2-B46B-41AA-AD22-D2C3DC9BC6CE}" destId="{133C1E77-12DB-4199-967D-5C898156407C}" srcOrd="3" destOrd="0" presId="urn:microsoft.com/office/officeart/2005/8/layout/orgChart1"/>
    <dgm:cxn modelId="{BD48F3A6-BEBE-47AF-81EA-B3B5E4E12CD4}" type="presParOf" srcId="{133C1E77-12DB-4199-967D-5C898156407C}" destId="{BAD9B861-E537-4872-A194-5C21BACE455C}" srcOrd="0" destOrd="0" presId="urn:microsoft.com/office/officeart/2005/8/layout/orgChart1"/>
    <dgm:cxn modelId="{7BBB6B71-ABB6-480F-BC9E-32D71A988CC7}" type="presParOf" srcId="{BAD9B861-E537-4872-A194-5C21BACE455C}" destId="{285C8FCF-F91D-4556-BC5A-4186B8E61BBC}" srcOrd="0" destOrd="0" presId="urn:microsoft.com/office/officeart/2005/8/layout/orgChart1"/>
    <dgm:cxn modelId="{3621980F-8504-4837-844B-D276F719C84D}" type="presParOf" srcId="{BAD9B861-E537-4872-A194-5C21BACE455C}" destId="{5EA18926-DD46-4EDC-A3BC-FD542E2143FA}" srcOrd="1" destOrd="0" presId="urn:microsoft.com/office/officeart/2005/8/layout/orgChart1"/>
    <dgm:cxn modelId="{55E1A35F-3078-43B9-BAE7-63CD94BA2A60}" type="presParOf" srcId="{133C1E77-12DB-4199-967D-5C898156407C}" destId="{FB13C6BD-F643-468B-92BC-CC5FFD8899EF}" srcOrd="1" destOrd="0" presId="urn:microsoft.com/office/officeart/2005/8/layout/orgChart1"/>
    <dgm:cxn modelId="{CFCFEC13-41E1-49B1-9918-055BCE7392F2}" type="presParOf" srcId="{133C1E77-12DB-4199-967D-5C898156407C}" destId="{AD0B61A7-FF77-499F-9622-D6F2C3C28983}" srcOrd="2" destOrd="0" presId="urn:microsoft.com/office/officeart/2005/8/layout/orgChart1"/>
    <dgm:cxn modelId="{0468997C-063A-44ED-B518-059B12933EB7}" type="presParOf" srcId="{9683C274-D35C-4B46-89F9-3F061C0B86F5}" destId="{9A193509-9DE7-42D1-B5E5-948F1BB2CAB7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DE23-33A3-4250-889C-63AE4AF5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2012-10-10T11:43:00Z</dcterms:created>
  <dcterms:modified xsi:type="dcterms:W3CDTF">2012-10-10T15:52:00Z</dcterms:modified>
</cp:coreProperties>
</file>