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8F" w:rsidRPr="001C608F" w:rsidRDefault="001C608F">
      <w:pPr>
        <w:rPr>
          <w:b/>
          <w:sz w:val="24"/>
        </w:rPr>
      </w:pPr>
      <w:r w:rsidRPr="001C608F">
        <w:rPr>
          <w:b/>
          <w:sz w:val="24"/>
        </w:rPr>
        <w:t>Greetings  of  the  Day  to  all  the  members  of  CCI  Family.</w:t>
      </w:r>
    </w:p>
    <w:p w:rsidR="00FC19A2" w:rsidRPr="001C608F" w:rsidRDefault="001C608F">
      <w:pPr>
        <w:rPr>
          <w:b/>
          <w:sz w:val="24"/>
        </w:rPr>
      </w:pPr>
      <w:r w:rsidRPr="001C608F">
        <w:rPr>
          <w:b/>
          <w:sz w:val="24"/>
        </w:rPr>
        <w:t>So as promised I am back with the Part – 2 of my series i.e. “Finalization of Balance Sheet”.</w:t>
      </w:r>
    </w:p>
    <w:p w:rsidR="004739A3" w:rsidRDefault="001C608F">
      <w:pPr>
        <w:rPr>
          <w:b/>
          <w:sz w:val="24"/>
        </w:rPr>
      </w:pPr>
      <w:r w:rsidRPr="001C608F">
        <w:rPr>
          <w:b/>
          <w:sz w:val="24"/>
        </w:rPr>
        <w:t xml:space="preserve">The link for my previous Article </w:t>
      </w:r>
      <w:r w:rsidR="004739A3">
        <w:rPr>
          <w:b/>
          <w:sz w:val="24"/>
        </w:rPr>
        <w:t>is given below -</w:t>
      </w:r>
    </w:p>
    <w:p w:rsidR="001C608F" w:rsidRPr="001C608F" w:rsidRDefault="001C608F">
      <w:pPr>
        <w:rPr>
          <w:b/>
          <w:sz w:val="24"/>
        </w:rPr>
      </w:pPr>
      <w:hyperlink r:id="rId6" w:anchor=".UHM0g5jMhh4" w:history="1">
        <w:r w:rsidRPr="001C608F">
          <w:rPr>
            <w:rStyle w:val="Hyperlink"/>
            <w:b/>
            <w:sz w:val="24"/>
            <w:u w:val="none"/>
          </w:rPr>
          <w:t>“Finalization of Balance Sheet”</w:t>
        </w:r>
      </w:hyperlink>
    </w:p>
    <w:p w:rsidR="001C608F" w:rsidRDefault="001C608F">
      <w:pPr>
        <w:rPr>
          <w:b/>
        </w:rPr>
      </w:pPr>
    </w:p>
    <w:p w:rsidR="001C608F" w:rsidRDefault="001C608F">
      <w:pPr>
        <w:rPr>
          <w:b/>
          <w:u w:val="single"/>
        </w:rPr>
      </w:pPr>
      <w:r w:rsidRPr="001C608F">
        <w:rPr>
          <w:b/>
          <w:u w:val="single"/>
        </w:rPr>
        <w:t xml:space="preserve">INTRODUCTION </w:t>
      </w:r>
      <w:r>
        <w:rPr>
          <w:b/>
          <w:u w:val="single"/>
        </w:rPr>
        <w:t>–</w:t>
      </w:r>
    </w:p>
    <w:p w:rsidR="001C608F" w:rsidRPr="001C608F" w:rsidRDefault="001C608F" w:rsidP="001C608F">
      <w:pPr>
        <w:pStyle w:val="ListParagraph"/>
        <w:numPr>
          <w:ilvl w:val="0"/>
          <w:numId w:val="1"/>
        </w:numPr>
        <w:rPr>
          <w:b/>
        </w:rPr>
      </w:pPr>
      <w:r w:rsidRPr="001C608F">
        <w:rPr>
          <w:b/>
          <w:sz w:val="24"/>
        </w:rPr>
        <w:t xml:space="preserve">First </w:t>
      </w:r>
      <w:r>
        <w:rPr>
          <w:b/>
          <w:sz w:val="24"/>
        </w:rPr>
        <w:t>of all in this Article I will be taking up th</w:t>
      </w:r>
      <w:r w:rsidR="00D24416">
        <w:rPr>
          <w:b/>
          <w:sz w:val="24"/>
        </w:rPr>
        <w:t>e queries raised by all of you relating to my previous Article.</w:t>
      </w:r>
    </w:p>
    <w:p w:rsidR="001C608F" w:rsidRPr="001C608F" w:rsidRDefault="001C608F" w:rsidP="001C608F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sz w:val="24"/>
        </w:rPr>
        <w:t xml:space="preserve">And to add on will be discussing about some more issues arising while </w:t>
      </w:r>
      <w:r w:rsidR="004739A3">
        <w:rPr>
          <w:b/>
          <w:sz w:val="24"/>
        </w:rPr>
        <w:t>finalizing</w:t>
      </w:r>
      <w:r>
        <w:rPr>
          <w:b/>
          <w:sz w:val="24"/>
        </w:rPr>
        <w:t xml:space="preserve"> the B/Sheet.</w:t>
      </w:r>
    </w:p>
    <w:p w:rsidR="001C608F" w:rsidRDefault="001C608F" w:rsidP="001C608F">
      <w:pPr>
        <w:rPr>
          <w:b/>
        </w:rPr>
      </w:pPr>
    </w:p>
    <w:p w:rsidR="001C608F" w:rsidRDefault="001C608F" w:rsidP="001C608F">
      <w:pPr>
        <w:rPr>
          <w:b/>
          <w:u w:val="single"/>
        </w:rPr>
      </w:pPr>
      <w:r w:rsidRPr="001C608F">
        <w:rPr>
          <w:b/>
          <w:u w:val="single"/>
        </w:rPr>
        <w:t xml:space="preserve">SCOPE </w:t>
      </w:r>
      <w:r>
        <w:rPr>
          <w:b/>
          <w:u w:val="single"/>
        </w:rPr>
        <w:t>–</w:t>
      </w:r>
    </w:p>
    <w:p w:rsidR="001C608F" w:rsidRDefault="001C608F" w:rsidP="001C608F">
      <w:pPr>
        <w:pStyle w:val="ListParagraph"/>
        <w:numPr>
          <w:ilvl w:val="0"/>
          <w:numId w:val="4"/>
        </w:numPr>
        <w:rPr>
          <w:b/>
          <w:sz w:val="24"/>
        </w:rPr>
      </w:pPr>
      <w:r w:rsidRPr="001C608F">
        <w:rPr>
          <w:b/>
          <w:sz w:val="24"/>
        </w:rPr>
        <w:t xml:space="preserve">Queries </w:t>
      </w:r>
      <w:r>
        <w:rPr>
          <w:b/>
          <w:sz w:val="24"/>
        </w:rPr>
        <w:t>in Relation to “Cash &amp; Cash Equivalents”</w:t>
      </w:r>
      <w:r w:rsidR="005541B4">
        <w:rPr>
          <w:b/>
          <w:sz w:val="24"/>
        </w:rPr>
        <w:t xml:space="preserve"> &amp;</w:t>
      </w:r>
      <w:r>
        <w:rPr>
          <w:b/>
          <w:sz w:val="24"/>
        </w:rPr>
        <w:t xml:space="preserve"> “Provision for Taxation”</w:t>
      </w:r>
      <w:r w:rsidR="005541B4">
        <w:rPr>
          <w:b/>
          <w:sz w:val="24"/>
        </w:rPr>
        <w:t xml:space="preserve"> </w:t>
      </w:r>
    </w:p>
    <w:p w:rsidR="001C608F" w:rsidRDefault="001C608F" w:rsidP="001C608F">
      <w:pPr>
        <w:pStyle w:val="ListParagraph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Trade Receivables</w:t>
      </w:r>
    </w:p>
    <w:p w:rsidR="001C608F" w:rsidRDefault="001C608F" w:rsidP="001C608F">
      <w:pPr>
        <w:pStyle w:val="ListParagraph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Prior Period Items</w:t>
      </w:r>
    </w:p>
    <w:p w:rsidR="00396E00" w:rsidRDefault="00396E00" w:rsidP="001C608F">
      <w:pPr>
        <w:pStyle w:val="ListParagraph"/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Share Capital</w:t>
      </w:r>
    </w:p>
    <w:p w:rsidR="001C608F" w:rsidRDefault="001C608F" w:rsidP="001C608F">
      <w:pPr>
        <w:rPr>
          <w:b/>
          <w:sz w:val="24"/>
        </w:rPr>
      </w:pPr>
    </w:p>
    <w:p w:rsidR="001C608F" w:rsidRDefault="001C608F" w:rsidP="001C608F">
      <w:pPr>
        <w:rPr>
          <w:b/>
          <w:sz w:val="28"/>
        </w:rPr>
      </w:pPr>
      <w:r>
        <w:rPr>
          <w:b/>
          <w:sz w:val="28"/>
        </w:rPr>
        <w:t xml:space="preserve">                  </w:t>
      </w:r>
      <w:r w:rsidRPr="001C608F">
        <w:rPr>
          <w:b/>
          <w:sz w:val="28"/>
        </w:rPr>
        <w:t>FINALIZATION OF BALANCE SHEET (PART – 2)</w:t>
      </w:r>
    </w:p>
    <w:p w:rsidR="004739A3" w:rsidRDefault="004739A3" w:rsidP="001C608F">
      <w:pPr>
        <w:rPr>
          <w:b/>
          <w:sz w:val="28"/>
        </w:rPr>
      </w:pPr>
    </w:p>
    <w:p w:rsidR="004739A3" w:rsidRDefault="004739A3" w:rsidP="001C608F">
      <w:pPr>
        <w:rPr>
          <w:b/>
          <w:sz w:val="28"/>
        </w:rPr>
      </w:pPr>
      <w:r w:rsidRPr="004739A3">
        <w:rPr>
          <w:b/>
          <w:sz w:val="28"/>
          <w:u w:val="single"/>
        </w:rPr>
        <w:t xml:space="preserve">FIXED DEPOSITS </w:t>
      </w:r>
      <w:r>
        <w:rPr>
          <w:b/>
          <w:sz w:val="28"/>
          <w:u w:val="single"/>
        </w:rPr>
        <w:t>–</w:t>
      </w:r>
    </w:p>
    <w:p w:rsidR="004739A3" w:rsidRDefault="004739A3" w:rsidP="004739A3">
      <w:pPr>
        <w:pStyle w:val="ListParagraph"/>
        <w:rPr>
          <w:b/>
          <w:sz w:val="24"/>
        </w:rPr>
      </w:pPr>
    </w:p>
    <w:p w:rsidR="004739A3" w:rsidRDefault="004739A3" w:rsidP="004739A3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t>In the previous Article I saw many queries as well as suggestions in relation to Fixed Deposits.</w:t>
      </w:r>
    </w:p>
    <w:p w:rsidR="004739A3" w:rsidRDefault="004739A3" w:rsidP="004739A3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t>Many suggested that if the maturity is between 3 – 12 months, then it should be shown under the Head “Cash &amp; Cash Equivalents” Otherwise under “Non - Current Assets”.</w:t>
      </w:r>
    </w:p>
    <w:p w:rsidR="004739A3" w:rsidRDefault="004739A3" w:rsidP="004739A3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t>As I have said in the previous Article also this point will create confusion, so it should be discussed.</w:t>
      </w:r>
    </w:p>
    <w:p w:rsidR="004739A3" w:rsidRDefault="004739A3" w:rsidP="004739A3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lastRenderedPageBreak/>
        <w:t>The Answer to the above query is it will be shown under the Head “Cash &amp; Cash Equivalents” even if the maturity is above 3- 12 Months or above 1 Year.</w:t>
      </w:r>
    </w:p>
    <w:p w:rsidR="004739A3" w:rsidRDefault="004739A3" w:rsidP="004739A3">
      <w:pPr>
        <w:pStyle w:val="ListParagraph"/>
        <w:numPr>
          <w:ilvl w:val="0"/>
          <w:numId w:val="7"/>
        </w:numPr>
        <w:rPr>
          <w:b/>
          <w:sz w:val="24"/>
        </w:rPr>
      </w:pPr>
      <w:r>
        <w:rPr>
          <w:b/>
          <w:sz w:val="24"/>
        </w:rPr>
        <w:t>It will be represented in the Following manner.</w:t>
      </w:r>
    </w:p>
    <w:p w:rsidR="004739A3" w:rsidRDefault="004739A3" w:rsidP="004739A3">
      <w:pPr>
        <w:pStyle w:val="ListParagraph"/>
        <w:rPr>
          <w:b/>
          <w:sz w:val="24"/>
        </w:rPr>
      </w:pPr>
    </w:p>
    <w:p w:rsidR="004739A3" w:rsidRDefault="004739A3" w:rsidP="004739A3">
      <w:pPr>
        <w:pStyle w:val="ListParagraph"/>
        <w:rPr>
          <w:b/>
          <w:sz w:val="24"/>
          <w:u w:val="single"/>
        </w:rPr>
      </w:pPr>
      <w:r w:rsidRPr="004739A3">
        <w:rPr>
          <w:b/>
          <w:sz w:val="24"/>
          <w:u w:val="single"/>
        </w:rPr>
        <w:t>CASH &amp; CASH EQUIVALENTS</w:t>
      </w:r>
    </w:p>
    <w:p w:rsidR="004739A3" w:rsidRPr="004739A3" w:rsidRDefault="004739A3" w:rsidP="004739A3">
      <w:pPr>
        <w:pStyle w:val="ListParagraph"/>
        <w:rPr>
          <w:b/>
          <w:sz w:val="24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68"/>
        <w:gridCol w:w="1530"/>
      </w:tblGrid>
      <w:tr w:rsidR="00654270" w:rsidTr="00654270">
        <w:tc>
          <w:tcPr>
            <w:tcW w:w="4068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530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</w:tr>
      <w:tr w:rsidR="00654270" w:rsidTr="00654270">
        <w:tc>
          <w:tcPr>
            <w:tcW w:w="4068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CASH</w:t>
            </w:r>
          </w:p>
        </w:tc>
        <w:tc>
          <w:tcPr>
            <w:tcW w:w="1530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Rs.1,00,000</w:t>
            </w:r>
          </w:p>
        </w:tc>
      </w:tr>
      <w:tr w:rsidR="00654270" w:rsidTr="00654270">
        <w:tc>
          <w:tcPr>
            <w:tcW w:w="4068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BANK BALANCE WITH XYZ BANK</w:t>
            </w:r>
          </w:p>
        </w:tc>
        <w:tc>
          <w:tcPr>
            <w:tcW w:w="1530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Rs.50,0000</w:t>
            </w:r>
          </w:p>
        </w:tc>
      </w:tr>
      <w:tr w:rsidR="00654270" w:rsidTr="00654270">
        <w:tc>
          <w:tcPr>
            <w:tcW w:w="4068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FIXED DEPOSIT WITH ABC BANK</w:t>
            </w:r>
          </w:p>
        </w:tc>
        <w:tc>
          <w:tcPr>
            <w:tcW w:w="1530" w:type="dxa"/>
          </w:tcPr>
          <w:p w:rsidR="00654270" w:rsidRDefault="00654270" w:rsidP="004739A3">
            <w:pPr>
              <w:pStyle w:val="ListParagraph"/>
              <w:ind w:left="0"/>
              <w:rPr>
                <w:b/>
                <w:sz w:val="24"/>
              </w:rPr>
            </w:pPr>
          </w:p>
        </w:tc>
      </w:tr>
      <w:tr w:rsidR="00654270" w:rsidTr="00654270">
        <w:tc>
          <w:tcPr>
            <w:tcW w:w="4068" w:type="dxa"/>
          </w:tcPr>
          <w:p w:rsidR="00654270" w:rsidRDefault="00654270" w:rsidP="0065427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3 – 12 MONTHS</w:t>
            </w:r>
          </w:p>
        </w:tc>
        <w:tc>
          <w:tcPr>
            <w:tcW w:w="1530" w:type="dxa"/>
          </w:tcPr>
          <w:p w:rsidR="00654270" w:rsidRDefault="00654270" w:rsidP="00DA2BF4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10,00,0000</w:t>
            </w:r>
          </w:p>
        </w:tc>
      </w:tr>
      <w:tr w:rsidR="00654270" w:rsidTr="00654270">
        <w:tc>
          <w:tcPr>
            <w:tcW w:w="4068" w:type="dxa"/>
          </w:tcPr>
          <w:p w:rsidR="00654270" w:rsidRDefault="00654270" w:rsidP="00654270">
            <w:pPr>
              <w:pStyle w:val="ListParagraph"/>
              <w:numPr>
                <w:ilvl w:val="0"/>
                <w:numId w:val="8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MORE THAN 12 MONTHS</w:t>
            </w:r>
          </w:p>
        </w:tc>
        <w:tc>
          <w:tcPr>
            <w:tcW w:w="1530" w:type="dxa"/>
          </w:tcPr>
          <w:p w:rsidR="00654270" w:rsidRDefault="00654270" w:rsidP="00DA2BF4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15,00,0000</w:t>
            </w:r>
          </w:p>
        </w:tc>
      </w:tr>
    </w:tbl>
    <w:p w:rsidR="004739A3" w:rsidRPr="004739A3" w:rsidRDefault="004739A3" w:rsidP="004739A3">
      <w:pPr>
        <w:pStyle w:val="ListParagraph"/>
        <w:rPr>
          <w:b/>
          <w:sz w:val="24"/>
        </w:rPr>
      </w:pPr>
    </w:p>
    <w:p w:rsidR="001C608F" w:rsidRDefault="00654270" w:rsidP="001C608F">
      <w:pPr>
        <w:rPr>
          <w:b/>
          <w:sz w:val="28"/>
          <w:u w:val="single"/>
        </w:rPr>
      </w:pPr>
      <w:r w:rsidRPr="00654270">
        <w:rPr>
          <w:b/>
          <w:sz w:val="28"/>
          <w:u w:val="single"/>
        </w:rPr>
        <w:t xml:space="preserve">PROVISION FOR TAXATION </w:t>
      </w:r>
      <w:r>
        <w:rPr>
          <w:b/>
          <w:sz w:val="28"/>
          <w:u w:val="single"/>
        </w:rPr>
        <w:t>–</w:t>
      </w:r>
    </w:p>
    <w:p w:rsidR="00654270" w:rsidRDefault="00654270" w:rsidP="001C608F">
      <w:pPr>
        <w:rPr>
          <w:b/>
          <w:sz w:val="28"/>
          <w:u w:val="single"/>
        </w:rPr>
      </w:pPr>
    </w:p>
    <w:p w:rsidR="00654270" w:rsidRDefault="00654270" w:rsidP="00654270">
      <w:pPr>
        <w:pStyle w:val="ListParagraph"/>
        <w:numPr>
          <w:ilvl w:val="0"/>
          <w:numId w:val="9"/>
        </w:numPr>
        <w:rPr>
          <w:b/>
          <w:sz w:val="24"/>
        </w:rPr>
      </w:pPr>
      <w:r w:rsidRPr="00654270">
        <w:rPr>
          <w:b/>
          <w:sz w:val="24"/>
        </w:rPr>
        <w:t>In the previous Article what I observed was</w:t>
      </w:r>
      <w:r>
        <w:rPr>
          <w:b/>
          <w:sz w:val="24"/>
        </w:rPr>
        <w:t xml:space="preserve"> students getting confused that How I have made the Provision of Rs.1, 70,000.</w:t>
      </w:r>
    </w:p>
    <w:p w:rsidR="00654270" w:rsidRDefault="00654270" w:rsidP="00654270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b/>
          <w:sz w:val="24"/>
        </w:rPr>
        <w:t xml:space="preserve">So to bring more clarity to the concept </w:t>
      </w:r>
      <w:proofErr w:type="spellStart"/>
      <w:r>
        <w:rPr>
          <w:b/>
          <w:sz w:val="24"/>
        </w:rPr>
        <w:t>i</w:t>
      </w:r>
      <w:proofErr w:type="spellEnd"/>
      <w:r>
        <w:rPr>
          <w:b/>
          <w:sz w:val="24"/>
        </w:rPr>
        <w:t xml:space="preserve"> will like to tell all of you that Provisions are made on the Basis of an estimate &amp; not accurately.</w:t>
      </w:r>
    </w:p>
    <w:p w:rsidR="00654270" w:rsidRDefault="00654270" w:rsidP="00654270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b/>
          <w:sz w:val="24"/>
        </w:rPr>
        <w:t>So as In the F.Y 2011-12 our Current Liability came Rs.1</w:t>
      </w:r>
      <w:proofErr w:type="gramStart"/>
      <w:r>
        <w:rPr>
          <w:b/>
          <w:sz w:val="24"/>
        </w:rPr>
        <w:t>,50,000</w:t>
      </w:r>
      <w:proofErr w:type="gramEnd"/>
      <w:r>
        <w:rPr>
          <w:b/>
          <w:sz w:val="24"/>
        </w:rPr>
        <w:t>, so just on the basis of an estimate we made a Provision of Rs.1,50,000.</w:t>
      </w:r>
    </w:p>
    <w:p w:rsidR="00654270" w:rsidRDefault="00654270" w:rsidP="00654270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b/>
          <w:sz w:val="24"/>
        </w:rPr>
        <w:t>It could have been any other Amount.</w:t>
      </w:r>
    </w:p>
    <w:p w:rsidR="00654270" w:rsidRDefault="00654270" w:rsidP="00654270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b/>
          <w:sz w:val="24"/>
        </w:rPr>
        <w:t>It will be represented by the Following entry –</w:t>
      </w:r>
    </w:p>
    <w:p w:rsidR="00654270" w:rsidRDefault="00654270" w:rsidP="0065427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654270" w:rsidRDefault="00654270" w:rsidP="0065427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              P&amp;L Account Dr.</w:t>
      </w:r>
    </w:p>
    <w:p w:rsidR="00654270" w:rsidRDefault="00654270" w:rsidP="0065427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                    To Provision for Tax</w:t>
      </w:r>
    </w:p>
    <w:p w:rsidR="005541B4" w:rsidRDefault="005541B4" w:rsidP="005541B4">
      <w:pPr>
        <w:rPr>
          <w:b/>
          <w:sz w:val="24"/>
        </w:rPr>
      </w:pPr>
    </w:p>
    <w:p w:rsidR="005541B4" w:rsidRDefault="005541B4" w:rsidP="005541B4">
      <w:pPr>
        <w:rPr>
          <w:b/>
          <w:sz w:val="24"/>
        </w:rPr>
      </w:pPr>
      <w:r w:rsidRPr="005541B4">
        <w:rPr>
          <w:b/>
          <w:sz w:val="24"/>
          <w:u w:val="single"/>
        </w:rPr>
        <w:t xml:space="preserve">PRIOR PERIOD ITEMS </w:t>
      </w:r>
      <w:r>
        <w:rPr>
          <w:b/>
          <w:sz w:val="24"/>
          <w:u w:val="single"/>
        </w:rPr>
        <w:t>–</w:t>
      </w:r>
    </w:p>
    <w:p w:rsidR="005541B4" w:rsidRDefault="005541B4" w:rsidP="005541B4">
      <w:pPr>
        <w:rPr>
          <w:b/>
          <w:sz w:val="24"/>
        </w:rPr>
      </w:pPr>
    </w:p>
    <w:p w:rsidR="005541B4" w:rsidRDefault="005541B4" w:rsidP="005541B4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First of all let’s understand the meaning of the term.</w:t>
      </w:r>
    </w:p>
    <w:p w:rsidR="005541B4" w:rsidRDefault="00DA2BF4" w:rsidP="005541B4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Prior period expenses are those expenses which arise in the current period as a result of errors or omissions in the preparation of one or more Financial Statements.</w:t>
      </w:r>
    </w:p>
    <w:p w:rsidR="00DA2BF4" w:rsidRDefault="00DA2BF4" w:rsidP="005541B4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Always remember the following two points –</w:t>
      </w:r>
    </w:p>
    <w:p w:rsidR="00DA2BF4" w:rsidRDefault="00DA2BF4" w:rsidP="00DA2BF4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A separate disclosure should be given at the Foot Note of P&amp;L Account.</w:t>
      </w:r>
    </w:p>
    <w:p w:rsidR="00DA2BF4" w:rsidRDefault="00D112E8" w:rsidP="00DA2BF4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And what I have noticed is students while preparing Computations forgets to disallow the Prior Period Expenses.</w:t>
      </w:r>
    </w:p>
    <w:p w:rsidR="001C608F" w:rsidRDefault="00D112E8" w:rsidP="001756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So it will be represented in the following manner –</w:t>
      </w:r>
    </w:p>
    <w:p w:rsidR="001756E5" w:rsidRDefault="001756E5" w:rsidP="001756E5">
      <w:pPr>
        <w:rPr>
          <w:b/>
          <w:sz w:val="24"/>
          <w:u w:val="single"/>
        </w:rPr>
      </w:pPr>
      <w:r w:rsidRPr="001756E5">
        <w:rPr>
          <w:b/>
          <w:sz w:val="24"/>
          <w:u w:val="single"/>
        </w:rPr>
        <w:t xml:space="preserve">COMPUTATION OF INCOME </w:t>
      </w:r>
      <w:r>
        <w:rPr>
          <w:b/>
          <w:sz w:val="24"/>
          <w:u w:val="single"/>
        </w:rPr>
        <w:t>–</w:t>
      </w:r>
    </w:p>
    <w:p w:rsidR="001756E5" w:rsidRPr="001756E5" w:rsidRDefault="001756E5" w:rsidP="001756E5">
      <w:pPr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561"/>
        <w:gridCol w:w="1459"/>
      </w:tblGrid>
      <w:tr w:rsidR="001756E5" w:rsidTr="001756E5">
        <w:tc>
          <w:tcPr>
            <w:tcW w:w="828" w:type="dxa"/>
          </w:tcPr>
          <w:p w:rsidR="001756E5" w:rsidRDefault="001756E5" w:rsidP="001756E5">
            <w:pPr>
              <w:rPr>
                <w:b/>
                <w:sz w:val="24"/>
              </w:rPr>
            </w:pPr>
          </w:p>
        </w:tc>
        <w:tc>
          <w:tcPr>
            <w:tcW w:w="5561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INCOME FROM BUSINESS</w:t>
            </w:r>
          </w:p>
        </w:tc>
        <w:tc>
          <w:tcPr>
            <w:tcW w:w="1459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590544.63</w:t>
            </w:r>
          </w:p>
        </w:tc>
      </w:tr>
      <w:tr w:rsidR="001756E5" w:rsidTr="001756E5">
        <w:tc>
          <w:tcPr>
            <w:tcW w:w="828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ADD :</w:t>
            </w:r>
          </w:p>
        </w:tc>
        <w:tc>
          <w:tcPr>
            <w:tcW w:w="5561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DEPRECIATION AS PER CO.’S ACT</w:t>
            </w:r>
          </w:p>
        </w:tc>
        <w:tc>
          <w:tcPr>
            <w:tcW w:w="1459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25043</w:t>
            </w:r>
          </w:p>
        </w:tc>
      </w:tr>
      <w:tr w:rsidR="001756E5" w:rsidTr="001756E5">
        <w:tc>
          <w:tcPr>
            <w:tcW w:w="828" w:type="dxa"/>
          </w:tcPr>
          <w:p w:rsidR="001756E5" w:rsidRDefault="001756E5" w:rsidP="001756E5">
            <w:pPr>
              <w:rPr>
                <w:b/>
                <w:sz w:val="24"/>
              </w:rPr>
            </w:pPr>
          </w:p>
        </w:tc>
        <w:tc>
          <w:tcPr>
            <w:tcW w:w="5561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PRIOR PERIOD EXPENSES</w:t>
            </w:r>
          </w:p>
        </w:tc>
        <w:tc>
          <w:tcPr>
            <w:tcW w:w="1459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15876</w:t>
            </w:r>
          </w:p>
        </w:tc>
      </w:tr>
      <w:tr w:rsidR="001756E5" w:rsidTr="001756E5">
        <w:tc>
          <w:tcPr>
            <w:tcW w:w="828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LESS :</w:t>
            </w:r>
          </w:p>
        </w:tc>
        <w:tc>
          <w:tcPr>
            <w:tcW w:w="5561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DEPRECIATION AS PER IT ACT</w:t>
            </w:r>
          </w:p>
        </w:tc>
        <w:tc>
          <w:tcPr>
            <w:tcW w:w="1459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18765</w:t>
            </w:r>
          </w:p>
        </w:tc>
      </w:tr>
      <w:tr w:rsidR="001756E5" w:rsidTr="001756E5">
        <w:tc>
          <w:tcPr>
            <w:tcW w:w="828" w:type="dxa"/>
          </w:tcPr>
          <w:p w:rsidR="001756E5" w:rsidRDefault="001756E5" w:rsidP="001756E5">
            <w:pPr>
              <w:rPr>
                <w:b/>
                <w:sz w:val="24"/>
              </w:rPr>
            </w:pPr>
          </w:p>
        </w:tc>
        <w:tc>
          <w:tcPr>
            <w:tcW w:w="5561" w:type="dxa"/>
          </w:tcPr>
          <w:p w:rsidR="001756E5" w:rsidRDefault="001756E5" w:rsidP="001756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TAXABLE INCOME</w:t>
            </w:r>
          </w:p>
        </w:tc>
        <w:tc>
          <w:tcPr>
            <w:tcW w:w="1459" w:type="dxa"/>
          </w:tcPr>
          <w:p w:rsidR="001756E5" w:rsidRDefault="001756E5" w:rsidP="001756E5">
            <w:pPr>
              <w:rPr>
                <w:b/>
                <w:sz w:val="24"/>
              </w:rPr>
            </w:pPr>
          </w:p>
        </w:tc>
      </w:tr>
    </w:tbl>
    <w:p w:rsidR="001756E5" w:rsidRDefault="001756E5" w:rsidP="001756E5">
      <w:pPr>
        <w:rPr>
          <w:b/>
          <w:sz w:val="24"/>
        </w:rPr>
      </w:pPr>
    </w:p>
    <w:p w:rsidR="001756E5" w:rsidRDefault="001756E5" w:rsidP="001756E5">
      <w:pPr>
        <w:rPr>
          <w:b/>
          <w:sz w:val="24"/>
        </w:rPr>
      </w:pPr>
      <w:r w:rsidRPr="001756E5">
        <w:rPr>
          <w:b/>
          <w:sz w:val="24"/>
          <w:u w:val="single"/>
        </w:rPr>
        <w:t xml:space="preserve">REASON FOR DISALLOW </w:t>
      </w:r>
      <w:r>
        <w:rPr>
          <w:b/>
          <w:sz w:val="24"/>
          <w:u w:val="single"/>
        </w:rPr>
        <w:t>–</w:t>
      </w:r>
    </w:p>
    <w:p w:rsidR="001756E5" w:rsidRDefault="001756E5" w:rsidP="001756E5">
      <w:pPr>
        <w:rPr>
          <w:b/>
          <w:sz w:val="24"/>
        </w:rPr>
      </w:pPr>
    </w:p>
    <w:p w:rsidR="001756E5" w:rsidRDefault="001756E5" w:rsidP="001756E5">
      <w:pPr>
        <w:pStyle w:val="ListParagraph"/>
        <w:numPr>
          <w:ilvl w:val="0"/>
          <w:numId w:val="13"/>
        </w:numPr>
        <w:rPr>
          <w:b/>
          <w:sz w:val="24"/>
        </w:rPr>
      </w:pPr>
      <w:r>
        <w:rPr>
          <w:b/>
          <w:sz w:val="24"/>
        </w:rPr>
        <w:t xml:space="preserve">The logic is very clear, prior period expenses will be allowed in </w:t>
      </w:r>
      <w:r w:rsidR="00007539">
        <w:rPr>
          <w:b/>
          <w:sz w:val="24"/>
        </w:rPr>
        <w:t xml:space="preserve">the year to which they pertain &amp; </w:t>
      </w:r>
      <w:r>
        <w:rPr>
          <w:b/>
          <w:sz w:val="24"/>
        </w:rPr>
        <w:t>they violate the provision of Accrual.</w:t>
      </w:r>
    </w:p>
    <w:p w:rsidR="00007539" w:rsidRDefault="00007539" w:rsidP="001756E5">
      <w:pPr>
        <w:pStyle w:val="ListParagraph"/>
        <w:numPr>
          <w:ilvl w:val="0"/>
          <w:numId w:val="13"/>
        </w:numPr>
        <w:rPr>
          <w:b/>
          <w:sz w:val="24"/>
        </w:rPr>
      </w:pPr>
      <w:r>
        <w:rPr>
          <w:b/>
          <w:sz w:val="24"/>
        </w:rPr>
        <w:t>They will be allowed in the year to which they pertain.</w:t>
      </w:r>
    </w:p>
    <w:p w:rsidR="00007539" w:rsidRDefault="00007539" w:rsidP="00007539">
      <w:pPr>
        <w:rPr>
          <w:b/>
          <w:sz w:val="24"/>
        </w:rPr>
      </w:pPr>
    </w:p>
    <w:p w:rsidR="00007539" w:rsidRPr="00007539" w:rsidRDefault="00007539" w:rsidP="00007539">
      <w:pPr>
        <w:rPr>
          <w:b/>
          <w:sz w:val="24"/>
        </w:rPr>
      </w:pPr>
      <w:r w:rsidRPr="00007539">
        <w:rPr>
          <w:b/>
          <w:sz w:val="24"/>
          <w:u w:val="single"/>
        </w:rPr>
        <w:t>Trade Receivables -</w:t>
      </w:r>
    </w:p>
    <w:p w:rsidR="00007539" w:rsidRDefault="00007539" w:rsidP="00007539">
      <w:pPr>
        <w:rPr>
          <w:b/>
          <w:sz w:val="24"/>
        </w:rPr>
      </w:pPr>
    </w:p>
    <w:p w:rsidR="00007539" w:rsidRDefault="002508EB" w:rsidP="002508EB">
      <w:pPr>
        <w:pStyle w:val="ListParagraph"/>
        <w:numPr>
          <w:ilvl w:val="0"/>
          <w:numId w:val="14"/>
        </w:numPr>
        <w:rPr>
          <w:b/>
          <w:sz w:val="24"/>
        </w:rPr>
      </w:pPr>
      <w:r w:rsidRPr="002508EB">
        <w:rPr>
          <w:b/>
          <w:sz w:val="24"/>
        </w:rPr>
        <w:t>A receivable should be classified as trade receivable if it is in respect of the amount due on account of goods sold or services rendered in the normal course of business.</w:t>
      </w:r>
    </w:p>
    <w:p w:rsidR="002508EB" w:rsidRDefault="002508EB" w:rsidP="002508EB">
      <w:pPr>
        <w:pStyle w:val="ListParagraph"/>
        <w:numPr>
          <w:ilvl w:val="0"/>
          <w:numId w:val="14"/>
        </w:numPr>
        <w:rPr>
          <w:b/>
          <w:sz w:val="24"/>
        </w:rPr>
      </w:pPr>
      <w:r w:rsidRPr="002508EB">
        <w:rPr>
          <w:b/>
          <w:sz w:val="24"/>
        </w:rPr>
        <w:t xml:space="preserve">The Old Schedule VI required separate presentation of debtors outstanding for a period exceeding six months based on date on which the bill/invoice was raised whereas, the Revised Schedule VI requires separate disclosure of “trade receivables outstanding for a period </w:t>
      </w:r>
      <w:r w:rsidRPr="002508EB">
        <w:rPr>
          <w:b/>
          <w:sz w:val="24"/>
        </w:rPr>
        <w:t>Exceeding</w:t>
      </w:r>
      <w:r w:rsidRPr="002508EB">
        <w:rPr>
          <w:b/>
          <w:sz w:val="24"/>
        </w:rPr>
        <w:t xml:space="preserve"> six months from the date the bill/invoice is due for payment.”</w:t>
      </w:r>
    </w:p>
    <w:p w:rsidR="004E01BD" w:rsidRDefault="004E01BD" w:rsidP="002508EB">
      <w:pPr>
        <w:pStyle w:val="ListParagraph"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 xml:space="preserve">For Example if ABC Pvt. Ltd. sells good to Mr. X on credit for Rs.2500000 on 01.07.2011. But the actual date of payment was 01.08.2011. So as per Revised Schedule VI we will calculate the months starting from 01.08.2011 &amp; not from 01.07.2011. </w:t>
      </w:r>
    </w:p>
    <w:p w:rsidR="00396E00" w:rsidRDefault="00396E00" w:rsidP="002508EB">
      <w:pPr>
        <w:pStyle w:val="ListParagraph"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>So in the above example the said amount will be classified under the Head “More than 6 Months”.</w:t>
      </w:r>
    </w:p>
    <w:p w:rsidR="00396E00" w:rsidRDefault="00396E00" w:rsidP="00396E00">
      <w:pPr>
        <w:pStyle w:val="ListParagraph"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lastRenderedPageBreak/>
        <w:t xml:space="preserve">Also many of us forget to show the sub classification of Trade Receivables i.e. Doubtful, Considered </w:t>
      </w:r>
      <w:r w:rsidR="00045AF1">
        <w:rPr>
          <w:b/>
          <w:sz w:val="24"/>
        </w:rPr>
        <w:t>good</w:t>
      </w:r>
      <w:r>
        <w:rPr>
          <w:b/>
          <w:sz w:val="24"/>
        </w:rPr>
        <w:t xml:space="preserve"> &amp; Unsecured Considered Good.</w:t>
      </w:r>
    </w:p>
    <w:p w:rsidR="00FE4E61" w:rsidRDefault="00FE4E61" w:rsidP="00396E00">
      <w:pPr>
        <w:pStyle w:val="ListParagraph"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>It will be presented in the following manner -</w:t>
      </w:r>
    </w:p>
    <w:p w:rsidR="00045AF1" w:rsidRDefault="00045AF1" w:rsidP="00045AF1">
      <w:pPr>
        <w:pStyle w:val="ListParagraph"/>
        <w:rPr>
          <w:b/>
          <w:sz w:val="24"/>
        </w:rPr>
      </w:pPr>
    </w:p>
    <w:p w:rsidR="00045AF1" w:rsidRDefault="00045AF1" w:rsidP="00045AF1">
      <w:pPr>
        <w:pStyle w:val="ListParagraph"/>
        <w:rPr>
          <w:b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08"/>
        <w:gridCol w:w="1487"/>
      </w:tblGrid>
      <w:tr w:rsidR="00FE4E61" w:rsidTr="00FE4E61">
        <w:trPr>
          <w:trHeight w:val="422"/>
        </w:trPr>
        <w:tc>
          <w:tcPr>
            <w:tcW w:w="3708" w:type="dxa"/>
          </w:tcPr>
          <w:p w:rsidR="00FE4E61" w:rsidRDefault="00FE4E61" w:rsidP="00045AF1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TRADE RECEIVABLE (CONSIDERED GOOD OR DOUBTFUL)</w:t>
            </w:r>
          </w:p>
        </w:tc>
        <w:tc>
          <w:tcPr>
            <w:tcW w:w="1080" w:type="dxa"/>
          </w:tcPr>
          <w:p w:rsidR="00FE4E61" w:rsidRDefault="00FE4E61" w:rsidP="00045AF1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</w:tr>
      <w:tr w:rsidR="00FE4E61" w:rsidTr="00FE4E61">
        <w:tc>
          <w:tcPr>
            <w:tcW w:w="3708" w:type="dxa"/>
          </w:tcPr>
          <w:p w:rsidR="00FE4E61" w:rsidRDefault="00FE4E61" w:rsidP="00045AF1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EXCEEDING 6 MONTHSS</w:t>
            </w:r>
          </w:p>
        </w:tc>
        <w:tc>
          <w:tcPr>
            <w:tcW w:w="1080" w:type="dxa"/>
          </w:tcPr>
          <w:p w:rsidR="00FE4E61" w:rsidRDefault="00FE4E61" w:rsidP="00045AF1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Rs.5,00,000</w:t>
            </w:r>
          </w:p>
        </w:tc>
      </w:tr>
      <w:tr w:rsidR="00FE4E61" w:rsidTr="00FE4E61">
        <w:tc>
          <w:tcPr>
            <w:tcW w:w="3708" w:type="dxa"/>
          </w:tcPr>
          <w:p w:rsidR="00FE4E61" w:rsidRDefault="00FE4E61" w:rsidP="00045AF1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OTHERS</w:t>
            </w:r>
          </w:p>
        </w:tc>
        <w:tc>
          <w:tcPr>
            <w:tcW w:w="1080" w:type="dxa"/>
          </w:tcPr>
          <w:p w:rsidR="00FE4E61" w:rsidRDefault="00FE4E61" w:rsidP="00045AF1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Rs.10,00,887</w:t>
            </w:r>
          </w:p>
        </w:tc>
      </w:tr>
    </w:tbl>
    <w:p w:rsidR="00045AF1" w:rsidRDefault="00045AF1" w:rsidP="00045AF1">
      <w:pPr>
        <w:pStyle w:val="ListParagraph"/>
        <w:rPr>
          <w:b/>
          <w:sz w:val="24"/>
        </w:rPr>
      </w:pPr>
    </w:p>
    <w:p w:rsidR="00396E00" w:rsidRPr="00396E00" w:rsidRDefault="00396E00" w:rsidP="00396E00">
      <w:pPr>
        <w:pStyle w:val="ListParagraph"/>
        <w:rPr>
          <w:b/>
          <w:sz w:val="24"/>
        </w:rPr>
      </w:pPr>
    </w:p>
    <w:p w:rsidR="00396E00" w:rsidRDefault="00396E00" w:rsidP="00396E00">
      <w:pPr>
        <w:rPr>
          <w:b/>
          <w:sz w:val="24"/>
        </w:rPr>
      </w:pPr>
    </w:p>
    <w:p w:rsidR="00396E00" w:rsidRDefault="00396E00" w:rsidP="00396E00">
      <w:pPr>
        <w:rPr>
          <w:b/>
          <w:sz w:val="24"/>
        </w:rPr>
      </w:pPr>
      <w:r w:rsidRPr="00396E00">
        <w:rPr>
          <w:b/>
          <w:sz w:val="24"/>
          <w:u w:val="single"/>
        </w:rPr>
        <w:t xml:space="preserve">SHARE CAPITAL </w:t>
      </w:r>
      <w:r>
        <w:rPr>
          <w:b/>
          <w:sz w:val="24"/>
          <w:u w:val="single"/>
        </w:rPr>
        <w:t xml:space="preserve">– </w:t>
      </w:r>
    </w:p>
    <w:p w:rsidR="00396E00" w:rsidRDefault="00396E00" w:rsidP="00396E00">
      <w:pPr>
        <w:rPr>
          <w:b/>
          <w:sz w:val="24"/>
        </w:rPr>
      </w:pPr>
    </w:p>
    <w:p w:rsidR="00396E00" w:rsidRDefault="00396E00" w:rsidP="00396E0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In making the note of Share Capital we often forget to disclose the following discloser which can affect the Finalization Process.</w:t>
      </w:r>
    </w:p>
    <w:p w:rsidR="00396E00" w:rsidRDefault="00396E00" w:rsidP="00396E0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rStyle w:val="apple-converted-space"/>
          <w:rFonts w:ascii="Arial" w:hAnsi="Arial" w:cs="Arial"/>
          <w:color w:val="5E5E5E"/>
          <w:sz w:val="20"/>
          <w:szCs w:val="20"/>
          <w:shd w:val="clear" w:color="auto" w:fill="FFFFFF"/>
        </w:rPr>
        <w:t> </w:t>
      </w:r>
      <w:r w:rsidRPr="00396E00">
        <w:rPr>
          <w:b/>
          <w:sz w:val="24"/>
        </w:rPr>
        <w:t>Number of shares held by each shareholder holding more than 5% shares now needs to be disclosed. Such information will be based on shares held as on the balance sheet date.</w:t>
      </w:r>
    </w:p>
    <w:p w:rsidR="00396E00" w:rsidRPr="00396E00" w:rsidRDefault="00396E00" w:rsidP="00396E0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Also reconciliation needs to be shown for Shares outstanding at the Beginning with at the End of the Year.</w:t>
      </w:r>
    </w:p>
    <w:p w:rsidR="00396E00" w:rsidRDefault="00396E00" w:rsidP="00396E00">
      <w:pPr>
        <w:pStyle w:val="ListParagraph"/>
        <w:rPr>
          <w:b/>
          <w:sz w:val="24"/>
        </w:rPr>
      </w:pPr>
    </w:p>
    <w:p w:rsidR="00FE4E61" w:rsidRDefault="00FE4E61" w:rsidP="00396E00">
      <w:pPr>
        <w:pStyle w:val="ListParagraph"/>
        <w:rPr>
          <w:b/>
          <w:sz w:val="24"/>
        </w:rPr>
      </w:pPr>
    </w:p>
    <w:p w:rsidR="00FE4E61" w:rsidRDefault="00FE4E61" w:rsidP="00FE4E61">
      <w:pPr>
        <w:rPr>
          <w:b/>
          <w:sz w:val="24"/>
        </w:rPr>
      </w:pPr>
      <w:r>
        <w:rPr>
          <w:b/>
          <w:sz w:val="24"/>
        </w:rPr>
        <w:t>So it brings end to my Article.</w:t>
      </w:r>
    </w:p>
    <w:p w:rsidR="00FE4E61" w:rsidRDefault="00FE4E61" w:rsidP="00FE4E61">
      <w:pPr>
        <w:rPr>
          <w:b/>
          <w:sz w:val="24"/>
        </w:rPr>
      </w:pPr>
      <w:r>
        <w:rPr>
          <w:b/>
          <w:sz w:val="24"/>
        </w:rPr>
        <w:t>I hope that you all will find it useful.</w:t>
      </w:r>
    </w:p>
    <w:p w:rsidR="00FE4E61" w:rsidRDefault="00FE4E61" w:rsidP="00FE4E61">
      <w:pPr>
        <w:rPr>
          <w:b/>
          <w:sz w:val="24"/>
        </w:rPr>
      </w:pPr>
      <w:r>
        <w:rPr>
          <w:b/>
          <w:sz w:val="24"/>
        </w:rPr>
        <w:t>Thanks &amp; Regards</w:t>
      </w:r>
    </w:p>
    <w:p w:rsidR="00FE4E61" w:rsidRPr="00FE4E61" w:rsidRDefault="00FE4E61" w:rsidP="00FE4E61">
      <w:pPr>
        <w:rPr>
          <w:b/>
          <w:sz w:val="24"/>
        </w:rPr>
      </w:pPr>
      <w:proofErr w:type="spellStart"/>
      <w:r>
        <w:rPr>
          <w:b/>
          <w:sz w:val="24"/>
        </w:rPr>
        <w:t>Sanyam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Arora</w:t>
      </w:r>
      <w:bookmarkStart w:id="0" w:name="_GoBack"/>
      <w:bookmarkEnd w:id="0"/>
      <w:proofErr w:type="spellEnd"/>
    </w:p>
    <w:sectPr w:rsidR="00FE4E61" w:rsidRPr="00FE4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E85"/>
    <w:multiLevelType w:val="hybridMultilevel"/>
    <w:tmpl w:val="0CE89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650B2"/>
    <w:multiLevelType w:val="hybridMultilevel"/>
    <w:tmpl w:val="E76EE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94388E"/>
    <w:multiLevelType w:val="hybridMultilevel"/>
    <w:tmpl w:val="C138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840AE"/>
    <w:multiLevelType w:val="hybridMultilevel"/>
    <w:tmpl w:val="22465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A2B4B"/>
    <w:multiLevelType w:val="hybridMultilevel"/>
    <w:tmpl w:val="4E8CA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702CD"/>
    <w:multiLevelType w:val="hybridMultilevel"/>
    <w:tmpl w:val="56C09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A49EC"/>
    <w:multiLevelType w:val="hybridMultilevel"/>
    <w:tmpl w:val="01266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80E8C"/>
    <w:multiLevelType w:val="hybridMultilevel"/>
    <w:tmpl w:val="9BD85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E2045"/>
    <w:multiLevelType w:val="hybridMultilevel"/>
    <w:tmpl w:val="08446A04"/>
    <w:lvl w:ilvl="0" w:tplc="6298CA30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C1430CD"/>
    <w:multiLevelType w:val="hybridMultilevel"/>
    <w:tmpl w:val="D4B84EA0"/>
    <w:lvl w:ilvl="0" w:tplc="0409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>
    <w:nsid w:val="6993730D"/>
    <w:multiLevelType w:val="hybridMultilevel"/>
    <w:tmpl w:val="EEC0F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F2CDD"/>
    <w:multiLevelType w:val="hybridMultilevel"/>
    <w:tmpl w:val="BA6E8C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3E23C0"/>
    <w:multiLevelType w:val="hybridMultilevel"/>
    <w:tmpl w:val="7994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A3D90"/>
    <w:multiLevelType w:val="hybridMultilevel"/>
    <w:tmpl w:val="20A0F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023B17"/>
    <w:multiLevelType w:val="hybridMultilevel"/>
    <w:tmpl w:val="508436B8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6"/>
  </w:num>
  <w:num w:numId="11">
    <w:abstractNumId w:val="14"/>
  </w:num>
  <w:num w:numId="12">
    <w:abstractNumId w:val="9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00"/>
    <w:rsid w:val="00007539"/>
    <w:rsid w:val="00045AF1"/>
    <w:rsid w:val="00075F00"/>
    <w:rsid w:val="000D1480"/>
    <w:rsid w:val="001756E5"/>
    <w:rsid w:val="001C608F"/>
    <w:rsid w:val="002508EB"/>
    <w:rsid w:val="00396E00"/>
    <w:rsid w:val="004739A3"/>
    <w:rsid w:val="004E01BD"/>
    <w:rsid w:val="005541B4"/>
    <w:rsid w:val="00654270"/>
    <w:rsid w:val="00D112E8"/>
    <w:rsid w:val="00D24416"/>
    <w:rsid w:val="00DA2BF4"/>
    <w:rsid w:val="00FC19A2"/>
    <w:rsid w:val="00FE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0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608F"/>
    <w:pPr>
      <w:ind w:left="720"/>
      <w:contextualSpacing/>
    </w:pPr>
  </w:style>
  <w:style w:type="table" w:styleId="TableGrid">
    <w:name w:val="Table Grid"/>
    <w:basedOn w:val="TableNormal"/>
    <w:uiPriority w:val="59"/>
    <w:rsid w:val="00473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396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0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608F"/>
    <w:pPr>
      <w:ind w:left="720"/>
      <w:contextualSpacing/>
    </w:pPr>
  </w:style>
  <w:style w:type="table" w:styleId="TableGrid">
    <w:name w:val="Table Grid"/>
    <w:basedOn w:val="TableNormal"/>
    <w:uiPriority w:val="59"/>
    <w:rsid w:val="00473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39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clubindia.com/articles/finalization-of-balance-sheet-practical-aspect--15257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2012-10-09T18:43:00Z</dcterms:created>
  <dcterms:modified xsi:type="dcterms:W3CDTF">2012-10-09T18:43:00Z</dcterms:modified>
</cp:coreProperties>
</file>