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C08" w:rsidRDefault="00F36C08" w:rsidP="00F36C08">
      <w:pPr>
        <w:jc w:val="center"/>
        <w:rPr>
          <w:sz w:val="28"/>
          <w:szCs w:val="28"/>
          <w:u w:val="single"/>
        </w:rPr>
      </w:pPr>
      <w:r w:rsidRPr="00F36C08">
        <w:rPr>
          <w:sz w:val="28"/>
          <w:szCs w:val="28"/>
          <w:u w:val="single"/>
        </w:rPr>
        <w:t xml:space="preserve">Revised Schedule VI – </w:t>
      </w:r>
      <w:proofErr w:type="gramStart"/>
      <w:r w:rsidRPr="00F36C08">
        <w:rPr>
          <w:sz w:val="28"/>
          <w:szCs w:val="28"/>
          <w:u w:val="single"/>
        </w:rPr>
        <w:t>A step Towards</w:t>
      </w:r>
      <w:proofErr w:type="gramEnd"/>
      <w:r w:rsidRPr="00F36C08">
        <w:rPr>
          <w:sz w:val="28"/>
          <w:szCs w:val="28"/>
          <w:u w:val="single"/>
        </w:rPr>
        <w:t xml:space="preserve"> IFRS</w:t>
      </w:r>
    </w:p>
    <w:p w:rsidR="000B2FE0" w:rsidRPr="00E222D1" w:rsidRDefault="00F36C08" w:rsidP="00F36C08">
      <w:pPr>
        <w:spacing w:line="240" w:lineRule="auto"/>
        <w:rPr>
          <w:sz w:val="24"/>
          <w:szCs w:val="24"/>
        </w:rPr>
      </w:pPr>
      <w:r w:rsidRPr="00E222D1">
        <w:rPr>
          <w:sz w:val="24"/>
          <w:szCs w:val="24"/>
        </w:rPr>
        <w:t>Let me start with an example, An Indian Subsidiary of a UK company had a December end group and local reporting, for which it had to prepare a UK GAAP and Indian GAAP accounts respectively. Since the parent was planning to list in US, it also had to prepare US GAAP accounts. For Indian Tax purposes separate financial statements were prepared closing at March end. Since UK is now moving to IFRS, the Indian subsidiary was in the process of converting its UK GAAP accounts to IFRS. To top up the problem quarterly accounts were also required to be prepared under the various GAAPs. This is not fictional and true for many Multi-national companies and a CFOs worst nightmare.</w:t>
      </w:r>
      <w:r w:rsidR="000B2FE0" w:rsidRPr="00E222D1">
        <w:rPr>
          <w:sz w:val="24"/>
          <w:szCs w:val="24"/>
        </w:rPr>
        <w:t xml:space="preserve"> </w:t>
      </w:r>
    </w:p>
    <w:p w:rsidR="000B2FE0" w:rsidRPr="00E222D1" w:rsidRDefault="000B2FE0" w:rsidP="00F36C08">
      <w:pPr>
        <w:spacing w:line="240" w:lineRule="auto"/>
        <w:rPr>
          <w:sz w:val="24"/>
          <w:szCs w:val="24"/>
        </w:rPr>
      </w:pPr>
      <w:r w:rsidRPr="00E222D1">
        <w:rPr>
          <w:sz w:val="24"/>
          <w:szCs w:val="24"/>
        </w:rPr>
        <w:t>To understand this topic we need to understand answers to</w:t>
      </w:r>
      <w:r w:rsidR="00FC01DE">
        <w:rPr>
          <w:sz w:val="24"/>
          <w:szCs w:val="24"/>
        </w:rPr>
        <w:t xml:space="preserve"> the following</w:t>
      </w:r>
      <w:r w:rsidRPr="00E222D1">
        <w:rPr>
          <w:sz w:val="24"/>
          <w:szCs w:val="24"/>
        </w:rPr>
        <w:t xml:space="preserve"> three questions –</w:t>
      </w:r>
    </w:p>
    <w:p w:rsidR="000B2FE0" w:rsidRPr="00E222D1" w:rsidRDefault="000B2FE0" w:rsidP="000B2FE0">
      <w:pPr>
        <w:pStyle w:val="ListParagraph"/>
        <w:numPr>
          <w:ilvl w:val="0"/>
          <w:numId w:val="1"/>
        </w:numPr>
        <w:spacing w:line="240" w:lineRule="auto"/>
        <w:rPr>
          <w:sz w:val="24"/>
          <w:szCs w:val="24"/>
        </w:rPr>
      </w:pPr>
      <w:r w:rsidRPr="00E222D1">
        <w:rPr>
          <w:sz w:val="24"/>
          <w:szCs w:val="24"/>
        </w:rPr>
        <w:t>What is Revised Schedule VI?</w:t>
      </w:r>
    </w:p>
    <w:p w:rsidR="000B2FE0" w:rsidRPr="00E222D1" w:rsidRDefault="000B2FE0" w:rsidP="000B2FE0">
      <w:pPr>
        <w:pStyle w:val="ListParagraph"/>
        <w:numPr>
          <w:ilvl w:val="0"/>
          <w:numId w:val="1"/>
        </w:numPr>
        <w:spacing w:line="240" w:lineRule="auto"/>
        <w:rPr>
          <w:sz w:val="24"/>
          <w:szCs w:val="24"/>
        </w:rPr>
      </w:pPr>
      <w:r w:rsidRPr="00E222D1">
        <w:rPr>
          <w:sz w:val="24"/>
          <w:szCs w:val="24"/>
        </w:rPr>
        <w:t>What is IFRS?</w:t>
      </w:r>
    </w:p>
    <w:p w:rsidR="00322D31" w:rsidRPr="00E222D1" w:rsidRDefault="000B2FE0" w:rsidP="00322D31">
      <w:pPr>
        <w:pStyle w:val="ListParagraph"/>
        <w:numPr>
          <w:ilvl w:val="0"/>
          <w:numId w:val="1"/>
        </w:numPr>
        <w:spacing w:line="240" w:lineRule="auto"/>
        <w:rPr>
          <w:sz w:val="24"/>
          <w:szCs w:val="24"/>
        </w:rPr>
      </w:pPr>
      <w:r w:rsidRPr="00E222D1">
        <w:rPr>
          <w:sz w:val="24"/>
          <w:szCs w:val="24"/>
        </w:rPr>
        <w:t>Why do we need to adopt IFRS?</w:t>
      </w:r>
    </w:p>
    <w:p w:rsidR="000B2FE0" w:rsidRPr="00E222D1" w:rsidRDefault="003C787B" w:rsidP="000B2FE0">
      <w:pPr>
        <w:spacing w:line="240" w:lineRule="auto"/>
        <w:rPr>
          <w:sz w:val="24"/>
          <w:szCs w:val="24"/>
        </w:rPr>
      </w:pPr>
      <w:r w:rsidRPr="00E222D1">
        <w:rPr>
          <w:sz w:val="24"/>
          <w:szCs w:val="24"/>
        </w:rPr>
        <w:t xml:space="preserve">I will start from the bottom. </w:t>
      </w:r>
      <w:r w:rsidR="000B2FE0" w:rsidRPr="00E222D1">
        <w:rPr>
          <w:sz w:val="24"/>
          <w:szCs w:val="24"/>
        </w:rPr>
        <w:t xml:space="preserve">The example was just to make you understand the situation </w:t>
      </w:r>
      <w:proofErr w:type="gramStart"/>
      <w:r w:rsidR="000B2FE0" w:rsidRPr="00E222D1">
        <w:rPr>
          <w:sz w:val="24"/>
          <w:szCs w:val="24"/>
        </w:rPr>
        <w:t xml:space="preserve">of a </w:t>
      </w:r>
      <w:proofErr w:type="spellStart"/>
      <w:r w:rsidR="000B2FE0" w:rsidRPr="00E222D1">
        <w:rPr>
          <w:sz w:val="24"/>
          <w:szCs w:val="24"/>
        </w:rPr>
        <w:t>Mult</w:t>
      </w:r>
      <w:proofErr w:type="spellEnd"/>
      <w:r w:rsidR="000B2FE0" w:rsidRPr="00E222D1">
        <w:rPr>
          <w:sz w:val="24"/>
          <w:szCs w:val="24"/>
        </w:rPr>
        <w:t>-national companies</w:t>
      </w:r>
      <w:proofErr w:type="gramEnd"/>
      <w:r w:rsidR="000B2FE0" w:rsidRPr="00E222D1">
        <w:rPr>
          <w:sz w:val="24"/>
          <w:szCs w:val="24"/>
        </w:rPr>
        <w:t xml:space="preserve"> situated in India. Today </w:t>
      </w:r>
      <w:proofErr w:type="gramStart"/>
      <w:r w:rsidR="000B2FE0" w:rsidRPr="00E222D1">
        <w:rPr>
          <w:sz w:val="24"/>
          <w:szCs w:val="24"/>
        </w:rPr>
        <w:t>different financial statements all over the world speaks</w:t>
      </w:r>
      <w:proofErr w:type="gramEnd"/>
      <w:r w:rsidR="000B2FE0" w:rsidRPr="00E222D1">
        <w:rPr>
          <w:sz w:val="24"/>
          <w:szCs w:val="24"/>
        </w:rPr>
        <w:t xml:space="preserve"> different languages. I will give u another example. If I have to plan a trip to China,</w:t>
      </w:r>
      <w:r w:rsidR="00670F57" w:rsidRPr="00E222D1">
        <w:rPr>
          <w:sz w:val="24"/>
          <w:szCs w:val="24"/>
        </w:rPr>
        <w:t xml:space="preserve"> I will definitely have to hire a guide because</w:t>
      </w:r>
      <w:r w:rsidR="000B2FE0" w:rsidRPr="00E222D1">
        <w:rPr>
          <w:sz w:val="24"/>
          <w:szCs w:val="24"/>
        </w:rPr>
        <w:t xml:space="preserve"> I don’t </w:t>
      </w:r>
      <w:r w:rsidR="00670F57" w:rsidRPr="00E222D1">
        <w:rPr>
          <w:sz w:val="24"/>
          <w:szCs w:val="24"/>
        </w:rPr>
        <w:t>understand</w:t>
      </w:r>
      <w:r w:rsidR="000B2FE0" w:rsidRPr="00E222D1">
        <w:rPr>
          <w:sz w:val="24"/>
          <w:szCs w:val="24"/>
        </w:rPr>
        <w:t xml:space="preserve"> Cantonese. Now imagine if Chinese also had to speak English I would have saved on my cost</w:t>
      </w:r>
      <w:r w:rsidR="00670F57" w:rsidRPr="00E222D1">
        <w:rPr>
          <w:sz w:val="24"/>
          <w:szCs w:val="24"/>
        </w:rPr>
        <w:t xml:space="preserve"> of hiring a guide and I would have explored China better than what I could have in the present scenario. Same is the Indian Accounting Scenario. With the emergence of multinational corporations and rapid increase in Cross border transactions, it is essential that our financial statements speak global language for attracting foreign fu</w:t>
      </w:r>
      <w:r w:rsidRPr="00E222D1">
        <w:rPr>
          <w:sz w:val="24"/>
          <w:szCs w:val="24"/>
        </w:rPr>
        <w:t>nds into India.</w:t>
      </w:r>
      <w:r w:rsidR="00440B6B" w:rsidRPr="00E222D1">
        <w:rPr>
          <w:sz w:val="24"/>
          <w:szCs w:val="24"/>
        </w:rPr>
        <w:t xml:space="preserve"> Use of different national accounting standards make</w:t>
      </w:r>
      <w:r w:rsidR="00FC01DE">
        <w:rPr>
          <w:sz w:val="24"/>
          <w:szCs w:val="24"/>
        </w:rPr>
        <w:t xml:space="preserve">s it difficult, time consuming </w:t>
      </w:r>
      <w:r w:rsidR="00440B6B" w:rsidRPr="00E222D1">
        <w:rPr>
          <w:sz w:val="24"/>
          <w:szCs w:val="24"/>
        </w:rPr>
        <w:t>and costly for an investor to compare global opportunities and make global decisions.</w:t>
      </w:r>
    </w:p>
    <w:p w:rsidR="003C787B" w:rsidRPr="00E222D1" w:rsidRDefault="003C787B" w:rsidP="000B2FE0">
      <w:pPr>
        <w:spacing w:line="240" w:lineRule="auto"/>
        <w:rPr>
          <w:sz w:val="24"/>
          <w:szCs w:val="24"/>
        </w:rPr>
      </w:pPr>
      <w:r w:rsidRPr="00E222D1">
        <w:rPr>
          <w:sz w:val="24"/>
          <w:szCs w:val="24"/>
        </w:rPr>
        <w:t xml:space="preserve">Internationally, there are two main sets of Generally Accepted Accounting Principles (GAAP) in prevalence. These are the IFRS and US GAAP. The statistics </w:t>
      </w:r>
      <w:r w:rsidR="00440B6B" w:rsidRPr="00E222D1">
        <w:rPr>
          <w:sz w:val="24"/>
          <w:szCs w:val="24"/>
        </w:rPr>
        <w:t>says out of total 147 countries more than 100 countries prepare their financial statements in accordance with IFRS.</w:t>
      </w:r>
      <w:r w:rsidR="00AF3DCF" w:rsidRPr="00E222D1">
        <w:rPr>
          <w:sz w:val="24"/>
          <w:szCs w:val="24"/>
        </w:rPr>
        <w:t xml:space="preserve"> Hence the message is very clear “Converge and Grow or Diverge and Perish”. It is obvious that any one </w:t>
      </w:r>
      <w:r w:rsidR="00FC01DE">
        <w:rPr>
          <w:sz w:val="24"/>
          <w:szCs w:val="24"/>
        </w:rPr>
        <w:t>will choose to grow.</w:t>
      </w:r>
    </w:p>
    <w:p w:rsidR="00AF3DCF" w:rsidRPr="00E222D1" w:rsidRDefault="00322D31" w:rsidP="000B2FE0">
      <w:pPr>
        <w:spacing w:line="240" w:lineRule="auto"/>
        <w:rPr>
          <w:sz w:val="24"/>
          <w:szCs w:val="24"/>
        </w:rPr>
      </w:pPr>
      <w:r w:rsidRPr="00E222D1">
        <w:rPr>
          <w:sz w:val="24"/>
          <w:szCs w:val="24"/>
        </w:rPr>
        <w:t>Now the second question “What is IFRS?” As I said earlier IFRS is a language which a financial statement speaks. Technically International Financial Reporting Standard (IFRS) is a body of standards and interpretations on financial accounting and reporting. It is basically a set of international accounting standards stating how particular type of transactions and other events should be reported in financial statements</w:t>
      </w:r>
      <w:r w:rsidR="00647164" w:rsidRPr="00E222D1">
        <w:rPr>
          <w:sz w:val="24"/>
          <w:szCs w:val="24"/>
        </w:rPr>
        <w:t xml:space="preserve">. The International Accounting Standard Board (IASB), a private sector body, </w:t>
      </w:r>
      <w:proofErr w:type="spellStart"/>
      <w:proofErr w:type="gramStart"/>
      <w:r w:rsidR="00647164" w:rsidRPr="00E222D1">
        <w:rPr>
          <w:sz w:val="24"/>
          <w:szCs w:val="24"/>
        </w:rPr>
        <w:t>developes</w:t>
      </w:r>
      <w:proofErr w:type="spellEnd"/>
      <w:proofErr w:type="gramEnd"/>
      <w:r w:rsidR="00647164" w:rsidRPr="00E222D1">
        <w:rPr>
          <w:sz w:val="24"/>
          <w:szCs w:val="24"/>
        </w:rPr>
        <w:t xml:space="preserve"> and approves IFRS. IASB replaced International Accounting Standard </w:t>
      </w:r>
      <w:proofErr w:type="gramStart"/>
      <w:r w:rsidR="00647164" w:rsidRPr="00E222D1">
        <w:rPr>
          <w:sz w:val="24"/>
          <w:szCs w:val="24"/>
        </w:rPr>
        <w:t>Committee(</w:t>
      </w:r>
      <w:proofErr w:type="gramEnd"/>
      <w:r w:rsidR="00647164" w:rsidRPr="00E222D1">
        <w:rPr>
          <w:sz w:val="24"/>
          <w:szCs w:val="24"/>
        </w:rPr>
        <w:t xml:space="preserve">IASC) in 2001. IASC issued IAS from 1973 to 2000. The term IFRS has both </w:t>
      </w:r>
      <w:proofErr w:type="gramStart"/>
      <w:r w:rsidR="00647164" w:rsidRPr="00E222D1">
        <w:rPr>
          <w:sz w:val="24"/>
          <w:szCs w:val="24"/>
        </w:rPr>
        <w:t>narrow</w:t>
      </w:r>
      <w:proofErr w:type="gramEnd"/>
      <w:r w:rsidR="00647164" w:rsidRPr="00E222D1">
        <w:rPr>
          <w:sz w:val="24"/>
          <w:szCs w:val="24"/>
        </w:rPr>
        <w:t xml:space="preserve"> and a broad meaning. Narrowly IFRS refers to the new numbered series of pronouncement that the IASB is issuing as distinct from the IAS series.</w:t>
      </w:r>
      <w:r w:rsidR="0010432B" w:rsidRPr="00E222D1">
        <w:rPr>
          <w:sz w:val="24"/>
          <w:szCs w:val="24"/>
        </w:rPr>
        <w:t xml:space="preserve"> Broadly it comprises </w:t>
      </w:r>
      <w:proofErr w:type="gramStart"/>
      <w:r w:rsidR="0010432B" w:rsidRPr="00E222D1">
        <w:rPr>
          <w:sz w:val="24"/>
          <w:szCs w:val="24"/>
        </w:rPr>
        <w:t>of :</w:t>
      </w:r>
      <w:proofErr w:type="gramEnd"/>
    </w:p>
    <w:p w:rsidR="0010432B" w:rsidRPr="00E222D1" w:rsidRDefault="0010432B" w:rsidP="0010432B">
      <w:pPr>
        <w:pStyle w:val="ListParagraph"/>
        <w:numPr>
          <w:ilvl w:val="0"/>
          <w:numId w:val="2"/>
        </w:numPr>
        <w:spacing w:line="240" w:lineRule="auto"/>
        <w:rPr>
          <w:sz w:val="24"/>
          <w:szCs w:val="24"/>
        </w:rPr>
      </w:pPr>
      <w:r w:rsidRPr="00E222D1">
        <w:rPr>
          <w:sz w:val="24"/>
          <w:szCs w:val="24"/>
        </w:rPr>
        <w:lastRenderedPageBreak/>
        <w:t>IFRS issued by IASB</w:t>
      </w:r>
    </w:p>
    <w:p w:rsidR="0010432B" w:rsidRPr="00E222D1" w:rsidRDefault="0010432B" w:rsidP="0010432B">
      <w:pPr>
        <w:pStyle w:val="ListParagraph"/>
        <w:numPr>
          <w:ilvl w:val="0"/>
          <w:numId w:val="2"/>
        </w:numPr>
        <w:spacing w:line="240" w:lineRule="auto"/>
        <w:rPr>
          <w:sz w:val="24"/>
          <w:szCs w:val="24"/>
        </w:rPr>
      </w:pPr>
      <w:r w:rsidRPr="00E222D1">
        <w:rPr>
          <w:sz w:val="24"/>
          <w:szCs w:val="24"/>
        </w:rPr>
        <w:t>IAS issued by IASC and adopted by IASB</w:t>
      </w:r>
    </w:p>
    <w:p w:rsidR="0010432B" w:rsidRPr="00E222D1" w:rsidRDefault="0010432B" w:rsidP="0010432B">
      <w:pPr>
        <w:pStyle w:val="ListParagraph"/>
        <w:numPr>
          <w:ilvl w:val="0"/>
          <w:numId w:val="2"/>
        </w:numPr>
        <w:spacing w:line="240" w:lineRule="auto"/>
        <w:rPr>
          <w:sz w:val="24"/>
          <w:szCs w:val="24"/>
        </w:rPr>
      </w:pPr>
      <w:r w:rsidRPr="00E222D1">
        <w:rPr>
          <w:sz w:val="24"/>
          <w:szCs w:val="24"/>
        </w:rPr>
        <w:t>Interpretations originated by IFRIC and issued by IASB</w:t>
      </w:r>
    </w:p>
    <w:p w:rsidR="0010432B" w:rsidRPr="00E222D1" w:rsidRDefault="0010432B" w:rsidP="0010432B">
      <w:pPr>
        <w:pStyle w:val="ListParagraph"/>
        <w:numPr>
          <w:ilvl w:val="0"/>
          <w:numId w:val="2"/>
        </w:numPr>
        <w:spacing w:line="240" w:lineRule="auto"/>
        <w:rPr>
          <w:sz w:val="24"/>
          <w:szCs w:val="24"/>
        </w:rPr>
      </w:pPr>
      <w:r w:rsidRPr="00E222D1">
        <w:rPr>
          <w:sz w:val="24"/>
          <w:szCs w:val="24"/>
        </w:rPr>
        <w:t>Interpretations originated by then Standing Interpretation Committee (SIC) and adopted by IASB.</w:t>
      </w:r>
    </w:p>
    <w:p w:rsidR="0010432B" w:rsidRPr="00E222D1" w:rsidRDefault="0010432B" w:rsidP="0010432B">
      <w:pPr>
        <w:spacing w:line="240" w:lineRule="auto"/>
        <w:rPr>
          <w:sz w:val="24"/>
          <w:szCs w:val="24"/>
        </w:rPr>
      </w:pPr>
      <w:r w:rsidRPr="00E222D1">
        <w:rPr>
          <w:sz w:val="24"/>
          <w:szCs w:val="24"/>
        </w:rPr>
        <w:t xml:space="preserve">Hence IFRS is to be read with IAS, IFRS, </w:t>
      </w:r>
      <w:proofErr w:type="gramStart"/>
      <w:r w:rsidRPr="00E222D1">
        <w:rPr>
          <w:sz w:val="24"/>
          <w:szCs w:val="24"/>
        </w:rPr>
        <w:t>Interpretations</w:t>
      </w:r>
      <w:proofErr w:type="gramEnd"/>
      <w:r w:rsidRPr="00E222D1">
        <w:rPr>
          <w:sz w:val="24"/>
          <w:szCs w:val="24"/>
        </w:rPr>
        <w:t xml:space="preserve"> by IFRIC and SIC. Currently there are </w:t>
      </w:r>
      <w:r w:rsidR="00401D43" w:rsidRPr="00E222D1">
        <w:rPr>
          <w:sz w:val="24"/>
          <w:szCs w:val="24"/>
        </w:rPr>
        <w:t>30 IAS, 8 IFRS, 11 SICs and 16 IFRICs.</w:t>
      </w:r>
    </w:p>
    <w:p w:rsidR="00401D43" w:rsidRPr="00E222D1" w:rsidRDefault="00401D43" w:rsidP="0010432B">
      <w:pPr>
        <w:spacing w:line="240" w:lineRule="auto"/>
        <w:rPr>
          <w:rFonts w:eastAsia="Times New Roman" w:cstheme="minorHAnsi"/>
          <w:sz w:val="24"/>
          <w:szCs w:val="24"/>
        </w:rPr>
      </w:pPr>
      <w:r w:rsidRPr="00E222D1">
        <w:rPr>
          <w:sz w:val="24"/>
          <w:szCs w:val="24"/>
        </w:rPr>
        <w:t>In early 2010, Ministry of Corporate Affairs (</w:t>
      </w:r>
      <w:proofErr w:type="gramStart"/>
      <w:r w:rsidRPr="00E222D1">
        <w:rPr>
          <w:sz w:val="24"/>
          <w:szCs w:val="24"/>
        </w:rPr>
        <w:t>MCA )</w:t>
      </w:r>
      <w:proofErr w:type="gramEnd"/>
      <w:r w:rsidRPr="00E222D1">
        <w:rPr>
          <w:sz w:val="24"/>
          <w:szCs w:val="24"/>
        </w:rPr>
        <w:t xml:space="preserve"> issued a road map for achieving convergence with IFRS in a phased manner.</w:t>
      </w:r>
      <w:r w:rsidR="007B3114" w:rsidRPr="00E222D1">
        <w:rPr>
          <w:sz w:val="24"/>
          <w:szCs w:val="24"/>
        </w:rPr>
        <w:t xml:space="preserve"> </w:t>
      </w:r>
      <w:r w:rsidR="007B3114" w:rsidRPr="00E222D1">
        <w:rPr>
          <w:rFonts w:eastAsia="Times New Roman" w:cstheme="minorHAnsi"/>
          <w:sz w:val="24"/>
          <w:szCs w:val="24"/>
        </w:rPr>
        <w:t xml:space="preserve">Let me explain what </w:t>
      </w:r>
      <w:proofErr w:type="gramStart"/>
      <w:r w:rsidR="007B3114" w:rsidRPr="00E222D1">
        <w:rPr>
          <w:rFonts w:eastAsia="Times New Roman" w:cstheme="minorHAnsi"/>
          <w:sz w:val="24"/>
          <w:szCs w:val="24"/>
        </w:rPr>
        <w:t>is convergence here</w:t>
      </w:r>
      <w:proofErr w:type="gramEnd"/>
      <w:r w:rsidR="007B3114" w:rsidRPr="00E222D1">
        <w:rPr>
          <w:rFonts w:eastAsia="Times New Roman" w:cstheme="minorHAnsi"/>
          <w:sz w:val="24"/>
          <w:szCs w:val="24"/>
        </w:rPr>
        <w:t xml:space="preserve">. Convergence means to achieve harmony with IFRS. In precise terms convergence means </w:t>
      </w:r>
      <w:proofErr w:type="gramStart"/>
      <w:r w:rsidR="007B3114" w:rsidRPr="00E222D1">
        <w:rPr>
          <w:rFonts w:eastAsia="Times New Roman" w:cstheme="minorHAnsi"/>
          <w:sz w:val="24"/>
          <w:szCs w:val="24"/>
        </w:rPr>
        <w:t>“ to</w:t>
      </w:r>
      <w:proofErr w:type="gramEnd"/>
      <w:r w:rsidR="007B3114" w:rsidRPr="00E222D1">
        <w:rPr>
          <w:rFonts w:eastAsia="Times New Roman" w:cstheme="minorHAnsi"/>
          <w:sz w:val="24"/>
          <w:szCs w:val="24"/>
        </w:rPr>
        <w:t xml:space="preserve"> design national accounting standards in a way that financial statements prepared in compliance with the requirement of IFRS”.</w:t>
      </w:r>
      <w:r w:rsidRPr="00E222D1">
        <w:rPr>
          <w:sz w:val="24"/>
          <w:szCs w:val="24"/>
        </w:rPr>
        <w:t xml:space="preserve"> As per the road map the BSE 30, Nifty 50 and companies listed on stock exchanges outside India were to implement the first set of converged accounting </w:t>
      </w:r>
      <w:proofErr w:type="spellStart"/>
      <w:r w:rsidRPr="00E222D1">
        <w:rPr>
          <w:sz w:val="24"/>
          <w:szCs w:val="24"/>
        </w:rPr>
        <w:t>accounting</w:t>
      </w:r>
      <w:proofErr w:type="spellEnd"/>
      <w:r w:rsidRPr="00E222D1">
        <w:rPr>
          <w:sz w:val="24"/>
          <w:szCs w:val="24"/>
        </w:rPr>
        <w:t xml:space="preserve"> standards (</w:t>
      </w:r>
      <w:proofErr w:type="spellStart"/>
      <w:r w:rsidRPr="00E222D1">
        <w:rPr>
          <w:sz w:val="24"/>
          <w:szCs w:val="24"/>
        </w:rPr>
        <w:t>Ind</w:t>
      </w:r>
      <w:proofErr w:type="spellEnd"/>
      <w:r w:rsidRPr="00E222D1">
        <w:rPr>
          <w:sz w:val="24"/>
          <w:szCs w:val="24"/>
        </w:rPr>
        <w:t xml:space="preserve"> As) beginning financial year 2010-11. </w:t>
      </w:r>
      <w:r w:rsidRPr="00E222D1">
        <w:rPr>
          <w:rFonts w:eastAsia="Times New Roman" w:cstheme="minorHAnsi"/>
          <w:sz w:val="24"/>
          <w:szCs w:val="24"/>
        </w:rPr>
        <w:t>The MCA had notified the first set of 35 converged accounting standards (</w:t>
      </w:r>
      <w:proofErr w:type="spellStart"/>
      <w:r w:rsidRPr="00E222D1">
        <w:rPr>
          <w:rFonts w:eastAsia="Times New Roman" w:cstheme="minorHAnsi"/>
          <w:sz w:val="24"/>
          <w:szCs w:val="24"/>
        </w:rPr>
        <w:t>Ind</w:t>
      </w:r>
      <w:proofErr w:type="spellEnd"/>
      <w:r w:rsidRPr="00E222D1">
        <w:rPr>
          <w:rFonts w:eastAsia="Times New Roman" w:cstheme="minorHAnsi"/>
          <w:sz w:val="24"/>
          <w:szCs w:val="24"/>
        </w:rPr>
        <w:t xml:space="preserve">-AS) in February 2011. It was to notify a date for implementation of the </w:t>
      </w:r>
      <w:proofErr w:type="spellStart"/>
      <w:r w:rsidRPr="00E222D1">
        <w:rPr>
          <w:rFonts w:eastAsia="Times New Roman" w:cstheme="minorHAnsi"/>
          <w:sz w:val="24"/>
          <w:szCs w:val="24"/>
        </w:rPr>
        <w:t>Ind</w:t>
      </w:r>
      <w:proofErr w:type="spellEnd"/>
      <w:r w:rsidRPr="00E222D1">
        <w:rPr>
          <w:rFonts w:eastAsia="Times New Roman" w:cstheme="minorHAnsi"/>
          <w:sz w:val="24"/>
          <w:szCs w:val="24"/>
        </w:rPr>
        <w:t>-AS at a later date. However, the MCA has not yet notified a date for the implementation of the converged standards. Therefore, the India Inc's full convergence with IFRS remains in limbo.</w:t>
      </w:r>
    </w:p>
    <w:p w:rsidR="00401D43" w:rsidRPr="00E222D1" w:rsidRDefault="00401D43" w:rsidP="00401D43">
      <w:p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 xml:space="preserve">While the MCA gave a miss to the full convergence with IFRS that was to begin from the financial year 2011-12, it did revise the Schedule VI of the Companies Act 1956 (in February 2011) from the same year. Pending the implementation of complex recognition and measurement criteria contained in the various </w:t>
      </w:r>
      <w:proofErr w:type="spellStart"/>
      <w:r w:rsidRPr="00E222D1">
        <w:rPr>
          <w:rFonts w:eastAsia="Times New Roman" w:cstheme="minorHAnsi"/>
          <w:sz w:val="24"/>
          <w:szCs w:val="24"/>
        </w:rPr>
        <w:t>Ind</w:t>
      </w:r>
      <w:proofErr w:type="spellEnd"/>
      <w:r w:rsidRPr="00E222D1">
        <w:rPr>
          <w:rFonts w:eastAsia="Times New Roman" w:cstheme="minorHAnsi"/>
          <w:sz w:val="24"/>
          <w:szCs w:val="24"/>
        </w:rPr>
        <w:t xml:space="preserve">-AS, the MCA decided to begin the process of convergence with IFRS with a relatively easier step </w:t>
      </w:r>
      <w:proofErr w:type="spellStart"/>
      <w:r w:rsidRPr="00E222D1">
        <w:rPr>
          <w:rFonts w:eastAsia="Times New Roman" w:cstheme="minorHAnsi"/>
          <w:sz w:val="24"/>
          <w:szCs w:val="24"/>
        </w:rPr>
        <w:t>i.e</w:t>
      </w:r>
      <w:proofErr w:type="spellEnd"/>
      <w:r w:rsidRPr="00E222D1">
        <w:rPr>
          <w:rFonts w:eastAsia="Times New Roman" w:cstheme="minorHAnsi"/>
          <w:sz w:val="24"/>
          <w:szCs w:val="24"/>
        </w:rPr>
        <w:t xml:space="preserve"> presentation format of a balance sheet and profit and loss account. </w:t>
      </w:r>
    </w:p>
    <w:p w:rsidR="007B3114" w:rsidRPr="00E222D1" w:rsidRDefault="008D67DA" w:rsidP="00401D43">
      <w:p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Now my</w:t>
      </w:r>
      <w:r w:rsidR="007B3114" w:rsidRPr="00E222D1">
        <w:rPr>
          <w:rFonts w:eastAsia="Times New Roman" w:cstheme="minorHAnsi"/>
          <w:sz w:val="24"/>
          <w:szCs w:val="24"/>
        </w:rPr>
        <w:t xml:space="preserve"> first </w:t>
      </w:r>
      <w:proofErr w:type="gramStart"/>
      <w:r w:rsidR="007B3114" w:rsidRPr="00E222D1">
        <w:rPr>
          <w:rFonts w:eastAsia="Times New Roman" w:cstheme="minorHAnsi"/>
          <w:sz w:val="24"/>
          <w:szCs w:val="24"/>
        </w:rPr>
        <w:t>question  “</w:t>
      </w:r>
      <w:proofErr w:type="gramEnd"/>
      <w:r w:rsidR="007B3114" w:rsidRPr="00E222D1">
        <w:rPr>
          <w:rFonts w:eastAsia="Times New Roman" w:cstheme="minorHAnsi"/>
          <w:sz w:val="24"/>
          <w:szCs w:val="24"/>
        </w:rPr>
        <w:t xml:space="preserve"> What is Revised Schedule VI?”  Revised schedule VI is nothing but the revision in the presentation of the Financial Statements.</w:t>
      </w:r>
      <w:r w:rsidR="002E62A7" w:rsidRPr="00E222D1">
        <w:rPr>
          <w:rFonts w:eastAsia="Times New Roman" w:cstheme="minorHAnsi"/>
          <w:sz w:val="24"/>
          <w:szCs w:val="24"/>
        </w:rPr>
        <w:t xml:space="preserve"> Financial Statements consist of Balance Sheet, Statement of Profit and Loss Account and Notes thereto.</w:t>
      </w:r>
      <w:r w:rsidR="007B3114" w:rsidRPr="00E222D1">
        <w:rPr>
          <w:rFonts w:eastAsia="Times New Roman" w:cstheme="minorHAnsi"/>
          <w:sz w:val="24"/>
          <w:szCs w:val="24"/>
        </w:rPr>
        <w:t xml:space="preserve"> </w:t>
      </w:r>
      <w:r w:rsidR="002E62A7" w:rsidRPr="00E222D1">
        <w:rPr>
          <w:rFonts w:eastAsia="Times New Roman" w:cstheme="minorHAnsi"/>
          <w:sz w:val="24"/>
          <w:szCs w:val="24"/>
        </w:rPr>
        <w:t>ICAI in its guidance note has clarified that “The Revised Schedule VI requires that if compliance with the requirements of the Act and/ or the notified accounting standard requires a change in the treatment or disclosure in the financial statements as compared to that provided in the revised schedule VI, the requirements of the act and / or the notified accounting standards will prevail over the Schedule.</w:t>
      </w:r>
      <w:r w:rsidR="000B4EBA" w:rsidRPr="00E222D1">
        <w:rPr>
          <w:rFonts w:eastAsia="Times New Roman" w:cstheme="minorHAnsi"/>
          <w:sz w:val="24"/>
          <w:szCs w:val="24"/>
        </w:rPr>
        <w:t>” Hence it is very clear that revised schedule VI is nothing but a revision in the disclosure requirements of the Financial Statements and not accounting standards or principle.</w:t>
      </w:r>
      <w:r w:rsidR="0096516C" w:rsidRPr="00E222D1">
        <w:rPr>
          <w:rFonts w:eastAsia="Times New Roman" w:cstheme="minorHAnsi"/>
          <w:sz w:val="24"/>
          <w:szCs w:val="24"/>
        </w:rPr>
        <w:t xml:space="preserve"> Institute also clarifies in its guidance note that the disclosure </w:t>
      </w:r>
      <w:proofErr w:type="gramStart"/>
      <w:r w:rsidR="0096516C" w:rsidRPr="00E222D1">
        <w:rPr>
          <w:rFonts w:eastAsia="Times New Roman" w:cstheme="minorHAnsi"/>
          <w:sz w:val="24"/>
          <w:szCs w:val="24"/>
        </w:rPr>
        <w:t>requirement mentioned in the revised schedule VI are</w:t>
      </w:r>
      <w:proofErr w:type="gramEnd"/>
      <w:r w:rsidR="0096516C" w:rsidRPr="00E222D1">
        <w:rPr>
          <w:rFonts w:eastAsia="Times New Roman" w:cstheme="minorHAnsi"/>
          <w:sz w:val="24"/>
          <w:szCs w:val="24"/>
        </w:rPr>
        <w:t xml:space="preserve"> the minimum disclosure requirements.</w:t>
      </w:r>
      <w:r w:rsidR="000B4EBA" w:rsidRPr="00E222D1">
        <w:rPr>
          <w:rFonts w:eastAsia="Times New Roman" w:cstheme="minorHAnsi"/>
          <w:sz w:val="24"/>
          <w:szCs w:val="24"/>
        </w:rPr>
        <w:t xml:space="preserve"> The presentation formats prescribed by the new schedule are in line with the requirements of IFRS and the proposed </w:t>
      </w:r>
      <w:proofErr w:type="spellStart"/>
      <w:r w:rsidR="000B4EBA" w:rsidRPr="00E222D1">
        <w:rPr>
          <w:rFonts w:eastAsia="Times New Roman" w:cstheme="minorHAnsi"/>
          <w:sz w:val="24"/>
          <w:szCs w:val="24"/>
        </w:rPr>
        <w:t>Ind</w:t>
      </w:r>
      <w:proofErr w:type="spellEnd"/>
      <w:r w:rsidR="000B4EBA" w:rsidRPr="00E222D1">
        <w:rPr>
          <w:rFonts w:eastAsia="Times New Roman" w:cstheme="minorHAnsi"/>
          <w:sz w:val="24"/>
          <w:szCs w:val="24"/>
        </w:rPr>
        <w:t xml:space="preserve">-AS. </w:t>
      </w:r>
    </w:p>
    <w:p w:rsidR="007B3114" w:rsidRPr="00E222D1" w:rsidRDefault="0096516C" w:rsidP="00401D43">
      <w:p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Now let me explain you what are the significant changes in the disclosure requirements and how they are in line with IFRS.</w:t>
      </w:r>
    </w:p>
    <w:p w:rsidR="007B3114" w:rsidRPr="00E222D1" w:rsidRDefault="00C85CF3" w:rsidP="00401D43">
      <w:pPr>
        <w:pStyle w:val="ListParagraph"/>
        <w:numPr>
          <w:ilvl w:val="0"/>
          <w:numId w:val="4"/>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lastRenderedPageBreak/>
        <w:t>To start with revised sc</w:t>
      </w:r>
      <w:r w:rsidR="00921A40" w:rsidRPr="00E222D1">
        <w:rPr>
          <w:rFonts w:eastAsia="Times New Roman" w:cstheme="minorHAnsi"/>
          <w:sz w:val="24"/>
          <w:szCs w:val="24"/>
        </w:rPr>
        <w:t>hedule VI has done away with combination of</w:t>
      </w:r>
      <w:r w:rsidRPr="00E222D1">
        <w:rPr>
          <w:rFonts w:eastAsia="Times New Roman" w:cstheme="minorHAnsi"/>
          <w:sz w:val="24"/>
          <w:szCs w:val="24"/>
        </w:rPr>
        <w:t xml:space="preserve"> schedules</w:t>
      </w:r>
      <w:r w:rsidR="00921A40" w:rsidRPr="00E222D1">
        <w:rPr>
          <w:rFonts w:eastAsia="Times New Roman" w:cstheme="minorHAnsi"/>
          <w:sz w:val="24"/>
          <w:szCs w:val="24"/>
        </w:rPr>
        <w:t xml:space="preserve"> and notes</w:t>
      </w:r>
      <w:r w:rsidRPr="00E222D1">
        <w:rPr>
          <w:rFonts w:eastAsia="Times New Roman" w:cstheme="minorHAnsi"/>
          <w:sz w:val="24"/>
          <w:szCs w:val="24"/>
        </w:rPr>
        <w:t xml:space="preserve"> which were forming part of balance sheet and statement of Profit and Loss</w:t>
      </w:r>
      <w:r w:rsidR="00921A40" w:rsidRPr="00E222D1">
        <w:rPr>
          <w:rFonts w:eastAsia="Times New Roman" w:cstheme="minorHAnsi"/>
          <w:sz w:val="24"/>
          <w:szCs w:val="24"/>
        </w:rPr>
        <w:t xml:space="preserve"> to only Notes to Accounts which is in line with the international style of presentation</w:t>
      </w:r>
      <w:r w:rsidRPr="00E222D1">
        <w:rPr>
          <w:rFonts w:eastAsia="Times New Roman" w:cstheme="minorHAnsi"/>
          <w:sz w:val="24"/>
          <w:szCs w:val="24"/>
        </w:rPr>
        <w:t xml:space="preserve">. </w:t>
      </w:r>
      <w:r w:rsidR="00CC6832" w:rsidRPr="00E222D1">
        <w:rPr>
          <w:rFonts w:eastAsia="Times New Roman" w:cstheme="minorHAnsi"/>
          <w:sz w:val="24"/>
          <w:szCs w:val="24"/>
        </w:rPr>
        <w:t xml:space="preserve">Now the upper half will be referred as Equity and liabilities and the lower half as Assets. </w:t>
      </w:r>
    </w:p>
    <w:p w:rsidR="00E23938" w:rsidRPr="00E222D1" w:rsidRDefault="00921A40" w:rsidP="00401D43">
      <w:pPr>
        <w:pStyle w:val="ListParagraph"/>
        <w:numPr>
          <w:ilvl w:val="0"/>
          <w:numId w:val="4"/>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 xml:space="preserve">All items of the balance sheet are now required to be classified as current and non-current assets and current and non-current liabilities. </w:t>
      </w:r>
      <w:proofErr w:type="gramStart"/>
      <w:r w:rsidRPr="00E222D1">
        <w:rPr>
          <w:rFonts w:eastAsia="Times New Roman" w:cstheme="minorHAnsi"/>
          <w:sz w:val="24"/>
          <w:szCs w:val="24"/>
        </w:rPr>
        <w:t>Principles underlying such classification has</w:t>
      </w:r>
      <w:proofErr w:type="gramEnd"/>
      <w:r w:rsidRPr="00E222D1">
        <w:rPr>
          <w:rFonts w:eastAsia="Times New Roman" w:cstheme="minorHAnsi"/>
          <w:sz w:val="24"/>
          <w:szCs w:val="24"/>
        </w:rPr>
        <w:t xml:space="preserve"> been adopted from IAS 1. As per IAS 1 – R, for each asset and liability item that combines amounts expected to be </w:t>
      </w:r>
      <w:proofErr w:type="gramStart"/>
      <w:r w:rsidRPr="00E222D1">
        <w:rPr>
          <w:rFonts w:eastAsia="Times New Roman" w:cstheme="minorHAnsi"/>
          <w:sz w:val="24"/>
          <w:szCs w:val="24"/>
        </w:rPr>
        <w:t>recovered  or</w:t>
      </w:r>
      <w:proofErr w:type="gramEnd"/>
      <w:r w:rsidRPr="00E222D1">
        <w:rPr>
          <w:rFonts w:eastAsia="Times New Roman" w:cstheme="minorHAnsi"/>
          <w:sz w:val="24"/>
          <w:szCs w:val="24"/>
        </w:rPr>
        <w:t xml:space="preserve"> settled, both, before and after 12 months from the balance sheet date, an entity shall disclose two amounts separately.</w:t>
      </w:r>
      <w:r w:rsidR="00E23938" w:rsidRPr="00E222D1">
        <w:rPr>
          <w:rFonts w:eastAsia="Times New Roman" w:cstheme="minorHAnsi"/>
          <w:sz w:val="24"/>
          <w:szCs w:val="24"/>
        </w:rPr>
        <w:t xml:space="preserve"> </w:t>
      </w:r>
    </w:p>
    <w:p w:rsidR="00921A40" w:rsidRPr="00E222D1" w:rsidRDefault="00E23938" w:rsidP="00E23938">
      <w:pPr>
        <w:pStyle w:val="ListParagraph"/>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 xml:space="preserve">As per the guidance note issued by </w:t>
      </w:r>
      <w:proofErr w:type="gramStart"/>
      <w:r w:rsidRPr="00E222D1">
        <w:rPr>
          <w:rFonts w:eastAsia="Times New Roman" w:cstheme="minorHAnsi"/>
          <w:sz w:val="24"/>
          <w:szCs w:val="24"/>
        </w:rPr>
        <w:t>ICAI :</w:t>
      </w:r>
      <w:proofErr w:type="gramEnd"/>
      <w:r w:rsidRPr="00E222D1">
        <w:rPr>
          <w:rFonts w:eastAsia="Times New Roman" w:cstheme="minorHAnsi"/>
          <w:sz w:val="24"/>
          <w:szCs w:val="24"/>
        </w:rPr>
        <w:t xml:space="preserve"> </w:t>
      </w:r>
    </w:p>
    <w:p w:rsidR="007250A6" w:rsidRPr="00E222D1" w:rsidRDefault="007250A6" w:rsidP="007250A6">
      <w:pPr>
        <w:pStyle w:val="ListParagraph"/>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 xml:space="preserve">A liability should be classified as current when it satisfies any one of the following criteria: </w:t>
      </w:r>
    </w:p>
    <w:p w:rsidR="007250A6" w:rsidRPr="00E222D1" w:rsidRDefault="007250A6" w:rsidP="007250A6">
      <w:pPr>
        <w:pStyle w:val="ListParagraph"/>
        <w:numPr>
          <w:ilvl w:val="0"/>
          <w:numId w:val="6"/>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It is expected to be settled in the company’s normal operating cycle;</w:t>
      </w:r>
    </w:p>
    <w:p w:rsidR="007250A6" w:rsidRPr="00E222D1" w:rsidRDefault="007250A6" w:rsidP="007250A6">
      <w:pPr>
        <w:pStyle w:val="ListParagraph"/>
        <w:numPr>
          <w:ilvl w:val="0"/>
          <w:numId w:val="6"/>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It is held primarily for the purpose of being traded;</w:t>
      </w:r>
    </w:p>
    <w:p w:rsidR="007250A6" w:rsidRPr="00E222D1" w:rsidRDefault="007250A6" w:rsidP="007250A6">
      <w:pPr>
        <w:pStyle w:val="ListParagraph"/>
        <w:numPr>
          <w:ilvl w:val="0"/>
          <w:numId w:val="6"/>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It is due to be settled within 12 months after the reporting date; or</w:t>
      </w:r>
    </w:p>
    <w:p w:rsidR="007250A6" w:rsidRPr="00E222D1" w:rsidRDefault="007250A6" w:rsidP="007250A6">
      <w:pPr>
        <w:pStyle w:val="ListParagraph"/>
        <w:numPr>
          <w:ilvl w:val="0"/>
          <w:numId w:val="6"/>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The company does not have an unconditional right to defer settlement of the liability for at least 12 months after the reporting date. Terms of liability that could, at the option of the counter party, result in its settlement by issue of equity instruments do not affect its classification.</w:t>
      </w:r>
    </w:p>
    <w:p w:rsidR="007250A6" w:rsidRPr="00E222D1" w:rsidRDefault="007250A6" w:rsidP="007250A6">
      <w:pPr>
        <w:pStyle w:val="ListParagraph"/>
        <w:spacing w:before="100" w:beforeAutospacing="1" w:after="100" w:afterAutospacing="1" w:line="240" w:lineRule="auto"/>
        <w:ind w:left="1080"/>
        <w:rPr>
          <w:rFonts w:eastAsia="Times New Roman" w:cstheme="minorHAnsi"/>
          <w:sz w:val="24"/>
          <w:szCs w:val="24"/>
        </w:rPr>
      </w:pPr>
      <w:proofErr w:type="gramStart"/>
      <w:r w:rsidRPr="00E222D1">
        <w:rPr>
          <w:rFonts w:eastAsia="Times New Roman" w:cstheme="minorHAnsi"/>
          <w:sz w:val="24"/>
          <w:szCs w:val="24"/>
        </w:rPr>
        <w:t>So  guess</w:t>
      </w:r>
      <w:proofErr w:type="gramEnd"/>
      <w:r w:rsidRPr="00E222D1">
        <w:rPr>
          <w:rFonts w:eastAsia="Times New Roman" w:cstheme="minorHAnsi"/>
          <w:sz w:val="24"/>
          <w:szCs w:val="24"/>
        </w:rPr>
        <w:t xml:space="preserve"> what is non-current liability? </w:t>
      </w:r>
      <w:proofErr w:type="gramStart"/>
      <w:r w:rsidR="004911F8">
        <w:rPr>
          <w:rFonts w:eastAsia="Times New Roman" w:cstheme="minorHAnsi"/>
          <w:sz w:val="24"/>
          <w:szCs w:val="24"/>
        </w:rPr>
        <w:t>A</w:t>
      </w:r>
      <w:r w:rsidRPr="00E222D1">
        <w:rPr>
          <w:rFonts w:eastAsia="Times New Roman" w:cstheme="minorHAnsi"/>
          <w:sz w:val="24"/>
          <w:szCs w:val="24"/>
        </w:rPr>
        <w:t>nything in the nature of liability other than current liability.</w:t>
      </w:r>
      <w:proofErr w:type="gramEnd"/>
    </w:p>
    <w:p w:rsidR="007250A6" w:rsidRPr="00E222D1" w:rsidRDefault="007250A6" w:rsidP="007250A6">
      <w:pPr>
        <w:spacing w:before="100" w:beforeAutospacing="1" w:after="100" w:afterAutospacing="1" w:line="240" w:lineRule="auto"/>
        <w:ind w:left="720"/>
        <w:rPr>
          <w:rFonts w:eastAsia="Times New Roman" w:cstheme="minorHAnsi"/>
          <w:sz w:val="24"/>
          <w:szCs w:val="24"/>
        </w:rPr>
      </w:pPr>
      <w:r w:rsidRPr="00E222D1">
        <w:rPr>
          <w:rFonts w:eastAsia="Times New Roman" w:cstheme="minorHAnsi"/>
          <w:sz w:val="24"/>
          <w:szCs w:val="24"/>
        </w:rPr>
        <w:t xml:space="preserve">On the same lines an asset should be classified as current when it satisfies any of the following </w:t>
      </w:r>
      <w:proofErr w:type="gramStart"/>
      <w:r w:rsidRPr="00E222D1">
        <w:rPr>
          <w:rFonts w:eastAsia="Times New Roman" w:cstheme="minorHAnsi"/>
          <w:sz w:val="24"/>
          <w:szCs w:val="24"/>
        </w:rPr>
        <w:t>criteria :</w:t>
      </w:r>
      <w:proofErr w:type="gramEnd"/>
    </w:p>
    <w:p w:rsidR="007B3114" w:rsidRPr="00E222D1" w:rsidRDefault="007250A6" w:rsidP="007250A6">
      <w:pPr>
        <w:pStyle w:val="ListParagraph"/>
        <w:numPr>
          <w:ilvl w:val="0"/>
          <w:numId w:val="8"/>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It is expected to be realized in, or is intended for sale or consumption in the company’s normal operating cycle;</w:t>
      </w:r>
    </w:p>
    <w:p w:rsidR="007250A6" w:rsidRPr="00E222D1" w:rsidRDefault="007250A6" w:rsidP="007250A6">
      <w:pPr>
        <w:pStyle w:val="ListParagraph"/>
        <w:numPr>
          <w:ilvl w:val="0"/>
          <w:numId w:val="8"/>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It is held primarily for the purpose of being traded;</w:t>
      </w:r>
    </w:p>
    <w:p w:rsidR="007250A6" w:rsidRPr="00E222D1" w:rsidRDefault="007250A6" w:rsidP="007250A6">
      <w:pPr>
        <w:pStyle w:val="ListParagraph"/>
        <w:numPr>
          <w:ilvl w:val="0"/>
          <w:numId w:val="8"/>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It is expected to be realized within twelve months after the reporting date; or</w:t>
      </w:r>
    </w:p>
    <w:p w:rsidR="007250A6" w:rsidRPr="00E222D1" w:rsidRDefault="007250A6" w:rsidP="007250A6">
      <w:pPr>
        <w:pStyle w:val="ListParagraph"/>
        <w:numPr>
          <w:ilvl w:val="0"/>
          <w:numId w:val="8"/>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 xml:space="preserve">It is cash or cash equivalent unless it is restricted from being exchanged or </w:t>
      </w:r>
      <w:proofErr w:type="gramStart"/>
      <w:r w:rsidRPr="00E222D1">
        <w:rPr>
          <w:rFonts w:eastAsia="Times New Roman" w:cstheme="minorHAnsi"/>
          <w:sz w:val="24"/>
          <w:szCs w:val="24"/>
        </w:rPr>
        <w:t>used  to</w:t>
      </w:r>
      <w:proofErr w:type="gramEnd"/>
      <w:r w:rsidRPr="00E222D1">
        <w:rPr>
          <w:rFonts w:eastAsia="Times New Roman" w:cstheme="minorHAnsi"/>
          <w:sz w:val="24"/>
          <w:szCs w:val="24"/>
        </w:rPr>
        <w:t xml:space="preserve"> settle a liability for at least 12 months after the reporting date.</w:t>
      </w:r>
    </w:p>
    <w:p w:rsidR="004911F8" w:rsidRDefault="00CC6832" w:rsidP="007250A6">
      <w:pPr>
        <w:spacing w:before="100" w:beforeAutospacing="1" w:after="100" w:afterAutospacing="1" w:line="240" w:lineRule="auto"/>
        <w:ind w:left="720"/>
        <w:rPr>
          <w:rFonts w:eastAsia="Times New Roman" w:cstheme="minorHAnsi"/>
          <w:sz w:val="24"/>
          <w:szCs w:val="24"/>
        </w:rPr>
      </w:pPr>
      <w:r w:rsidRPr="00E222D1">
        <w:rPr>
          <w:rFonts w:eastAsia="Times New Roman" w:cstheme="minorHAnsi"/>
          <w:sz w:val="24"/>
          <w:szCs w:val="24"/>
        </w:rPr>
        <w:t xml:space="preserve">So now guess what </w:t>
      </w:r>
      <w:proofErr w:type="gramStart"/>
      <w:r w:rsidRPr="00E222D1">
        <w:rPr>
          <w:rFonts w:eastAsia="Times New Roman" w:cstheme="minorHAnsi"/>
          <w:sz w:val="24"/>
          <w:szCs w:val="24"/>
        </w:rPr>
        <w:t>is non-current assets</w:t>
      </w:r>
      <w:proofErr w:type="gramEnd"/>
      <w:r w:rsidRPr="00E222D1">
        <w:rPr>
          <w:rFonts w:eastAsia="Times New Roman" w:cstheme="minorHAnsi"/>
          <w:sz w:val="24"/>
          <w:szCs w:val="24"/>
        </w:rPr>
        <w:t xml:space="preserve">? </w:t>
      </w:r>
      <w:proofErr w:type="gramStart"/>
      <w:r w:rsidRPr="00E222D1">
        <w:rPr>
          <w:rFonts w:eastAsia="Times New Roman" w:cstheme="minorHAnsi"/>
          <w:sz w:val="24"/>
          <w:szCs w:val="24"/>
        </w:rPr>
        <w:t>Anything in the nature of asset other than current asset.</w:t>
      </w:r>
      <w:proofErr w:type="gramEnd"/>
      <w:r w:rsidRPr="00E222D1">
        <w:rPr>
          <w:rFonts w:eastAsia="Times New Roman" w:cstheme="minorHAnsi"/>
          <w:sz w:val="24"/>
          <w:szCs w:val="24"/>
        </w:rPr>
        <w:t xml:space="preserve"> Under Current assets and current liabilities there are number of items which will need bifurcation as to current and non-current. Due to time constraint I will not go into details. But to sight a few</w:t>
      </w:r>
      <w:r w:rsidR="004911F8">
        <w:rPr>
          <w:rFonts w:eastAsia="Times New Roman" w:cstheme="minorHAnsi"/>
          <w:sz w:val="24"/>
          <w:szCs w:val="24"/>
        </w:rPr>
        <w:t>,</w:t>
      </w:r>
      <w:r w:rsidRPr="00E222D1">
        <w:rPr>
          <w:rFonts w:eastAsia="Times New Roman" w:cstheme="minorHAnsi"/>
          <w:sz w:val="24"/>
          <w:szCs w:val="24"/>
        </w:rPr>
        <w:t xml:space="preserve"> for ex: </w:t>
      </w:r>
    </w:p>
    <w:p w:rsidR="004911F8" w:rsidRDefault="004911F8" w:rsidP="004911F8">
      <w:pPr>
        <w:pStyle w:val="ListParagraph"/>
        <w:numPr>
          <w:ilvl w:val="0"/>
          <w:numId w:val="10"/>
        </w:numPr>
        <w:spacing w:before="100" w:beforeAutospacing="1" w:after="100" w:afterAutospacing="1" w:line="240" w:lineRule="auto"/>
        <w:rPr>
          <w:rFonts w:eastAsia="Times New Roman" w:cstheme="minorHAnsi"/>
          <w:sz w:val="24"/>
          <w:szCs w:val="24"/>
        </w:rPr>
      </w:pPr>
      <w:r w:rsidRPr="004911F8">
        <w:rPr>
          <w:rFonts w:eastAsia="Times New Roman" w:cstheme="minorHAnsi"/>
          <w:sz w:val="24"/>
          <w:szCs w:val="24"/>
        </w:rPr>
        <w:t>C</w:t>
      </w:r>
      <w:r w:rsidR="00CC6832" w:rsidRPr="004911F8">
        <w:rPr>
          <w:rFonts w:eastAsia="Times New Roman" w:cstheme="minorHAnsi"/>
          <w:sz w:val="24"/>
          <w:szCs w:val="24"/>
        </w:rPr>
        <w:t>urrent maturities of long term debt will now be shown as other current liabilities which were earlier shown as a part of long term debt.</w:t>
      </w:r>
    </w:p>
    <w:p w:rsidR="004911F8" w:rsidRDefault="00CC6832" w:rsidP="004911F8">
      <w:pPr>
        <w:pStyle w:val="ListParagraph"/>
        <w:numPr>
          <w:ilvl w:val="0"/>
          <w:numId w:val="10"/>
        </w:numPr>
        <w:spacing w:before="100" w:beforeAutospacing="1" w:after="100" w:afterAutospacing="1" w:line="240" w:lineRule="auto"/>
        <w:rPr>
          <w:rFonts w:eastAsia="Times New Roman" w:cstheme="minorHAnsi"/>
          <w:sz w:val="24"/>
          <w:szCs w:val="24"/>
        </w:rPr>
      </w:pPr>
      <w:r w:rsidRPr="004911F8">
        <w:rPr>
          <w:rFonts w:eastAsia="Times New Roman" w:cstheme="minorHAnsi"/>
          <w:sz w:val="24"/>
          <w:szCs w:val="24"/>
        </w:rPr>
        <w:t xml:space="preserve"> </w:t>
      </w:r>
      <w:proofErr w:type="gramStart"/>
      <w:r w:rsidRPr="004911F8">
        <w:rPr>
          <w:rFonts w:eastAsia="Times New Roman" w:cstheme="minorHAnsi"/>
          <w:sz w:val="24"/>
          <w:szCs w:val="24"/>
        </w:rPr>
        <w:t>Interest accrued and due were</w:t>
      </w:r>
      <w:proofErr w:type="gramEnd"/>
      <w:r w:rsidRPr="004911F8">
        <w:rPr>
          <w:rFonts w:eastAsia="Times New Roman" w:cstheme="minorHAnsi"/>
          <w:sz w:val="24"/>
          <w:szCs w:val="24"/>
        </w:rPr>
        <w:t xml:space="preserve"> earlier shown as a part of long term loans but in revised schedule VI the same is shown as current liabilities.</w:t>
      </w:r>
    </w:p>
    <w:p w:rsidR="004911F8" w:rsidRDefault="00CC6832" w:rsidP="004911F8">
      <w:pPr>
        <w:pStyle w:val="ListParagraph"/>
        <w:numPr>
          <w:ilvl w:val="0"/>
          <w:numId w:val="10"/>
        </w:numPr>
        <w:spacing w:before="100" w:beforeAutospacing="1" w:after="100" w:afterAutospacing="1" w:line="240" w:lineRule="auto"/>
        <w:rPr>
          <w:rFonts w:eastAsia="Times New Roman" w:cstheme="minorHAnsi"/>
          <w:sz w:val="24"/>
          <w:szCs w:val="24"/>
        </w:rPr>
      </w:pPr>
      <w:r w:rsidRPr="004911F8">
        <w:rPr>
          <w:rFonts w:eastAsia="Times New Roman" w:cstheme="minorHAnsi"/>
          <w:sz w:val="24"/>
          <w:szCs w:val="24"/>
        </w:rPr>
        <w:t xml:space="preserve">In the old schedule VI all the loans and advances (except capital advances) were shown under current assets and loans and advances but now onwards the same </w:t>
      </w:r>
      <w:r w:rsidRPr="004911F8">
        <w:rPr>
          <w:rFonts w:eastAsia="Times New Roman" w:cstheme="minorHAnsi"/>
          <w:sz w:val="24"/>
          <w:szCs w:val="24"/>
        </w:rPr>
        <w:lastRenderedPageBreak/>
        <w:t>needs to be bifurcated between current and non-current, accordingly the subheading of long term loans and advances has been introduced in revised schedule VI.</w:t>
      </w:r>
    </w:p>
    <w:p w:rsidR="004911F8" w:rsidRDefault="004911F8" w:rsidP="004911F8">
      <w:pPr>
        <w:pStyle w:val="ListParagraph"/>
        <w:numPr>
          <w:ilvl w:val="0"/>
          <w:numId w:val="10"/>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The provision also </w:t>
      </w:r>
      <w:r w:rsidR="00CC6832" w:rsidRPr="004911F8">
        <w:rPr>
          <w:rFonts w:eastAsia="Times New Roman" w:cstheme="minorHAnsi"/>
          <w:sz w:val="24"/>
          <w:szCs w:val="24"/>
        </w:rPr>
        <w:t>need</w:t>
      </w:r>
      <w:r>
        <w:rPr>
          <w:rFonts w:eastAsia="Times New Roman" w:cstheme="minorHAnsi"/>
          <w:sz w:val="24"/>
          <w:szCs w:val="24"/>
        </w:rPr>
        <w:t>s</w:t>
      </w:r>
      <w:r w:rsidR="00CC6832" w:rsidRPr="004911F8">
        <w:rPr>
          <w:rFonts w:eastAsia="Times New Roman" w:cstheme="minorHAnsi"/>
          <w:sz w:val="24"/>
          <w:szCs w:val="24"/>
        </w:rPr>
        <w:t xml:space="preserve"> to be bifurcated among long term and short term.</w:t>
      </w:r>
      <w:r w:rsidR="007E769F" w:rsidRPr="004911F8">
        <w:rPr>
          <w:rFonts w:eastAsia="Times New Roman" w:cstheme="minorHAnsi"/>
          <w:sz w:val="24"/>
          <w:szCs w:val="24"/>
        </w:rPr>
        <w:t xml:space="preserve"> </w:t>
      </w:r>
    </w:p>
    <w:p w:rsidR="007250A6" w:rsidRDefault="007E769F" w:rsidP="004911F8">
      <w:pPr>
        <w:pStyle w:val="ListParagraph"/>
        <w:numPr>
          <w:ilvl w:val="0"/>
          <w:numId w:val="10"/>
        </w:numPr>
        <w:spacing w:before="100" w:beforeAutospacing="1" w:after="100" w:afterAutospacing="1" w:line="240" w:lineRule="auto"/>
        <w:rPr>
          <w:rFonts w:eastAsia="Times New Roman" w:cstheme="minorHAnsi"/>
          <w:sz w:val="24"/>
          <w:szCs w:val="24"/>
        </w:rPr>
      </w:pPr>
      <w:r w:rsidRPr="004911F8">
        <w:rPr>
          <w:rFonts w:eastAsia="Times New Roman" w:cstheme="minorHAnsi"/>
          <w:sz w:val="24"/>
          <w:szCs w:val="24"/>
        </w:rPr>
        <w:t>Now there is a distinction between sundry debtors and trade receivable and sundry creditors and trade payables. As per the old schedule VI, sundry creditors included amounts due in respect of goods purchased or services received or in respect of other contractual obligations as well. However in revised schedule VI amounts due in respect of other contractual obligations can no longer be included within Trade Payables</w:t>
      </w:r>
      <w:r w:rsidR="00D57AD0" w:rsidRPr="004911F8">
        <w:rPr>
          <w:rFonts w:eastAsia="Times New Roman" w:cstheme="minorHAnsi"/>
          <w:sz w:val="24"/>
          <w:szCs w:val="24"/>
        </w:rPr>
        <w:t xml:space="preserve">. The same will be classified as others. The same principle will be applied for trade </w:t>
      </w:r>
      <w:proofErr w:type="spellStart"/>
      <w:r w:rsidR="00D57AD0" w:rsidRPr="004911F8">
        <w:rPr>
          <w:rFonts w:eastAsia="Times New Roman" w:cstheme="minorHAnsi"/>
          <w:sz w:val="24"/>
          <w:szCs w:val="24"/>
        </w:rPr>
        <w:t>recievables</w:t>
      </w:r>
      <w:proofErr w:type="spellEnd"/>
      <w:r w:rsidR="00D57AD0" w:rsidRPr="004911F8">
        <w:rPr>
          <w:rFonts w:eastAsia="Times New Roman" w:cstheme="minorHAnsi"/>
          <w:sz w:val="24"/>
          <w:szCs w:val="24"/>
        </w:rPr>
        <w:t xml:space="preserve">. Again this principle has been adopted from IFRS. </w:t>
      </w:r>
    </w:p>
    <w:p w:rsidR="004911F8" w:rsidRPr="004911F8" w:rsidRDefault="004911F8" w:rsidP="004911F8">
      <w:pPr>
        <w:pStyle w:val="ListParagraph"/>
        <w:spacing w:before="100" w:beforeAutospacing="1" w:after="100" w:afterAutospacing="1" w:line="240" w:lineRule="auto"/>
        <w:ind w:left="1440"/>
        <w:rPr>
          <w:rFonts w:eastAsia="Times New Roman" w:cstheme="minorHAnsi"/>
          <w:sz w:val="24"/>
          <w:szCs w:val="24"/>
        </w:rPr>
      </w:pPr>
    </w:p>
    <w:p w:rsidR="00B559C5" w:rsidRPr="00E222D1" w:rsidRDefault="00D57AD0" w:rsidP="00D57AD0">
      <w:pPr>
        <w:pStyle w:val="ListParagraph"/>
        <w:numPr>
          <w:ilvl w:val="0"/>
          <w:numId w:val="4"/>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 xml:space="preserve">Another significant change is in the disclosure requirement of Share Capital. IAS 1-R requires presentation of all transaction with equity holders in their capacity as equity holders in the separate statement called Statement of Changes </w:t>
      </w:r>
      <w:proofErr w:type="gramStart"/>
      <w:r w:rsidRPr="00E222D1">
        <w:rPr>
          <w:rFonts w:eastAsia="Times New Roman" w:cstheme="minorHAnsi"/>
          <w:sz w:val="24"/>
          <w:szCs w:val="24"/>
        </w:rPr>
        <w:t>In</w:t>
      </w:r>
      <w:proofErr w:type="gramEnd"/>
      <w:r w:rsidRPr="00E222D1">
        <w:rPr>
          <w:rFonts w:eastAsia="Times New Roman" w:cstheme="minorHAnsi"/>
          <w:sz w:val="24"/>
          <w:szCs w:val="24"/>
        </w:rPr>
        <w:t xml:space="preserve"> Equity (SOCIE). SOCIE is considered to be an Integral Part of the Financial Statements. </w:t>
      </w:r>
      <w:r w:rsidR="00617552" w:rsidRPr="00E222D1">
        <w:rPr>
          <w:rFonts w:eastAsia="Times New Roman" w:cstheme="minorHAnsi"/>
          <w:sz w:val="24"/>
          <w:szCs w:val="24"/>
        </w:rPr>
        <w:t xml:space="preserve">Under Revised Schedule VI there is no </w:t>
      </w:r>
      <w:proofErr w:type="spellStart"/>
      <w:r w:rsidR="00617552" w:rsidRPr="00E222D1">
        <w:rPr>
          <w:rFonts w:eastAsia="Times New Roman" w:cstheme="minorHAnsi"/>
          <w:sz w:val="24"/>
          <w:szCs w:val="24"/>
        </w:rPr>
        <w:t>seperate</w:t>
      </w:r>
      <w:proofErr w:type="spellEnd"/>
      <w:r w:rsidR="00617552" w:rsidRPr="00E222D1">
        <w:rPr>
          <w:rFonts w:eastAsia="Times New Roman" w:cstheme="minorHAnsi"/>
          <w:sz w:val="24"/>
          <w:szCs w:val="24"/>
        </w:rPr>
        <w:t xml:space="preserve"> statement however all the required disclosures in very much detail are need to be made in Notes to Accounts. Share Capital is the most detailed disclosure in the revised schedule VI. </w:t>
      </w:r>
    </w:p>
    <w:p w:rsidR="004911F8" w:rsidRDefault="00617552" w:rsidP="00B559C5">
      <w:pPr>
        <w:pStyle w:val="ListParagraph"/>
        <w:numPr>
          <w:ilvl w:val="0"/>
          <w:numId w:val="9"/>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 xml:space="preserve">In addition to disclosure requirements under old schedule VI, </w:t>
      </w:r>
      <w:r w:rsidR="00B559C5" w:rsidRPr="00E222D1">
        <w:rPr>
          <w:rFonts w:eastAsia="Times New Roman" w:cstheme="minorHAnsi"/>
          <w:sz w:val="24"/>
          <w:szCs w:val="24"/>
        </w:rPr>
        <w:t>the number of shares subscribed but not fully paid,</w:t>
      </w:r>
    </w:p>
    <w:p w:rsidR="00B559C5" w:rsidRPr="00E222D1" w:rsidRDefault="004911F8" w:rsidP="00B559C5">
      <w:pPr>
        <w:pStyle w:val="ListParagraph"/>
        <w:numPr>
          <w:ilvl w:val="0"/>
          <w:numId w:val="9"/>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R</w:t>
      </w:r>
      <w:r w:rsidR="00B559C5" w:rsidRPr="00E222D1">
        <w:rPr>
          <w:rFonts w:eastAsia="Times New Roman" w:cstheme="minorHAnsi"/>
          <w:sz w:val="24"/>
          <w:szCs w:val="24"/>
        </w:rPr>
        <w:t>econciliation of the number of shares outstanding at the beginning and at the end of the reporting period,</w:t>
      </w:r>
    </w:p>
    <w:p w:rsidR="00B559C5" w:rsidRPr="00E222D1" w:rsidRDefault="00B559C5" w:rsidP="00B559C5">
      <w:pPr>
        <w:pStyle w:val="ListParagraph"/>
        <w:numPr>
          <w:ilvl w:val="0"/>
          <w:numId w:val="9"/>
        </w:numPr>
        <w:spacing w:before="100" w:beforeAutospacing="1" w:after="100" w:afterAutospacing="1" w:line="240" w:lineRule="auto"/>
        <w:rPr>
          <w:rFonts w:eastAsia="Times New Roman" w:cstheme="minorHAnsi"/>
          <w:sz w:val="24"/>
          <w:szCs w:val="24"/>
        </w:rPr>
      </w:pPr>
      <w:r w:rsidRPr="00E222D1">
        <w:rPr>
          <w:rFonts w:eastAsia="Times New Roman" w:cstheme="minorHAnsi"/>
          <w:sz w:val="24"/>
          <w:szCs w:val="24"/>
        </w:rPr>
        <w:t xml:space="preserve"> </w:t>
      </w:r>
      <w:r w:rsidR="004911F8">
        <w:rPr>
          <w:rFonts w:eastAsia="Times New Roman" w:cstheme="minorHAnsi"/>
          <w:sz w:val="24"/>
          <w:szCs w:val="24"/>
        </w:rPr>
        <w:t>T</w:t>
      </w:r>
      <w:r w:rsidRPr="00E222D1">
        <w:rPr>
          <w:rFonts w:eastAsia="Times New Roman" w:cstheme="minorHAnsi"/>
          <w:sz w:val="24"/>
          <w:szCs w:val="24"/>
        </w:rPr>
        <w:t>he rights preference and restrictions attaching to each class of shares including restriction on the distribution of dividend and the repayment of capital,</w:t>
      </w:r>
    </w:p>
    <w:p w:rsidR="00B559C5" w:rsidRPr="00E222D1" w:rsidRDefault="004911F8" w:rsidP="00B559C5">
      <w:pPr>
        <w:pStyle w:val="ListParagraph"/>
        <w:numPr>
          <w:ilvl w:val="0"/>
          <w:numId w:val="9"/>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S</w:t>
      </w:r>
      <w:r w:rsidR="00B559C5" w:rsidRPr="00E222D1">
        <w:rPr>
          <w:rFonts w:eastAsia="Times New Roman" w:cstheme="minorHAnsi"/>
          <w:sz w:val="24"/>
          <w:szCs w:val="24"/>
        </w:rPr>
        <w:t xml:space="preserve">hares in respect of each class in the company held by its holding company or its ultimate holding company including shares held by subsidiaries or associates of the holding company or the ultimate holding company in aggregate, </w:t>
      </w:r>
    </w:p>
    <w:p w:rsidR="00E222D1" w:rsidRPr="00E222D1" w:rsidRDefault="004911F8" w:rsidP="00B559C5">
      <w:pPr>
        <w:pStyle w:val="ListParagraph"/>
        <w:numPr>
          <w:ilvl w:val="0"/>
          <w:numId w:val="9"/>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S</w:t>
      </w:r>
      <w:r w:rsidR="00B559C5" w:rsidRPr="00E222D1">
        <w:rPr>
          <w:rFonts w:eastAsia="Times New Roman" w:cstheme="minorHAnsi"/>
          <w:sz w:val="24"/>
          <w:szCs w:val="24"/>
        </w:rPr>
        <w:t xml:space="preserve">hares in the company held by each share holder holding more than 5% shares specifying the number of shares held, </w:t>
      </w:r>
    </w:p>
    <w:p w:rsidR="00D57AD0" w:rsidRPr="00E222D1" w:rsidRDefault="004911F8" w:rsidP="00B559C5">
      <w:pPr>
        <w:pStyle w:val="ListParagraph"/>
        <w:numPr>
          <w:ilvl w:val="0"/>
          <w:numId w:val="9"/>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S</w:t>
      </w:r>
      <w:r w:rsidR="00B559C5" w:rsidRPr="00E222D1">
        <w:rPr>
          <w:rFonts w:eastAsia="Times New Roman" w:cstheme="minorHAnsi"/>
          <w:sz w:val="24"/>
          <w:szCs w:val="24"/>
        </w:rPr>
        <w:t>hares held for issue under options and contracts/ commitments for the sale of share or disinvestment , including the terms and amounts</w:t>
      </w:r>
      <w:r w:rsidR="00E222D1" w:rsidRPr="00E222D1">
        <w:rPr>
          <w:rFonts w:eastAsia="Times New Roman" w:cstheme="minorHAnsi"/>
          <w:sz w:val="24"/>
          <w:szCs w:val="24"/>
        </w:rPr>
        <w:t>,</w:t>
      </w:r>
    </w:p>
    <w:p w:rsidR="00E222D1" w:rsidRPr="00E222D1" w:rsidRDefault="004911F8" w:rsidP="00B559C5">
      <w:pPr>
        <w:pStyle w:val="ListParagraph"/>
        <w:numPr>
          <w:ilvl w:val="0"/>
          <w:numId w:val="9"/>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F</w:t>
      </w:r>
      <w:r w:rsidR="00E222D1" w:rsidRPr="00E222D1">
        <w:rPr>
          <w:rFonts w:eastAsia="Times New Roman" w:cstheme="minorHAnsi"/>
          <w:sz w:val="24"/>
          <w:szCs w:val="24"/>
        </w:rPr>
        <w:t>or the period of five years immediately preceding the date as at which the balance sheet is prepared – aggregate number and class of shares issued as fully paid up pursuant to contract without payment being received in cash, Aggregate number and class of shares allotted as fully paid up by way of bonus shares, aggregate number and class of shares bought back</w:t>
      </w:r>
    </w:p>
    <w:p w:rsidR="00E222D1" w:rsidRPr="00E222D1" w:rsidRDefault="004911F8" w:rsidP="00B559C5">
      <w:pPr>
        <w:pStyle w:val="ListParagraph"/>
        <w:numPr>
          <w:ilvl w:val="0"/>
          <w:numId w:val="9"/>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T</w:t>
      </w:r>
      <w:r w:rsidR="00E222D1" w:rsidRPr="00E222D1">
        <w:rPr>
          <w:rFonts w:eastAsia="Times New Roman" w:cstheme="minorHAnsi"/>
          <w:sz w:val="24"/>
          <w:szCs w:val="24"/>
        </w:rPr>
        <w:t>erms of any securities convertible into equity/ preference shares issued along with the earliest date of conversion in descending order starting from the farthest such date.</w:t>
      </w:r>
    </w:p>
    <w:p w:rsidR="00CC6832" w:rsidRDefault="00E222D1" w:rsidP="0030781D">
      <w:pPr>
        <w:pStyle w:val="ListParagraph"/>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Few changes have been made under reserves and surplus. All below the line items have been now taken to Reserves and surplus. Debit balance in P&amp;L A/c which was earlier disclosed on the asset side is now disclosed as a negative figure under this head.</w:t>
      </w:r>
    </w:p>
    <w:p w:rsidR="0030781D" w:rsidRDefault="0030781D" w:rsidP="0030781D">
      <w:pPr>
        <w:pStyle w:val="ListParagraph"/>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 xml:space="preserve">There </w:t>
      </w:r>
      <w:proofErr w:type="gramStart"/>
      <w:r>
        <w:rPr>
          <w:rFonts w:eastAsia="Times New Roman" w:cstheme="minorHAnsi"/>
          <w:sz w:val="24"/>
          <w:szCs w:val="24"/>
        </w:rPr>
        <w:t>has been significant changes</w:t>
      </w:r>
      <w:proofErr w:type="gramEnd"/>
      <w:r>
        <w:rPr>
          <w:rFonts w:eastAsia="Times New Roman" w:cstheme="minorHAnsi"/>
          <w:sz w:val="24"/>
          <w:szCs w:val="24"/>
        </w:rPr>
        <w:t xml:space="preserve"> in the Fixed Asset Disclosure Note. Assets under lease shall be separately classified under each class of asset. Acquisition through business combination needs to be disclosed separately for each class of asset</w:t>
      </w:r>
      <w:r w:rsidR="007811A6">
        <w:rPr>
          <w:rFonts w:eastAsia="Times New Roman" w:cstheme="minorHAnsi"/>
          <w:sz w:val="24"/>
          <w:szCs w:val="24"/>
        </w:rPr>
        <w:t xml:space="preserve">, similarly disposal through demergers are also advisable to be shown separately. Business Combination is not defined under the act </w:t>
      </w:r>
      <w:proofErr w:type="gramStart"/>
      <w:r w:rsidR="007811A6">
        <w:rPr>
          <w:rFonts w:eastAsia="Times New Roman" w:cstheme="minorHAnsi"/>
          <w:sz w:val="24"/>
          <w:szCs w:val="24"/>
        </w:rPr>
        <w:t>nor</w:t>
      </w:r>
      <w:proofErr w:type="gramEnd"/>
      <w:r w:rsidR="004911F8">
        <w:rPr>
          <w:rFonts w:eastAsia="Times New Roman" w:cstheme="minorHAnsi"/>
          <w:sz w:val="24"/>
          <w:szCs w:val="24"/>
        </w:rPr>
        <w:t xml:space="preserve"> in the</w:t>
      </w:r>
      <w:r w:rsidR="007811A6">
        <w:rPr>
          <w:rFonts w:eastAsia="Times New Roman" w:cstheme="minorHAnsi"/>
          <w:sz w:val="24"/>
          <w:szCs w:val="24"/>
        </w:rPr>
        <w:t xml:space="preserve"> notified accounting stan</w:t>
      </w:r>
      <w:r w:rsidR="004A223E">
        <w:rPr>
          <w:rFonts w:eastAsia="Times New Roman" w:cstheme="minorHAnsi"/>
          <w:sz w:val="24"/>
          <w:szCs w:val="24"/>
        </w:rPr>
        <w:t>dards. This term is again taken</w:t>
      </w:r>
      <w:r w:rsidR="007811A6">
        <w:rPr>
          <w:rFonts w:eastAsia="Times New Roman" w:cstheme="minorHAnsi"/>
          <w:sz w:val="24"/>
          <w:szCs w:val="24"/>
        </w:rPr>
        <w:t xml:space="preserve"> from the IFRS</w:t>
      </w:r>
      <w:r w:rsidR="004A223E">
        <w:rPr>
          <w:rFonts w:eastAsia="Times New Roman" w:cstheme="minorHAnsi"/>
          <w:sz w:val="24"/>
          <w:szCs w:val="24"/>
        </w:rPr>
        <w:t xml:space="preserve"> (IFRS 3 – Business Combination)</w:t>
      </w:r>
      <w:r w:rsidR="007811A6">
        <w:rPr>
          <w:rFonts w:eastAsia="Times New Roman" w:cstheme="minorHAnsi"/>
          <w:sz w:val="24"/>
          <w:szCs w:val="24"/>
        </w:rPr>
        <w:t xml:space="preserve"> and clarified in guidance note. A new line item for Intangible assets under development has been introduced. However accounting of intangible assets is not in line with IFRS. They have only tried to bring the disclosure requirement in line with IFRS. IFRS follow fair value and revaluation which is not followed as per IGAAP. Capital advances will no longer be part of CWIP and the same needs to be classified under Long term loans and advances on asset side.</w:t>
      </w:r>
    </w:p>
    <w:p w:rsidR="007811A6" w:rsidRDefault="007811A6" w:rsidP="0030781D">
      <w:pPr>
        <w:pStyle w:val="ListParagraph"/>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Cash and bank balances are replaced with cash and cash equivalents</w:t>
      </w:r>
      <w:r w:rsidR="004D1047">
        <w:rPr>
          <w:rFonts w:eastAsia="Times New Roman" w:cstheme="minorHAnsi"/>
          <w:sz w:val="24"/>
          <w:szCs w:val="24"/>
        </w:rPr>
        <w:t>. Certain items listed under this head do not meet the definition of cash and cash equivalent hence they will be classified as other bank balances under the same head.</w:t>
      </w:r>
    </w:p>
    <w:p w:rsidR="004D1047" w:rsidRPr="0030781D" w:rsidRDefault="004D1047" w:rsidP="0030781D">
      <w:pPr>
        <w:pStyle w:val="ListParagraph"/>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There are also few changes in the Statement of Profit and Loss. Other operating revenue need to be disclosed separately. There are also other changes in this statement which are actually not in line with IFRS. For example under IFRS extra ordinary or exceptional items are not allowed to be disclosed but as per IGAAP the same needs to be disclosed on the face of the statement. Sale of products and sale of services needs to be separately disclosed.</w:t>
      </w:r>
    </w:p>
    <w:p w:rsidR="00401D43" w:rsidRPr="00E222D1" w:rsidRDefault="00754680" w:rsidP="007250A6">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To conclude revised schedule VI can be construed as the first concrete step towards a gradual full convergence with IFRS that will follow in the coming years when the </w:t>
      </w:r>
      <w:proofErr w:type="spellStart"/>
      <w:r>
        <w:rPr>
          <w:rFonts w:eastAsia="Times New Roman" w:cstheme="minorHAnsi"/>
          <w:sz w:val="24"/>
          <w:szCs w:val="24"/>
        </w:rPr>
        <w:t>Ind</w:t>
      </w:r>
      <w:proofErr w:type="spellEnd"/>
      <w:r>
        <w:rPr>
          <w:rFonts w:eastAsia="Times New Roman" w:cstheme="minorHAnsi"/>
          <w:sz w:val="24"/>
          <w:szCs w:val="24"/>
        </w:rPr>
        <w:t xml:space="preserve">-AS will be notified. In general language the present scenario is such that we have only adopted the accent of the global language. We are yet to adopt the global language. </w:t>
      </w:r>
    </w:p>
    <w:p w:rsidR="00401D43" w:rsidRPr="00E222D1" w:rsidRDefault="00401D43" w:rsidP="007250A6">
      <w:pPr>
        <w:spacing w:line="240" w:lineRule="auto"/>
        <w:rPr>
          <w:sz w:val="24"/>
          <w:szCs w:val="24"/>
        </w:rPr>
      </w:pPr>
    </w:p>
    <w:sectPr w:rsidR="00401D43" w:rsidRPr="00E222D1" w:rsidSect="00E32C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47FC5"/>
    <w:multiLevelType w:val="hybridMultilevel"/>
    <w:tmpl w:val="4114FAD4"/>
    <w:lvl w:ilvl="0" w:tplc="EA4C2B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E50AC5"/>
    <w:multiLevelType w:val="hybridMultilevel"/>
    <w:tmpl w:val="76982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3C6CC4"/>
    <w:multiLevelType w:val="hybridMultilevel"/>
    <w:tmpl w:val="6282A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573EE8"/>
    <w:multiLevelType w:val="hybridMultilevel"/>
    <w:tmpl w:val="D018E328"/>
    <w:lvl w:ilvl="0" w:tplc="5C0CC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CBC2862"/>
    <w:multiLevelType w:val="hybridMultilevel"/>
    <w:tmpl w:val="B9021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B17F45"/>
    <w:multiLevelType w:val="hybridMultilevel"/>
    <w:tmpl w:val="AB8C9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452D8B"/>
    <w:multiLevelType w:val="hybridMultilevel"/>
    <w:tmpl w:val="A4BADF80"/>
    <w:lvl w:ilvl="0" w:tplc="5C966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417ED9"/>
    <w:multiLevelType w:val="hybridMultilevel"/>
    <w:tmpl w:val="48EE5428"/>
    <w:lvl w:ilvl="0" w:tplc="7B7EF6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6FF21CD"/>
    <w:multiLevelType w:val="hybridMultilevel"/>
    <w:tmpl w:val="CE0426BC"/>
    <w:lvl w:ilvl="0" w:tplc="FEA6EB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7841F3"/>
    <w:multiLevelType w:val="hybridMultilevel"/>
    <w:tmpl w:val="04C0B8C4"/>
    <w:lvl w:ilvl="0" w:tplc="168697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
  </w:num>
  <w:num w:numId="4">
    <w:abstractNumId w:val="4"/>
  </w:num>
  <w:num w:numId="5">
    <w:abstractNumId w:val="3"/>
  </w:num>
  <w:num w:numId="6">
    <w:abstractNumId w:val="0"/>
  </w:num>
  <w:num w:numId="7">
    <w:abstractNumId w:val="7"/>
  </w:num>
  <w:num w:numId="8">
    <w:abstractNumId w:val="8"/>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36C08"/>
    <w:rsid w:val="00070A14"/>
    <w:rsid w:val="000B2FE0"/>
    <w:rsid w:val="000B4EBA"/>
    <w:rsid w:val="0010432B"/>
    <w:rsid w:val="002E62A7"/>
    <w:rsid w:val="0030781D"/>
    <w:rsid w:val="00322D31"/>
    <w:rsid w:val="003C787B"/>
    <w:rsid w:val="00401D43"/>
    <w:rsid w:val="00440B6B"/>
    <w:rsid w:val="004911F8"/>
    <w:rsid w:val="004A223E"/>
    <w:rsid w:val="004D1047"/>
    <w:rsid w:val="00617552"/>
    <w:rsid w:val="00647164"/>
    <w:rsid w:val="00670F57"/>
    <w:rsid w:val="007250A6"/>
    <w:rsid w:val="00754680"/>
    <w:rsid w:val="007811A6"/>
    <w:rsid w:val="007B3114"/>
    <w:rsid w:val="007E769F"/>
    <w:rsid w:val="008D67DA"/>
    <w:rsid w:val="00921A40"/>
    <w:rsid w:val="0096516C"/>
    <w:rsid w:val="009D0279"/>
    <w:rsid w:val="00AF3DCF"/>
    <w:rsid w:val="00B559C5"/>
    <w:rsid w:val="00C85CF3"/>
    <w:rsid w:val="00CC6832"/>
    <w:rsid w:val="00D115D0"/>
    <w:rsid w:val="00D57AD0"/>
    <w:rsid w:val="00E222D1"/>
    <w:rsid w:val="00E23938"/>
    <w:rsid w:val="00E32CB9"/>
    <w:rsid w:val="00E63CB6"/>
    <w:rsid w:val="00F36C08"/>
    <w:rsid w:val="00FC01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C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FE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2065</Words>
  <Characters>11773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3</cp:revision>
  <dcterms:created xsi:type="dcterms:W3CDTF">2012-06-26T14:30:00Z</dcterms:created>
  <dcterms:modified xsi:type="dcterms:W3CDTF">2012-06-26T14:38:00Z</dcterms:modified>
</cp:coreProperties>
</file>