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32D" w:rsidRPr="004020D5" w:rsidRDefault="004020D5" w:rsidP="00EC43E1">
      <w:pPr>
        <w:spacing w:line="360" w:lineRule="auto"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4020D5">
        <w:rPr>
          <w:rFonts w:asciiTheme="minorHAnsi" w:hAnsiTheme="minorHAnsi"/>
          <w:b/>
          <w:sz w:val="28"/>
          <w:szCs w:val="28"/>
          <w:u w:val="single"/>
        </w:rPr>
        <w:t>CHANGES IN REVISED SCHEDULE VI OF</w:t>
      </w:r>
      <w:r w:rsidRPr="004020D5">
        <w:rPr>
          <w:rFonts w:asciiTheme="minorHAnsi" w:hAnsiTheme="minorHAnsi" w:cs="TrebuchetMS"/>
          <w:b/>
          <w:sz w:val="28"/>
          <w:szCs w:val="28"/>
          <w:u w:val="single"/>
        </w:rPr>
        <w:t xml:space="preserve"> COMPANIES ACT, 1956</w:t>
      </w:r>
    </w:p>
    <w:p w:rsidR="00FC747E" w:rsidRPr="00EC43E1" w:rsidRDefault="00FC747E" w:rsidP="00EC43E1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AF1785" w:rsidRPr="00EC43E1" w:rsidRDefault="00AF1785" w:rsidP="00EC43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EC43E1">
        <w:rPr>
          <w:rFonts w:asciiTheme="minorHAnsi" w:hAnsiTheme="minorHAnsi" w:cs="TrebuchetMS"/>
          <w:sz w:val="24"/>
          <w:szCs w:val="24"/>
        </w:rPr>
        <w:t>Under the old schedule, Current Assets &amp; Liabilities were shown together under Application of Funds and the Net Working Capital appeared on Balance Sheet. Under the Revised Schedule, Assets &amp; Liabilities are to be segregated into Current &amp; Non-current and are required to be shown separately.</w:t>
      </w:r>
    </w:p>
    <w:p w:rsidR="00FC747E" w:rsidRPr="00EC43E1" w:rsidRDefault="00FC747E" w:rsidP="00EC43E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EC43E1">
        <w:rPr>
          <w:rFonts w:asciiTheme="minorHAnsi" w:hAnsiTheme="minorHAnsi"/>
          <w:sz w:val="24"/>
          <w:szCs w:val="24"/>
        </w:rPr>
        <w:t>Earlier both vertical and horizontal forms of presentation were allowed but now only vertical form is allowed under revised Schedule VI.</w:t>
      </w:r>
    </w:p>
    <w:p w:rsidR="00FC747E" w:rsidRPr="00EC43E1" w:rsidRDefault="00EC43E1" w:rsidP="00EC43E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 Revised Schedule, </w:t>
      </w:r>
      <w:r w:rsidR="00FC747E" w:rsidRPr="00EC43E1">
        <w:rPr>
          <w:rFonts w:asciiTheme="minorHAnsi" w:hAnsiTheme="minorHAnsi"/>
          <w:sz w:val="24"/>
          <w:szCs w:val="24"/>
        </w:rPr>
        <w:t xml:space="preserve">Focus is on transparency with regard to financial position of the company and </w:t>
      </w:r>
      <w:r w:rsidRPr="00EC43E1">
        <w:rPr>
          <w:rFonts w:asciiTheme="minorHAnsi" w:hAnsiTheme="minorHAnsi"/>
          <w:sz w:val="24"/>
          <w:szCs w:val="24"/>
        </w:rPr>
        <w:t>there</w:t>
      </w:r>
      <w:r w:rsidR="00FC747E" w:rsidRPr="00EC43E1">
        <w:rPr>
          <w:rFonts w:asciiTheme="minorHAnsi" w:hAnsiTheme="minorHAnsi"/>
          <w:sz w:val="24"/>
          <w:szCs w:val="24"/>
        </w:rPr>
        <w:t xml:space="preserve"> should be proper disclosure to shareholders.</w:t>
      </w:r>
    </w:p>
    <w:p w:rsidR="00AF1785" w:rsidRPr="00EC43E1" w:rsidRDefault="00AF1785" w:rsidP="00EC43E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EC43E1">
        <w:rPr>
          <w:rFonts w:asciiTheme="minorHAnsi" w:hAnsiTheme="minorHAnsi"/>
          <w:sz w:val="24"/>
          <w:szCs w:val="24"/>
        </w:rPr>
        <w:t xml:space="preserve">The Revised Schedule VI has eliminated the concept of schedules and all such information is to be shown as Notes in accounts. </w:t>
      </w:r>
    </w:p>
    <w:p w:rsidR="00AF1785" w:rsidRPr="00EC43E1" w:rsidRDefault="00EC43E1" w:rsidP="00EC43E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Now f</w:t>
      </w:r>
      <w:r w:rsidR="00AF1785" w:rsidRPr="00EC43E1">
        <w:rPr>
          <w:rFonts w:asciiTheme="minorHAnsi" w:hAnsiTheme="minorHAnsi"/>
          <w:sz w:val="24"/>
          <w:szCs w:val="24"/>
        </w:rPr>
        <w:t xml:space="preserve">ocus will be more </w:t>
      </w:r>
      <w:r>
        <w:rPr>
          <w:rFonts w:asciiTheme="minorHAnsi" w:hAnsiTheme="minorHAnsi"/>
          <w:sz w:val="24"/>
          <w:szCs w:val="24"/>
        </w:rPr>
        <w:t xml:space="preserve">on </w:t>
      </w:r>
      <w:r w:rsidR="00AF1785" w:rsidRPr="00EC43E1">
        <w:rPr>
          <w:rFonts w:asciiTheme="minorHAnsi" w:hAnsiTheme="minorHAnsi"/>
          <w:sz w:val="24"/>
          <w:szCs w:val="24"/>
        </w:rPr>
        <w:t>better presentation as disclosure is intended to facilitate better organized data for users of financial statement</w:t>
      </w:r>
      <w:r>
        <w:rPr>
          <w:rFonts w:asciiTheme="minorHAnsi" w:hAnsiTheme="minorHAnsi"/>
          <w:sz w:val="24"/>
          <w:szCs w:val="24"/>
        </w:rPr>
        <w:t>.</w:t>
      </w:r>
    </w:p>
    <w:p w:rsidR="00FC747E" w:rsidRPr="00EC43E1" w:rsidRDefault="00FC747E" w:rsidP="00EC43E1">
      <w:pPr>
        <w:spacing w:line="360" w:lineRule="auto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EC43E1">
        <w:rPr>
          <w:rFonts w:asciiTheme="minorHAnsi" w:hAnsiTheme="minorHAnsi"/>
          <w:b/>
          <w:sz w:val="24"/>
          <w:szCs w:val="24"/>
          <w:u w:val="single"/>
        </w:rPr>
        <w:t>LIABILITIES:</w:t>
      </w:r>
    </w:p>
    <w:p w:rsidR="00AF1785" w:rsidRPr="00EC43E1" w:rsidRDefault="00FC747E" w:rsidP="00EC43E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TrebuchetMS"/>
          <w:sz w:val="24"/>
          <w:szCs w:val="24"/>
        </w:rPr>
      </w:pPr>
      <w:r w:rsidRPr="00EC43E1">
        <w:rPr>
          <w:rFonts w:asciiTheme="minorHAnsi" w:hAnsiTheme="minorHAnsi"/>
          <w:sz w:val="24"/>
          <w:szCs w:val="24"/>
        </w:rPr>
        <w:t>“Sources of Funds” has been replaced by “Equity &amp; Liabilities”.</w:t>
      </w:r>
    </w:p>
    <w:p w:rsidR="00AF1785" w:rsidRPr="00EC43E1" w:rsidRDefault="00AF1785" w:rsidP="00EC43E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EC43E1">
        <w:rPr>
          <w:rFonts w:asciiTheme="minorHAnsi" w:hAnsiTheme="minorHAnsi" w:cs="TrebuchetMS"/>
          <w:sz w:val="24"/>
          <w:szCs w:val="24"/>
        </w:rPr>
        <w:t>Earlier Sho</w:t>
      </w:r>
      <w:r w:rsidR="00EC43E1">
        <w:rPr>
          <w:rFonts w:asciiTheme="minorHAnsi" w:hAnsiTheme="minorHAnsi" w:cs="TrebuchetMS"/>
          <w:sz w:val="24"/>
          <w:szCs w:val="24"/>
        </w:rPr>
        <w:t>rt term &amp; long term borrowings we</w:t>
      </w:r>
      <w:r w:rsidRPr="00EC43E1">
        <w:rPr>
          <w:rFonts w:asciiTheme="minorHAnsi" w:hAnsiTheme="minorHAnsi" w:cs="TrebuchetMS"/>
          <w:sz w:val="24"/>
          <w:szCs w:val="24"/>
        </w:rPr>
        <w:t>re grouped together under the head Loan funds. In Revised Balance Sheet Long term borrowings to be shown under non-current liabilities and short term borrowings to be shown under current liabilities with separate disclosure of secured / unsecured loans.</w:t>
      </w:r>
    </w:p>
    <w:p w:rsidR="00FC747E" w:rsidRPr="00EC43E1" w:rsidRDefault="00FC747E" w:rsidP="00EC43E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EC43E1">
        <w:rPr>
          <w:rFonts w:asciiTheme="minorHAnsi" w:hAnsiTheme="minorHAnsi"/>
          <w:sz w:val="24"/>
          <w:szCs w:val="24"/>
        </w:rPr>
        <w:t>Under Share capital</w:t>
      </w:r>
      <w:r w:rsidR="00EC43E1">
        <w:rPr>
          <w:rFonts w:asciiTheme="minorHAnsi" w:hAnsiTheme="minorHAnsi"/>
          <w:sz w:val="24"/>
          <w:szCs w:val="24"/>
        </w:rPr>
        <w:t>,</w:t>
      </w:r>
      <w:r w:rsidRPr="00EC43E1">
        <w:rPr>
          <w:rFonts w:asciiTheme="minorHAnsi" w:hAnsiTheme="minorHAnsi"/>
          <w:sz w:val="24"/>
          <w:szCs w:val="24"/>
        </w:rPr>
        <w:t xml:space="preserve"> details of Shareholders </w:t>
      </w:r>
      <w:r w:rsidR="00EC43E1">
        <w:rPr>
          <w:rFonts w:asciiTheme="minorHAnsi" w:hAnsiTheme="minorHAnsi"/>
          <w:sz w:val="24"/>
          <w:szCs w:val="24"/>
        </w:rPr>
        <w:t>holding more than 5% needs to be</w:t>
      </w:r>
      <w:r w:rsidRPr="00EC43E1">
        <w:rPr>
          <w:rFonts w:asciiTheme="minorHAnsi" w:hAnsiTheme="minorHAnsi"/>
          <w:sz w:val="24"/>
          <w:szCs w:val="24"/>
        </w:rPr>
        <w:t xml:space="preserve"> given.</w:t>
      </w:r>
    </w:p>
    <w:p w:rsidR="00FC747E" w:rsidRDefault="00FC747E" w:rsidP="00EC43E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EC43E1">
        <w:rPr>
          <w:rFonts w:asciiTheme="minorHAnsi" w:hAnsiTheme="minorHAnsi"/>
          <w:sz w:val="24"/>
          <w:szCs w:val="24"/>
        </w:rPr>
        <w:t>In revised Schedule VI Debit balance of P&amp;L A/c is to be shown as negative amount under Reserves and Surplus head as “Surplus”. Therefore, reserve &amp; surplus balance can be negative.</w:t>
      </w:r>
    </w:p>
    <w:p w:rsidR="004020D5" w:rsidRPr="00EC43E1" w:rsidRDefault="004020D5" w:rsidP="004020D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“Sundry Creditors” </w:t>
      </w:r>
      <w:r>
        <w:rPr>
          <w:rFonts w:ascii="TrebuchetMS" w:hAnsi="TrebuchetMS" w:cs="TrebuchetMS"/>
        </w:rPr>
        <w:t>would be shown as</w:t>
      </w:r>
      <w:r>
        <w:rPr>
          <w:rFonts w:asciiTheme="minorHAnsi" w:hAnsiTheme="minorHAnsi"/>
          <w:sz w:val="24"/>
          <w:szCs w:val="24"/>
        </w:rPr>
        <w:t xml:space="preserve"> “Trade Payables”.</w:t>
      </w:r>
    </w:p>
    <w:p w:rsidR="00FC747E" w:rsidRPr="00EC43E1" w:rsidRDefault="00FC747E" w:rsidP="00EC43E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EC43E1">
        <w:rPr>
          <w:rFonts w:asciiTheme="minorHAnsi" w:hAnsiTheme="minorHAnsi"/>
          <w:sz w:val="24"/>
          <w:szCs w:val="24"/>
        </w:rPr>
        <w:t>Liabilities will be broadly classified as:</w:t>
      </w:r>
    </w:p>
    <w:p w:rsidR="00FC747E" w:rsidRPr="00EC43E1" w:rsidRDefault="00FC747E" w:rsidP="00EC43E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EC43E1">
        <w:rPr>
          <w:rFonts w:asciiTheme="minorHAnsi" w:hAnsiTheme="minorHAnsi"/>
          <w:sz w:val="24"/>
          <w:szCs w:val="24"/>
        </w:rPr>
        <w:t>Current Liabilities</w:t>
      </w:r>
    </w:p>
    <w:p w:rsidR="00FC747E" w:rsidRPr="00EC43E1" w:rsidRDefault="00FC747E" w:rsidP="00EC43E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EC43E1">
        <w:rPr>
          <w:rFonts w:asciiTheme="minorHAnsi" w:hAnsiTheme="minorHAnsi"/>
          <w:sz w:val="24"/>
          <w:szCs w:val="24"/>
        </w:rPr>
        <w:lastRenderedPageBreak/>
        <w:t>Non Current Liabilities</w:t>
      </w:r>
    </w:p>
    <w:p w:rsidR="00FC747E" w:rsidRPr="004020D5" w:rsidRDefault="00FC747E" w:rsidP="004020D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4020D5">
        <w:rPr>
          <w:rFonts w:asciiTheme="minorHAnsi" w:hAnsiTheme="minorHAnsi"/>
          <w:sz w:val="24"/>
          <w:szCs w:val="24"/>
        </w:rPr>
        <w:t>Provisions are to classified as:</w:t>
      </w:r>
    </w:p>
    <w:p w:rsidR="00FC747E" w:rsidRPr="00EC43E1" w:rsidRDefault="00FC747E" w:rsidP="00EC43E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EC43E1">
        <w:rPr>
          <w:rFonts w:asciiTheme="minorHAnsi" w:hAnsiTheme="minorHAnsi"/>
          <w:sz w:val="24"/>
          <w:szCs w:val="24"/>
        </w:rPr>
        <w:t>Short term Provisions</w:t>
      </w:r>
    </w:p>
    <w:p w:rsidR="00FC747E" w:rsidRPr="00EC43E1" w:rsidRDefault="00FC747E" w:rsidP="00EC43E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EC43E1">
        <w:rPr>
          <w:rFonts w:asciiTheme="minorHAnsi" w:hAnsiTheme="minorHAnsi"/>
          <w:sz w:val="24"/>
          <w:szCs w:val="24"/>
        </w:rPr>
        <w:t>Long term Provisions</w:t>
      </w:r>
    </w:p>
    <w:p w:rsidR="00EC43E1" w:rsidRDefault="00EC43E1" w:rsidP="00EC43E1">
      <w:pPr>
        <w:spacing w:line="360" w:lineRule="auto"/>
        <w:rPr>
          <w:rFonts w:asciiTheme="minorHAnsi" w:hAnsiTheme="minorHAnsi"/>
          <w:b/>
          <w:sz w:val="24"/>
          <w:szCs w:val="24"/>
          <w:u w:val="single"/>
        </w:rPr>
      </w:pPr>
    </w:p>
    <w:p w:rsidR="00C82A39" w:rsidRPr="00EC43E1" w:rsidRDefault="00C82A39" w:rsidP="00EC43E1">
      <w:pPr>
        <w:spacing w:line="360" w:lineRule="auto"/>
        <w:rPr>
          <w:rFonts w:asciiTheme="minorHAnsi" w:hAnsiTheme="minorHAnsi"/>
          <w:b/>
          <w:sz w:val="24"/>
          <w:szCs w:val="24"/>
          <w:u w:val="single"/>
        </w:rPr>
      </w:pPr>
      <w:r w:rsidRPr="00EC43E1">
        <w:rPr>
          <w:rFonts w:asciiTheme="minorHAnsi" w:hAnsiTheme="minorHAnsi"/>
          <w:b/>
          <w:sz w:val="24"/>
          <w:szCs w:val="24"/>
          <w:u w:val="single"/>
        </w:rPr>
        <w:t>ASSETS:</w:t>
      </w:r>
    </w:p>
    <w:p w:rsidR="00C82A39" w:rsidRPr="00EC43E1" w:rsidRDefault="00C82A39" w:rsidP="00EC43E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EC43E1">
        <w:rPr>
          <w:rFonts w:asciiTheme="minorHAnsi" w:hAnsiTheme="minorHAnsi"/>
          <w:sz w:val="24"/>
          <w:szCs w:val="24"/>
        </w:rPr>
        <w:t>“Application of funds” has been replaced with “Assets”</w:t>
      </w:r>
    </w:p>
    <w:p w:rsidR="00AF1785" w:rsidRPr="00EC43E1" w:rsidRDefault="00C82A39" w:rsidP="00EC43E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TrebuchetMS"/>
          <w:sz w:val="24"/>
          <w:szCs w:val="24"/>
        </w:rPr>
      </w:pPr>
      <w:r w:rsidRPr="00EC43E1">
        <w:rPr>
          <w:rFonts w:asciiTheme="minorHAnsi" w:hAnsiTheme="minorHAnsi"/>
          <w:sz w:val="24"/>
          <w:szCs w:val="24"/>
        </w:rPr>
        <w:t xml:space="preserve"> </w:t>
      </w:r>
      <w:r w:rsidR="00AF1785" w:rsidRPr="00EC43E1">
        <w:rPr>
          <w:rFonts w:asciiTheme="minorHAnsi" w:hAnsiTheme="minorHAnsi" w:cs="TrebuchetMS"/>
          <w:sz w:val="24"/>
          <w:szCs w:val="24"/>
        </w:rPr>
        <w:t>Also, under the old schedule, Fixed Assets and Current Assets were shown with no bifurcation under Fixed Assets for Tangible and Intangible Assets. However, under the Revised Schedule VI, Fixed assets</w:t>
      </w:r>
      <w:r w:rsidR="00EC43E1">
        <w:rPr>
          <w:rFonts w:asciiTheme="minorHAnsi" w:hAnsiTheme="minorHAnsi" w:cs="TrebuchetMS"/>
          <w:sz w:val="24"/>
          <w:szCs w:val="24"/>
        </w:rPr>
        <w:t xml:space="preserve"> are </w:t>
      </w:r>
      <w:r w:rsidR="00AF1785" w:rsidRPr="00EC43E1">
        <w:rPr>
          <w:rFonts w:asciiTheme="minorHAnsi" w:hAnsiTheme="minorHAnsi" w:cs="TrebuchetMS"/>
          <w:sz w:val="24"/>
          <w:szCs w:val="24"/>
        </w:rPr>
        <w:t>to be shown under non-current assets and bifurcated as under:</w:t>
      </w:r>
    </w:p>
    <w:p w:rsidR="00AF1785" w:rsidRPr="00EC43E1" w:rsidRDefault="00AF1785" w:rsidP="00EC43E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="TrebuchetMS"/>
          <w:sz w:val="24"/>
          <w:szCs w:val="24"/>
        </w:rPr>
      </w:pPr>
      <w:r w:rsidRPr="00EC43E1">
        <w:rPr>
          <w:rFonts w:asciiTheme="minorHAnsi" w:hAnsiTheme="minorHAnsi" w:cs="TrebuchetMS"/>
          <w:sz w:val="24"/>
          <w:szCs w:val="24"/>
        </w:rPr>
        <w:t>Tangible assets</w:t>
      </w:r>
    </w:p>
    <w:p w:rsidR="00AF1785" w:rsidRPr="00EC43E1" w:rsidRDefault="00AF1785" w:rsidP="00EC43E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="TrebuchetMS"/>
          <w:sz w:val="24"/>
          <w:szCs w:val="24"/>
        </w:rPr>
      </w:pPr>
      <w:r w:rsidRPr="00EC43E1">
        <w:rPr>
          <w:rFonts w:asciiTheme="minorHAnsi" w:hAnsiTheme="minorHAnsi" w:cs="TrebuchetMS"/>
          <w:sz w:val="24"/>
          <w:szCs w:val="24"/>
        </w:rPr>
        <w:t>Intangible assets</w:t>
      </w:r>
    </w:p>
    <w:p w:rsidR="00AF1785" w:rsidRPr="00EC43E1" w:rsidRDefault="00AF1785" w:rsidP="00EC43E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="TrebuchetMS"/>
          <w:sz w:val="24"/>
          <w:szCs w:val="24"/>
        </w:rPr>
      </w:pPr>
      <w:r w:rsidRPr="00EC43E1">
        <w:rPr>
          <w:rFonts w:asciiTheme="minorHAnsi" w:hAnsiTheme="minorHAnsi" w:cs="TrebuchetMS"/>
          <w:sz w:val="24"/>
          <w:szCs w:val="24"/>
        </w:rPr>
        <w:t>Capital work-in-progress</w:t>
      </w:r>
    </w:p>
    <w:p w:rsidR="004020D5" w:rsidRDefault="00C82A39" w:rsidP="004020D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EC43E1">
        <w:rPr>
          <w:rFonts w:asciiTheme="minorHAnsi" w:hAnsiTheme="minorHAnsi"/>
          <w:sz w:val="24"/>
          <w:szCs w:val="24"/>
        </w:rPr>
        <w:t>Current Assets are to be shown under separate head.</w:t>
      </w:r>
    </w:p>
    <w:p w:rsidR="004020D5" w:rsidRPr="004020D5" w:rsidRDefault="004020D5" w:rsidP="004020D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sz w:val="28"/>
          <w:szCs w:val="24"/>
        </w:rPr>
      </w:pPr>
      <w:r w:rsidRPr="004020D5">
        <w:rPr>
          <w:rFonts w:asciiTheme="minorHAnsi" w:hAnsiTheme="minorHAnsi" w:cs="TrebuchetMS"/>
          <w:sz w:val="24"/>
        </w:rPr>
        <w:t>Currently, all Investments are disclosed under the head Investments. However, under the Revised Schedule, Current and Non-Current Investments would be required to be disclosed separately under Current Assets and Non-Current Assets respectively.</w:t>
      </w:r>
    </w:p>
    <w:p w:rsidR="00AF1785" w:rsidRPr="00EC43E1" w:rsidRDefault="00AF1785" w:rsidP="00EC43E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EC43E1">
        <w:rPr>
          <w:rFonts w:asciiTheme="minorHAnsi" w:hAnsiTheme="minorHAnsi" w:cs="TrebuchetMS"/>
          <w:sz w:val="24"/>
          <w:szCs w:val="24"/>
        </w:rPr>
        <w:t>Separate Disclosure is required in the Schedule for the additions or deletions by way of revaluation</w:t>
      </w:r>
      <w:r w:rsidR="00EC43E1">
        <w:rPr>
          <w:rFonts w:asciiTheme="minorHAnsi" w:hAnsiTheme="minorHAnsi" w:cs="TrebuchetMS"/>
          <w:sz w:val="24"/>
          <w:szCs w:val="24"/>
        </w:rPr>
        <w:t>.</w:t>
      </w:r>
    </w:p>
    <w:p w:rsidR="00C82A39" w:rsidRPr="00EC43E1" w:rsidRDefault="00C82A39" w:rsidP="00EC43E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EC43E1">
        <w:rPr>
          <w:rFonts w:asciiTheme="minorHAnsi" w:hAnsiTheme="minorHAnsi"/>
          <w:sz w:val="24"/>
          <w:szCs w:val="24"/>
        </w:rPr>
        <w:t xml:space="preserve">“Sundry Debtors” </w:t>
      </w:r>
      <w:r w:rsidR="004020D5">
        <w:rPr>
          <w:rFonts w:asciiTheme="minorHAnsi" w:hAnsiTheme="minorHAnsi"/>
          <w:sz w:val="24"/>
          <w:szCs w:val="24"/>
        </w:rPr>
        <w:t xml:space="preserve">would be shown as </w:t>
      </w:r>
      <w:r w:rsidR="00EC43E1">
        <w:rPr>
          <w:rFonts w:asciiTheme="minorHAnsi" w:hAnsiTheme="minorHAnsi"/>
          <w:sz w:val="24"/>
          <w:szCs w:val="24"/>
        </w:rPr>
        <w:t>“Trade Receivables”.</w:t>
      </w:r>
    </w:p>
    <w:p w:rsidR="00C82A39" w:rsidRPr="00EC43E1" w:rsidRDefault="00C82A39" w:rsidP="00EC43E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EC43E1">
        <w:rPr>
          <w:rFonts w:asciiTheme="minorHAnsi" w:hAnsiTheme="minorHAnsi"/>
          <w:sz w:val="24"/>
          <w:szCs w:val="24"/>
        </w:rPr>
        <w:t>“Cash &amp; Bank balances” have now been termed as “Cash &amp; Cash equivalents”.</w:t>
      </w:r>
    </w:p>
    <w:p w:rsidR="00C82A39" w:rsidRPr="00EC43E1" w:rsidRDefault="00C82A39" w:rsidP="00EC43E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EC43E1">
        <w:rPr>
          <w:rFonts w:asciiTheme="minorHAnsi" w:hAnsiTheme="minorHAnsi"/>
          <w:sz w:val="24"/>
          <w:szCs w:val="24"/>
        </w:rPr>
        <w:t xml:space="preserve"> Goods in transit shall be disclosed under the relevant sub-head of inventories.</w:t>
      </w:r>
    </w:p>
    <w:p w:rsidR="00C82A39" w:rsidRPr="00EC43E1" w:rsidRDefault="00C82A39" w:rsidP="00EC43E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EC43E1">
        <w:rPr>
          <w:rFonts w:asciiTheme="minorHAnsi" w:hAnsiTheme="minorHAnsi"/>
          <w:sz w:val="24"/>
          <w:szCs w:val="24"/>
        </w:rPr>
        <w:t xml:space="preserve"> </w:t>
      </w:r>
      <w:r w:rsidR="00EC43E1">
        <w:rPr>
          <w:rFonts w:asciiTheme="minorHAnsi" w:hAnsiTheme="minorHAnsi"/>
          <w:sz w:val="24"/>
          <w:szCs w:val="24"/>
        </w:rPr>
        <w:t>N</w:t>
      </w:r>
      <w:r w:rsidR="00EC43E1" w:rsidRPr="00EC43E1">
        <w:rPr>
          <w:rFonts w:asciiTheme="minorHAnsi" w:hAnsiTheme="minorHAnsi"/>
          <w:sz w:val="24"/>
          <w:szCs w:val="24"/>
        </w:rPr>
        <w:t xml:space="preserve">ow </w:t>
      </w:r>
      <w:proofErr w:type="gramStart"/>
      <w:r w:rsidRPr="00EC43E1">
        <w:rPr>
          <w:rFonts w:asciiTheme="minorHAnsi" w:hAnsiTheme="minorHAnsi"/>
          <w:sz w:val="24"/>
          <w:szCs w:val="24"/>
        </w:rPr>
        <w:t>Misc</w:t>
      </w:r>
      <w:r w:rsidR="00EC43E1">
        <w:rPr>
          <w:rFonts w:asciiTheme="minorHAnsi" w:hAnsiTheme="minorHAnsi"/>
          <w:sz w:val="24"/>
          <w:szCs w:val="24"/>
        </w:rPr>
        <w:t>ellaneous</w:t>
      </w:r>
      <w:proofErr w:type="gramEnd"/>
      <w:r w:rsidR="00EC43E1">
        <w:rPr>
          <w:rFonts w:asciiTheme="minorHAnsi" w:hAnsiTheme="minorHAnsi"/>
          <w:sz w:val="24"/>
          <w:szCs w:val="24"/>
        </w:rPr>
        <w:t xml:space="preserve"> expenditure</w:t>
      </w:r>
      <w:r w:rsidRPr="00EC43E1">
        <w:rPr>
          <w:rFonts w:asciiTheme="minorHAnsi" w:hAnsiTheme="minorHAnsi"/>
          <w:sz w:val="24"/>
          <w:szCs w:val="24"/>
        </w:rPr>
        <w:t xml:space="preserve"> </w:t>
      </w:r>
      <w:r w:rsidR="00EC43E1">
        <w:rPr>
          <w:rFonts w:asciiTheme="minorHAnsi" w:hAnsiTheme="minorHAnsi"/>
          <w:sz w:val="24"/>
          <w:szCs w:val="24"/>
        </w:rPr>
        <w:t xml:space="preserve">will </w:t>
      </w:r>
      <w:r w:rsidRPr="00EC43E1">
        <w:rPr>
          <w:rFonts w:asciiTheme="minorHAnsi" w:hAnsiTheme="minorHAnsi"/>
          <w:sz w:val="24"/>
          <w:szCs w:val="24"/>
        </w:rPr>
        <w:t>not be shown separately under head “Other current assets”.</w:t>
      </w:r>
    </w:p>
    <w:p w:rsidR="00C82A39" w:rsidRPr="00EC43E1" w:rsidRDefault="00C82A39" w:rsidP="00EC43E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EC43E1">
        <w:rPr>
          <w:rFonts w:asciiTheme="minorHAnsi" w:hAnsiTheme="minorHAnsi"/>
          <w:sz w:val="24"/>
          <w:szCs w:val="24"/>
        </w:rPr>
        <w:t>The amount of dividend proposed to b</w:t>
      </w:r>
      <w:r w:rsidR="00EC43E1">
        <w:rPr>
          <w:rFonts w:asciiTheme="minorHAnsi" w:hAnsiTheme="minorHAnsi"/>
          <w:sz w:val="24"/>
          <w:szCs w:val="24"/>
        </w:rPr>
        <w:t>e distributed to shareholders (</w:t>
      </w:r>
      <w:r w:rsidRPr="00EC43E1">
        <w:rPr>
          <w:rFonts w:asciiTheme="minorHAnsi" w:hAnsiTheme="minorHAnsi"/>
          <w:sz w:val="24"/>
          <w:szCs w:val="24"/>
        </w:rPr>
        <w:t>equity and preference) for the period and amount per share to be disclosed separately.</w:t>
      </w:r>
    </w:p>
    <w:p w:rsidR="00C82A39" w:rsidRPr="00EC43E1" w:rsidRDefault="00C82A39" w:rsidP="00EC43E1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b/>
          <w:sz w:val="24"/>
          <w:szCs w:val="24"/>
          <w:u w:val="single"/>
        </w:rPr>
      </w:pPr>
    </w:p>
    <w:p w:rsidR="00FC747E" w:rsidRPr="00EC43E1" w:rsidRDefault="00FC747E" w:rsidP="00EC43E1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</w:p>
    <w:p w:rsidR="00FC747E" w:rsidRPr="00EC43E1" w:rsidRDefault="00FC747E" w:rsidP="00EC43E1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</w:p>
    <w:p w:rsidR="00FC747E" w:rsidRPr="00EC43E1" w:rsidRDefault="00FC747E" w:rsidP="00EC43E1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FC747E" w:rsidRPr="00EC43E1" w:rsidRDefault="00AF1785" w:rsidP="00EC43E1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EC43E1">
        <w:rPr>
          <w:rFonts w:asciiTheme="minorHAnsi" w:hAnsiTheme="minorHAnsi"/>
          <w:sz w:val="24"/>
          <w:szCs w:val="24"/>
        </w:rPr>
        <w:t>http://www.vasai-icai.org/Image/CA%20Vijay%20Joshi.pdf</w:t>
      </w:r>
    </w:p>
    <w:sectPr w:rsidR="00FC747E" w:rsidRPr="00EC43E1" w:rsidSect="00A37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1C3A"/>
    <w:multiLevelType w:val="hybridMultilevel"/>
    <w:tmpl w:val="31CCC1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C65BED"/>
    <w:multiLevelType w:val="hybridMultilevel"/>
    <w:tmpl w:val="97AE66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60792"/>
    <w:multiLevelType w:val="hybridMultilevel"/>
    <w:tmpl w:val="47FC25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485646"/>
    <w:multiLevelType w:val="hybridMultilevel"/>
    <w:tmpl w:val="918088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3A75D2"/>
    <w:multiLevelType w:val="hybridMultilevel"/>
    <w:tmpl w:val="A1BE7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4D3F20"/>
    <w:multiLevelType w:val="hybridMultilevel"/>
    <w:tmpl w:val="C77EE2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0602BE"/>
    <w:multiLevelType w:val="hybridMultilevel"/>
    <w:tmpl w:val="A900CE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158030B"/>
    <w:multiLevelType w:val="hybridMultilevel"/>
    <w:tmpl w:val="BB240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C23ED8"/>
    <w:multiLevelType w:val="hybridMultilevel"/>
    <w:tmpl w:val="B94C4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9970F8"/>
    <w:multiLevelType w:val="hybridMultilevel"/>
    <w:tmpl w:val="5194F2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26D376E"/>
    <w:multiLevelType w:val="hybridMultilevel"/>
    <w:tmpl w:val="4EB253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9A94395"/>
    <w:multiLevelType w:val="hybridMultilevel"/>
    <w:tmpl w:val="EB3E4C08"/>
    <w:lvl w:ilvl="0" w:tplc="0409000B">
      <w:start w:val="1"/>
      <w:numFmt w:val="bullet"/>
      <w:lvlText w:val=""/>
      <w:lvlJc w:val="left"/>
      <w:pPr>
        <w:ind w:left="1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>
    <w:nsid w:val="6B946B77"/>
    <w:multiLevelType w:val="hybridMultilevel"/>
    <w:tmpl w:val="E528B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A42418"/>
    <w:multiLevelType w:val="hybridMultilevel"/>
    <w:tmpl w:val="A8FC6B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5E1EB6"/>
    <w:multiLevelType w:val="hybridMultilevel"/>
    <w:tmpl w:val="18E0C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4"/>
  </w:num>
  <w:num w:numId="5">
    <w:abstractNumId w:val="10"/>
  </w:num>
  <w:num w:numId="6">
    <w:abstractNumId w:val="6"/>
  </w:num>
  <w:num w:numId="7">
    <w:abstractNumId w:val="2"/>
  </w:num>
  <w:num w:numId="8">
    <w:abstractNumId w:val="5"/>
  </w:num>
  <w:num w:numId="9">
    <w:abstractNumId w:val="4"/>
  </w:num>
  <w:num w:numId="10">
    <w:abstractNumId w:val="8"/>
  </w:num>
  <w:num w:numId="11">
    <w:abstractNumId w:val="11"/>
  </w:num>
  <w:num w:numId="12">
    <w:abstractNumId w:val="12"/>
  </w:num>
  <w:num w:numId="13">
    <w:abstractNumId w:val="7"/>
  </w:num>
  <w:num w:numId="14">
    <w:abstractNumId w:val="9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747E"/>
    <w:rsid w:val="00167DD2"/>
    <w:rsid w:val="001F4084"/>
    <w:rsid w:val="00273118"/>
    <w:rsid w:val="00281C88"/>
    <w:rsid w:val="002F772B"/>
    <w:rsid w:val="004020D5"/>
    <w:rsid w:val="004942CA"/>
    <w:rsid w:val="005B2F76"/>
    <w:rsid w:val="008945E7"/>
    <w:rsid w:val="00A3732D"/>
    <w:rsid w:val="00AF1785"/>
    <w:rsid w:val="00B50EE3"/>
    <w:rsid w:val="00BA7166"/>
    <w:rsid w:val="00BE3594"/>
    <w:rsid w:val="00C82A39"/>
    <w:rsid w:val="00EC43E1"/>
    <w:rsid w:val="00FC7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32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4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74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2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0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80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23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33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255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703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050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511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83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3249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6737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2692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6866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5852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8023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9371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6882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7359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841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6949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220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7400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919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2000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4183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594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503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3057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8348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579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504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Verma, Diksha (udxv159)</dc:creator>
  <cp:keywords/>
  <dc:description/>
  <cp:lastModifiedBy>Verma, Diksha (udxv159)</cp:lastModifiedBy>
  <cp:revision>5</cp:revision>
  <dcterms:created xsi:type="dcterms:W3CDTF">2012-05-03T12:11:00Z</dcterms:created>
  <dcterms:modified xsi:type="dcterms:W3CDTF">2012-05-04T12:29:00Z</dcterms:modified>
</cp:coreProperties>
</file>