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1B8" w:rsidRPr="00BD51B8" w:rsidRDefault="00BD51B8" w:rsidP="00BD51B8">
      <w:pPr>
        <w:shd w:val="clear" w:color="auto" w:fill="FFFFFF"/>
        <w:spacing w:before="73" w:after="73" w:line="240" w:lineRule="auto"/>
        <w:ind w:left="44" w:right="44"/>
        <w:rPr>
          <w:rFonts w:ascii="Arial" w:eastAsia="Times New Roman" w:hAnsi="Arial" w:cs="Arial"/>
          <w:b/>
          <w:color w:val="000000"/>
          <w:sz w:val="24"/>
          <w:szCs w:val="24"/>
          <w:u w:val="single"/>
        </w:rPr>
      </w:pPr>
      <w:r w:rsidRPr="00BD51B8">
        <w:rPr>
          <w:rFonts w:ascii="Arial" w:eastAsia="Times New Roman" w:hAnsi="Arial" w:cs="Arial"/>
          <w:b/>
          <w:color w:val="000000"/>
          <w:sz w:val="24"/>
          <w:szCs w:val="24"/>
          <w:u w:val="single"/>
        </w:rPr>
        <w:t>AS-15</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0"/>
          <w:u w:val="single"/>
        </w:rPr>
      </w:pPr>
    </w:p>
    <w:p w:rsidR="00BD51B8" w:rsidRPr="00BD51B8" w:rsidRDefault="00BD51B8" w:rsidP="00BD51B8">
      <w:pPr>
        <w:shd w:val="clear" w:color="auto" w:fill="FFFFFF"/>
        <w:spacing w:before="73" w:after="73" w:line="240" w:lineRule="auto"/>
        <w:ind w:left="44" w:right="44"/>
        <w:rPr>
          <w:rFonts w:ascii="Arial" w:eastAsia="Times New Roman" w:hAnsi="Arial" w:cs="Arial"/>
          <w:b/>
          <w:color w:val="000000"/>
          <w:sz w:val="24"/>
          <w:szCs w:val="24"/>
          <w:u w:val="single"/>
        </w:rPr>
      </w:pPr>
      <w:r w:rsidRPr="00BD51B8">
        <w:rPr>
          <w:rFonts w:ascii="Arial" w:eastAsia="Times New Roman" w:hAnsi="Arial" w:cs="Arial"/>
          <w:b/>
          <w:color w:val="000000"/>
          <w:sz w:val="24"/>
          <w:szCs w:val="24"/>
          <w:u w:val="single"/>
        </w:rPr>
        <w:t>Employees Benefits:</w:t>
      </w:r>
    </w:p>
    <w:p w:rsidR="00BD51B8" w:rsidRDefault="00BD51B8" w:rsidP="00BD51B8">
      <w:pPr>
        <w:shd w:val="clear" w:color="auto" w:fill="FFFFFF"/>
        <w:spacing w:before="73" w:after="73" w:line="240" w:lineRule="auto"/>
        <w:ind w:left="44" w:right="44"/>
        <w:rPr>
          <w:rFonts w:ascii="Arial" w:eastAsia="Times New Roman" w:hAnsi="Arial" w:cs="Arial"/>
          <w:color w:val="000000"/>
          <w:sz w:val="20"/>
        </w:rPr>
      </w:pP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color w:val="000000"/>
          <w:sz w:val="20"/>
        </w:rPr>
        <w:t> </w:t>
      </w:r>
      <w:r w:rsidRPr="00BD51B8">
        <w:rPr>
          <w:rFonts w:ascii="Arial" w:eastAsia="Times New Roman" w:hAnsi="Arial" w:cs="Arial"/>
          <w:b/>
          <w:bCs/>
          <w:color w:val="000000"/>
          <w:sz w:val="24"/>
          <w:szCs w:val="24"/>
        </w:rPr>
        <w:t>Paragraphs 11-16 dealing with recognition and measurement </w:t>
      </w:r>
      <w:r w:rsidRPr="00BD51B8">
        <w:rPr>
          <w:rFonts w:ascii="Arial" w:eastAsia="Times New Roman" w:hAnsi="Arial" w:cs="Arial"/>
          <w:color w:val="000000"/>
          <w:sz w:val="24"/>
          <w:szCs w:val="24"/>
        </w:rPr>
        <w:t>of short term accumulating compensated absences which are non-vesting</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color w:val="000000"/>
          <w:sz w:val="24"/>
          <w:szCs w:val="24"/>
        </w:rPr>
        <w:t>• </w:t>
      </w:r>
      <w:r w:rsidRPr="00BD51B8">
        <w:rPr>
          <w:rFonts w:ascii="Arial" w:eastAsia="Times New Roman" w:hAnsi="Arial" w:cs="Arial"/>
          <w:b/>
          <w:bCs/>
          <w:color w:val="000000"/>
          <w:sz w:val="24"/>
          <w:szCs w:val="24"/>
        </w:rPr>
        <w:t>Paragraphs 46 and 139 dealing with discounting of amounts </w:t>
      </w:r>
      <w:r w:rsidRPr="00BD51B8">
        <w:rPr>
          <w:rFonts w:ascii="Arial" w:eastAsia="Times New Roman" w:hAnsi="Arial" w:cs="Arial"/>
          <w:color w:val="000000"/>
          <w:sz w:val="24"/>
          <w:szCs w:val="24"/>
        </w:rPr>
        <w:t>that fall </w:t>
      </w:r>
      <w:r w:rsidRPr="00BD51B8">
        <w:rPr>
          <w:rFonts w:ascii="Arial" w:eastAsia="Times New Roman" w:hAnsi="Arial" w:cs="Arial"/>
          <w:color w:val="000000"/>
          <w:sz w:val="24"/>
          <w:szCs w:val="24"/>
        </w:rPr>
        <w:br/>
        <w:t>due more than 12 months after the balance sheet date</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color w:val="000000"/>
          <w:sz w:val="24"/>
          <w:szCs w:val="24"/>
        </w:rPr>
        <w:t>• </w:t>
      </w:r>
      <w:r w:rsidRPr="00BD51B8">
        <w:rPr>
          <w:rFonts w:ascii="Arial" w:eastAsia="Times New Roman" w:hAnsi="Arial" w:cs="Arial"/>
          <w:b/>
          <w:bCs/>
          <w:color w:val="000000"/>
          <w:sz w:val="24"/>
          <w:szCs w:val="24"/>
        </w:rPr>
        <w:t>Paragraphs 50–116 dealing with Defined Benefit plans</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color w:val="000000"/>
          <w:sz w:val="24"/>
          <w:szCs w:val="24"/>
        </w:rPr>
        <w:t>• </w:t>
      </w:r>
      <w:r w:rsidRPr="00BD51B8">
        <w:rPr>
          <w:rFonts w:ascii="Arial" w:eastAsia="Times New Roman" w:hAnsi="Arial" w:cs="Arial"/>
          <w:b/>
          <w:bCs/>
          <w:color w:val="000000"/>
          <w:sz w:val="24"/>
          <w:szCs w:val="24"/>
        </w:rPr>
        <w:t>Paragraphs 117–123 dealing with actuarial valuations</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color w:val="000000"/>
          <w:sz w:val="24"/>
          <w:szCs w:val="24"/>
        </w:rPr>
        <w:t>• </w:t>
      </w:r>
      <w:r w:rsidRPr="00BD51B8">
        <w:rPr>
          <w:rFonts w:ascii="Arial" w:eastAsia="Times New Roman" w:hAnsi="Arial" w:cs="Arial"/>
          <w:b/>
          <w:bCs/>
          <w:color w:val="000000"/>
          <w:sz w:val="24"/>
          <w:szCs w:val="24"/>
        </w:rPr>
        <w:t>Paragraphs 129-131 in respect of other long-term benefits</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b/>
          <w:bCs/>
          <w:i/>
          <w:iCs/>
          <w:color w:val="000000"/>
          <w:sz w:val="24"/>
          <w:szCs w:val="24"/>
        </w:rPr>
        <w:t>Note: AS 15 (Revised 2005) issued by ICAI exempts Level II enterprises having less than 50 employees from the application of PUC method, i.e., these enterprises can use other rational method for accrual of liabilities.</w:t>
      </w:r>
    </w:p>
    <w:p w:rsidR="00BD51B8" w:rsidRPr="00BD51B8" w:rsidRDefault="00BD51B8" w:rsidP="00BD51B8">
      <w:pPr>
        <w:shd w:val="clear" w:color="auto" w:fill="FFFFFF"/>
        <w:spacing w:before="73" w:after="73" w:line="240" w:lineRule="auto"/>
        <w:ind w:left="44" w:right="44"/>
        <w:rPr>
          <w:rFonts w:ascii="Arial" w:eastAsia="Times New Roman" w:hAnsi="Arial" w:cs="Arial"/>
          <w:color w:val="000000"/>
          <w:sz w:val="24"/>
          <w:szCs w:val="24"/>
        </w:rPr>
      </w:pPr>
      <w:r w:rsidRPr="00BD51B8">
        <w:rPr>
          <w:rFonts w:ascii="Arial" w:eastAsia="Times New Roman" w:hAnsi="Arial" w:cs="Arial"/>
          <w:b/>
          <w:bCs/>
          <w:i/>
          <w:iCs/>
          <w:color w:val="000000"/>
          <w:sz w:val="24"/>
          <w:szCs w:val="24"/>
        </w:rPr>
        <w:t>However, the Companies (Accounting Standards) Rules, 2006 do not contain such exemption.</w:t>
      </w:r>
    </w:p>
    <w:p w:rsidR="00000000" w:rsidRDefault="00C870AF">
      <w:pPr>
        <w:rPr>
          <w:sz w:val="28"/>
          <w:szCs w:val="28"/>
        </w:rPr>
      </w:pPr>
    </w:p>
    <w:p w:rsidR="00BD51B8" w:rsidRDefault="00BD51B8">
      <w:pPr>
        <w:rPr>
          <w:sz w:val="28"/>
          <w:szCs w:val="28"/>
        </w:rPr>
      </w:pPr>
    </w:p>
    <w:p w:rsidR="00BD51B8" w:rsidRPr="00BD51B8" w:rsidRDefault="00BD51B8">
      <w:pPr>
        <w:rPr>
          <w:b/>
          <w:sz w:val="28"/>
          <w:szCs w:val="28"/>
          <w:u w:val="single"/>
        </w:rPr>
      </w:pPr>
      <w:r w:rsidRPr="00BD51B8">
        <w:rPr>
          <w:b/>
          <w:sz w:val="28"/>
          <w:szCs w:val="28"/>
          <w:u w:val="single"/>
        </w:rPr>
        <w:t>AS-28</w:t>
      </w:r>
    </w:p>
    <w:p w:rsidR="00BD51B8" w:rsidRPr="00BD51B8" w:rsidRDefault="00BD51B8">
      <w:pPr>
        <w:rPr>
          <w:b/>
          <w:sz w:val="28"/>
          <w:szCs w:val="28"/>
          <w:u w:val="single"/>
        </w:rPr>
      </w:pPr>
      <w:r w:rsidRPr="00BD51B8">
        <w:rPr>
          <w:b/>
          <w:sz w:val="28"/>
          <w:szCs w:val="28"/>
          <w:u w:val="single"/>
        </w:rPr>
        <w:t>Impairment of assets:</w:t>
      </w:r>
    </w:p>
    <w:p w:rsidR="00BD51B8" w:rsidRPr="00BD51B8" w:rsidRDefault="00BD51B8" w:rsidP="00BD51B8">
      <w:pPr>
        <w:shd w:val="clear" w:color="auto" w:fill="FFFFFF"/>
        <w:spacing w:before="73" w:after="73" w:line="240" w:lineRule="auto"/>
        <w:ind w:left="44" w:right="44"/>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I</w:t>
      </w:r>
      <w:r w:rsidRPr="00BD51B8">
        <w:rPr>
          <w:rFonts w:ascii="Arial" w:eastAsia="Times New Roman" w:hAnsi="Arial" w:cs="Arial"/>
          <w:b/>
          <w:color w:val="000000" w:themeColor="text1"/>
          <w:sz w:val="24"/>
          <w:szCs w:val="24"/>
        </w:rPr>
        <w:t>nformation required by paragraph 121(g) relating to discount rate used, need not be disclosed.</w:t>
      </w:r>
    </w:p>
    <w:p w:rsidR="00BD51B8" w:rsidRPr="00BD51B8" w:rsidRDefault="00BD51B8">
      <w:pPr>
        <w:rPr>
          <w:b/>
          <w:sz w:val="28"/>
          <w:szCs w:val="28"/>
        </w:rPr>
      </w:pPr>
    </w:p>
    <w:sectPr w:rsidR="00BD51B8" w:rsidRPr="00BD51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D51B8"/>
    <w:rsid w:val="00BD51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51B8"/>
  </w:style>
  <w:style w:type="character" w:styleId="Strong">
    <w:name w:val="Strong"/>
    <w:basedOn w:val="DefaultParagraphFont"/>
    <w:uiPriority w:val="22"/>
    <w:qFormat/>
    <w:rsid w:val="00BD51B8"/>
    <w:rPr>
      <w:b/>
      <w:bCs/>
    </w:rPr>
  </w:style>
  <w:style w:type="character" w:styleId="Emphasis">
    <w:name w:val="Emphasis"/>
    <w:basedOn w:val="DefaultParagraphFont"/>
    <w:uiPriority w:val="20"/>
    <w:qFormat/>
    <w:rsid w:val="00BD51B8"/>
    <w:rPr>
      <w:i/>
      <w:iCs/>
    </w:rPr>
  </w:style>
</w:styles>
</file>

<file path=word/webSettings.xml><?xml version="1.0" encoding="utf-8"?>
<w:webSettings xmlns:r="http://schemas.openxmlformats.org/officeDocument/2006/relationships" xmlns:w="http://schemas.openxmlformats.org/wordprocessingml/2006/main">
  <w:divs>
    <w:div w:id="1713336237">
      <w:bodyDiv w:val="1"/>
      <w:marLeft w:val="0"/>
      <w:marRight w:val="0"/>
      <w:marTop w:val="0"/>
      <w:marBottom w:val="0"/>
      <w:divBdr>
        <w:top w:val="none" w:sz="0" w:space="0" w:color="auto"/>
        <w:left w:val="none" w:sz="0" w:space="0" w:color="auto"/>
        <w:bottom w:val="none" w:sz="0" w:space="0" w:color="auto"/>
        <w:right w:val="none" w:sz="0" w:space="0" w:color="auto"/>
      </w:divBdr>
    </w:div>
    <w:div w:id="201537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132</Words>
  <Characters>754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2</cp:revision>
  <cp:lastPrinted>2011-11-16T08:45:00Z</cp:lastPrinted>
  <dcterms:created xsi:type="dcterms:W3CDTF">2011-11-16T08:38:00Z</dcterms:created>
  <dcterms:modified xsi:type="dcterms:W3CDTF">2011-11-16T08:49:00Z</dcterms:modified>
</cp:coreProperties>
</file>