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66" w:rsidRPr="001C308A" w:rsidRDefault="001C308A" w:rsidP="001C308A">
      <w:pPr>
        <w:rPr>
          <w:b/>
          <w:sz w:val="28"/>
          <w:szCs w:val="28"/>
        </w:rPr>
      </w:pPr>
      <w:r w:rsidRPr="001C308A">
        <w:rPr>
          <w:b/>
          <w:sz w:val="28"/>
          <w:szCs w:val="28"/>
        </w:rPr>
        <w:t>AS-26</w:t>
      </w:r>
    </w:p>
    <w:p w:rsidR="001C308A" w:rsidRPr="001C308A" w:rsidRDefault="001C308A" w:rsidP="001C308A">
      <w:pPr>
        <w:rPr>
          <w:sz w:val="28"/>
          <w:szCs w:val="28"/>
        </w:rPr>
      </w:pPr>
      <w:r w:rsidRPr="001C308A">
        <w:rPr>
          <w:sz w:val="28"/>
          <w:szCs w:val="28"/>
        </w:rPr>
        <w:t>Intangible assets</w:t>
      </w:r>
    </w:p>
    <w:p w:rsidR="001C308A" w:rsidRPr="001C308A" w:rsidRDefault="001C308A" w:rsidP="001C308A">
      <w:pPr>
        <w:rPr>
          <w:sz w:val="28"/>
          <w:szCs w:val="28"/>
        </w:rPr>
      </w:pPr>
      <w:r w:rsidRPr="001C308A">
        <w:rPr>
          <w:sz w:val="28"/>
          <w:szCs w:val="28"/>
        </w:rPr>
        <w:t>Applicability:</w:t>
      </w:r>
    </w:p>
    <w:p w:rsidR="001C308A" w:rsidRPr="001C308A" w:rsidRDefault="001C308A" w:rsidP="001C308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308A">
        <w:rPr>
          <w:sz w:val="24"/>
          <w:szCs w:val="24"/>
        </w:rPr>
        <w:t xml:space="preserve">Enterprises whose equity or debt securities are listed on a </w:t>
      </w:r>
      <w:proofErr w:type="spellStart"/>
      <w:r w:rsidRPr="001C308A">
        <w:rPr>
          <w:sz w:val="24"/>
          <w:szCs w:val="24"/>
        </w:rPr>
        <w:t>recognised</w:t>
      </w:r>
      <w:proofErr w:type="spellEnd"/>
      <w:r w:rsidRPr="001C308A">
        <w:rPr>
          <w:sz w:val="24"/>
          <w:szCs w:val="24"/>
        </w:rPr>
        <w:t xml:space="preserve"> stock exchange in India, and enterprises that are in the process of issuing equity or debt securities that will be listed on a </w:t>
      </w:r>
      <w:proofErr w:type="spellStart"/>
      <w:r w:rsidRPr="001C308A">
        <w:rPr>
          <w:sz w:val="24"/>
          <w:szCs w:val="24"/>
        </w:rPr>
        <w:t>recognised</w:t>
      </w:r>
      <w:proofErr w:type="spellEnd"/>
      <w:r w:rsidRPr="001C308A">
        <w:rPr>
          <w:sz w:val="24"/>
          <w:szCs w:val="24"/>
        </w:rPr>
        <w:t xml:space="preserve"> stock exchange in India as evidenced by the board of directors' resolution in this regard.</w:t>
      </w:r>
    </w:p>
    <w:p w:rsidR="001C308A" w:rsidRPr="001C308A" w:rsidRDefault="001C308A" w:rsidP="001C308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308A">
        <w:rPr>
          <w:sz w:val="24"/>
          <w:szCs w:val="24"/>
        </w:rPr>
        <w:t xml:space="preserve">All other commercial, industrial and business reporting enterprises, whose turnover for the accounting period exceeds Rs. 50 </w:t>
      </w:r>
      <w:proofErr w:type="spellStart"/>
      <w:r w:rsidRPr="001C308A">
        <w:rPr>
          <w:sz w:val="24"/>
          <w:szCs w:val="24"/>
        </w:rPr>
        <w:t>crores</w:t>
      </w:r>
      <w:proofErr w:type="spellEnd"/>
      <w:r w:rsidRPr="001C308A">
        <w:rPr>
          <w:sz w:val="24"/>
          <w:szCs w:val="24"/>
        </w:rPr>
        <w:t>. In respect of all other enterprises, AS 26 is mandatory in respect of expenditure incurred on intangible items during accounting periods commencing on or after 1-4-2004.</w:t>
      </w:r>
    </w:p>
    <w:sectPr w:rsidR="001C308A" w:rsidRPr="001C308A" w:rsidSect="00437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71CDA"/>
    <w:multiLevelType w:val="hybridMultilevel"/>
    <w:tmpl w:val="18F48710"/>
    <w:lvl w:ilvl="0" w:tplc="FA4A8E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D5666"/>
    <w:rsid w:val="001C308A"/>
    <w:rsid w:val="00437E41"/>
    <w:rsid w:val="00DD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3</cp:revision>
  <cp:lastPrinted>2011-11-15T11:16:00Z</cp:lastPrinted>
  <dcterms:created xsi:type="dcterms:W3CDTF">2011-11-15T11:14:00Z</dcterms:created>
  <dcterms:modified xsi:type="dcterms:W3CDTF">2011-11-15T11:18:00Z</dcterms:modified>
</cp:coreProperties>
</file>