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7D4" w:rsidRDefault="007937D4" w:rsidP="007937D4">
      <w:pPr>
        <w:pStyle w:val="Heading1"/>
        <w:keepNext w:val="0"/>
        <w:widowControl w:val="0"/>
      </w:pPr>
      <w:r>
        <w:t>IFRS 11 – Changes to Joint Venture Accounting – Impact on Oil and Gas Companies</w:t>
      </w:r>
    </w:p>
    <w:p w:rsidR="007937D4" w:rsidRPr="00637A12" w:rsidRDefault="007937D4" w:rsidP="007937D4"/>
    <w:p w:rsidR="007937D4" w:rsidRPr="00637A12" w:rsidRDefault="007937D4" w:rsidP="007937D4">
      <w:pPr>
        <w:pStyle w:val="NormalLeftIndent"/>
        <w:ind w:left="0"/>
        <w:rPr>
          <w:rFonts w:asciiTheme="minorHAnsi" w:hAnsiTheme="minorHAnsi"/>
          <w:b/>
          <w:sz w:val="22"/>
          <w:szCs w:val="22"/>
          <w:u w:val="single"/>
        </w:rPr>
      </w:pPr>
      <w:r w:rsidRPr="00637A12">
        <w:rPr>
          <w:rFonts w:asciiTheme="minorHAnsi" w:hAnsiTheme="minorHAnsi"/>
          <w:b/>
          <w:sz w:val="22"/>
          <w:szCs w:val="22"/>
          <w:highlight w:val="yellow"/>
          <w:u w:val="single"/>
        </w:rPr>
        <w:t>Introduction:-</w:t>
      </w:r>
    </w:p>
    <w:p w:rsidR="007937D4" w:rsidRPr="00637A12" w:rsidRDefault="007937D4" w:rsidP="007937D4">
      <w:pPr>
        <w:pStyle w:val="NormalLeftIndent"/>
        <w:ind w:left="0"/>
        <w:rPr>
          <w:rFonts w:asciiTheme="minorHAnsi" w:hAnsiTheme="minorHAnsi"/>
          <w:sz w:val="22"/>
          <w:szCs w:val="22"/>
        </w:rPr>
      </w:pPr>
    </w:p>
    <w:p w:rsidR="007937D4" w:rsidRPr="00637A12" w:rsidRDefault="007937D4" w:rsidP="007937D4">
      <w:pPr>
        <w:pStyle w:val="NormalLeftIndent"/>
        <w:ind w:left="0"/>
        <w:rPr>
          <w:rFonts w:asciiTheme="minorHAnsi" w:hAnsiTheme="minorHAnsi"/>
          <w:sz w:val="22"/>
          <w:szCs w:val="22"/>
        </w:rPr>
      </w:pPr>
      <w:r w:rsidRPr="00637A12">
        <w:rPr>
          <w:rFonts w:asciiTheme="minorHAnsi" w:hAnsiTheme="minorHAnsi"/>
          <w:sz w:val="22"/>
          <w:szCs w:val="22"/>
        </w:rPr>
        <w:tab/>
        <w:t>The Financial Statements of many Oil and Gas companies could look very different in the near future as a result of the changes to the accounting for Joint Agreements (formerly Joint Ventures).  This could affect key performance measures and ratios for companies in the Oil &amp; Gas sector, which raises the question of how such changes should be communicated to investors and other key stakeholders.</w:t>
      </w:r>
    </w:p>
    <w:p w:rsidR="007937D4" w:rsidRPr="00637A12" w:rsidRDefault="007937D4" w:rsidP="007937D4">
      <w:pPr>
        <w:pStyle w:val="NormalLeftIndent"/>
        <w:ind w:left="0"/>
        <w:rPr>
          <w:rFonts w:asciiTheme="minorHAnsi" w:hAnsiTheme="minorHAnsi"/>
          <w:b/>
          <w:sz w:val="22"/>
          <w:szCs w:val="22"/>
          <w:u w:val="single"/>
        </w:rPr>
      </w:pPr>
      <w:r w:rsidRPr="00637A12">
        <w:rPr>
          <w:rFonts w:asciiTheme="minorHAnsi" w:hAnsiTheme="minorHAnsi"/>
          <w:b/>
          <w:sz w:val="22"/>
          <w:szCs w:val="22"/>
          <w:highlight w:val="yellow"/>
          <w:u w:val="single"/>
        </w:rPr>
        <w:t>IFRS 11:-</w:t>
      </w:r>
    </w:p>
    <w:p w:rsidR="007937D4" w:rsidRPr="00637A12" w:rsidRDefault="007937D4" w:rsidP="007937D4">
      <w:pPr>
        <w:pStyle w:val="NormalLeftIndent"/>
        <w:ind w:left="0"/>
        <w:rPr>
          <w:rFonts w:asciiTheme="minorHAnsi" w:hAnsiTheme="minorHAnsi"/>
          <w:sz w:val="22"/>
          <w:szCs w:val="22"/>
        </w:rPr>
      </w:pPr>
      <w:r w:rsidRPr="00637A12">
        <w:rPr>
          <w:rFonts w:asciiTheme="minorHAnsi" w:hAnsiTheme="minorHAnsi"/>
          <w:sz w:val="22"/>
          <w:szCs w:val="22"/>
        </w:rPr>
        <w:tab/>
        <w:t>IFRS 11 provides investors with greater clarity about an entity’s involvement in joint arrangements by requiring entities to recognize the contractual rights and obligations arising from their joint arrangements.  Parties to a joint arrangements should recognize on the balance sheet their rights and obligations arising from the arrangement as assets and liabilities.</w:t>
      </w:r>
    </w:p>
    <w:p w:rsidR="007937D4" w:rsidRPr="00637A12" w:rsidRDefault="007937D4" w:rsidP="007937D4">
      <w:pPr>
        <w:pStyle w:val="NormalLeftIndent"/>
        <w:ind w:left="0"/>
        <w:rPr>
          <w:rFonts w:asciiTheme="minorHAnsi" w:hAnsiTheme="minorHAnsi"/>
          <w:sz w:val="22"/>
          <w:szCs w:val="22"/>
        </w:rPr>
      </w:pPr>
    </w:p>
    <w:p w:rsidR="007937D4" w:rsidRPr="00637A12" w:rsidRDefault="007937D4" w:rsidP="007937D4">
      <w:pPr>
        <w:pStyle w:val="NormalLeftIndent"/>
        <w:ind w:left="0"/>
        <w:rPr>
          <w:rFonts w:asciiTheme="minorHAnsi" w:hAnsiTheme="minorHAnsi"/>
          <w:b/>
          <w:sz w:val="22"/>
          <w:szCs w:val="22"/>
          <w:u w:val="single"/>
        </w:rPr>
      </w:pPr>
      <w:r w:rsidRPr="00637A12">
        <w:rPr>
          <w:rFonts w:asciiTheme="minorHAnsi" w:hAnsiTheme="minorHAnsi"/>
          <w:b/>
          <w:sz w:val="22"/>
          <w:szCs w:val="22"/>
          <w:highlight w:val="yellow"/>
          <w:u w:val="single"/>
        </w:rPr>
        <w:t>Check List to find Joint Agreement:-</w:t>
      </w:r>
    </w:p>
    <w:p w:rsidR="007937D4" w:rsidRPr="00637A12" w:rsidRDefault="007937D4" w:rsidP="007937D4">
      <w:pPr>
        <w:pStyle w:val="NormalLeftIndent"/>
        <w:ind w:left="0"/>
        <w:rPr>
          <w:rFonts w:asciiTheme="minorHAnsi" w:hAnsiTheme="minorHAnsi"/>
          <w:sz w:val="22"/>
          <w:szCs w:val="22"/>
        </w:rPr>
      </w:pPr>
    </w:p>
    <w:p w:rsidR="007937D4" w:rsidRPr="00637A12" w:rsidRDefault="007937D4" w:rsidP="007937D4">
      <w:pPr>
        <w:pStyle w:val="NormalLeftIndent"/>
        <w:ind w:left="0"/>
        <w:rPr>
          <w:rFonts w:asciiTheme="minorHAnsi" w:hAnsiTheme="minorHAnsi"/>
          <w:sz w:val="22"/>
          <w:szCs w:val="22"/>
        </w:rPr>
      </w:pPr>
      <w:r w:rsidRPr="00637A12">
        <w:rPr>
          <w:rFonts w:asciiTheme="minorHAnsi" w:hAnsiTheme="minorHAnsi"/>
          <w:sz w:val="22"/>
          <w:szCs w:val="22"/>
        </w:rPr>
        <w:t>Is it Joint Arrangement?</w:t>
      </w:r>
    </w:p>
    <w:p w:rsidR="007937D4" w:rsidRPr="00637A12" w:rsidRDefault="007937D4" w:rsidP="007937D4">
      <w:pPr>
        <w:pStyle w:val="NormalLeftIndent"/>
        <w:ind w:left="0"/>
        <w:rPr>
          <w:rFonts w:asciiTheme="minorHAnsi" w:hAnsiTheme="minorHAnsi"/>
          <w:sz w:val="22"/>
          <w:szCs w:val="22"/>
        </w:rPr>
      </w:pPr>
    </w:p>
    <w:p w:rsidR="007937D4" w:rsidRPr="00637A12" w:rsidRDefault="007937D4" w:rsidP="007937D4">
      <w:pPr>
        <w:pStyle w:val="NormalLeftIndent"/>
        <w:ind w:left="0"/>
        <w:rPr>
          <w:rFonts w:asciiTheme="minorHAnsi" w:hAnsiTheme="minorHAnsi"/>
          <w:sz w:val="22"/>
          <w:szCs w:val="22"/>
        </w:rPr>
      </w:pPr>
      <w:r w:rsidRPr="00637A12">
        <w:rPr>
          <w:rFonts w:asciiTheme="minorHAnsi" w:hAnsiTheme="minorHAnsi"/>
          <w:sz w:val="22"/>
          <w:szCs w:val="22"/>
        </w:rPr>
        <w:t>Does the contractual Arrangement give all the parties (or group of the parties) control of the joint arrangement collective &gt; If yes it is Joint Agreement</w:t>
      </w:r>
    </w:p>
    <w:p w:rsidR="007937D4" w:rsidRPr="00637A12" w:rsidRDefault="007937D4" w:rsidP="007937D4">
      <w:pPr>
        <w:pStyle w:val="NormalLeftIndent"/>
        <w:ind w:left="0"/>
        <w:rPr>
          <w:rFonts w:asciiTheme="minorHAnsi" w:hAnsiTheme="minorHAnsi"/>
          <w:sz w:val="22"/>
          <w:szCs w:val="22"/>
        </w:rPr>
      </w:pPr>
    </w:p>
    <w:p w:rsidR="007937D4" w:rsidRPr="00637A12" w:rsidRDefault="007937D4" w:rsidP="007937D4">
      <w:pPr>
        <w:pStyle w:val="NormalLeftIndent"/>
        <w:ind w:left="0"/>
        <w:rPr>
          <w:rFonts w:asciiTheme="minorHAnsi" w:hAnsiTheme="minorHAnsi"/>
          <w:sz w:val="22"/>
          <w:szCs w:val="22"/>
        </w:rPr>
      </w:pPr>
      <w:r w:rsidRPr="00637A12">
        <w:rPr>
          <w:rFonts w:asciiTheme="minorHAnsi" w:hAnsiTheme="minorHAnsi"/>
          <w:sz w:val="22"/>
          <w:szCs w:val="22"/>
        </w:rPr>
        <w:t>Does the decision about the relevant activities require the unanimous consent of all the parties that collectively control the arrangements?  &gt; If yes it is Joint Agreement</w:t>
      </w:r>
    </w:p>
    <w:p w:rsidR="007937D4" w:rsidRPr="00637A12" w:rsidRDefault="007937D4" w:rsidP="007937D4">
      <w:pPr>
        <w:pStyle w:val="NormalLeftIndent"/>
        <w:ind w:left="0"/>
        <w:rPr>
          <w:rFonts w:asciiTheme="minorHAnsi" w:hAnsiTheme="minorHAnsi"/>
          <w:sz w:val="22"/>
          <w:szCs w:val="22"/>
        </w:rPr>
      </w:pPr>
    </w:p>
    <w:p w:rsidR="007937D4" w:rsidRPr="00637A12" w:rsidRDefault="007937D4" w:rsidP="007937D4">
      <w:pPr>
        <w:pStyle w:val="NormalLeftIndent"/>
        <w:ind w:left="0"/>
        <w:rPr>
          <w:rFonts w:asciiTheme="minorHAnsi" w:hAnsiTheme="minorHAnsi"/>
          <w:b/>
          <w:sz w:val="22"/>
          <w:szCs w:val="22"/>
          <w:u w:val="single"/>
        </w:rPr>
      </w:pPr>
      <w:r w:rsidRPr="00637A12">
        <w:rPr>
          <w:rFonts w:asciiTheme="minorHAnsi" w:hAnsiTheme="minorHAnsi"/>
          <w:b/>
          <w:sz w:val="22"/>
          <w:szCs w:val="22"/>
          <w:highlight w:val="yellow"/>
          <w:u w:val="single"/>
        </w:rPr>
        <w:t>New Terms New concept:-</w:t>
      </w:r>
    </w:p>
    <w:p w:rsidR="007937D4" w:rsidRPr="00637A12" w:rsidRDefault="007937D4" w:rsidP="007937D4">
      <w:pPr>
        <w:pStyle w:val="NormalLeftIndent"/>
        <w:ind w:left="0"/>
        <w:rPr>
          <w:rFonts w:asciiTheme="minorHAnsi" w:hAnsiTheme="minorHAnsi"/>
          <w:sz w:val="22"/>
          <w:szCs w:val="22"/>
        </w:rPr>
      </w:pPr>
    </w:p>
    <w:p w:rsidR="007937D4" w:rsidRPr="00637A12" w:rsidRDefault="007937D4" w:rsidP="007937D4">
      <w:pPr>
        <w:pStyle w:val="NormalLeftIndent"/>
        <w:numPr>
          <w:ilvl w:val="0"/>
          <w:numId w:val="1"/>
        </w:numPr>
        <w:rPr>
          <w:rFonts w:asciiTheme="minorHAnsi" w:hAnsiTheme="minorHAnsi"/>
          <w:sz w:val="22"/>
          <w:szCs w:val="22"/>
        </w:rPr>
      </w:pPr>
      <w:r w:rsidRPr="00637A12">
        <w:rPr>
          <w:rFonts w:asciiTheme="minorHAnsi" w:hAnsiTheme="minorHAnsi"/>
          <w:sz w:val="22"/>
          <w:szCs w:val="22"/>
        </w:rPr>
        <w:t>In the Oil and Gas sector it would refer to as Joint Ventures are now collectively referred to as “Joint Arrangements”</w:t>
      </w:r>
    </w:p>
    <w:p w:rsidR="007937D4" w:rsidRPr="00637A12" w:rsidRDefault="007937D4" w:rsidP="007937D4">
      <w:pPr>
        <w:pStyle w:val="NormalLeftIndent"/>
        <w:numPr>
          <w:ilvl w:val="0"/>
          <w:numId w:val="1"/>
        </w:numPr>
        <w:rPr>
          <w:rFonts w:asciiTheme="minorHAnsi" w:hAnsiTheme="minorHAnsi"/>
          <w:sz w:val="22"/>
          <w:szCs w:val="22"/>
        </w:rPr>
      </w:pPr>
      <w:r w:rsidRPr="00637A12">
        <w:rPr>
          <w:rFonts w:asciiTheme="minorHAnsi" w:hAnsiTheme="minorHAnsi"/>
          <w:sz w:val="22"/>
          <w:szCs w:val="22"/>
        </w:rPr>
        <w:t xml:space="preserve">The Term “Proportionate Consolidation” has been used widely the US issuers’ books of accounting where an entity recognizes its share of the assets and liabilities of the Joint Venture.  </w:t>
      </w:r>
    </w:p>
    <w:p w:rsidR="007937D4" w:rsidRPr="00637A12" w:rsidRDefault="007937D4" w:rsidP="007937D4">
      <w:pPr>
        <w:pStyle w:val="NormalLeftIndent"/>
        <w:numPr>
          <w:ilvl w:val="0"/>
          <w:numId w:val="1"/>
        </w:numPr>
        <w:rPr>
          <w:rFonts w:asciiTheme="minorHAnsi" w:hAnsiTheme="minorHAnsi"/>
          <w:sz w:val="22"/>
          <w:szCs w:val="22"/>
        </w:rPr>
      </w:pPr>
      <w:r w:rsidRPr="00637A12">
        <w:rPr>
          <w:rFonts w:asciiTheme="minorHAnsi" w:hAnsiTheme="minorHAnsi"/>
          <w:sz w:val="22"/>
          <w:szCs w:val="22"/>
        </w:rPr>
        <w:t>IFRS 11 requires that certain joint arrangements be equity accounted while for others, the investor’s interest in the individual assets, liabilities, revenues and expenses will be recognized.</w:t>
      </w:r>
    </w:p>
    <w:p w:rsidR="007937D4" w:rsidRPr="00637A12" w:rsidRDefault="007937D4" w:rsidP="007937D4">
      <w:pPr>
        <w:pStyle w:val="NormalLeftIndent"/>
        <w:ind w:left="360"/>
        <w:rPr>
          <w:rFonts w:asciiTheme="minorHAnsi" w:hAnsiTheme="minorHAnsi"/>
          <w:sz w:val="22"/>
          <w:szCs w:val="22"/>
        </w:rPr>
      </w:pPr>
    </w:p>
    <w:p w:rsidR="007937D4" w:rsidRPr="00637A12" w:rsidRDefault="007937D4" w:rsidP="007937D4">
      <w:pPr>
        <w:pStyle w:val="NormalLeftIndent"/>
        <w:ind w:left="0"/>
        <w:rPr>
          <w:rFonts w:asciiTheme="minorHAnsi" w:hAnsiTheme="minorHAnsi"/>
          <w:b/>
          <w:sz w:val="22"/>
          <w:szCs w:val="22"/>
          <w:u w:val="single"/>
        </w:rPr>
      </w:pPr>
      <w:r w:rsidRPr="00637A12">
        <w:rPr>
          <w:rFonts w:asciiTheme="minorHAnsi" w:hAnsiTheme="minorHAnsi"/>
          <w:b/>
          <w:sz w:val="22"/>
          <w:szCs w:val="22"/>
          <w:highlight w:val="yellow"/>
          <w:u w:val="single"/>
        </w:rPr>
        <w:lastRenderedPageBreak/>
        <w:t>New rules for accounting for Joint Agreements differ from existing requirements?</w:t>
      </w:r>
    </w:p>
    <w:p w:rsidR="007937D4" w:rsidRPr="00637A12" w:rsidRDefault="007937D4" w:rsidP="007937D4">
      <w:pPr>
        <w:pStyle w:val="NormalLeftIndent"/>
        <w:ind w:left="360"/>
        <w:rPr>
          <w:rFonts w:asciiTheme="minorHAnsi" w:hAnsiTheme="minorHAnsi"/>
          <w:sz w:val="22"/>
          <w:szCs w:val="22"/>
        </w:rPr>
      </w:pPr>
    </w:p>
    <w:p w:rsidR="007937D4" w:rsidRPr="00637A12" w:rsidRDefault="007937D4" w:rsidP="007937D4">
      <w:pPr>
        <w:pStyle w:val="NormalLeftIndent"/>
        <w:ind w:left="360"/>
        <w:rPr>
          <w:rFonts w:asciiTheme="minorHAnsi" w:hAnsiTheme="minorHAnsi"/>
          <w:sz w:val="22"/>
          <w:szCs w:val="22"/>
        </w:rPr>
      </w:pPr>
      <w:r w:rsidRPr="00637A12">
        <w:rPr>
          <w:rFonts w:asciiTheme="minorHAnsi" w:hAnsiTheme="minorHAnsi"/>
          <w:sz w:val="22"/>
          <w:szCs w:val="22"/>
        </w:rPr>
        <w:tab/>
        <w:t>IFRS 11 Joint Arrangements was issued to replace IAS 31 Interests in Joint Ventures. To simplify IFRS 11 does two key things:</w:t>
      </w:r>
    </w:p>
    <w:p w:rsidR="007937D4" w:rsidRPr="00637A12" w:rsidRDefault="007937D4" w:rsidP="007937D4">
      <w:pPr>
        <w:pStyle w:val="NormalLeftIndent"/>
        <w:ind w:left="360"/>
        <w:rPr>
          <w:rFonts w:asciiTheme="minorHAnsi" w:hAnsiTheme="minorHAnsi"/>
          <w:sz w:val="22"/>
          <w:szCs w:val="22"/>
        </w:rPr>
      </w:pPr>
    </w:p>
    <w:p w:rsidR="007937D4" w:rsidRPr="00637A12" w:rsidRDefault="007937D4" w:rsidP="007937D4">
      <w:pPr>
        <w:pStyle w:val="NormalLeftIndent"/>
        <w:numPr>
          <w:ilvl w:val="0"/>
          <w:numId w:val="2"/>
        </w:numPr>
        <w:rPr>
          <w:rFonts w:asciiTheme="minorHAnsi" w:hAnsiTheme="minorHAnsi"/>
          <w:sz w:val="22"/>
          <w:szCs w:val="22"/>
        </w:rPr>
      </w:pPr>
      <w:r w:rsidRPr="00637A12">
        <w:rPr>
          <w:rFonts w:asciiTheme="minorHAnsi" w:hAnsiTheme="minorHAnsi"/>
          <w:sz w:val="22"/>
          <w:szCs w:val="22"/>
        </w:rPr>
        <w:t>First, it changes the classification of IAS 31 jointly controlled entities if separation between the arrangement and the party is deemed ineffective.  These arrangements are treated similarly to jointly controlled assets / operations under IAS 31 and are now called Joint operations.</w:t>
      </w:r>
    </w:p>
    <w:p w:rsidR="007937D4" w:rsidRDefault="007937D4" w:rsidP="007937D4">
      <w:pPr>
        <w:pStyle w:val="NormalLeftIndent"/>
        <w:numPr>
          <w:ilvl w:val="0"/>
          <w:numId w:val="2"/>
        </w:numPr>
        <w:rPr>
          <w:rFonts w:asciiTheme="minorHAnsi" w:hAnsiTheme="minorHAnsi"/>
          <w:sz w:val="22"/>
          <w:szCs w:val="22"/>
        </w:rPr>
      </w:pPr>
      <w:r w:rsidRPr="00637A12">
        <w:rPr>
          <w:rFonts w:asciiTheme="minorHAnsi" w:hAnsiTheme="minorHAnsi"/>
          <w:sz w:val="22"/>
          <w:szCs w:val="22"/>
        </w:rPr>
        <w:t>Second, the free choice of using the equity method or proportionate consolidation to account for the remainder of IAS 31 jointly controlled entities, now called Joint ventures is eliminated. So Joint Ventures must now always use the equity method.</w:t>
      </w:r>
    </w:p>
    <w:p w:rsidR="007937D4" w:rsidRPr="00637A12" w:rsidRDefault="007937D4" w:rsidP="007937D4">
      <w:pPr>
        <w:pStyle w:val="NormalLeftIndent"/>
        <w:rPr>
          <w:rFonts w:asciiTheme="minorHAnsi" w:hAnsiTheme="minorHAnsi"/>
          <w:sz w:val="22"/>
          <w:szCs w:val="22"/>
        </w:rPr>
      </w:pPr>
    </w:p>
    <w:p w:rsidR="007937D4" w:rsidRPr="007937D4" w:rsidRDefault="007937D4" w:rsidP="007937D4">
      <w:pPr>
        <w:pStyle w:val="NormalLeftIndent"/>
        <w:ind w:left="0"/>
        <w:rPr>
          <w:rFonts w:asciiTheme="minorHAnsi" w:hAnsiTheme="minorHAnsi"/>
          <w:b/>
          <w:sz w:val="22"/>
          <w:szCs w:val="22"/>
          <w:u w:val="single"/>
        </w:rPr>
      </w:pPr>
      <w:r w:rsidRPr="007937D4">
        <w:rPr>
          <w:rFonts w:asciiTheme="minorHAnsi" w:hAnsiTheme="minorHAnsi"/>
          <w:b/>
          <w:sz w:val="22"/>
          <w:szCs w:val="22"/>
          <w:highlight w:val="yellow"/>
          <w:u w:val="single"/>
        </w:rPr>
        <w:t>New Definition of Joint Control under IFRS</w:t>
      </w:r>
      <w:r w:rsidRPr="007937D4">
        <w:rPr>
          <w:rFonts w:asciiTheme="minorHAnsi" w:hAnsiTheme="minorHAnsi"/>
          <w:b/>
          <w:sz w:val="22"/>
          <w:szCs w:val="22"/>
          <w:u w:val="single"/>
        </w:rPr>
        <w:t xml:space="preserve"> </w:t>
      </w:r>
    </w:p>
    <w:p w:rsidR="007937D4" w:rsidRPr="00637A12" w:rsidRDefault="007937D4" w:rsidP="007937D4">
      <w:pPr>
        <w:pStyle w:val="NormalLeftIndent"/>
        <w:ind w:left="360"/>
        <w:rPr>
          <w:rFonts w:asciiTheme="minorHAnsi" w:hAnsiTheme="minorHAnsi"/>
          <w:sz w:val="22"/>
          <w:szCs w:val="22"/>
        </w:rPr>
      </w:pPr>
      <w:r w:rsidRPr="00637A12">
        <w:rPr>
          <w:rFonts w:asciiTheme="minorHAnsi" w:hAnsiTheme="minorHAnsi"/>
          <w:sz w:val="22"/>
          <w:szCs w:val="22"/>
        </w:rPr>
        <w:tab/>
        <w:t>IFRS 11 describes the key aspects of joint control as follows:</w:t>
      </w:r>
    </w:p>
    <w:p w:rsidR="007937D4" w:rsidRPr="00637A12" w:rsidRDefault="007937D4" w:rsidP="007937D4">
      <w:pPr>
        <w:pStyle w:val="NormalLeftIndent"/>
        <w:numPr>
          <w:ilvl w:val="0"/>
          <w:numId w:val="3"/>
        </w:numPr>
        <w:rPr>
          <w:rFonts w:asciiTheme="minorHAnsi" w:hAnsiTheme="minorHAnsi"/>
          <w:sz w:val="22"/>
          <w:szCs w:val="22"/>
        </w:rPr>
      </w:pPr>
      <w:r w:rsidRPr="00637A12">
        <w:rPr>
          <w:rFonts w:asciiTheme="minorHAnsi" w:hAnsiTheme="minorHAnsi"/>
          <w:sz w:val="22"/>
          <w:szCs w:val="22"/>
        </w:rPr>
        <w:t>Contractually Agreed – Contractual agreements are usually, but not always, written, and set out the terms of the arrangements.</w:t>
      </w:r>
    </w:p>
    <w:p w:rsidR="007937D4" w:rsidRPr="00637A12" w:rsidRDefault="007937D4" w:rsidP="007937D4">
      <w:pPr>
        <w:pStyle w:val="NormalLeftIndent"/>
        <w:numPr>
          <w:ilvl w:val="0"/>
          <w:numId w:val="3"/>
        </w:numPr>
        <w:rPr>
          <w:rFonts w:asciiTheme="minorHAnsi" w:hAnsiTheme="minorHAnsi"/>
          <w:sz w:val="22"/>
          <w:szCs w:val="22"/>
        </w:rPr>
      </w:pPr>
      <w:r w:rsidRPr="00637A12">
        <w:rPr>
          <w:rFonts w:asciiTheme="minorHAnsi" w:hAnsiTheme="minorHAnsi"/>
          <w:sz w:val="22"/>
          <w:szCs w:val="22"/>
        </w:rPr>
        <w:t>Control and relevant activities – IFRS 10 describes how to assess whether a party has control, and how to identify the relevant activities.</w:t>
      </w:r>
    </w:p>
    <w:p w:rsidR="007937D4" w:rsidRDefault="007937D4" w:rsidP="007937D4">
      <w:pPr>
        <w:pStyle w:val="NormalLeftIndent"/>
        <w:numPr>
          <w:ilvl w:val="0"/>
          <w:numId w:val="3"/>
        </w:numPr>
        <w:rPr>
          <w:rFonts w:asciiTheme="minorHAnsi" w:hAnsiTheme="minorHAnsi"/>
          <w:sz w:val="22"/>
          <w:szCs w:val="22"/>
        </w:rPr>
      </w:pPr>
      <w:r w:rsidRPr="00637A12">
        <w:rPr>
          <w:rFonts w:asciiTheme="minorHAnsi" w:hAnsiTheme="minorHAnsi"/>
          <w:sz w:val="22"/>
          <w:szCs w:val="22"/>
        </w:rPr>
        <w:t>Unanimous consent – Exists when the parties to an arrangement have collective control over the arrangement, but no single party has control.</w:t>
      </w:r>
    </w:p>
    <w:p w:rsidR="007937D4" w:rsidRDefault="007937D4">
      <w:r>
        <w:t xml:space="preserve"> </w:t>
      </w:r>
    </w:p>
    <w:p w:rsidR="007937D4" w:rsidRDefault="007937D4" w:rsidP="007937D4">
      <w:pPr>
        <w:rPr>
          <w:b/>
          <w:u w:val="single"/>
        </w:rPr>
      </w:pPr>
      <w:r w:rsidRPr="00B86BA5">
        <w:rPr>
          <w:b/>
          <w:highlight w:val="yellow"/>
          <w:u w:val="single"/>
        </w:rPr>
        <w:t xml:space="preserve">How are interests in Joint Arrangements accounted </w:t>
      </w:r>
      <w:proofErr w:type="gramStart"/>
      <w:r w:rsidRPr="00B86BA5">
        <w:rPr>
          <w:b/>
          <w:highlight w:val="yellow"/>
          <w:u w:val="single"/>
        </w:rPr>
        <w:t>for ?</w:t>
      </w:r>
      <w:proofErr w:type="gramEnd"/>
    </w:p>
    <w:p w:rsidR="00B86BA5" w:rsidRDefault="00B86BA5" w:rsidP="007937D4">
      <w:pPr>
        <w:rPr>
          <w:b/>
          <w:u w:val="single"/>
        </w:rPr>
      </w:pPr>
    </w:p>
    <w:p w:rsidR="00B86BA5" w:rsidRPr="00B86BA5" w:rsidRDefault="00B86BA5" w:rsidP="007937D4">
      <w:pPr>
        <w:rPr>
          <w:b/>
          <w:u w:val="single"/>
        </w:rPr>
      </w:pPr>
    </w:p>
    <w:p w:rsidR="007937D4" w:rsidRDefault="007937D4">
      <w:r w:rsidRPr="007937D4">
        <w:drawing>
          <wp:inline distT="0" distB="0" distL="0" distR="0">
            <wp:extent cx="5943600" cy="154414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5943600" cy="1544145"/>
                    </a:xfrm>
                    <a:prstGeom prst="rect">
                      <a:avLst/>
                    </a:prstGeom>
                    <a:noFill/>
                    <a:ln w="9525">
                      <a:noFill/>
                      <a:miter lim="800000"/>
                      <a:headEnd/>
                      <a:tailEnd/>
                    </a:ln>
                  </pic:spPr>
                </pic:pic>
              </a:graphicData>
            </a:graphic>
          </wp:inline>
        </w:drawing>
      </w:r>
    </w:p>
    <w:p w:rsidR="007937D4" w:rsidRDefault="007937D4"/>
    <w:p w:rsidR="007937D4" w:rsidRDefault="007937D4"/>
    <w:p w:rsidR="007937D4" w:rsidRDefault="007937D4"/>
    <w:p w:rsidR="007937D4" w:rsidRDefault="007937D4"/>
    <w:p w:rsidR="007937D4" w:rsidRPr="007937D4" w:rsidRDefault="007937D4" w:rsidP="007937D4">
      <w:pPr>
        <w:pStyle w:val="NormalLeftIndent"/>
        <w:ind w:left="0"/>
        <w:rPr>
          <w:rFonts w:asciiTheme="minorHAnsi" w:hAnsiTheme="minorHAnsi"/>
          <w:b/>
          <w:sz w:val="22"/>
          <w:szCs w:val="22"/>
          <w:u w:val="single"/>
        </w:rPr>
      </w:pPr>
      <w:r w:rsidRPr="007937D4">
        <w:rPr>
          <w:rFonts w:asciiTheme="minorHAnsi" w:hAnsiTheme="minorHAnsi"/>
          <w:b/>
          <w:sz w:val="22"/>
          <w:szCs w:val="22"/>
          <w:highlight w:val="yellow"/>
          <w:u w:val="single"/>
        </w:rPr>
        <w:t>Difference between Joint Ventures and Joint Operations:-</w:t>
      </w:r>
    </w:p>
    <w:p w:rsidR="007937D4" w:rsidRDefault="007937D4" w:rsidP="007937D4">
      <w:pPr>
        <w:pStyle w:val="NormalLeftIndent"/>
        <w:ind w:left="0"/>
        <w:rPr>
          <w:rFonts w:asciiTheme="minorHAnsi" w:hAnsiTheme="minorHAnsi"/>
          <w:sz w:val="22"/>
          <w:szCs w:val="22"/>
        </w:rPr>
      </w:pPr>
    </w:p>
    <w:p w:rsidR="007937D4" w:rsidRDefault="007937D4" w:rsidP="007937D4">
      <w:r>
        <w:t>IAS 31 – Joint Ventures</w:t>
      </w:r>
    </w:p>
    <w:p w:rsidR="007937D4" w:rsidRDefault="007937D4" w:rsidP="007937D4">
      <w:r>
        <w:t>IFRS 11 – Joint Arrangements</w:t>
      </w:r>
    </w:p>
    <w:p w:rsidR="007937D4" w:rsidRDefault="007937D4">
      <w:r w:rsidRPr="007937D4">
        <w:drawing>
          <wp:inline distT="0" distB="0" distL="0" distR="0">
            <wp:extent cx="4572000" cy="2743200"/>
            <wp:effectExtent l="19050" t="0" r="19050" b="0"/>
            <wp:docPr id="14"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243FAA" w:rsidRPr="00801EC1" w:rsidRDefault="00B86BA5">
      <w:pPr>
        <w:rPr>
          <w:b/>
          <w:u w:val="single"/>
        </w:rPr>
      </w:pPr>
      <w:r w:rsidRPr="00801EC1">
        <w:rPr>
          <w:b/>
          <w:highlight w:val="yellow"/>
          <w:u w:val="single"/>
        </w:rPr>
        <w:t>Joint Operations Vs Joint Ventures:-</w:t>
      </w:r>
    </w:p>
    <w:p w:rsidR="00B86BA5" w:rsidRDefault="00B86BA5">
      <w:r w:rsidRPr="003C4101">
        <w:rPr>
          <w:b/>
          <w:u w:val="single"/>
        </w:rPr>
        <w:t>JCA’s and JCO’s</w:t>
      </w:r>
      <w:r>
        <w:t xml:space="preserve">:  </w:t>
      </w:r>
    </w:p>
    <w:p w:rsidR="00B86BA5" w:rsidRDefault="00B86BA5" w:rsidP="00B86BA5">
      <w:pPr>
        <w:pStyle w:val="ListParagraph"/>
        <w:numPr>
          <w:ilvl w:val="0"/>
          <w:numId w:val="1"/>
        </w:numPr>
      </w:pPr>
      <w:r>
        <w:t>These are now called “Joint Operations” under IFRS 11.</w:t>
      </w:r>
    </w:p>
    <w:p w:rsidR="00B86BA5" w:rsidRDefault="00B86BA5" w:rsidP="00B86BA5">
      <w:pPr>
        <w:pStyle w:val="ListParagraph"/>
        <w:numPr>
          <w:ilvl w:val="0"/>
          <w:numId w:val="1"/>
        </w:numPr>
      </w:pPr>
      <w:r>
        <w:t>The accounting for these arrangements will generally be the same as under IAS 31.</w:t>
      </w:r>
    </w:p>
    <w:p w:rsidR="00B86BA5" w:rsidRDefault="00B86BA5" w:rsidP="00B86BA5">
      <w:pPr>
        <w:pStyle w:val="ListParagraph"/>
        <w:numPr>
          <w:ilvl w:val="0"/>
          <w:numId w:val="1"/>
        </w:numPr>
      </w:pPr>
      <w:r>
        <w:t>The Joint Operator defined as the party having joint control of a joint operation and not be confused with the operator of the joint arrangement continues to recognize its Assets and Liabilities, revenues and expenses and/or its relative shares thereof.</w:t>
      </w:r>
    </w:p>
    <w:p w:rsidR="00B86BA5" w:rsidRPr="003C4101" w:rsidRDefault="00B86BA5" w:rsidP="00B86BA5">
      <w:pPr>
        <w:rPr>
          <w:b/>
          <w:u w:val="single"/>
        </w:rPr>
      </w:pPr>
      <w:r w:rsidRPr="003C4101">
        <w:rPr>
          <w:b/>
          <w:u w:val="single"/>
        </w:rPr>
        <w:t>JCE’s:</w:t>
      </w:r>
    </w:p>
    <w:p w:rsidR="00B86BA5" w:rsidRDefault="00B86BA5" w:rsidP="00B86BA5">
      <w:pPr>
        <w:pStyle w:val="ListParagraph"/>
        <w:numPr>
          <w:ilvl w:val="0"/>
          <w:numId w:val="1"/>
        </w:numPr>
      </w:pPr>
      <w:r>
        <w:t>JCE’s rights to assets and obligations for liabilities also possible under current JCE’s may be classified as joint operations</w:t>
      </w:r>
      <w:r w:rsidR="003C4101">
        <w:t xml:space="preserve"> under IFRS 11.  Regardless of legal structure, where the party has rights to the assets and obligations for the liabilities for the underlying joint agreement, it will be classified and accounted for as a joint operation, and accounted for as above.</w:t>
      </w:r>
    </w:p>
    <w:p w:rsidR="003C4101" w:rsidRDefault="003C4101" w:rsidP="003C4101"/>
    <w:p w:rsidR="00B86BA5" w:rsidRDefault="00B86BA5" w:rsidP="00B86BA5"/>
    <w:p w:rsidR="003C4101" w:rsidRDefault="003C4101"/>
    <w:p w:rsidR="007937D4" w:rsidRPr="00801EC1" w:rsidRDefault="003C4101">
      <w:pPr>
        <w:rPr>
          <w:b/>
          <w:u w:val="single"/>
        </w:rPr>
      </w:pPr>
      <w:r w:rsidRPr="00801EC1">
        <w:rPr>
          <w:b/>
          <w:highlight w:val="yellow"/>
          <w:u w:val="single"/>
        </w:rPr>
        <w:t>Proportionate Consolidation Vs IFRS 11 – JCA / JCO accounting:-</w:t>
      </w:r>
    </w:p>
    <w:p w:rsidR="003C4101" w:rsidRDefault="003C4101">
      <w:r>
        <w:tab/>
      </w:r>
      <w:r w:rsidR="00E043AB">
        <w:t>Proportionate consolidation is used under US GAAP.  Under this proportionate consolidation is used to describe a method of accounting that would be the equivalent to IFRS’s JCA/JCO accounting.</w:t>
      </w:r>
    </w:p>
    <w:p w:rsidR="00E043AB" w:rsidRDefault="00E043AB">
      <w:r>
        <w:tab/>
        <w:t>To illustrate this we have assume the below example of few transactions and how it got accounted in the books.</w:t>
      </w:r>
    </w:p>
    <w:p w:rsidR="00E043AB" w:rsidRDefault="00A4082C" w:rsidP="00E043AB">
      <w:pPr>
        <w:pStyle w:val="ListParagraph"/>
        <w:numPr>
          <w:ilvl w:val="0"/>
          <w:numId w:val="3"/>
        </w:numPr>
      </w:pPr>
      <w:r>
        <w:t>Where a joint operator has rights to a specified percentage of all assets for example 50% and obligations for the same specified percentage of all liabilities. So there shouldn’t be any difference between the accounting for a joint operation and proportionate consolidation.</w:t>
      </w:r>
    </w:p>
    <w:p w:rsidR="00A4082C" w:rsidRDefault="00A4082C" w:rsidP="00A4082C">
      <w:pPr>
        <w:pStyle w:val="ListParagraph"/>
      </w:pPr>
    </w:p>
    <w:p w:rsidR="00A4082C" w:rsidRDefault="00A4082C" w:rsidP="00A4082C">
      <w:pPr>
        <w:pStyle w:val="ListParagraph"/>
        <w:numPr>
          <w:ilvl w:val="0"/>
          <w:numId w:val="3"/>
        </w:numPr>
      </w:pPr>
      <w:r>
        <w:t>However, where the joint operator has rights to a specified percentage of certain assets and differing rights to other assets, and/or different obligations for various liabilities, the financial statements would look different when accounting for those individual rights and obligations, as compared with proportionately consolidating the same percentage of all assets and liabilities.</w:t>
      </w:r>
    </w:p>
    <w:p w:rsidR="00A4082C" w:rsidRDefault="00A4082C" w:rsidP="00A4082C">
      <w:pPr>
        <w:pStyle w:val="ListParagraph"/>
      </w:pPr>
    </w:p>
    <w:p w:rsidR="00A4082C" w:rsidRPr="00801EC1" w:rsidRDefault="00A4082C" w:rsidP="00A4082C">
      <w:pPr>
        <w:rPr>
          <w:b/>
          <w:u w:val="single"/>
        </w:rPr>
      </w:pPr>
      <w:r w:rsidRPr="00801EC1">
        <w:rPr>
          <w:b/>
          <w:u w:val="single"/>
        </w:rPr>
        <w:t>50% / 50% Joint Agreement</w:t>
      </w:r>
    </w:p>
    <w:p w:rsidR="00A4082C" w:rsidRDefault="00A4082C" w:rsidP="00A4082C"/>
    <w:p w:rsidR="00A4082C" w:rsidRDefault="00801EC1" w:rsidP="00A4082C">
      <w:r w:rsidRPr="00801EC1">
        <w:drawing>
          <wp:inline distT="0" distB="0" distL="0" distR="0">
            <wp:extent cx="5943600" cy="1605915"/>
            <wp:effectExtent l="19050" t="0" r="0" b="0"/>
            <wp:docPr id="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943600" cy="1605915"/>
                    </a:xfrm>
                    <a:prstGeom prst="rect">
                      <a:avLst/>
                    </a:prstGeom>
                  </pic:spPr>
                </pic:pic>
              </a:graphicData>
            </a:graphic>
          </wp:inline>
        </w:drawing>
      </w:r>
    </w:p>
    <w:p w:rsidR="00801EC1" w:rsidRDefault="00801EC1" w:rsidP="00A4082C"/>
    <w:p w:rsidR="00801EC1" w:rsidRPr="00801EC1" w:rsidRDefault="00801EC1" w:rsidP="00A4082C">
      <w:pPr>
        <w:rPr>
          <w:b/>
          <w:u w:val="single"/>
        </w:rPr>
      </w:pPr>
      <w:r w:rsidRPr="00801EC1">
        <w:rPr>
          <w:b/>
          <w:highlight w:val="yellow"/>
          <w:u w:val="single"/>
        </w:rPr>
        <w:t>Conclusion:</w:t>
      </w:r>
    </w:p>
    <w:p w:rsidR="00801EC1" w:rsidRDefault="00801EC1" w:rsidP="00A4082C">
      <w:r>
        <w:tab/>
        <w:t>The rights and obligations provided to a party under these contractual agreements will drive the accounting.  Therefore, an entity will have to ensure it has a detailed understanding of the specific rights and obligations of its arrangements to be able to determine the impact of these new standards.</w:t>
      </w:r>
    </w:p>
    <w:p w:rsidR="00801EC1" w:rsidRDefault="00801EC1" w:rsidP="00A4082C"/>
    <w:sectPr w:rsidR="00801EC1" w:rsidSect="00243FAA">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C5C" w:rsidRDefault="000D6C5C" w:rsidP="003C4101">
      <w:pPr>
        <w:spacing w:after="0" w:line="240" w:lineRule="auto"/>
      </w:pPr>
      <w:r>
        <w:separator/>
      </w:r>
    </w:p>
  </w:endnote>
  <w:endnote w:type="continuationSeparator" w:id="0">
    <w:p w:rsidR="000D6C5C" w:rsidRDefault="000D6C5C" w:rsidP="003C41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63188"/>
      <w:docPartObj>
        <w:docPartGallery w:val="Page Numbers (Bottom of Page)"/>
        <w:docPartUnique/>
      </w:docPartObj>
    </w:sdtPr>
    <w:sdtContent>
      <w:sdt>
        <w:sdtPr>
          <w:id w:val="565050523"/>
          <w:docPartObj>
            <w:docPartGallery w:val="Page Numbers (Top of Page)"/>
            <w:docPartUnique/>
          </w:docPartObj>
        </w:sdtPr>
        <w:sdtContent>
          <w:p w:rsidR="00A4082C" w:rsidRDefault="00A4082C">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801EC1">
              <w:rPr>
                <w:b/>
                <w:noProof/>
              </w:rPr>
              <w:t>4</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01EC1">
              <w:rPr>
                <w:b/>
                <w:noProof/>
              </w:rPr>
              <w:t>4</w:t>
            </w:r>
            <w:r>
              <w:rPr>
                <w:b/>
                <w:sz w:val="24"/>
                <w:szCs w:val="24"/>
              </w:rPr>
              <w:fldChar w:fldCharType="end"/>
            </w:r>
          </w:p>
        </w:sdtContent>
      </w:sdt>
    </w:sdtContent>
  </w:sdt>
  <w:p w:rsidR="00A4082C" w:rsidRDefault="00A408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C5C" w:rsidRDefault="000D6C5C" w:rsidP="003C4101">
      <w:pPr>
        <w:spacing w:after="0" w:line="240" w:lineRule="auto"/>
      </w:pPr>
      <w:r>
        <w:separator/>
      </w:r>
    </w:p>
  </w:footnote>
  <w:footnote w:type="continuationSeparator" w:id="0">
    <w:p w:rsidR="000D6C5C" w:rsidRDefault="000D6C5C" w:rsidP="003C410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2530C"/>
    <w:multiLevelType w:val="hybridMultilevel"/>
    <w:tmpl w:val="08D4F91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323167"/>
    <w:multiLevelType w:val="hybridMultilevel"/>
    <w:tmpl w:val="BE80C8B0"/>
    <w:lvl w:ilvl="0" w:tplc="EB78020C">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E05C80"/>
    <w:multiLevelType w:val="hybridMultilevel"/>
    <w:tmpl w:val="074A08BE"/>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characterSpacingControl w:val="doNotCompress"/>
  <w:footnotePr>
    <w:footnote w:id="-1"/>
    <w:footnote w:id="0"/>
  </w:footnotePr>
  <w:endnotePr>
    <w:endnote w:id="-1"/>
    <w:endnote w:id="0"/>
  </w:endnotePr>
  <w:compat/>
  <w:rsids>
    <w:rsidRoot w:val="007937D4"/>
    <w:rsid w:val="00002489"/>
    <w:rsid w:val="00002CE3"/>
    <w:rsid w:val="00003496"/>
    <w:rsid w:val="00005337"/>
    <w:rsid w:val="0001427E"/>
    <w:rsid w:val="000175C6"/>
    <w:rsid w:val="00021826"/>
    <w:rsid w:val="000339CE"/>
    <w:rsid w:val="0003436E"/>
    <w:rsid w:val="00042142"/>
    <w:rsid w:val="00042500"/>
    <w:rsid w:val="0004389D"/>
    <w:rsid w:val="00044310"/>
    <w:rsid w:val="000460CD"/>
    <w:rsid w:val="00046160"/>
    <w:rsid w:val="00046336"/>
    <w:rsid w:val="00050848"/>
    <w:rsid w:val="00050AF5"/>
    <w:rsid w:val="00055659"/>
    <w:rsid w:val="000567DF"/>
    <w:rsid w:val="000625C3"/>
    <w:rsid w:val="00065660"/>
    <w:rsid w:val="0006583E"/>
    <w:rsid w:val="00065EC4"/>
    <w:rsid w:val="00066042"/>
    <w:rsid w:val="000826DE"/>
    <w:rsid w:val="00095169"/>
    <w:rsid w:val="00096D03"/>
    <w:rsid w:val="0009730A"/>
    <w:rsid w:val="000A2A54"/>
    <w:rsid w:val="000A3DCC"/>
    <w:rsid w:val="000A7F64"/>
    <w:rsid w:val="000B2847"/>
    <w:rsid w:val="000B2AC7"/>
    <w:rsid w:val="000B389C"/>
    <w:rsid w:val="000B5271"/>
    <w:rsid w:val="000B57C3"/>
    <w:rsid w:val="000B6C66"/>
    <w:rsid w:val="000C1AD0"/>
    <w:rsid w:val="000C2B25"/>
    <w:rsid w:val="000C32E2"/>
    <w:rsid w:val="000C41DD"/>
    <w:rsid w:val="000C763D"/>
    <w:rsid w:val="000D5EF7"/>
    <w:rsid w:val="000D6C5C"/>
    <w:rsid w:val="000E18C7"/>
    <w:rsid w:val="000E7EED"/>
    <w:rsid w:val="000F5FB4"/>
    <w:rsid w:val="00104DB3"/>
    <w:rsid w:val="00105538"/>
    <w:rsid w:val="00112A2B"/>
    <w:rsid w:val="0012289A"/>
    <w:rsid w:val="00124800"/>
    <w:rsid w:val="001302B2"/>
    <w:rsid w:val="00131EAE"/>
    <w:rsid w:val="00136940"/>
    <w:rsid w:val="00141C10"/>
    <w:rsid w:val="00144355"/>
    <w:rsid w:val="00151B89"/>
    <w:rsid w:val="00155DA4"/>
    <w:rsid w:val="00157535"/>
    <w:rsid w:val="0016253F"/>
    <w:rsid w:val="001629E7"/>
    <w:rsid w:val="001706CC"/>
    <w:rsid w:val="001725D9"/>
    <w:rsid w:val="00172B28"/>
    <w:rsid w:val="001738B2"/>
    <w:rsid w:val="001753AF"/>
    <w:rsid w:val="00175D06"/>
    <w:rsid w:val="00177286"/>
    <w:rsid w:val="00177BD8"/>
    <w:rsid w:val="001812FE"/>
    <w:rsid w:val="001844D1"/>
    <w:rsid w:val="0018755E"/>
    <w:rsid w:val="001927B5"/>
    <w:rsid w:val="001945A2"/>
    <w:rsid w:val="00196DDC"/>
    <w:rsid w:val="001A4B27"/>
    <w:rsid w:val="001B67CD"/>
    <w:rsid w:val="001B77B9"/>
    <w:rsid w:val="001C013A"/>
    <w:rsid w:val="001C258F"/>
    <w:rsid w:val="001C3058"/>
    <w:rsid w:val="001C35D5"/>
    <w:rsid w:val="001C5582"/>
    <w:rsid w:val="001D05E6"/>
    <w:rsid w:val="001D38BA"/>
    <w:rsid w:val="001E6AE3"/>
    <w:rsid w:val="001F1947"/>
    <w:rsid w:val="001F24F6"/>
    <w:rsid w:val="001F6036"/>
    <w:rsid w:val="00200BA3"/>
    <w:rsid w:val="002041D9"/>
    <w:rsid w:val="00204224"/>
    <w:rsid w:val="002105BE"/>
    <w:rsid w:val="002177BE"/>
    <w:rsid w:val="002227CF"/>
    <w:rsid w:val="0022428D"/>
    <w:rsid w:val="00225461"/>
    <w:rsid w:val="0022661C"/>
    <w:rsid w:val="00226E4F"/>
    <w:rsid w:val="00232739"/>
    <w:rsid w:val="0023314C"/>
    <w:rsid w:val="00233E0B"/>
    <w:rsid w:val="002353E4"/>
    <w:rsid w:val="00237BCD"/>
    <w:rsid w:val="0024070B"/>
    <w:rsid w:val="00242518"/>
    <w:rsid w:val="00243FAA"/>
    <w:rsid w:val="00253D86"/>
    <w:rsid w:val="002556FD"/>
    <w:rsid w:val="0025612D"/>
    <w:rsid w:val="0026004B"/>
    <w:rsid w:val="00282558"/>
    <w:rsid w:val="00290E6C"/>
    <w:rsid w:val="002946F9"/>
    <w:rsid w:val="00294FB9"/>
    <w:rsid w:val="002A0A3B"/>
    <w:rsid w:val="002A34AF"/>
    <w:rsid w:val="002B1E96"/>
    <w:rsid w:val="002B61E4"/>
    <w:rsid w:val="002B79B7"/>
    <w:rsid w:val="002C273F"/>
    <w:rsid w:val="002C7D7E"/>
    <w:rsid w:val="002D466A"/>
    <w:rsid w:val="002E5043"/>
    <w:rsid w:val="002F41CE"/>
    <w:rsid w:val="00300F5A"/>
    <w:rsid w:val="00302CB7"/>
    <w:rsid w:val="003059BF"/>
    <w:rsid w:val="003064A3"/>
    <w:rsid w:val="003149F7"/>
    <w:rsid w:val="00315667"/>
    <w:rsid w:val="0031718B"/>
    <w:rsid w:val="00317690"/>
    <w:rsid w:val="00324E5F"/>
    <w:rsid w:val="0032559F"/>
    <w:rsid w:val="00326A16"/>
    <w:rsid w:val="0033057F"/>
    <w:rsid w:val="00331FEC"/>
    <w:rsid w:val="003339AD"/>
    <w:rsid w:val="00336177"/>
    <w:rsid w:val="00336FF2"/>
    <w:rsid w:val="00346808"/>
    <w:rsid w:val="00353E9F"/>
    <w:rsid w:val="00360ABA"/>
    <w:rsid w:val="003716C1"/>
    <w:rsid w:val="00376B9E"/>
    <w:rsid w:val="003771AB"/>
    <w:rsid w:val="00382C9C"/>
    <w:rsid w:val="00386ADA"/>
    <w:rsid w:val="003970E4"/>
    <w:rsid w:val="00397654"/>
    <w:rsid w:val="003A03C5"/>
    <w:rsid w:val="003A0548"/>
    <w:rsid w:val="003A3DFE"/>
    <w:rsid w:val="003A5FC1"/>
    <w:rsid w:val="003B082E"/>
    <w:rsid w:val="003B49BC"/>
    <w:rsid w:val="003B77EA"/>
    <w:rsid w:val="003C080E"/>
    <w:rsid w:val="003C4101"/>
    <w:rsid w:val="003C5DA5"/>
    <w:rsid w:val="003D0247"/>
    <w:rsid w:val="003D1F85"/>
    <w:rsid w:val="003D31EE"/>
    <w:rsid w:val="003D7A8D"/>
    <w:rsid w:val="003E0319"/>
    <w:rsid w:val="003E445E"/>
    <w:rsid w:val="003E753F"/>
    <w:rsid w:val="003F01C3"/>
    <w:rsid w:val="003F0C9A"/>
    <w:rsid w:val="0040056E"/>
    <w:rsid w:val="00420E97"/>
    <w:rsid w:val="00420F52"/>
    <w:rsid w:val="00421247"/>
    <w:rsid w:val="00426E39"/>
    <w:rsid w:val="00430476"/>
    <w:rsid w:val="004321BF"/>
    <w:rsid w:val="004376F5"/>
    <w:rsid w:val="0043787D"/>
    <w:rsid w:val="00440733"/>
    <w:rsid w:val="004420DE"/>
    <w:rsid w:val="00446414"/>
    <w:rsid w:val="004521D8"/>
    <w:rsid w:val="0045295C"/>
    <w:rsid w:val="0045345C"/>
    <w:rsid w:val="00460193"/>
    <w:rsid w:val="004615BE"/>
    <w:rsid w:val="00463416"/>
    <w:rsid w:val="00470837"/>
    <w:rsid w:val="004732A7"/>
    <w:rsid w:val="0047427A"/>
    <w:rsid w:val="00482DC9"/>
    <w:rsid w:val="004869BF"/>
    <w:rsid w:val="00487EB4"/>
    <w:rsid w:val="00487F0B"/>
    <w:rsid w:val="0049242C"/>
    <w:rsid w:val="00493FF1"/>
    <w:rsid w:val="00496281"/>
    <w:rsid w:val="004A0A0E"/>
    <w:rsid w:val="004A20EC"/>
    <w:rsid w:val="004A3052"/>
    <w:rsid w:val="004A37F7"/>
    <w:rsid w:val="004A380C"/>
    <w:rsid w:val="004A3836"/>
    <w:rsid w:val="004A6EFE"/>
    <w:rsid w:val="004B1608"/>
    <w:rsid w:val="004B2BA5"/>
    <w:rsid w:val="004B5C97"/>
    <w:rsid w:val="004B69DA"/>
    <w:rsid w:val="004C06A7"/>
    <w:rsid w:val="004D073D"/>
    <w:rsid w:val="004D0D9F"/>
    <w:rsid w:val="004D133A"/>
    <w:rsid w:val="004D19B6"/>
    <w:rsid w:val="004D1B89"/>
    <w:rsid w:val="004D2CED"/>
    <w:rsid w:val="004D4CA7"/>
    <w:rsid w:val="004D533E"/>
    <w:rsid w:val="004E0349"/>
    <w:rsid w:val="004E37A8"/>
    <w:rsid w:val="004F080E"/>
    <w:rsid w:val="004F274A"/>
    <w:rsid w:val="004F3953"/>
    <w:rsid w:val="004F618E"/>
    <w:rsid w:val="00500184"/>
    <w:rsid w:val="00502205"/>
    <w:rsid w:val="00504B91"/>
    <w:rsid w:val="005060C7"/>
    <w:rsid w:val="005064B9"/>
    <w:rsid w:val="00507ADE"/>
    <w:rsid w:val="0051350B"/>
    <w:rsid w:val="00513E0D"/>
    <w:rsid w:val="005254B3"/>
    <w:rsid w:val="00531D0E"/>
    <w:rsid w:val="00532097"/>
    <w:rsid w:val="00533D26"/>
    <w:rsid w:val="00535B52"/>
    <w:rsid w:val="00536A29"/>
    <w:rsid w:val="00536BDA"/>
    <w:rsid w:val="00537618"/>
    <w:rsid w:val="00537E97"/>
    <w:rsid w:val="00546734"/>
    <w:rsid w:val="005535C5"/>
    <w:rsid w:val="00553E26"/>
    <w:rsid w:val="00555F0D"/>
    <w:rsid w:val="00566FB7"/>
    <w:rsid w:val="00567696"/>
    <w:rsid w:val="00567D2B"/>
    <w:rsid w:val="00570167"/>
    <w:rsid w:val="00571E87"/>
    <w:rsid w:val="00572584"/>
    <w:rsid w:val="00572F63"/>
    <w:rsid w:val="00574B23"/>
    <w:rsid w:val="00580650"/>
    <w:rsid w:val="0058723B"/>
    <w:rsid w:val="00591ADB"/>
    <w:rsid w:val="00591E8E"/>
    <w:rsid w:val="005960F6"/>
    <w:rsid w:val="00596D9E"/>
    <w:rsid w:val="005A5D84"/>
    <w:rsid w:val="005B4A06"/>
    <w:rsid w:val="005B703C"/>
    <w:rsid w:val="005C39CD"/>
    <w:rsid w:val="005D1106"/>
    <w:rsid w:val="005E09B3"/>
    <w:rsid w:val="005E100E"/>
    <w:rsid w:val="005E5779"/>
    <w:rsid w:val="005F03A6"/>
    <w:rsid w:val="005F1A26"/>
    <w:rsid w:val="005F2ED2"/>
    <w:rsid w:val="005F7D09"/>
    <w:rsid w:val="00600B81"/>
    <w:rsid w:val="00602D8A"/>
    <w:rsid w:val="00605BAE"/>
    <w:rsid w:val="00614625"/>
    <w:rsid w:val="00620CF1"/>
    <w:rsid w:val="006252F7"/>
    <w:rsid w:val="00630890"/>
    <w:rsid w:val="00637893"/>
    <w:rsid w:val="00640251"/>
    <w:rsid w:val="00640CFF"/>
    <w:rsid w:val="00642753"/>
    <w:rsid w:val="00647B14"/>
    <w:rsid w:val="00654844"/>
    <w:rsid w:val="00655D5B"/>
    <w:rsid w:val="006565CC"/>
    <w:rsid w:val="006573E0"/>
    <w:rsid w:val="0065752F"/>
    <w:rsid w:val="00663045"/>
    <w:rsid w:val="00666AB1"/>
    <w:rsid w:val="00674070"/>
    <w:rsid w:val="006802BF"/>
    <w:rsid w:val="006824A0"/>
    <w:rsid w:val="00683016"/>
    <w:rsid w:val="006837EF"/>
    <w:rsid w:val="00684832"/>
    <w:rsid w:val="00687475"/>
    <w:rsid w:val="00691274"/>
    <w:rsid w:val="006925AF"/>
    <w:rsid w:val="00693EE9"/>
    <w:rsid w:val="006958FF"/>
    <w:rsid w:val="00696466"/>
    <w:rsid w:val="0069787B"/>
    <w:rsid w:val="006A26E9"/>
    <w:rsid w:val="006A290A"/>
    <w:rsid w:val="006A7EF1"/>
    <w:rsid w:val="006B1C42"/>
    <w:rsid w:val="006B4CBA"/>
    <w:rsid w:val="006B5BED"/>
    <w:rsid w:val="006B5F0A"/>
    <w:rsid w:val="006C095A"/>
    <w:rsid w:val="006C2F0F"/>
    <w:rsid w:val="006C4215"/>
    <w:rsid w:val="006C4E5E"/>
    <w:rsid w:val="006D18B7"/>
    <w:rsid w:val="006D2792"/>
    <w:rsid w:val="006D6558"/>
    <w:rsid w:val="006D71BE"/>
    <w:rsid w:val="006E3992"/>
    <w:rsid w:val="006E594B"/>
    <w:rsid w:val="006F0627"/>
    <w:rsid w:val="006F1A5E"/>
    <w:rsid w:val="00700B05"/>
    <w:rsid w:val="00702C5B"/>
    <w:rsid w:val="007041D4"/>
    <w:rsid w:val="00705043"/>
    <w:rsid w:val="00711E7D"/>
    <w:rsid w:val="00712AFD"/>
    <w:rsid w:val="00713EB3"/>
    <w:rsid w:val="00717372"/>
    <w:rsid w:val="007212E2"/>
    <w:rsid w:val="0072187D"/>
    <w:rsid w:val="00724FB0"/>
    <w:rsid w:val="007269EA"/>
    <w:rsid w:val="00735B48"/>
    <w:rsid w:val="00737A01"/>
    <w:rsid w:val="00737ACF"/>
    <w:rsid w:val="00740C83"/>
    <w:rsid w:val="00740E6B"/>
    <w:rsid w:val="007440ED"/>
    <w:rsid w:val="007444DC"/>
    <w:rsid w:val="0074675C"/>
    <w:rsid w:val="00751A66"/>
    <w:rsid w:val="007616FC"/>
    <w:rsid w:val="0076382F"/>
    <w:rsid w:val="00764ED3"/>
    <w:rsid w:val="00771BFD"/>
    <w:rsid w:val="00771FB5"/>
    <w:rsid w:val="007814F2"/>
    <w:rsid w:val="00781C94"/>
    <w:rsid w:val="00782905"/>
    <w:rsid w:val="007903D3"/>
    <w:rsid w:val="00792296"/>
    <w:rsid w:val="007933F8"/>
    <w:rsid w:val="007937D4"/>
    <w:rsid w:val="00797BAA"/>
    <w:rsid w:val="007A3A86"/>
    <w:rsid w:val="007A4753"/>
    <w:rsid w:val="007B0184"/>
    <w:rsid w:val="007B0D89"/>
    <w:rsid w:val="007B1984"/>
    <w:rsid w:val="007B2AA5"/>
    <w:rsid w:val="007B3F00"/>
    <w:rsid w:val="007B4625"/>
    <w:rsid w:val="007B5539"/>
    <w:rsid w:val="007C76EE"/>
    <w:rsid w:val="007D48BE"/>
    <w:rsid w:val="007D4F46"/>
    <w:rsid w:val="007D5C3B"/>
    <w:rsid w:val="007E0463"/>
    <w:rsid w:val="007E235A"/>
    <w:rsid w:val="007F3419"/>
    <w:rsid w:val="007F53BC"/>
    <w:rsid w:val="007F5827"/>
    <w:rsid w:val="008007C1"/>
    <w:rsid w:val="00801EC1"/>
    <w:rsid w:val="008021BF"/>
    <w:rsid w:val="00806C11"/>
    <w:rsid w:val="008103DA"/>
    <w:rsid w:val="00815978"/>
    <w:rsid w:val="00816260"/>
    <w:rsid w:val="00817D64"/>
    <w:rsid w:val="00821F32"/>
    <w:rsid w:val="008221DB"/>
    <w:rsid w:val="00825D2A"/>
    <w:rsid w:val="008262DB"/>
    <w:rsid w:val="00827E7A"/>
    <w:rsid w:val="008310E1"/>
    <w:rsid w:val="00834D07"/>
    <w:rsid w:val="00837B33"/>
    <w:rsid w:val="00840DB2"/>
    <w:rsid w:val="0084180B"/>
    <w:rsid w:val="00841E52"/>
    <w:rsid w:val="00844148"/>
    <w:rsid w:val="008549C4"/>
    <w:rsid w:val="00855459"/>
    <w:rsid w:val="00856303"/>
    <w:rsid w:val="00860AD6"/>
    <w:rsid w:val="008636CC"/>
    <w:rsid w:val="00866D30"/>
    <w:rsid w:val="008710DD"/>
    <w:rsid w:val="00875D0B"/>
    <w:rsid w:val="0088060D"/>
    <w:rsid w:val="00882AB7"/>
    <w:rsid w:val="00886573"/>
    <w:rsid w:val="00887A0D"/>
    <w:rsid w:val="00892798"/>
    <w:rsid w:val="00897CCE"/>
    <w:rsid w:val="008B0A13"/>
    <w:rsid w:val="008B3118"/>
    <w:rsid w:val="008B4914"/>
    <w:rsid w:val="008B5F50"/>
    <w:rsid w:val="008C1DC3"/>
    <w:rsid w:val="008C25F6"/>
    <w:rsid w:val="008C54CB"/>
    <w:rsid w:val="008D25EC"/>
    <w:rsid w:val="008D2DF8"/>
    <w:rsid w:val="008F2F1A"/>
    <w:rsid w:val="008F4A05"/>
    <w:rsid w:val="009025A6"/>
    <w:rsid w:val="00902BAF"/>
    <w:rsid w:val="0090654D"/>
    <w:rsid w:val="009066F7"/>
    <w:rsid w:val="009074CE"/>
    <w:rsid w:val="00907B86"/>
    <w:rsid w:val="00912CE9"/>
    <w:rsid w:val="00913F10"/>
    <w:rsid w:val="009142FA"/>
    <w:rsid w:val="0091782A"/>
    <w:rsid w:val="009254DF"/>
    <w:rsid w:val="00925707"/>
    <w:rsid w:val="00925731"/>
    <w:rsid w:val="009263D3"/>
    <w:rsid w:val="00930B73"/>
    <w:rsid w:val="00932444"/>
    <w:rsid w:val="009360AA"/>
    <w:rsid w:val="00937B47"/>
    <w:rsid w:val="009435A8"/>
    <w:rsid w:val="00943643"/>
    <w:rsid w:val="00943DF5"/>
    <w:rsid w:val="0095024F"/>
    <w:rsid w:val="00950C8C"/>
    <w:rsid w:val="00955537"/>
    <w:rsid w:val="009654D3"/>
    <w:rsid w:val="00965549"/>
    <w:rsid w:val="00974045"/>
    <w:rsid w:val="00982E95"/>
    <w:rsid w:val="00984D04"/>
    <w:rsid w:val="00984DBB"/>
    <w:rsid w:val="009921CB"/>
    <w:rsid w:val="0099326B"/>
    <w:rsid w:val="009A2717"/>
    <w:rsid w:val="009A3354"/>
    <w:rsid w:val="009A3EB3"/>
    <w:rsid w:val="009A4123"/>
    <w:rsid w:val="009A6CE7"/>
    <w:rsid w:val="009B06E0"/>
    <w:rsid w:val="009B5974"/>
    <w:rsid w:val="009C233C"/>
    <w:rsid w:val="009C250B"/>
    <w:rsid w:val="009C2CF2"/>
    <w:rsid w:val="009C6A75"/>
    <w:rsid w:val="009C706A"/>
    <w:rsid w:val="009D01C9"/>
    <w:rsid w:val="009D0C6A"/>
    <w:rsid w:val="009D61CF"/>
    <w:rsid w:val="009D6A5F"/>
    <w:rsid w:val="009E57D7"/>
    <w:rsid w:val="009E6EE0"/>
    <w:rsid w:val="009E72F7"/>
    <w:rsid w:val="009F4DF1"/>
    <w:rsid w:val="009F6D97"/>
    <w:rsid w:val="009F7F93"/>
    <w:rsid w:val="00A0184D"/>
    <w:rsid w:val="00A061B6"/>
    <w:rsid w:val="00A12331"/>
    <w:rsid w:val="00A171A4"/>
    <w:rsid w:val="00A222F5"/>
    <w:rsid w:val="00A2359A"/>
    <w:rsid w:val="00A26548"/>
    <w:rsid w:val="00A2713C"/>
    <w:rsid w:val="00A32040"/>
    <w:rsid w:val="00A35837"/>
    <w:rsid w:val="00A40086"/>
    <w:rsid w:val="00A4082C"/>
    <w:rsid w:val="00A40EC4"/>
    <w:rsid w:val="00A41300"/>
    <w:rsid w:val="00A42494"/>
    <w:rsid w:val="00A42F6B"/>
    <w:rsid w:val="00A45200"/>
    <w:rsid w:val="00A51635"/>
    <w:rsid w:val="00A527D0"/>
    <w:rsid w:val="00A535B5"/>
    <w:rsid w:val="00A60D52"/>
    <w:rsid w:val="00A613A5"/>
    <w:rsid w:val="00A61A4F"/>
    <w:rsid w:val="00A62367"/>
    <w:rsid w:val="00A64D46"/>
    <w:rsid w:val="00A66F0A"/>
    <w:rsid w:val="00A67E9F"/>
    <w:rsid w:val="00A71D74"/>
    <w:rsid w:val="00A739F7"/>
    <w:rsid w:val="00A75C61"/>
    <w:rsid w:val="00A769E0"/>
    <w:rsid w:val="00A777D8"/>
    <w:rsid w:val="00A7780A"/>
    <w:rsid w:val="00A80255"/>
    <w:rsid w:val="00A816D4"/>
    <w:rsid w:val="00A82806"/>
    <w:rsid w:val="00A82D14"/>
    <w:rsid w:val="00A8541D"/>
    <w:rsid w:val="00A905D7"/>
    <w:rsid w:val="00A94787"/>
    <w:rsid w:val="00A9547E"/>
    <w:rsid w:val="00A96FE4"/>
    <w:rsid w:val="00AA254E"/>
    <w:rsid w:val="00AB1937"/>
    <w:rsid w:val="00AB369D"/>
    <w:rsid w:val="00AB5B10"/>
    <w:rsid w:val="00AC014E"/>
    <w:rsid w:val="00AC03BD"/>
    <w:rsid w:val="00AC39CD"/>
    <w:rsid w:val="00AC74B2"/>
    <w:rsid w:val="00AD0F76"/>
    <w:rsid w:val="00AD1018"/>
    <w:rsid w:val="00AD45EF"/>
    <w:rsid w:val="00AD618E"/>
    <w:rsid w:val="00AE483B"/>
    <w:rsid w:val="00AF1D77"/>
    <w:rsid w:val="00AF2F09"/>
    <w:rsid w:val="00AF3AA6"/>
    <w:rsid w:val="00AF3FC2"/>
    <w:rsid w:val="00AF79B2"/>
    <w:rsid w:val="00B023BF"/>
    <w:rsid w:val="00B07043"/>
    <w:rsid w:val="00B10D4E"/>
    <w:rsid w:val="00B155AF"/>
    <w:rsid w:val="00B16B78"/>
    <w:rsid w:val="00B2711B"/>
    <w:rsid w:val="00B30DD1"/>
    <w:rsid w:val="00B34F56"/>
    <w:rsid w:val="00B41AF8"/>
    <w:rsid w:val="00B4438E"/>
    <w:rsid w:val="00B44AFE"/>
    <w:rsid w:val="00B455CE"/>
    <w:rsid w:val="00B47165"/>
    <w:rsid w:val="00B4796D"/>
    <w:rsid w:val="00B50B29"/>
    <w:rsid w:val="00B517E5"/>
    <w:rsid w:val="00B52760"/>
    <w:rsid w:val="00B5621D"/>
    <w:rsid w:val="00B63BF1"/>
    <w:rsid w:val="00B63CCD"/>
    <w:rsid w:val="00B66F01"/>
    <w:rsid w:val="00B703EA"/>
    <w:rsid w:val="00B7077A"/>
    <w:rsid w:val="00B71122"/>
    <w:rsid w:val="00B7114C"/>
    <w:rsid w:val="00B745C5"/>
    <w:rsid w:val="00B75C35"/>
    <w:rsid w:val="00B77B62"/>
    <w:rsid w:val="00B83951"/>
    <w:rsid w:val="00B854AE"/>
    <w:rsid w:val="00B86BA5"/>
    <w:rsid w:val="00B96CAD"/>
    <w:rsid w:val="00BA63EE"/>
    <w:rsid w:val="00BC0896"/>
    <w:rsid w:val="00BC0D63"/>
    <w:rsid w:val="00BC2690"/>
    <w:rsid w:val="00BC56E4"/>
    <w:rsid w:val="00BC6118"/>
    <w:rsid w:val="00BD0A7D"/>
    <w:rsid w:val="00BD16B6"/>
    <w:rsid w:val="00BD4710"/>
    <w:rsid w:val="00BD5C44"/>
    <w:rsid w:val="00BE0953"/>
    <w:rsid w:val="00BE6A31"/>
    <w:rsid w:val="00BF32C9"/>
    <w:rsid w:val="00C028A1"/>
    <w:rsid w:val="00C02B07"/>
    <w:rsid w:val="00C05C52"/>
    <w:rsid w:val="00C06109"/>
    <w:rsid w:val="00C06685"/>
    <w:rsid w:val="00C116E4"/>
    <w:rsid w:val="00C13E4D"/>
    <w:rsid w:val="00C216CD"/>
    <w:rsid w:val="00C217F4"/>
    <w:rsid w:val="00C24553"/>
    <w:rsid w:val="00C24B0A"/>
    <w:rsid w:val="00C25765"/>
    <w:rsid w:val="00C267AC"/>
    <w:rsid w:val="00C27B2C"/>
    <w:rsid w:val="00C3327D"/>
    <w:rsid w:val="00C3404B"/>
    <w:rsid w:val="00C3537A"/>
    <w:rsid w:val="00C37C92"/>
    <w:rsid w:val="00C53B4C"/>
    <w:rsid w:val="00C57316"/>
    <w:rsid w:val="00C608A6"/>
    <w:rsid w:val="00C65989"/>
    <w:rsid w:val="00C709C3"/>
    <w:rsid w:val="00C73722"/>
    <w:rsid w:val="00C74822"/>
    <w:rsid w:val="00C771EB"/>
    <w:rsid w:val="00C8023B"/>
    <w:rsid w:val="00C80BFE"/>
    <w:rsid w:val="00C8329B"/>
    <w:rsid w:val="00C83ED8"/>
    <w:rsid w:val="00C85EB2"/>
    <w:rsid w:val="00C914F3"/>
    <w:rsid w:val="00C92E85"/>
    <w:rsid w:val="00C93972"/>
    <w:rsid w:val="00C93ED5"/>
    <w:rsid w:val="00C93F6A"/>
    <w:rsid w:val="00C96BF9"/>
    <w:rsid w:val="00CA1AF0"/>
    <w:rsid w:val="00CA2E49"/>
    <w:rsid w:val="00CA3725"/>
    <w:rsid w:val="00CB0928"/>
    <w:rsid w:val="00CB3708"/>
    <w:rsid w:val="00CB67F9"/>
    <w:rsid w:val="00CB7F1B"/>
    <w:rsid w:val="00CC1B49"/>
    <w:rsid w:val="00CC345C"/>
    <w:rsid w:val="00CD3C1F"/>
    <w:rsid w:val="00CD6C16"/>
    <w:rsid w:val="00CD79D7"/>
    <w:rsid w:val="00CE4381"/>
    <w:rsid w:val="00CE6499"/>
    <w:rsid w:val="00CF05A2"/>
    <w:rsid w:val="00CF0F2F"/>
    <w:rsid w:val="00CF1969"/>
    <w:rsid w:val="00CF3278"/>
    <w:rsid w:val="00CF33BB"/>
    <w:rsid w:val="00CF4861"/>
    <w:rsid w:val="00CF4CE2"/>
    <w:rsid w:val="00CF5969"/>
    <w:rsid w:val="00CF7B4E"/>
    <w:rsid w:val="00D10B7C"/>
    <w:rsid w:val="00D130A3"/>
    <w:rsid w:val="00D202FF"/>
    <w:rsid w:val="00D22652"/>
    <w:rsid w:val="00D244DA"/>
    <w:rsid w:val="00D26335"/>
    <w:rsid w:val="00D27B4F"/>
    <w:rsid w:val="00D31DF0"/>
    <w:rsid w:val="00D426CB"/>
    <w:rsid w:val="00D45B39"/>
    <w:rsid w:val="00D46B29"/>
    <w:rsid w:val="00D60B2B"/>
    <w:rsid w:val="00D60BDB"/>
    <w:rsid w:val="00D61999"/>
    <w:rsid w:val="00D62DA6"/>
    <w:rsid w:val="00D640BE"/>
    <w:rsid w:val="00D7057B"/>
    <w:rsid w:val="00D71E41"/>
    <w:rsid w:val="00D75D84"/>
    <w:rsid w:val="00D82C1D"/>
    <w:rsid w:val="00D87D30"/>
    <w:rsid w:val="00D962D1"/>
    <w:rsid w:val="00DA1042"/>
    <w:rsid w:val="00DA1966"/>
    <w:rsid w:val="00DA2FDB"/>
    <w:rsid w:val="00DA7EB5"/>
    <w:rsid w:val="00DB41CB"/>
    <w:rsid w:val="00DB72C6"/>
    <w:rsid w:val="00DD0ACC"/>
    <w:rsid w:val="00DD0D79"/>
    <w:rsid w:val="00DD3D42"/>
    <w:rsid w:val="00DD45C7"/>
    <w:rsid w:val="00DE1323"/>
    <w:rsid w:val="00DE1E46"/>
    <w:rsid w:val="00DF5F9D"/>
    <w:rsid w:val="00DF63BA"/>
    <w:rsid w:val="00DF7BE3"/>
    <w:rsid w:val="00E03975"/>
    <w:rsid w:val="00E0417C"/>
    <w:rsid w:val="00E043AB"/>
    <w:rsid w:val="00E06F37"/>
    <w:rsid w:val="00E10779"/>
    <w:rsid w:val="00E25DF3"/>
    <w:rsid w:val="00E315FD"/>
    <w:rsid w:val="00E34C50"/>
    <w:rsid w:val="00E35509"/>
    <w:rsid w:val="00E427B8"/>
    <w:rsid w:val="00E43147"/>
    <w:rsid w:val="00E437D6"/>
    <w:rsid w:val="00E4413A"/>
    <w:rsid w:val="00E44344"/>
    <w:rsid w:val="00E44869"/>
    <w:rsid w:val="00E44E23"/>
    <w:rsid w:val="00E47E44"/>
    <w:rsid w:val="00E519A8"/>
    <w:rsid w:val="00E52893"/>
    <w:rsid w:val="00E53422"/>
    <w:rsid w:val="00E57E68"/>
    <w:rsid w:val="00E6189D"/>
    <w:rsid w:val="00E673AF"/>
    <w:rsid w:val="00E702C0"/>
    <w:rsid w:val="00E765C5"/>
    <w:rsid w:val="00E7691D"/>
    <w:rsid w:val="00E81AAD"/>
    <w:rsid w:val="00E823E7"/>
    <w:rsid w:val="00E86123"/>
    <w:rsid w:val="00E87B81"/>
    <w:rsid w:val="00E92044"/>
    <w:rsid w:val="00E92710"/>
    <w:rsid w:val="00EA274C"/>
    <w:rsid w:val="00EA4F04"/>
    <w:rsid w:val="00EA6A8F"/>
    <w:rsid w:val="00EA7B89"/>
    <w:rsid w:val="00EB6374"/>
    <w:rsid w:val="00EB6ED3"/>
    <w:rsid w:val="00EB7046"/>
    <w:rsid w:val="00EB74AE"/>
    <w:rsid w:val="00EC7B2B"/>
    <w:rsid w:val="00ED4DBA"/>
    <w:rsid w:val="00ED5C57"/>
    <w:rsid w:val="00ED7E93"/>
    <w:rsid w:val="00EE4723"/>
    <w:rsid w:val="00EF2A02"/>
    <w:rsid w:val="00EF7611"/>
    <w:rsid w:val="00F006C6"/>
    <w:rsid w:val="00F132D2"/>
    <w:rsid w:val="00F153C8"/>
    <w:rsid w:val="00F2517B"/>
    <w:rsid w:val="00F25E39"/>
    <w:rsid w:val="00F30AEE"/>
    <w:rsid w:val="00F34A63"/>
    <w:rsid w:val="00F36843"/>
    <w:rsid w:val="00F4158E"/>
    <w:rsid w:val="00F424D4"/>
    <w:rsid w:val="00F464B9"/>
    <w:rsid w:val="00F50739"/>
    <w:rsid w:val="00F536DC"/>
    <w:rsid w:val="00F54238"/>
    <w:rsid w:val="00F547D9"/>
    <w:rsid w:val="00F56E2E"/>
    <w:rsid w:val="00F579C8"/>
    <w:rsid w:val="00F604CA"/>
    <w:rsid w:val="00F606EB"/>
    <w:rsid w:val="00F64F68"/>
    <w:rsid w:val="00F6663A"/>
    <w:rsid w:val="00F711A9"/>
    <w:rsid w:val="00F713A1"/>
    <w:rsid w:val="00F757E9"/>
    <w:rsid w:val="00F759B5"/>
    <w:rsid w:val="00F779DD"/>
    <w:rsid w:val="00F846E8"/>
    <w:rsid w:val="00F84B5A"/>
    <w:rsid w:val="00F858EC"/>
    <w:rsid w:val="00F85E9A"/>
    <w:rsid w:val="00FA6845"/>
    <w:rsid w:val="00FB2C09"/>
    <w:rsid w:val="00FC68F5"/>
    <w:rsid w:val="00FC7D98"/>
    <w:rsid w:val="00FD5AE1"/>
    <w:rsid w:val="00FD65D1"/>
    <w:rsid w:val="00FD676C"/>
    <w:rsid w:val="00FD79C2"/>
    <w:rsid w:val="00FE1385"/>
    <w:rsid w:val="00FE3F4D"/>
    <w:rsid w:val="00FF2C90"/>
    <w:rsid w:val="00FF50D5"/>
    <w:rsid w:val="00FF6BE2"/>
    <w:rsid w:val="00FF73AD"/>
    <w:rsid w:val="00FF76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3FAA"/>
  </w:style>
  <w:style w:type="paragraph" w:styleId="Heading1">
    <w:name w:val="heading 1"/>
    <w:basedOn w:val="Normal"/>
    <w:next w:val="Normal"/>
    <w:link w:val="Heading1Char"/>
    <w:autoRedefine/>
    <w:qFormat/>
    <w:rsid w:val="007937D4"/>
    <w:pPr>
      <w:keepNext/>
      <w:pBdr>
        <w:bottom w:val="single" w:sz="12" w:space="3" w:color="FF9933"/>
      </w:pBdr>
      <w:spacing w:before="120" w:after="120" w:line="240" w:lineRule="auto"/>
      <w:outlineLvl w:val="0"/>
    </w:pPr>
    <w:rPr>
      <w:rFonts w:ascii="Verdana" w:eastAsia="Times New Roman" w:hAnsi="Verdana" w:cs="Times New Roman"/>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LeftIndent">
    <w:name w:val="Normal Left Indent"/>
    <w:basedOn w:val="Normal"/>
    <w:link w:val="NormalLeftIndentChar"/>
    <w:rsid w:val="007937D4"/>
    <w:pPr>
      <w:spacing w:before="120" w:after="120" w:line="280" w:lineRule="exact"/>
      <w:ind w:left="720"/>
    </w:pPr>
    <w:rPr>
      <w:rFonts w:ascii="Georgia" w:eastAsia="Times New Roman" w:hAnsi="Georgia" w:cs="Times New Roman"/>
      <w:sz w:val="20"/>
      <w:szCs w:val="20"/>
    </w:rPr>
  </w:style>
  <w:style w:type="character" w:customStyle="1" w:styleId="NormalLeftIndentChar">
    <w:name w:val="Normal Left Indent Char"/>
    <w:basedOn w:val="DefaultParagraphFont"/>
    <w:link w:val="NormalLeftIndent"/>
    <w:rsid w:val="007937D4"/>
    <w:rPr>
      <w:rFonts w:ascii="Georgia" w:eastAsia="Times New Roman" w:hAnsi="Georgia" w:cs="Times New Roman"/>
      <w:sz w:val="20"/>
      <w:szCs w:val="20"/>
    </w:rPr>
  </w:style>
  <w:style w:type="character" w:customStyle="1" w:styleId="Heading1Char">
    <w:name w:val="Heading 1 Char"/>
    <w:basedOn w:val="DefaultParagraphFont"/>
    <w:link w:val="Heading1"/>
    <w:rsid w:val="007937D4"/>
    <w:rPr>
      <w:rFonts w:ascii="Verdana" w:eastAsia="Times New Roman" w:hAnsi="Verdana" w:cs="Times New Roman"/>
      <w:sz w:val="36"/>
      <w:szCs w:val="36"/>
    </w:rPr>
  </w:style>
  <w:style w:type="paragraph" w:styleId="ListParagraph">
    <w:name w:val="List Paragraph"/>
    <w:basedOn w:val="Normal"/>
    <w:uiPriority w:val="34"/>
    <w:qFormat/>
    <w:rsid w:val="00B86BA5"/>
    <w:pPr>
      <w:ind w:left="720"/>
      <w:contextualSpacing/>
    </w:pPr>
  </w:style>
  <w:style w:type="paragraph" w:styleId="Header">
    <w:name w:val="header"/>
    <w:basedOn w:val="Normal"/>
    <w:link w:val="HeaderChar"/>
    <w:uiPriority w:val="99"/>
    <w:semiHidden/>
    <w:unhideWhenUsed/>
    <w:rsid w:val="003C410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C4101"/>
  </w:style>
  <w:style w:type="paragraph" w:styleId="Footer">
    <w:name w:val="footer"/>
    <w:basedOn w:val="Normal"/>
    <w:link w:val="FooterChar"/>
    <w:uiPriority w:val="99"/>
    <w:unhideWhenUsed/>
    <w:rsid w:val="003C41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B822AD-4D91-4A0E-B017-D912D16381EB}"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n-US"/>
        </a:p>
      </dgm:t>
    </dgm:pt>
    <dgm:pt modelId="{642F066E-21EB-4F95-8E54-BA0A939A1851}">
      <dgm:prSet phldrT="[Text]" custT="1"/>
      <dgm:spPr/>
      <dgm:t>
        <a:bodyPr/>
        <a:lstStyle/>
        <a:p>
          <a:r>
            <a:rPr lang="en-US" sz="800" b="1">
              <a:solidFill>
                <a:srgbClr val="FFFF00"/>
              </a:solidFill>
            </a:rPr>
            <a:t>Jointly Controlled Operations </a:t>
          </a:r>
        </a:p>
        <a:p>
          <a:r>
            <a:rPr lang="en-US" sz="800"/>
            <a:t>- Recognise its assets, liabilities , expenses, and its share of income.</a:t>
          </a:r>
        </a:p>
      </dgm:t>
    </dgm:pt>
    <dgm:pt modelId="{04851ECF-D997-41A8-91EB-A367AAEA226B}" type="parTrans" cxnId="{7C1AECF8-A301-4560-B3AF-F7CDA348614D}">
      <dgm:prSet/>
      <dgm:spPr/>
      <dgm:t>
        <a:bodyPr/>
        <a:lstStyle/>
        <a:p>
          <a:endParaRPr lang="en-US"/>
        </a:p>
      </dgm:t>
    </dgm:pt>
    <dgm:pt modelId="{C2A1B1D6-D447-426B-9F64-5AA02237EB8E}" type="sibTrans" cxnId="{7C1AECF8-A301-4560-B3AF-F7CDA348614D}">
      <dgm:prSet/>
      <dgm:spPr/>
      <dgm:t>
        <a:bodyPr/>
        <a:lstStyle/>
        <a:p>
          <a:endParaRPr lang="en-US"/>
        </a:p>
      </dgm:t>
    </dgm:pt>
    <dgm:pt modelId="{E1E8B85E-E60B-43E3-9A78-51C19349FD31}">
      <dgm:prSet phldrT="[Text]" custT="1"/>
      <dgm:spPr/>
      <dgm:t>
        <a:bodyPr/>
        <a:lstStyle/>
        <a:p>
          <a:r>
            <a:rPr lang="en-US" sz="800" b="1">
              <a:solidFill>
                <a:srgbClr val="FFFF00"/>
              </a:solidFill>
            </a:rPr>
            <a:t>Jointly Controlled Assets</a:t>
          </a:r>
        </a:p>
        <a:p>
          <a:r>
            <a:rPr lang="en-US" sz="800"/>
            <a:t>- Recognise its assets, liabilities, revenue, and expenses, and/or its relative shares thereof</a:t>
          </a:r>
        </a:p>
      </dgm:t>
    </dgm:pt>
    <dgm:pt modelId="{9EDA6AA8-7C15-492A-926E-07C81EED95E2}" type="parTrans" cxnId="{4EC889D5-6DA1-4E0C-A585-7208BB0CEA45}">
      <dgm:prSet/>
      <dgm:spPr/>
      <dgm:t>
        <a:bodyPr/>
        <a:lstStyle/>
        <a:p>
          <a:endParaRPr lang="en-US"/>
        </a:p>
      </dgm:t>
    </dgm:pt>
    <dgm:pt modelId="{E1140F55-256A-4121-9BD9-D60389F89B3F}" type="sibTrans" cxnId="{4EC889D5-6DA1-4E0C-A585-7208BB0CEA45}">
      <dgm:prSet/>
      <dgm:spPr/>
      <dgm:t>
        <a:bodyPr/>
        <a:lstStyle/>
        <a:p>
          <a:endParaRPr lang="en-US"/>
        </a:p>
      </dgm:t>
    </dgm:pt>
    <dgm:pt modelId="{A3731114-976D-4793-8978-CD389EBF1784}">
      <dgm:prSet phldrT="[Text]" custT="1"/>
      <dgm:spPr/>
      <dgm:t>
        <a:bodyPr/>
        <a:lstStyle/>
        <a:p>
          <a:r>
            <a:rPr lang="en-US" sz="800" b="1">
              <a:solidFill>
                <a:srgbClr val="FFFF00"/>
              </a:solidFill>
            </a:rPr>
            <a:t>Jointly Controlled Entities</a:t>
          </a:r>
        </a:p>
        <a:p>
          <a:r>
            <a:rPr lang="en-US" sz="800"/>
            <a:t>- Equity Method or Proportionate Consolidaiton</a:t>
          </a:r>
        </a:p>
      </dgm:t>
    </dgm:pt>
    <dgm:pt modelId="{B63A1A7E-8705-4324-8FC7-B3C47E1FF096}" type="parTrans" cxnId="{C0647E24-D366-4D39-8595-A4BA607E6142}">
      <dgm:prSet/>
      <dgm:spPr/>
      <dgm:t>
        <a:bodyPr/>
        <a:lstStyle/>
        <a:p>
          <a:endParaRPr lang="en-US"/>
        </a:p>
      </dgm:t>
    </dgm:pt>
    <dgm:pt modelId="{4C498DEA-F3DB-45B8-B570-B04FA56D849D}" type="sibTrans" cxnId="{C0647E24-D366-4D39-8595-A4BA607E6142}">
      <dgm:prSet/>
      <dgm:spPr/>
      <dgm:t>
        <a:bodyPr/>
        <a:lstStyle/>
        <a:p>
          <a:endParaRPr lang="en-US"/>
        </a:p>
      </dgm:t>
    </dgm:pt>
    <dgm:pt modelId="{CCFC661E-24C5-4A80-B0B5-4B027A2DF7BD}">
      <dgm:prSet phldrT="[Text]" custT="1"/>
      <dgm:spPr/>
      <dgm:t>
        <a:bodyPr/>
        <a:lstStyle/>
        <a:p>
          <a:r>
            <a:rPr lang="en-US" sz="800" b="1">
              <a:solidFill>
                <a:srgbClr val="FFFF00"/>
              </a:solidFill>
            </a:rPr>
            <a:t>Joint Ventures</a:t>
          </a:r>
        </a:p>
        <a:p>
          <a:r>
            <a:rPr lang="en-US" sz="800"/>
            <a:t>Parties with joint control have rights to the net assets of the arrangements</a:t>
          </a:r>
        </a:p>
        <a:p>
          <a:r>
            <a:rPr lang="en-US" sz="800"/>
            <a:t>- Equity Method</a:t>
          </a:r>
        </a:p>
      </dgm:t>
    </dgm:pt>
    <dgm:pt modelId="{83B52522-56F1-475D-AB41-1A58A048241E}" type="parTrans" cxnId="{DF1844B4-7314-47A2-8E0A-9B945815769C}">
      <dgm:prSet/>
      <dgm:spPr/>
      <dgm:t>
        <a:bodyPr/>
        <a:lstStyle/>
        <a:p>
          <a:endParaRPr lang="en-US"/>
        </a:p>
      </dgm:t>
    </dgm:pt>
    <dgm:pt modelId="{D9D3B803-A5B5-4D3C-9AD3-987C5838BA51}" type="sibTrans" cxnId="{DF1844B4-7314-47A2-8E0A-9B945815769C}">
      <dgm:prSet/>
      <dgm:spPr/>
      <dgm:t>
        <a:bodyPr/>
        <a:lstStyle/>
        <a:p>
          <a:endParaRPr lang="en-US"/>
        </a:p>
      </dgm:t>
    </dgm:pt>
    <dgm:pt modelId="{9F19D006-4729-4370-963B-0768AF38B805}">
      <dgm:prSet phldrT="[Text]" custT="1"/>
      <dgm:spPr/>
      <dgm:t>
        <a:bodyPr/>
        <a:lstStyle/>
        <a:p>
          <a:r>
            <a:rPr lang="en-US" sz="800" b="1">
              <a:solidFill>
                <a:srgbClr val="FFFF00"/>
              </a:solidFill>
            </a:rPr>
            <a:t>Joint Operations</a:t>
          </a:r>
        </a:p>
        <a:p>
          <a:r>
            <a:rPr lang="en-US" sz="800"/>
            <a:t>The parties with joint control have rights to the A &amp; L of the arrangement</a:t>
          </a:r>
        </a:p>
        <a:p>
          <a:r>
            <a:rPr lang="en-US" sz="800"/>
            <a:t>- Recognise its  A &amp; L, and/or its relative shares there of</a:t>
          </a:r>
        </a:p>
        <a:p>
          <a:endParaRPr lang="en-US" sz="800"/>
        </a:p>
      </dgm:t>
    </dgm:pt>
    <dgm:pt modelId="{43E80BCC-4062-4E8E-96C2-A5DEB3FD3184}" type="parTrans" cxnId="{AB9E39B8-BCE3-42A6-9819-1C72F82F768A}">
      <dgm:prSet/>
      <dgm:spPr/>
      <dgm:t>
        <a:bodyPr/>
        <a:lstStyle/>
        <a:p>
          <a:endParaRPr lang="en-US"/>
        </a:p>
      </dgm:t>
    </dgm:pt>
    <dgm:pt modelId="{8A35FF79-B8C6-4055-8712-DF50A17EF09E}" type="sibTrans" cxnId="{AB9E39B8-BCE3-42A6-9819-1C72F82F768A}">
      <dgm:prSet/>
      <dgm:spPr/>
      <dgm:t>
        <a:bodyPr/>
        <a:lstStyle/>
        <a:p>
          <a:endParaRPr lang="en-US"/>
        </a:p>
      </dgm:t>
    </dgm:pt>
    <dgm:pt modelId="{B764D384-4F07-4CCE-8F59-09F411096573}" type="pres">
      <dgm:prSet presAssocID="{3FB822AD-4D91-4A0E-B017-D912D16381EB}" presName="diagram" presStyleCnt="0">
        <dgm:presLayoutVars>
          <dgm:dir/>
          <dgm:resizeHandles val="exact"/>
        </dgm:presLayoutVars>
      </dgm:prSet>
      <dgm:spPr/>
      <dgm:t>
        <a:bodyPr/>
        <a:lstStyle/>
        <a:p>
          <a:endParaRPr lang="en-US"/>
        </a:p>
      </dgm:t>
    </dgm:pt>
    <dgm:pt modelId="{5EF44B38-FF82-4EA9-9548-1FF581616C92}" type="pres">
      <dgm:prSet presAssocID="{642F066E-21EB-4F95-8E54-BA0A939A1851}" presName="node" presStyleLbl="node1" presStyleIdx="0" presStyleCnt="5" custScaleY="131474">
        <dgm:presLayoutVars>
          <dgm:bulletEnabled val="1"/>
        </dgm:presLayoutVars>
      </dgm:prSet>
      <dgm:spPr/>
      <dgm:t>
        <a:bodyPr/>
        <a:lstStyle/>
        <a:p>
          <a:endParaRPr lang="en-US"/>
        </a:p>
      </dgm:t>
    </dgm:pt>
    <dgm:pt modelId="{1992ADCE-3F5E-45E3-968B-45C2CB6A8942}" type="pres">
      <dgm:prSet presAssocID="{C2A1B1D6-D447-426B-9F64-5AA02237EB8E}" presName="sibTrans" presStyleLbl="sibTrans2D1" presStyleIdx="0" presStyleCnt="4"/>
      <dgm:spPr/>
      <dgm:t>
        <a:bodyPr/>
        <a:lstStyle/>
        <a:p>
          <a:endParaRPr lang="en-US"/>
        </a:p>
      </dgm:t>
    </dgm:pt>
    <dgm:pt modelId="{AF4E7682-3FC3-495B-A376-272BD4B52E02}" type="pres">
      <dgm:prSet presAssocID="{C2A1B1D6-D447-426B-9F64-5AA02237EB8E}" presName="connectorText" presStyleLbl="sibTrans2D1" presStyleIdx="0" presStyleCnt="4"/>
      <dgm:spPr/>
      <dgm:t>
        <a:bodyPr/>
        <a:lstStyle/>
        <a:p>
          <a:endParaRPr lang="en-US"/>
        </a:p>
      </dgm:t>
    </dgm:pt>
    <dgm:pt modelId="{5C779B7F-E449-4B8A-A62F-7F6B8EA1D82E}" type="pres">
      <dgm:prSet presAssocID="{E1E8B85E-E60B-43E3-9A78-51C19349FD31}" presName="node" presStyleLbl="node1" presStyleIdx="1" presStyleCnt="5" custScaleY="126187">
        <dgm:presLayoutVars>
          <dgm:bulletEnabled val="1"/>
        </dgm:presLayoutVars>
      </dgm:prSet>
      <dgm:spPr/>
      <dgm:t>
        <a:bodyPr/>
        <a:lstStyle/>
        <a:p>
          <a:endParaRPr lang="en-US"/>
        </a:p>
      </dgm:t>
    </dgm:pt>
    <dgm:pt modelId="{7555FA63-86AB-4BE1-8D82-C38708328DBD}" type="pres">
      <dgm:prSet presAssocID="{E1140F55-256A-4121-9BD9-D60389F89B3F}" presName="sibTrans" presStyleLbl="sibTrans2D1" presStyleIdx="1" presStyleCnt="4"/>
      <dgm:spPr/>
      <dgm:t>
        <a:bodyPr/>
        <a:lstStyle/>
        <a:p>
          <a:endParaRPr lang="en-US"/>
        </a:p>
      </dgm:t>
    </dgm:pt>
    <dgm:pt modelId="{F285EC42-1587-432F-AF21-414CCC632D77}" type="pres">
      <dgm:prSet presAssocID="{E1140F55-256A-4121-9BD9-D60389F89B3F}" presName="connectorText" presStyleLbl="sibTrans2D1" presStyleIdx="1" presStyleCnt="4"/>
      <dgm:spPr/>
      <dgm:t>
        <a:bodyPr/>
        <a:lstStyle/>
        <a:p>
          <a:endParaRPr lang="en-US"/>
        </a:p>
      </dgm:t>
    </dgm:pt>
    <dgm:pt modelId="{CB03349D-EA65-4FC5-B481-E0157A94EF7D}" type="pres">
      <dgm:prSet presAssocID="{A3731114-976D-4793-8978-CD389EBF1784}" presName="node" presStyleLbl="node1" presStyleIdx="2" presStyleCnt="5" custScaleY="120900">
        <dgm:presLayoutVars>
          <dgm:bulletEnabled val="1"/>
        </dgm:presLayoutVars>
      </dgm:prSet>
      <dgm:spPr/>
      <dgm:t>
        <a:bodyPr/>
        <a:lstStyle/>
        <a:p>
          <a:endParaRPr lang="en-US"/>
        </a:p>
      </dgm:t>
    </dgm:pt>
    <dgm:pt modelId="{1E4879A2-E027-411E-AD60-47183FC033A1}" type="pres">
      <dgm:prSet presAssocID="{4C498DEA-F3DB-45B8-B570-B04FA56D849D}" presName="sibTrans" presStyleLbl="sibTrans2D1" presStyleIdx="2" presStyleCnt="4"/>
      <dgm:spPr/>
      <dgm:t>
        <a:bodyPr/>
        <a:lstStyle/>
        <a:p>
          <a:endParaRPr lang="en-US"/>
        </a:p>
      </dgm:t>
    </dgm:pt>
    <dgm:pt modelId="{3458B062-72BB-43B4-ABDB-D8554419D330}" type="pres">
      <dgm:prSet presAssocID="{4C498DEA-F3DB-45B8-B570-B04FA56D849D}" presName="connectorText" presStyleLbl="sibTrans2D1" presStyleIdx="2" presStyleCnt="4"/>
      <dgm:spPr/>
      <dgm:t>
        <a:bodyPr/>
        <a:lstStyle/>
        <a:p>
          <a:endParaRPr lang="en-US"/>
        </a:p>
      </dgm:t>
    </dgm:pt>
    <dgm:pt modelId="{B71F2B4D-543B-4375-8910-1BD8F8A3603C}" type="pres">
      <dgm:prSet presAssocID="{CCFC661E-24C5-4A80-B0B5-4B027A2DF7BD}" presName="node" presStyleLbl="node1" presStyleIdx="3" presStyleCnt="5" custScaleX="113457" custScaleY="142628">
        <dgm:presLayoutVars>
          <dgm:bulletEnabled val="1"/>
        </dgm:presLayoutVars>
      </dgm:prSet>
      <dgm:spPr/>
      <dgm:t>
        <a:bodyPr/>
        <a:lstStyle/>
        <a:p>
          <a:endParaRPr lang="en-US"/>
        </a:p>
      </dgm:t>
    </dgm:pt>
    <dgm:pt modelId="{BF1A04A3-F3D6-4A1B-9B39-5E2D683C8F49}" type="pres">
      <dgm:prSet presAssocID="{D9D3B803-A5B5-4D3C-9AD3-987C5838BA51}" presName="sibTrans" presStyleLbl="sibTrans2D1" presStyleIdx="3" presStyleCnt="4"/>
      <dgm:spPr/>
      <dgm:t>
        <a:bodyPr/>
        <a:lstStyle/>
        <a:p>
          <a:endParaRPr lang="en-US"/>
        </a:p>
      </dgm:t>
    </dgm:pt>
    <dgm:pt modelId="{E8973774-22BE-4E56-97A0-5AB8FB9F5803}" type="pres">
      <dgm:prSet presAssocID="{D9D3B803-A5B5-4D3C-9AD3-987C5838BA51}" presName="connectorText" presStyleLbl="sibTrans2D1" presStyleIdx="3" presStyleCnt="4"/>
      <dgm:spPr/>
      <dgm:t>
        <a:bodyPr/>
        <a:lstStyle/>
        <a:p>
          <a:endParaRPr lang="en-US"/>
        </a:p>
      </dgm:t>
    </dgm:pt>
    <dgm:pt modelId="{F3DE14C0-5AF4-4B49-8DAF-504120EF41A0}" type="pres">
      <dgm:prSet presAssocID="{9F19D006-4729-4370-963B-0768AF38B805}" presName="node" presStyleLbl="node1" presStyleIdx="4" presStyleCnt="5" custScaleX="122255" custScaleY="142875">
        <dgm:presLayoutVars>
          <dgm:bulletEnabled val="1"/>
        </dgm:presLayoutVars>
      </dgm:prSet>
      <dgm:spPr/>
      <dgm:t>
        <a:bodyPr/>
        <a:lstStyle/>
        <a:p>
          <a:endParaRPr lang="en-US"/>
        </a:p>
      </dgm:t>
    </dgm:pt>
  </dgm:ptLst>
  <dgm:cxnLst>
    <dgm:cxn modelId="{E2A7C25A-992C-4648-AAA3-93C025BD5A7A}" type="presOf" srcId="{3FB822AD-4D91-4A0E-B017-D912D16381EB}" destId="{B764D384-4F07-4CCE-8F59-09F411096573}" srcOrd="0" destOrd="0" presId="urn:microsoft.com/office/officeart/2005/8/layout/process5"/>
    <dgm:cxn modelId="{CE07FCD2-254F-4BCE-B905-54630FE21E7F}" type="presOf" srcId="{C2A1B1D6-D447-426B-9F64-5AA02237EB8E}" destId="{1992ADCE-3F5E-45E3-968B-45C2CB6A8942}" srcOrd="0" destOrd="0" presId="urn:microsoft.com/office/officeart/2005/8/layout/process5"/>
    <dgm:cxn modelId="{1BB6D145-120C-4F0E-B0DD-B737B1828CD6}" type="presOf" srcId="{E1E8B85E-E60B-43E3-9A78-51C19349FD31}" destId="{5C779B7F-E449-4B8A-A62F-7F6B8EA1D82E}" srcOrd="0" destOrd="0" presId="urn:microsoft.com/office/officeart/2005/8/layout/process5"/>
    <dgm:cxn modelId="{917B7E21-0570-4742-B11D-8F2B9358E4DF}" type="presOf" srcId="{D9D3B803-A5B5-4D3C-9AD3-987C5838BA51}" destId="{E8973774-22BE-4E56-97A0-5AB8FB9F5803}" srcOrd="1" destOrd="0" presId="urn:microsoft.com/office/officeart/2005/8/layout/process5"/>
    <dgm:cxn modelId="{B509E733-6000-4CC0-A7B6-DBA3F2F154C4}" type="presOf" srcId="{642F066E-21EB-4F95-8E54-BA0A939A1851}" destId="{5EF44B38-FF82-4EA9-9548-1FF581616C92}" srcOrd="0" destOrd="0" presId="urn:microsoft.com/office/officeart/2005/8/layout/process5"/>
    <dgm:cxn modelId="{18EAB0D5-592B-4F93-A322-25199E8866A1}" type="presOf" srcId="{4C498DEA-F3DB-45B8-B570-B04FA56D849D}" destId="{3458B062-72BB-43B4-ABDB-D8554419D330}" srcOrd="1" destOrd="0" presId="urn:microsoft.com/office/officeart/2005/8/layout/process5"/>
    <dgm:cxn modelId="{9D161AFA-E2EA-43FD-B634-4E89A5DE6F1A}" type="presOf" srcId="{C2A1B1D6-D447-426B-9F64-5AA02237EB8E}" destId="{AF4E7682-3FC3-495B-A376-272BD4B52E02}" srcOrd="1" destOrd="0" presId="urn:microsoft.com/office/officeart/2005/8/layout/process5"/>
    <dgm:cxn modelId="{7C1AECF8-A301-4560-B3AF-F7CDA348614D}" srcId="{3FB822AD-4D91-4A0E-B017-D912D16381EB}" destId="{642F066E-21EB-4F95-8E54-BA0A939A1851}" srcOrd="0" destOrd="0" parTransId="{04851ECF-D997-41A8-91EB-A367AAEA226B}" sibTransId="{C2A1B1D6-D447-426B-9F64-5AA02237EB8E}"/>
    <dgm:cxn modelId="{C0647E24-D366-4D39-8595-A4BA607E6142}" srcId="{3FB822AD-4D91-4A0E-B017-D912D16381EB}" destId="{A3731114-976D-4793-8978-CD389EBF1784}" srcOrd="2" destOrd="0" parTransId="{B63A1A7E-8705-4324-8FC7-B3C47E1FF096}" sibTransId="{4C498DEA-F3DB-45B8-B570-B04FA56D849D}"/>
    <dgm:cxn modelId="{AB9E39B8-BCE3-42A6-9819-1C72F82F768A}" srcId="{3FB822AD-4D91-4A0E-B017-D912D16381EB}" destId="{9F19D006-4729-4370-963B-0768AF38B805}" srcOrd="4" destOrd="0" parTransId="{43E80BCC-4062-4E8E-96C2-A5DEB3FD3184}" sibTransId="{8A35FF79-B8C6-4055-8712-DF50A17EF09E}"/>
    <dgm:cxn modelId="{DF1844B4-7314-47A2-8E0A-9B945815769C}" srcId="{3FB822AD-4D91-4A0E-B017-D912D16381EB}" destId="{CCFC661E-24C5-4A80-B0B5-4B027A2DF7BD}" srcOrd="3" destOrd="0" parTransId="{83B52522-56F1-475D-AB41-1A58A048241E}" sibTransId="{D9D3B803-A5B5-4D3C-9AD3-987C5838BA51}"/>
    <dgm:cxn modelId="{A30A4427-AC37-4715-B320-60F7BD1D0A75}" type="presOf" srcId="{9F19D006-4729-4370-963B-0768AF38B805}" destId="{F3DE14C0-5AF4-4B49-8DAF-504120EF41A0}" srcOrd="0" destOrd="0" presId="urn:microsoft.com/office/officeart/2005/8/layout/process5"/>
    <dgm:cxn modelId="{5A9F6DAB-72BA-41AD-B2F7-28A6E84D217C}" type="presOf" srcId="{E1140F55-256A-4121-9BD9-D60389F89B3F}" destId="{7555FA63-86AB-4BE1-8D82-C38708328DBD}" srcOrd="0" destOrd="0" presId="urn:microsoft.com/office/officeart/2005/8/layout/process5"/>
    <dgm:cxn modelId="{4B77CE52-FC32-4A2A-97DA-AB8A5963E1D0}" type="presOf" srcId="{A3731114-976D-4793-8978-CD389EBF1784}" destId="{CB03349D-EA65-4FC5-B481-E0157A94EF7D}" srcOrd="0" destOrd="0" presId="urn:microsoft.com/office/officeart/2005/8/layout/process5"/>
    <dgm:cxn modelId="{E2A4A9B3-4A16-4A7F-A448-379AD27D0611}" type="presOf" srcId="{E1140F55-256A-4121-9BD9-D60389F89B3F}" destId="{F285EC42-1587-432F-AF21-414CCC632D77}" srcOrd="1" destOrd="0" presId="urn:microsoft.com/office/officeart/2005/8/layout/process5"/>
    <dgm:cxn modelId="{D17C1F09-0FF4-4945-AF02-569BC78F1695}" type="presOf" srcId="{D9D3B803-A5B5-4D3C-9AD3-987C5838BA51}" destId="{BF1A04A3-F3D6-4A1B-9B39-5E2D683C8F49}" srcOrd="0" destOrd="0" presId="urn:microsoft.com/office/officeart/2005/8/layout/process5"/>
    <dgm:cxn modelId="{11CCFDC8-4FA2-4CB6-9793-47B2710C99FA}" type="presOf" srcId="{CCFC661E-24C5-4A80-B0B5-4B027A2DF7BD}" destId="{B71F2B4D-543B-4375-8910-1BD8F8A3603C}" srcOrd="0" destOrd="0" presId="urn:microsoft.com/office/officeart/2005/8/layout/process5"/>
    <dgm:cxn modelId="{4EC889D5-6DA1-4E0C-A585-7208BB0CEA45}" srcId="{3FB822AD-4D91-4A0E-B017-D912D16381EB}" destId="{E1E8B85E-E60B-43E3-9A78-51C19349FD31}" srcOrd="1" destOrd="0" parTransId="{9EDA6AA8-7C15-492A-926E-07C81EED95E2}" sibTransId="{E1140F55-256A-4121-9BD9-D60389F89B3F}"/>
    <dgm:cxn modelId="{59BF9646-1BAD-4E5A-9E31-F096213DC725}" type="presOf" srcId="{4C498DEA-F3DB-45B8-B570-B04FA56D849D}" destId="{1E4879A2-E027-411E-AD60-47183FC033A1}" srcOrd="0" destOrd="0" presId="urn:microsoft.com/office/officeart/2005/8/layout/process5"/>
    <dgm:cxn modelId="{5C980BF0-6B88-4B1A-AF36-AE6ACF544799}" type="presParOf" srcId="{B764D384-4F07-4CCE-8F59-09F411096573}" destId="{5EF44B38-FF82-4EA9-9548-1FF581616C92}" srcOrd="0" destOrd="0" presId="urn:microsoft.com/office/officeart/2005/8/layout/process5"/>
    <dgm:cxn modelId="{4F386D10-1C36-43FD-A6A2-E020306FD42A}" type="presParOf" srcId="{B764D384-4F07-4CCE-8F59-09F411096573}" destId="{1992ADCE-3F5E-45E3-968B-45C2CB6A8942}" srcOrd="1" destOrd="0" presId="urn:microsoft.com/office/officeart/2005/8/layout/process5"/>
    <dgm:cxn modelId="{CDF151F8-1140-4E00-956F-923B5B011C5D}" type="presParOf" srcId="{1992ADCE-3F5E-45E3-968B-45C2CB6A8942}" destId="{AF4E7682-3FC3-495B-A376-272BD4B52E02}" srcOrd="0" destOrd="0" presId="urn:microsoft.com/office/officeart/2005/8/layout/process5"/>
    <dgm:cxn modelId="{AE9E5A3B-2749-4011-B568-DA1C062BBE59}" type="presParOf" srcId="{B764D384-4F07-4CCE-8F59-09F411096573}" destId="{5C779B7F-E449-4B8A-A62F-7F6B8EA1D82E}" srcOrd="2" destOrd="0" presId="urn:microsoft.com/office/officeart/2005/8/layout/process5"/>
    <dgm:cxn modelId="{19E6098B-020A-4BD6-8398-75C8DD83B1D9}" type="presParOf" srcId="{B764D384-4F07-4CCE-8F59-09F411096573}" destId="{7555FA63-86AB-4BE1-8D82-C38708328DBD}" srcOrd="3" destOrd="0" presId="urn:microsoft.com/office/officeart/2005/8/layout/process5"/>
    <dgm:cxn modelId="{58B53E31-91E3-4C7A-854B-8A2216196F07}" type="presParOf" srcId="{7555FA63-86AB-4BE1-8D82-C38708328DBD}" destId="{F285EC42-1587-432F-AF21-414CCC632D77}" srcOrd="0" destOrd="0" presId="urn:microsoft.com/office/officeart/2005/8/layout/process5"/>
    <dgm:cxn modelId="{05CBC90C-4500-4D30-890E-572B2FC2085F}" type="presParOf" srcId="{B764D384-4F07-4CCE-8F59-09F411096573}" destId="{CB03349D-EA65-4FC5-B481-E0157A94EF7D}" srcOrd="4" destOrd="0" presId="urn:microsoft.com/office/officeart/2005/8/layout/process5"/>
    <dgm:cxn modelId="{A8224F5A-BE08-497E-8B2E-71CAEC3BAD2E}" type="presParOf" srcId="{B764D384-4F07-4CCE-8F59-09F411096573}" destId="{1E4879A2-E027-411E-AD60-47183FC033A1}" srcOrd="5" destOrd="0" presId="urn:microsoft.com/office/officeart/2005/8/layout/process5"/>
    <dgm:cxn modelId="{9CEA21B5-9371-4B6F-80AB-88437881FBA0}" type="presParOf" srcId="{1E4879A2-E027-411E-AD60-47183FC033A1}" destId="{3458B062-72BB-43B4-ABDB-D8554419D330}" srcOrd="0" destOrd="0" presId="urn:microsoft.com/office/officeart/2005/8/layout/process5"/>
    <dgm:cxn modelId="{C0D3746E-58B8-4967-B1A8-307E1600DAAC}" type="presParOf" srcId="{B764D384-4F07-4CCE-8F59-09F411096573}" destId="{B71F2B4D-543B-4375-8910-1BD8F8A3603C}" srcOrd="6" destOrd="0" presId="urn:microsoft.com/office/officeart/2005/8/layout/process5"/>
    <dgm:cxn modelId="{05065653-EDB5-4C9F-8477-D47915C034B0}" type="presParOf" srcId="{B764D384-4F07-4CCE-8F59-09F411096573}" destId="{BF1A04A3-F3D6-4A1B-9B39-5E2D683C8F49}" srcOrd="7" destOrd="0" presId="urn:microsoft.com/office/officeart/2005/8/layout/process5"/>
    <dgm:cxn modelId="{B3E6ED63-CC39-44E2-AD0C-F77E9EDAE26A}" type="presParOf" srcId="{BF1A04A3-F3D6-4A1B-9B39-5E2D683C8F49}" destId="{E8973774-22BE-4E56-97A0-5AB8FB9F5803}" srcOrd="0" destOrd="0" presId="urn:microsoft.com/office/officeart/2005/8/layout/process5"/>
    <dgm:cxn modelId="{9365F5CD-D8D3-4801-A6E1-EE1A83A18818}" type="presParOf" srcId="{B764D384-4F07-4CCE-8F59-09F411096573}" destId="{F3DE14C0-5AF4-4B49-8DAF-504120EF41A0}" srcOrd="8" destOrd="0" presId="urn:microsoft.com/office/officeart/2005/8/layout/process5"/>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EF44B38-FF82-4EA9-9548-1FF581616C92}">
      <dsp:nvSpPr>
        <dsp:cNvPr id="0" name=""/>
        <dsp:cNvSpPr/>
      </dsp:nvSpPr>
      <dsp:spPr>
        <a:xfrm>
          <a:off x="4018" y="142876"/>
          <a:ext cx="1201042" cy="9474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rgbClr val="FFFF00"/>
              </a:solidFill>
            </a:rPr>
            <a:t>Jointly Controlled Operations </a:t>
          </a:r>
        </a:p>
        <a:p>
          <a:pPr lvl="0" algn="ctr" defTabSz="355600">
            <a:lnSpc>
              <a:spcPct val="90000"/>
            </a:lnSpc>
            <a:spcBef>
              <a:spcPct val="0"/>
            </a:spcBef>
            <a:spcAft>
              <a:spcPct val="35000"/>
            </a:spcAft>
          </a:pPr>
          <a:r>
            <a:rPr lang="en-US" sz="800" kern="1200"/>
            <a:t>- Recognise its assets, liabilities , expenses, and its share of income.</a:t>
          </a:r>
        </a:p>
      </dsp:txBody>
      <dsp:txXfrm>
        <a:off x="4018" y="142876"/>
        <a:ext cx="1201042" cy="947435"/>
      </dsp:txXfrm>
    </dsp:sp>
    <dsp:sp modelId="{1992ADCE-3F5E-45E3-968B-45C2CB6A8942}">
      <dsp:nvSpPr>
        <dsp:cNvPr id="0" name=""/>
        <dsp:cNvSpPr/>
      </dsp:nvSpPr>
      <dsp:spPr>
        <a:xfrm>
          <a:off x="1310753" y="467665"/>
          <a:ext cx="254621" cy="2978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1310753" y="467665"/>
        <a:ext cx="254621" cy="297858"/>
      </dsp:txXfrm>
    </dsp:sp>
    <dsp:sp modelId="{5C779B7F-E449-4B8A-A62F-7F6B8EA1D82E}">
      <dsp:nvSpPr>
        <dsp:cNvPr id="0" name=""/>
        <dsp:cNvSpPr/>
      </dsp:nvSpPr>
      <dsp:spPr>
        <a:xfrm>
          <a:off x="1685478" y="161926"/>
          <a:ext cx="1201042" cy="90933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rgbClr val="FFFF00"/>
              </a:solidFill>
            </a:rPr>
            <a:t>Jointly Controlled Assets</a:t>
          </a:r>
        </a:p>
        <a:p>
          <a:pPr lvl="0" algn="ctr" defTabSz="355600">
            <a:lnSpc>
              <a:spcPct val="90000"/>
            </a:lnSpc>
            <a:spcBef>
              <a:spcPct val="0"/>
            </a:spcBef>
            <a:spcAft>
              <a:spcPct val="35000"/>
            </a:spcAft>
          </a:pPr>
          <a:r>
            <a:rPr lang="en-US" sz="800" kern="1200"/>
            <a:t>- Recognise its assets, liabilities, revenue, and expenses, and/or its relative shares thereof</a:t>
          </a:r>
        </a:p>
      </dsp:txBody>
      <dsp:txXfrm>
        <a:off x="1685478" y="161926"/>
        <a:ext cx="1201042" cy="909336"/>
      </dsp:txXfrm>
    </dsp:sp>
    <dsp:sp modelId="{7555FA63-86AB-4BE1-8D82-C38708328DBD}">
      <dsp:nvSpPr>
        <dsp:cNvPr id="0" name=""/>
        <dsp:cNvSpPr/>
      </dsp:nvSpPr>
      <dsp:spPr>
        <a:xfrm>
          <a:off x="2992213" y="467665"/>
          <a:ext cx="254621" cy="2978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a:off x="2992213" y="467665"/>
        <a:ext cx="254621" cy="297858"/>
      </dsp:txXfrm>
    </dsp:sp>
    <dsp:sp modelId="{CB03349D-EA65-4FC5-B481-E0157A94EF7D}">
      <dsp:nvSpPr>
        <dsp:cNvPr id="0" name=""/>
        <dsp:cNvSpPr/>
      </dsp:nvSpPr>
      <dsp:spPr>
        <a:xfrm>
          <a:off x="3366938" y="180976"/>
          <a:ext cx="1201042" cy="87123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rgbClr val="FFFF00"/>
              </a:solidFill>
            </a:rPr>
            <a:t>Jointly Controlled Entities</a:t>
          </a:r>
        </a:p>
        <a:p>
          <a:pPr lvl="0" algn="ctr" defTabSz="355600">
            <a:lnSpc>
              <a:spcPct val="90000"/>
            </a:lnSpc>
            <a:spcBef>
              <a:spcPct val="0"/>
            </a:spcBef>
            <a:spcAft>
              <a:spcPct val="35000"/>
            </a:spcAft>
          </a:pPr>
          <a:r>
            <a:rPr lang="en-US" sz="800" kern="1200"/>
            <a:t>- Equity Method or Proportionate Consolidaiton</a:t>
          </a:r>
        </a:p>
      </dsp:txBody>
      <dsp:txXfrm>
        <a:off x="3366938" y="180976"/>
        <a:ext cx="1201042" cy="871236"/>
      </dsp:txXfrm>
    </dsp:sp>
    <dsp:sp modelId="{1E4879A2-E027-411E-AD60-47183FC033A1}">
      <dsp:nvSpPr>
        <dsp:cNvPr id="0" name=""/>
        <dsp:cNvSpPr/>
      </dsp:nvSpPr>
      <dsp:spPr>
        <a:xfrm rot="5588935">
          <a:off x="3791785" y="1155195"/>
          <a:ext cx="275701" cy="2978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77850">
            <a:lnSpc>
              <a:spcPct val="90000"/>
            </a:lnSpc>
            <a:spcBef>
              <a:spcPct val="0"/>
            </a:spcBef>
            <a:spcAft>
              <a:spcPct val="35000"/>
            </a:spcAft>
          </a:pPr>
          <a:endParaRPr lang="en-US" sz="1300" kern="1200"/>
        </a:p>
      </dsp:txBody>
      <dsp:txXfrm rot="5588935">
        <a:off x="3791785" y="1155195"/>
        <a:ext cx="275701" cy="297858"/>
      </dsp:txXfrm>
    </dsp:sp>
    <dsp:sp modelId="{B71F2B4D-543B-4375-8910-1BD8F8A3603C}">
      <dsp:nvSpPr>
        <dsp:cNvPr id="0" name=""/>
        <dsp:cNvSpPr/>
      </dsp:nvSpPr>
      <dsp:spPr>
        <a:xfrm>
          <a:off x="3205314" y="1571619"/>
          <a:ext cx="1362667" cy="10278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rgbClr val="FFFF00"/>
              </a:solidFill>
            </a:rPr>
            <a:t>Joint Ventures</a:t>
          </a:r>
        </a:p>
        <a:p>
          <a:pPr lvl="0" algn="ctr" defTabSz="355600">
            <a:lnSpc>
              <a:spcPct val="90000"/>
            </a:lnSpc>
            <a:spcBef>
              <a:spcPct val="0"/>
            </a:spcBef>
            <a:spcAft>
              <a:spcPct val="35000"/>
            </a:spcAft>
          </a:pPr>
          <a:r>
            <a:rPr lang="en-US" sz="800" kern="1200"/>
            <a:t>Parties with joint control have rights to the net assets of the arrangements</a:t>
          </a:r>
        </a:p>
        <a:p>
          <a:pPr lvl="0" algn="ctr" defTabSz="355600">
            <a:lnSpc>
              <a:spcPct val="90000"/>
            </a:lnSpc>
            <a:spcBef>
              <a:spcPct val="0"/>
            </a:spcBef>
            <a:spcAft>
              <a:spcPct val="35000"/>
            </a:spcAft>
          </a:pPr>
          <a:r>
            <a:rPr lang="en-US" sz="800" kern="1200"/>
            <a:t>- Equity Method</a:t>
          </a:r>
        </a:p>
      </dsp:txBody>
      <dsp:txXfrm>
        <a:off x="3205314" y="1571619"/>
        <a:ext cx="1362667" cy="1027814"/>
      </dsp:txXfrm>
    </dsp:sp>
    <dsp:sp modelId="{BF1A04A3-F3D6-4A1B-9B39-5E2D683C8F49}">
      <dsp:nvSpPr>
        <dsp:cNvPr id="0" name=""/>
        <dsp:cNvSpPr/>
      </dsp:nvSpPr>
      <dsp:spPr>
        <a:xfrm rot="10800000">
          <a:off x="2845001" y="1936597"/>
          <a:ext cx="254621" cy="297858"/>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0800000">
        <a:off x="2845001" y="1936597"/>
        <a:ext cx="254621" cy="297858"/>
      </dsp:txXfrm>
    </dsp:sp>
    <dsp:sp modelId="{F3DE14C0-5AF4-4B49-8DAF-504120EF41A0}">
      <dsp:nvSpPr>
        <dsp:cNvPr id="0" name=""/>
        <dsp:cNvSpPr/>
      </dsp:nvSpPr>
      <dsp:spPr>
        <a:xfrm>
          <a:off x="1256562" y="1570729"/>
          <a:ext cx="1468335" cy="10295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b="1" kern="1200">
              <a:solidFill>
                <a:srgbClr val="FFFF00"/>
              </a:solidFill>
            </a:rPr>
            <a:t>Joint Operations</a:t>
          </a:r>
        </a:p>
        <a:p>
          <a:pPr lvl="0" algn="ctr" defTabSz="355600">
            <a:lnSpc>
              <a:spcPct val="90000"/>
            </a:lnSpc>
            <a:spcBef>
              <a:spcPct val="0"/>
            </a:spcBef>
            <a:spcAft>
              <a:spcPct val="35000"/>
            </a:spcAft>
          </a:pPr>
          <a:r>
            <a:rPr lang="en-US" sz="800" kern="1200"/>
            <a:t>The parties with joint control have rights to the A &amp; L of the arrangement</a:t>
          </a:r>
        </a:p>
        <a:p>
          <a:pPr lvl="0" algn="ctr" defTabSz="355600">
            <a:lnSpc>
              <a:spcPct val="90000"/>
            </a:lnSpc>
            <a:spcBef>
              <a:spcPct val="0"/>
            </a:spcBef>
            <a:spcAft>
              <a:spcPct val="35000"/>
            </a:spcAft>
          </a:pPr>
          <a:r>
            <a:rPr lang="en-US" sz="800" kern="1200"/>
            <a:t>- Recognise its  A &amp; L, and/or its relative shares there of</a:t>
          </a:r>
        </a:p>
        <a:p>
          <a:pPr lvl="0" algn="ctr" defTabSz="355600">
            <a:lnSpc>
              <a:spcPct val="90000"/>
            </a:lnSpc>
            <a:spcBef>
              <a:spcPct val="0"/>
            </a:spcBef>
            <a:spcAft>
              <a:spcPct val="35000"/>
            </a:spcAft>
          </a:pPr>
          <a:endParaRPr lang="en-US" sz="800" kern="1200"/>
        </a:p>
      </dsp:txBody>
      <dsp:txXfrm>
        <a:off x="1256562" y="1570729"/>
        <a:ext cx="1468335" cy="102959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4</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Weatherford International</Company>
  <LinksUpToDate>false</LinksUpToDate>
  <CharactersWithSpaces>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Employee of</dc:creator>
  <cp:keywords/>
  <dc:description/>
  <cp:lastModifiedBy>Employee of</cp:lastModifiedBy>
  <cp:revision>3</cp:revision>
  <dcterms:created xsi:type="dcterms:W3CDTF">2011-09-19T08:51:00Z</dcterms:created>
  <dcterms:modified xsi:type="dcterms:W3CDTF">2011-09-19T09:59:00Z</dcterms:modified>
</cp:coreProperties>
</file>