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0CB" w:rsidRDefault="002420CB" w:rsidP="00814618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 comparative study of AS and </w:t>
      </w:r>
      <w:proofErr w:type="spellStart"/>
      <w:r>
        <w:rPr>
          <w:b/>
          <w:sz w:val="40"/>
          <w:szCs w:val="40"/>
        </w:rPr>
        <w:t>Ind</w:t>
      </w:r>
      <w:proofErr w:type="spellEnd"/>
      <w:r>
        <w:rPr>
          <w:b/>
          <w:sz w:val="40"/>
          <w:szCs w:val="40"/>
        </w:rPr>
        <w:t>-AS</w:t>
      </w:r>
    </w:p>
    <w:p w:rsidR="007320CE" w:rsidRDefault="00814618" w:rsidP="00814618">
      <w:pPr>
        <w:pStyle w:val="NoSpacing"/>
        <w:jc w:val="center"/>
        <w:rPr>
          <w:b/>
          <w:sz w:val="40"/>
          <w:szCs w:val="40"/>
        </w:rPr>
      </w:pPr>
      <w:r w:rsidRPr="002420CB">
        <w:rPr>
          <w:b/>
          <w:sz w:val="40"/>
          <w:szCs w:val="40"/>
        </w:rPr>
        <w:t>Consolidation</w:t>
      </w:r>
      <w:r w:rsidR="002420CB">
        <w:rPr>
          <w:b/>
          <w:sz w:val="40"/>
          <w:szCs w:val="40"/>
        </w:rPr>
        <w:t xml:space="preserve"> of Financial Statement</w:t>
      </w:r>
    </w:p>
    <w:p w:rsidR="00814618" w:rsidRDefault="00814618" w:rsidP="0081461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14618" w:rsidTr="00BD2C36">
        <w:trPr>
          <w:tblHeader/>
        </w:trPr>
        <w:tc>
          <w:tcPr>
            <w:tcW w:w="3080" w:type="dxa"/>
          </w:tcPr>
          <w:p w:rsidR="00814618" w:rsidRPr="00BD2C36" w:rsidRDefault="00814618" w:rsidP="00BD2C36">
            <w:pPr>
              <w:pStyle w:val="NoSpacing"/>
              <w:jc w:val="center"/>
              <w:rPr>
                <w:b/>
              </w:rPr>
            </w:pPr>
            <w:r w:rsidRPr="00BD2C36">
              <w:rPr>
                <w:b/>
              </w:rPr>
              <w:t>Issue</w:t>
            </w:r>
          </w:p>
        </w:tc>
        <w:tc>
          <w:tcPr>
            <w:tcW w:w="3081" w:type="dxa"/>
          </w:tcPr>
          <w:p w:rsidR="00814618" w:rsidRPr="00BD2C36" w:rsidRDefault="00814618" w:rsidP="00BD2C36">
            <w:pPr>
              <w:pStyle w:val="NoSpacing"/>
              <w:jc w:val="center"/>
              <w:rPr>
                <w:b/>
              </w:rPr>
            </w:pPr>
            <w:r w:rsidRPr="00BD2C36">
              <w:rPr>
                <w:b/>
              </w:rPr>
              <w:t xml:space="preserve">As per </w:t>
            </w:r>
            <w:proofErr w:type="spellStart"/>
            <w:r w:rsidRPr="00BD2C36">
              <w:rPr>
                <w:b/>
              </w:rPr>
              <w:t>Ind</w:t>
            </w:r>
            <w:proofErr w:type="spellEnd"/>
            <w:r w:rsidRPr="00BD2C36">
              <w:rPr>
                <w:b/>
              </w:rPr>
              <w:t>-AS</w:t>
            </w:r>
          </w:p>
        </w:tc>
        <w:tc>
          <w:tcPr>
            <w:tcW w:w="3081" w:type="dxa"/>
          </w:tcPr>
          <w:p w:rsidR="00814618" w:rsidRPr="00BD2C36" w:rsidRDefault="00814618" w:rsidP="00BD2C36">
            <w:pPr>
              <w:pStyle w:val="NoSpacing"/>
              <w:jc w:val="center"/>
              <w:rPr>
                <w:b/>
              </w:rPr>
            </w:pPr>
            <w:r w:rsidRPr="00BD2C36">
              <w:rPr>
                <w:b/>
              </w:rPr>
              <w:t>As per Existing AS</w:t>
            </w:r>
          </w:p>
        </w:tc>
      </w:tr>
      <w:tr w:rsidR="00814618" w:rsidTr="00814618">
        <w:tc>
          <w:tcPr>
            <w:tcW w:w="3080" w:type="dxa"/>
          </w:tcPr>
          <w:p w:rsidR="00814618" w:rsidRDefault="00814618" w:rsidP="00814618">
            <w:pPr>
              <w:pStyle w:val="NoSpacing"/>
            </w:pPr>
            <w:r>
              <w:t>Consolidation</w:t>
            </w:r>
          </w:p>
        </w:tc>
        <w:tc>
          <w:tcPr>
            <w:tcW w:w="3081" w:type="dxa"/>
          </w:tcPr>
          <w:p w:rsidR="00814618" w:rsidRDefault="00814618" w:rsidP="00814618">
            <w:pPr>
              <w:pStyle w:val="NoSpacing"/>
            </w:pPr>
            <w:r>
              <w:t>Consolidation has to be done by every company having subsidiary</w:t>
            </w:r>
            <w:r w:rsidR="00165A4E">
              <w:t>(s)</w:t>
            </w:r>
            <w:r>
              <w:t>.</w:t>
            </w:r>
          </w:p>
        </w:tc>
        <w:tc>
          <w:tcPr>
            <w:tcW w:w="3081" w:type="dxa"/>
          </w:tcPr>
          <w:p w:rsidR="00814618" w:rsidRDefault="00814618" w:rsidP="00814618">
            <w:pPr>
              <w:pStyle w:val="NoSpacing"/>
            </w:pPr>
            <w:r>
              <w:t>Consolidation is mandatory for only listed companies.</w:t>
            </w:r>
          </w:p>
        </w:tc>
      </w:tr>
      <w:tr w:rsidR="00814618" w:rsidTr="00814618">
        <w:tc>
          <w:tcPr>
            <w:tcW w:w="3080" w:type="dxa"/>
          </w:tcPr>
          <w:p w:rsidR="00814618" w:rsidRDefault="00165A4E" w:rsidP="00814618">
            <w:pPr>
              <w:pStyle w:val="NoSpacing"/>
            </w:pPr>
            <w:r>
              <w:t>Exemption from Consolidation</w:t>
            </w:r>
          </w:p>
        </w:tc>
        <w:tc>
          <w:tcPr>
            <w:tcW w:w="3081" w:type="dxa"/>
          </w:tcPr>
          <w:p w:rsidR="00814618" w:rsidRDefault="00165A4E" w:rsidP="00814618">
            <w:pPr>
              <w:pStyle w:val="NoSpacing"/>
            </w:pPr>
            <w:r>
              <w:t>No such exemption available</w:t>
            </w:r>
          </w:p>
        </w:tc>
        <w:tc>
          <w:tcPr>
            <w:tcW w:w="3081" w:type="dxa"/>
          </w:tcPr>
          <w:p w:rsidR="00814618" w:rsidRDefault="00165A4E" w:rsidP="00814618">
            <w:pPr>
              <w:pStyle w:val="NoSpacing"/>
            </w:pPr>
            <w:r>
              <w:t>Exemption from Consolidation presently available:</w:t>
            </w:r>
          </w:p>
          <w:p w:rsidR="00165A4E" w:rsidRDefault="00165A4E" w:rsidP="00165A4E">
            <w:pPr>
              <w:pStyle w:val="NoSpacing"/>
              <w:numPr>
                <w:ilvl w:val="0"/>
                <w:numId w:val="1"/>
              </w:numPr>
            </w:pPr>
            <w:r>
              <w:t>Control is short term or temporary</w:t>
            </w:r>
          </w:p>
          <w:p w:rsidR="00165A4E" w:rsidRDefault="00165A4E" w:rsidP="00165A4E">
            <w:pPr>
              <w:pStyle w:val="NoSpacing"/>
              <w:numPr>
                <w:ilvl w:val="0"/>
                <w:numId w:val="1"/>
              </w:numPr>
            </w:pPr>
            <w:r>
              <w:t>Severe restriction to transfer fund to its parents</w:t>
            </w:r>
          </w:p>
        </w:tc>
      </w:tr>
      <w:tr w:rsidR="00165A4E" w:rsidTr="00814618">
        <w:tc>
          <w:tcPr>
            <w:tcW w:w="3080" w:type="dxa"/>
          </w:tcPr>
          <w:p w:rsidR="00165A4E" w:rsidRDefault="00165A4E" w:rsidP="00814618">
            <w:pPr>
              <w:pStyle w:val="NoSpacing"/>
            </w:pPr>
            <w:r>
              <w:t>Definition of Subsidiary</w:t>
            </w:r>
          </w:p>
        </w:tc>
        <w:tc>
          <w:tcPr>
            <w:tcW w:w="3081" w:type="dxa"/>
          </w:tcPr>
          <w:p w:rsidR="00165A4E" w:rsidRDefault="00CE442C" w:rsidP="00814618">
            <w:pPr>
              <w:pStyle w:val="NoSpacing"/>
            </w:pPr>
            <w:r>
              <w:t>Additional condition:</w:t>
            </w:r>
          </w:p>
          <w:p w:rsidR="00CE442C" w:rsidRDefault="00CE442C" w:rsidP="00CE442C">
            <w:pPr>
              <w:pStyle w:val="NoSpacing"/>
              <w:numPr>
                <w:ilvl w:val="0"/>
                <w:numId w:val="1"/>
              </w:numPr>
            </w:pPr>
            <w:r>
              <w:t>Substantive Participative Rights*</w:t>
            </w:r>
          </w:p>
          <w:p w:rsidR="00CE442C" w:rsidRDefault="00CE442C" w:rsidP="00CE442C">
            <w:pPr>
              <w:pStyle w:val="NoSpacing"/>
              <w:numPr>
                <w:ilvl w:val="0"/>
                <w:numId w:val="1"/>
              </w:numPr>
            </w:pPr>
            <w:r>
              <w:t>Buy-out Rights**</w:t>
            </w:r>
          </w:p>
        </w:tc>
        <w:tc>
          <w:tcPr>
            <w:tcW w:w="3081" w:type="dxa"/>
          </w:tcPr>
          <w:p w:rsidR="00165A4E" w:rsidRDefault="00CE442C" w:rsidP="00814618">
            <w:pPr>
              <w:pStyle w:val="NoSpacing"/>
            </w:pPr>
            <w:r>
              <w:t>For being a Subsidiary conditions to be satisfied:</w:t>
            </w:r>
          </w:p>
          <w:p w:rsidR="00CE442C" w:rsidRDefault="00CE442C" w:rsidP="00CE442C">
            <w:pPr>
              <w:pStyle w:val="NoSpacing"/>
              <w:numPr>
                <w:ilvl w:val="0"/>
                <w:numId w:val="2"/>
              </w:numPr>
            </w:pPr>
            <w:r>
              <w:t>Majority Shareholding</w:t>
            </w:r>
          </w:p>
          <w:p w:rsidR="00CE442C" w:rsidRDefault="00CE442C" w:rsidP="00CE442C">
            <w:pPr>
              <w:pStyle w:val="NoSpacing"/>
              <w:numPr>
                <w:ilvl w:val="0"/>
                <w:numId w:val="2"/>
              </w:numPr>
            </w:pPr>
            <w:r>
              <w:t>Ability to control the composition of BOD</w:t>
            </w:r>
          </w:p>
        </w:tc>
      </w:tr>
      <w:tr w:rsidR="00CE442C" w:rsidTr="00814618">
        <w:tc>
          <w:tcPr>
            <w:tcW w:w="3080" w:type="dxa"/>
          </w:tcPr>
          <w:p w:rsidR="00CE442C" w:rsidRDefault="00BD2C36" w:rsidP="00814618">
            <w:pPr>
              <w:pStyle w:val="NoSpacing"/>
            </w:pPr>
            <w:r>
              <w:t>Determination of Majority Shareholding</w:t>
            </w:r>
          </w:p>
        </w:tc>
        <w:tc>
          <w:tcPr>
            <w:tcW w:w="3081" w:type="dxa"/>
          </w:tcPr>
          <w:p w:rsidR="00CE442C" w:rsidRDefault="004F2600" w:rsidP="00814618">
            <w:pPr>
              <w:pStyle w:val="NoSpacing"/>
            </w:pPr>
            <w:r>
              <w:t>Potential equity shares which is currently excisable (</w:t>
            </w:r>
            <w:proofErr w:type="spellStart"/>
            <w:r>
              <w:t>e.g</w:t>
            </w:r>
            <w:proofErr w:type="spellEnd"/>
            <w:r>
              <w:t xml:space="preserve"> call option, convertible instruments or warrants) are to be considered only for taking the “majority” decision not for consolidation purpose.  </w:t>
            </w:r>
          </w:p>
        </w:tc>
        <w:tc>
          <w:tcPr>
            <w:tcW w:w="3081" w:type="dxa"/>
          </w:tcPr>
          <w:p w:rsidR="00CE442C" w:rsidRDefault="004F2600" w:rsidP="00814618">
            <w:pPr>
              <w:pStyle w:val="NoSpacing"/>
            </w:pPr>
            <w:r>
              <w:t>Potential equity shares are not considered to compute percentage of control</w:t>
            </w:r>
          </w:p>
        </w:tc>
      </w:tr>
      <w:tr w:rsidR="0031393C" w:rsidTr="00814618">
        <w:tc>
          <w:tcPr>
            <w:tcW w:w="3080" w:type="dxa"/>
          </w:tcPr>
          <w:p w:rsidR="0031393C" w:rsidRDefault="0031393C" w:rsidP="00814618">
            <w:pPr>
              <w:pStyle w:val="NoSpacing"/>
            </w:pPr>
            <w:r>
              <w:t>Special Purpose Entities (SPE)</w:t>
            </w:r>
          </w:p>
        </w:tc>
        <w:tc>
          <w:tcPr>
            <w:tcW w:w="3081" w:type="dxa"/>
          </w:tcPr>
          <w:p w:rsidR="0031393C" w:rsidRDefault="0031393C" w:rsidP="00814618">
            <w:pPr>
              <w:pStyle w:val="NoSpacing"/>
            </w:pPr>
            <w:r>
              <w:t>An SPE has to be consolidated when the substance of the relationship between company and SPE indicates that SPE is controlled by that company.</w:t>
            </w:r>
          </w:p>
          <w:p w:rsidR="0031393C" w:rsidRDefault="0031393C" w:rsidP="00814618">
            <w:pPr>
              <w:pStyle w:val="NoSpacing"/>
            </w:pPr>
          </w:p>
          <w:p w:rsidR="0031393C" w:rsidRDefault="0031393C" w:rsidP="00814618">
            <w:pPr>
              <w:pStyle w:val="NoSpacing"/>
            </w:pPr>
            <w:r>
              <w:t xml:space="preserve">SPE are generally created to establish narrow and well defined objective e.g. Securitisation of financial asset, R&amp;D activities etc. </w:t>
            </w:r>
          </w:p>
        </w:tc>
        <w:tc>
          <w:tcPr>
            <w:tcW w:w="3081" w:type="dxa"/>
          </w:tcPr>
          <w:p w:rsidR="0031393C" w:rsidRDefault="0031393C" w:rsidP="00814618">
            <w:pPr>
              <w:pStyle w:val="NoSpacing"/>
            </w:pPr>
            <w:r>
              <w:t xml:space="preserve">Nothing is mentioned for the consolidation of SPE. </w:t>
            </w:r>
          </w:p>
        </w:tc>
      </w:tr>
      <w:tr w:rsidR="00200B22" w:rsidTr="00814618">
        <w:tc>
          <w:tcPr>
            <w:tcW w:w="3080" w:type="dxa"/>
          </w:tcPr>
          <w:p w:rsidR="00200B22" w:rsidRDefault="00200B22" w:rsidP="00814618">
            <w:pPr>
              <w:pStyle w:val="NoSpacing"/>
            </w:pPr>
            <w:r>
              <w:t>Minority Interest / Non – Controlling Interest</w:t>
            </w:r>
          </w:p>
        </w:tc>
        <w:tc>
          <w:tcPr>
            <w:tcW w:w="3081" w:type="dxa"/>
          </w:tcPr>
          <w:p w:rsidR="00200B22" w:rsidRDefault="00200B22" w:rsidP="00814618">
            <w:pPr>
              <w:pStyle w:val="NoSpacing"/>
            </w:pPr>
            <w:r>
              <w:t>The term Minority Interest has been replaced by the term Non-Controlling Interest.</w:t>
            </w:r>
          </w:p>
          <w:p w:rsidR="00200B22" w:rsidRDefault="00200B22" w:rsidP="00814618">
            <w:pPr>
              <w:pStyle w:val="NoSpacing"/>
            </w:pPr>
            <w:r>
              <w:t>Two options available:</w:t>
            </w:r>
          </w:p>
          <w:p w:rsidR="00200B22" w:rsidRDefault="00200B22" w:rsidP="00200B22">
            <w:pPr>
              <w:pStyle w:val="NoSpacing"/>
              <w:numPr>
                <w:ilvl w:val="0"/>
                <w:numId w:val="3"/>
              </w:numPr>
            </w:pPr>
            <w:r>
              <w:t xml:space="preserve">Recognise Non – Controlling interest at its </w:t>
            </w:r>
            <w:r w:rsidRPr="00200B22">
              <w:rPr>
                <w:b/>
              </w:rPr>
              <w:t>Fair Value</w:t>
            </w:r>
          </w:p>
          <w:p w:rsidR="00200B22" w:rsidRPr="00DA3CBD" w:rsidRDefault="00200B22" w:rsidP="00200B22">
            <w:pPr>
              <w:pStyle w:val="NoSpacing"/>
              <w:numPr>
                <w:ilvl w:val="0"/>
                <w:numId w:val="3"/>
              </w:numPr>
            </w:pPr>
            <w:r>
              <w:t xml:space="preserve">Recognise Non- Controlling Interest at the proportionate share of the </w:t>
            </w:r>
            <w:r>
              <w:rPr>
                <w:b/>
              </w:rPr>
              <w:t>Fair V</w:t>
            </w:r>
            <w:r w:rsidRPr="00200B22">
              <w:rPr>
                <w:b/>
              </w:rPr>
              <w:t xml:space="preserve">alue of the Subsidiary company’s identifiable </w:t>
            </w:r>
            <w:r w:rsidRPr="00200B22">
              <w:rPr>
                <w:b/>
              </w:rPr>
              <w:lastRenderedPageBreak/>
              <w:t>net assets.</w:t>
            </w:r>
          </w:p>
          <w:p w:rsidR="00DA3CBD" w:rsidRDefault="00DA3CBD" w:rsidP="00DA3CBD">
            <w:pPr>
              <w:pStyle w:val="NoSpacing"/>
              <w:ind w:left="720"/>
            </w:pPr>
          </w:p>
        </w:tc>
        <w:tc>
          <w:tcPr>
            <w:tcW w:w="3081" w:type="dxa"/>
          </w:tcPr>
          <w:p w:rsidR="00200B22" w:rsidRDefault="00200B22" w:rsidP="00814618">
            <w:pPr>
              <w:pStyle w:val="NoSpacing"/>
            </w:pPr>
            <w:r>
              <w:lastRenderedPageBreak/>
              <w:t xml:space="preserve">Minority Interest has to be recognised at proportionate </w:t>
            </w:r>
            <w:r w:rsidRPr="00200B22">
              <w:rPr>
                <w:b/>
              </w:rPr>
              <w:t>Book Value</w:t>
            </w:r>
            <w:r>
              <w:rPr>
                <w:b/>
              </w:rPr>
              <w:t xml:space="preserve"> </w:t>
            </w:r>
            <w:r w:rsidRPr="00200B22">
              <w:t>of the net assets of the Subsidiary</w:t>
            </w:r>
            <w:r>
              <w:t>.</w:t>
            </w:r>
          </w:p>
        </w:tc>
      </w:tr>
      <w:tr w:rsidR="00DA3CBD" w:rsidTr="00814618">
        <w:tc>
          <w:tcPr>
            <w:tcW w:w="3080" w:type="dxa"/>
          </w:tcPr>
          <w:p w:rsidR="00DA3CBD" w:rsidRDefault="00DA3CBD" w:rsidP="00814618">
            <w:pPr>
              <w:pStyle w:val="NoSpacing"/>
            </w:pPr>
            <w:r>
              <w:lastRenderedPageBreak/>
              <w:t>Disclosure of Non-Controlling Interest</w:t>
            </w:r>
          </w:p>
        </w:tc>
        <w:tc>
          <w:tcPr>
            <w:tcW w:w="3081" w:type="dxa"/>
          </w:tcPr>
          <w:p w:rsidR="00DA3CBD" w:rsidRDefault="00DA3CBD" w:rsidP="00814618">
            <w:pPr>
              <w:pStyle w:val="NoSpacing"/>
            </w:pPr>
            <w:r>
              <w:t xml:space="preserve">As per Revised Schedule VI Non-Controlling Interest is to be disclosed as a component of Equity. </w:t>
            </w:r>
          </w:p>
        </w:tc>
        <w:tc>
          <w:tcPr>
            <w:tcW w:w="3081" w:type="dxa"/>
          </w:tcPr>
          <w:p w:rsidR="00DA3CBD" w:rsidRDefault="00DA3CBD" w:rsidP="00814618">
            <w:pPr>
              <w:pStyle w:val="NoSpacing"/>
            </w:pPr>
            <w:r>
              <w:t xml:space="preserve">As per Old Schedule VI Minority Interest has to be disclosed as a separate item from Liability and Equity in the Balance Sheet. </w:t>
            </w:r>
          </w:p>
        </w:tc>
      </w:tr>
      <w:tr w:rsidR="00200B22" w:rsidTr="00814618">
        <w:tc>
          <w:tcPr>
            <w:tcW w:w="3080" w:type="dxa"/>
          </w:tcPr>
          <w:p w:rsidR="00200B22" w:rsidRDefault="00200B22" w:rsidP="00814618">
            <w:pPr>
              <w:pStyle w:val="NoSpacing"/>
            </w:pPr>
            <w:r>
              <w:t xml:space="preserve">Loss attributable to Minority </w:t>
            </w:r>
            <w:r w:rsidR="003C4DEC">
              <w:t>Shareholders</w:t>
            </w:r>
          </w:p>
        </w:tc>
        <w:tc>
          <w:tcPr>
            <w:tcW w:w="3081" w:type="dxa"/>
          </w:tcPr>
          <w:p w:rsidR="00200B22" w:rsidRDefault="003C4DEC" w:rsidP="00814618">
            <w:pPr>
              <w:pStyle w:val="NoSpacing"/>
            </w:pPr>
            <w:r>
              <w:t xml:space="preserve">Such loss will not be adjusted against parent’s share and negative balance of minority shareholders will be shown as negative balance. </w:t>
            </w:r>
          </w:p>
        </w:tc>
        <w:tc>
          <w:tcPr>
            <w:tcW w:w="3081" w:type="dxa"/>
          </w:tcPr>
          <w:p w:rsidR="00200B22" w:rsidRDefault="00200B22" w:rsidP="00814618">
            <w:pPr>
              <w:pStyle w:val="NoSpacing"/>
            </w:pPr>
            <w:r>
              <w:t>Loss in excess of share in equity of the subsidiary to be adjusted against Parent’s Share</w:t>
            </w:r>
          </w:p>
        </w:tc>
      </w:tr>
      <w:tr w:rsidR="00E54059" w:rsidTr="00814618">
        <w:tc>
          <w:tcPr>
            <w:tcW w:w="3080" w:type="dxa"/>
          </w:tcPr>
          <w:p w:rsidR="00E54059" w:rsidRDefault="00E54059" w:rsidP="00814618">
            <w:pPr>
              <w:pStyle w:val="NoSpacing"/>
            </w:pPr>
            <w:r>
              <w:t>Treatment of Goodwill</w:t>
            </w:r>
          </w:p>
        </w:tc>
        <w:tc>
          <w:tcPr>
            <w:tcW w:w="3081" w:type="dxa"/>
          </w:tcPr>
          <w:p w:rsidR="00E54059" w:rsidRDefault="00E54059" w:rsidP="00814618">
            <w:pPr>
              <w:pStyle w:val="NoSpacing"/>
            </w:pPr>
            <w:r>
              <w:t xml:space="preserve">Acquisition of a subsidiary which meets the criteria of Business Combination, Goodwill shall be determined as per the relevant Standard. </w:t>
            </w:r>
          </w:p>
        </w:tc>
        <w:tc>
          <w:tcPr>
            <w:tcW w:w="3081" w:type="dxa"/>
          </w:tcPr>
          <w:p w:rsidR="00E54059" w:rsidRDefault="00E54059" w:rsidP="00814618">
            <w:pPr>
              <w:pStyle w:val="NoSpacing"/>
            </w:pPr>
            <w:r>
              <w:t xml:space="preserve">The difference between Purchase consideration and share of Book Value of Net Assets is considered as Goodwill. </w:t>
            </w:r>
          </w:p>
        </w:tc>
      </w:tr>
      <w:tr w:rsidR="00E54059" w:rsidTr="00814618">
        <w:tc>
          <w:tcPr>
            <w:tcW w:w="3080" w:type="dxa"/>
          </w:tcPr>
          <w:p w:rsidR="00E54059" w:rsidRDefault="00E54059" w:rsidP="00814618">
            <w:pPr>
              <w:pStyle w:val="NoSpacing"/>
            </w:pPr>
            <w:r>
              <w:t>Dilution or Sale of Interest in Subsidiary</w:t>
            </w:r>
          </w:p>
        </w:tc>
        <w:tc>
          <w:tcPr>
            <w:tcW w:w="3081" w:type="dxa"/>
          </w:tcPr>
          <w:p w:rsidR="00143BB8" w:rsidRDefault="00143BB8" w:rsidP="00143BB8">
            <w:pPr>
              <w:pStyle w:val="NoSpacing"/>
            </w:pPr>
            <w:r>
              <w:t xml:space="preserve">Changes in ownership interest which does not result loss of control are to be treated as equity Transaction (i.e. Transaction between shareholders. Remember Demerger transaction!) </w:t>
            </w:r>
            <w:proofErr w:type="gramStart"/>
            <w:r>
              <w:t>and</w:t>
            </w:r>
            <w:proofErr w:type="gramEnd"/>
            <w:r>
              <w:t xml:space="preserve"> accordingly no profit and loss would be recognised in the income statement.</w:t>
            </w:r>
          </w:p>
          <w:p w:rsidR="00143BB8" w:rsidRDefault="00143BB8" w:rsidP="00143BB8">
            <w:pPr>
              <w:pStyle w:val="NoSpacing"/>
            </w:pPr>
          </w:p>
          <w:p w:rsidR="00143BB8" w:rsidRDefault="00F569C7" w:rsidP="00143BB8">
            <w:pPr>
              <w:pStyle w:val="NoSpacing"/>
            </w:pPr>
            <w:r>
              <w:t>However, if such dilution results into losing of control treatment as per existing AS will follow except retained in</w:t>
            </w:r>
            <w:r w:rsidR="0076785B">
              <w:t xml:space="preserve">vestment shall be measured at </w:t>
            </w:r>
            <w:r w:rsidR="0076785B" w:rsidRPr="0076785B">
              <w:rPr>
                <w:b/>
              </w:rPr>
              <w:t>Fair Value</w:t>
            </w:r>
            <w:r w:rsidR="0076785B">
              <w:t xml:space="preserve"> </w:t>
            </w:r>
          </w:p>
          <w:p w:rsidR="00E54059" w:rsidRDefault="00143BB8" w:rsidP="00143BB8">
            <w:pPr>
              <w:pStyle w:val="NoSpacing"/>
            </w:pPr>
            <w:r>
              <w:t xml:space="preserve"> </w:t>
            </w:r>
          </w:p>
        </w:tc>
        <w:tc>
          <w:tcPr>
            <w:tcW w:w="3081" w:type="dxa"/>
          </w:tcPr>
          <w:p w:rsidR="00E54059" w:rsidRDefault="00143BB8" w:rsidP="00814618">
            <w:pPr>
              <w:pStyle w:val="NoSpacing"/>
            </w:pPr>
            <w:r>
              <w:t>Difference between Sale Price and Proportionate Carrying Amount of the Parent’s Ownership Interest in the subsidiary shall be recognised in Income statement and the balance of controlling interest</w:t>
            </w:r>
            <w:r w:rsidR="0076785B">
              <w:t xml:space="preserve"> (investment in Subsidiary)</w:t>
            </w:r>
            <w:r>
              <w:t xml:space="preserve"> is measured at </w:t>
            </w:r>
            <w:r>
              <w:rPr>
                <w:b/>
              </w:rPr>
              <w:t>C</w:t>
            </w:r>
            <w:r w:rsidRPr="00143BB8">
              <w:rPr>
                <w:b/>
              </w:rPr>
              <w:t>ost</w:t>
            </w:r>
            <w:r>
              <w:rPr>
                <w:b/>
              </w:rPr>
              <w:t>.</w:t>
            </w:r>
          </w:p>
        </w:tc>
      </w:tr>
      <w:tr w:rsidR="0076785B" w:rsidTr="00814618">
        <w:tc>
          <w:tcPr>
            <w:tcW w:w="3080" w:type="dxa"/>
          </w:tcPr>
          <w:p w:rsidR="0076785B" w:rsidRDefault="0076785B" w:rsidP="00814618">
            <w:pPr>
              <w:pStyle w:val="NoSpacing"/>
            </w:pPr>
            <w:r>
              <w:t>Uniform Accounting Policy</w:t>
            </w:r>
          </w:p>
        </w:tc>
        <w:tc>
          <w:tcPr>
            <w:tcW w:w="3081" w:type="dxa"/>
          </w:tcPr>
          <w:p w:rsidR="0076785B" w:rsidRDefault="00ED60FA" w:rsidP="00143BB8">
            <w:pPr>
              <w:pStyle w:val="NoSpacing"/>
            </w:pPr>
            <w:r>
              <w:t xml:space="preserve">No Impracticability exemption. It is </w:t>
            </w:r>
            <w:r w:rsidRPr="00ED60FA">
              <w:rPr>
                <w:b/>
              </w:rPr>
              <w:t>Mandatory</w:t>
            </w:r>
          </w:p>
        </w:tc>
        <w:tc>
          <w:tcPr>
            <w:tcW w:w="3081" w:type="dxa"/>
          </w:tcPr>
          <w:p w:rsidR="0076785B" w:rsidRDefault="00ED60FA" w:rsidP="00ED60FA">
            <w:pPr>
              <w:pStyle w:val="NoSpacing"/>
            </w:pPr>
            <w:r>
              <w:t>Uniform accounting policies for subsidiaries shall be maintained for consolidation unless it is impracticable to do so.</w:t>
            </w:r>
          </w:p>
        </w:tc>
      </w:tr>
      <w:tr w:rsidR="00ED60FA" w:rsidTr="00814618">
        <w:tc>
          <w:tcPr>
            <w:tcW w:w="3080" w:type="dxa"/>
          </w:tcPr>
          <w:p w:rsidR="00ED60FA" w:rsidRDefault="00ED60FA" w:rsidP="00814618">
            <w:pPr>
              <w:pStyle w:val="NoSpacing"/>
            </w:pPr>
            <w:r>
              <w:t>Accounting Period</w:t>
            </w:r>
          </w:p>
        </w:tc>
        <w:tc>
          <w:tcPr>
            <w:tcW w:w="3081" w:type="dxa"/>
          </w:tcPr>
          <w:p w:rsidR="00ED60FA" w:rsidRDefault="00ED60FA" w:rsidP="00143BB8">
            <w:pPr>
              <w:pStyle w:val="NoSpacing"/>
            </w:pPr>
            <w:r>
              <w:t xml:space="preserve">Maximum Difference is </w:t>
            </w:r>
            <w:r w:rsidRPr="00ED60FA">
              <w:rPr>
                <w:b/>
              </w:rPr>
              <w:t xml:space="preserve">three </w:t>
            </w:r>
            <w:r>
              <w:t>months.</w:t>
            </w:r>
          </w:p>
        </w:tc>
        <w:tc>
          <w:tcPr>
            <w:tcW w:w="3081" w:type="dxa"/>
          </w:tcPr>
          <w:p w:rsidR="00ED60FA" w:rsidRDefault="00ED60FA" w:rsidP="00ED60FA">
            <w:pPr>
              <w:pStyle w:val="NoSpacing"/>
            </w:pPr>
            <w:r>
              <w:t xml:space="preserve">The difference between year ending of holding and subsidiary shall be </w:t>
            </w:r>
            <w:proofErr w:type="gramStart"/>
            <w:r>
              <w:t>maximum</w:t>
            </w:r>
            <w:proofErr w:type="gramEnd"/>
            <w:r>
              <w:t xml:space="preserve"> of </w:t>
            </w:r>
            <w:r w:rsidRPr="00ED60FA">
              <w:rPr>
                <w:b/>
              </w:rPr>
              <w:t>six</w:t>
            </w:r>
            <w:r>
              <w:t xml:space="preserve"> months which is also in line with Companies Act.</w:t>
            </w:r>
          </w:p>
        </w:tc>
      </w:tr>
      <w:tr w:rsidR="00ED60FA" w:rsidTr="00814618">
        <w:tc>
          <w:tcPr>
            <w:tcW w:w="3080" w:type="dxa"/>
          </w:tcPr>
          <w:p w:rsidR="00ED60FA" w:rsidRDefault="00DA3CBD" w:rsidP="00814618">
            <w:pPr>
              <w:pStyle w:val="NoSpacing"/>
            </w:pPr>
            <w:r>
              <w:t>Put Option with Minority Shareholders</w:t>
            </w:r>
          </w:p>
        </w:tc>
        <w:tc>
          <w:tcPr>
            <w:tcW w:w="3081" w:type="dxa"/>
          </w:tcPr>
          <w:p w:rsidR="00974DCB" w:rsidRDefault="00DA3CBD" w:rsidP="00143BB8">
            <w:pPr>
              <w:pStyle w:val="NoSpacing"/>
            </w:pPr>
            <w:r>
              <w:t>Minority shareholder may have the right to sell their interest either to the company or to the Majority</w:t>
            </w:r>
            <w:r w:rsidR="00974DCB">
              <w:t xml:space="preserve"> shareholders. Exercise price of such option may be fixed </w:t>
            </w:r>
            <w:r w:rsidR="00AE4451">
              <w:t xml:space="preserve">or may be variable (fair value). Recognition of Liability </w:t>
            </w:r>
            <w:r w:rsidR="00AE4451">
              <w:lastRenderedPageBreak/>
              <w:t>is required for the above.</w:t>
            </w:r>
          </w:p>
          <w:p w:rsidR="00E03745" w:rsidRDefault="00E03745" w:rsidP="00143BB8">
            <w:pPr>
              <w:pStyle w:val="NoSpacing"/>
            </w:pPr>
          </w:p>
          <w:p w:rsidR="00E03745" w:rsidRDefault="00974DCB" w:rsidP="00143BB8">
            <w:pPr>
              <w:pStyle w:val="NoSpacing"/>
            </w:pPr>
            <w:r>
              <w:t xml:space="preserve">If the exercise price is fixed, </w:t>
            </w:r>
            <w:r w:rsidR="00AE4451">
              <w:t xml:space="preserve">The parent company needs to record the liability and has to derecognise Non-Controlling interest. Any subsequent change in such liability can be transferred to reserves or P&amp;L. However, in case of Forward or </w:t>
            </w:r>
            <w:r w:rsidR="00AE4451" w:rsidRPr="00E03745">
              <w:rPr>
                <w:b/>
              </w:rPr>
              <w:t>Synthetic Forward</w:t>
            </w:r>
            <w:r w:rsidR="00E03745">
              <w:t xml:space="preserve"> (call &amp; put taken together), such changes shall be transferred to P&amp;L only.</w:t>
            </w:r>
          </w:p>
          <w:p w:rsidR="00974DCB" w:rsidRDefault="00AE4451" w:rsidP="00143BB8">
            <w:pPr>
              <w:pStyle w:val="NoSpacing"/>
            </w:pPr>
            <w:r>
              <w:t xml:space="preserve">   </w:t>
            </w:r>
          </w:p>
          <w:p w:rsidR="00ED60FA" w:rsidRDefault="00974DCB" w:rsidP="00143BB8">
            <w:pPr>
              <w:pStyle w:val="NoSpacing"/>
            </w:pPr>
            <w:r>
              <w:t>If the put option is at Fair Value, then company has two option</w:t>
            </w:r>
            <w:r w:rsidR="00AE4451">
              <w:t>s</w:t>
            </w:r>
            <w:r>
              <w:t xml:space="preserve"> to disclose the </w:t>
            </w:r>
            <w:r w:rsidR="00AE4451">
              <w:t xml:space="preserve">potential </w:t>
            </w:r>
            <w:r>
              <w:t>liabil</w:t>
            </w:r>
            <w:r w:rsidR="00AE4451">
              <w:t>ity in the financial statement viz</w:t>
            </w:r>
            <w:r w:rsidR="00E03745">
              <w:t>.</w:t>
            </w:r>
          </w:p>
          <w:p w:rsidR="00AE4451" w:rsidRDefault="00AE4451" w:rsidP="00AE4451">
            <w:pPr>
              <w:pStyle w:val="NoSpacing"/>
              <w:numPr>
                <w:ilvl w:val="0"/>
                <w:numId w:val="4"/>
              </w:numPr>
            </w:pPr>
            <w:r>
              <w:t>Show Liability and Non-controlling Interest on a gross basis.</w:t>
            </w:r>
          </w:p>
          <w:p w:rsidR="00AE4451" w:rsidRDefault="00AE4451" w:rsidP="00AE4451">
            <w:pPr>
              <w:pStyle w:val="NoSpacing"/>
              <w:numPr>
                <w:ilvl w:val="0"/>
                <w:numId w:val="4"/>
              </w:numPr>
            </w:pPr>
            <w:r>
              <w:t>Treat the liability as settlement of the Non-Controlling interest</w:t>
            </w:r>
          </w:p>
        </w:tc>
        <w:tc>
          <w:tcPr>
            <w:tcW w:w="3081" w:type="dxa"/>
          </w:tcPr>
          <w:p w:rsidR="00ED60FA" w:rsidRDefault="00DA3CBD" w:rsidP="00ED60FA">
            <w:pPr>
              <w:pStyle w:val="NoSpacing"/>
            </w:pPr>
            <w:r>
              <w:lastRenderedPageBreak/>
              <w:t xml:space="preserve">Nothing is mentioned about it. </w:t>
            </w:r>
          </w:p>
        </w:tc>
      </w:tr>
    </w:tbl>
    <w:p w:rsidR="00814618" w:rsidRDefault="00814618" w:rsidP="00814618">
      <w:pPr>
        <w:pStyle w:val="NoSpacing"/>
      </w:pPr>
    </w:p>
    <w:p w:rsidR="002420CB" w:rsidRDefault="002420CB" w:rsidP="00814618">
      <w:pPr>
        <w:pStyle w:val="NoSpacing"/>
      </w:pPr>
    </w:p>
    <w:p w:rsidR="00A676C3" w:rsidRDefault="002420CB" w:rsidP="00814618">
      <w:pPr>
        <w:pStyle w:val="NoSpacing"/>
      </w:pPr>
      <w:r>
        <w:t xml:space="preserve">N.B: The above article is neither an advice nor meant for consultancy. </w:t>
      </w:r>
      <w:r w:rsidR="00A676C3">
        <w:t>The author will not be responsible for any consequence arises by following this article.</w:t>
      </w:r>
    </w:p>
    <w:p w:rsidR="00A676C3" w:rsidRDefault="00A676C3" w:rsidP="00814618">
      <w:pPr>
        <w:pStyle w:val="NoSpacing"/>
      </w:pPr>
    </w:p>
    <w:p w:rsidR="00A676C3" w:rsidRDefault="00A676C3" w:rsidP="00814618">
      <w:pPr>
        <w:pStyle w:val="NoSpacing"/>
      </w:pPr>
      <w:r>
        <w:t xml:space="preserve">For any further information, explanation or modification, please mail me at </w:t>
      </w:r>
      <w:hyperlink r:id="rId8" w:history="1">
        <w:r w:rsidRPr="00747DB5">
          <w:rPr>
            <w:rStyle w:val="Hyperlink"/>
          </w:rPr>
          <w:t>souvikboral@gmail.com</w:t>
        </w:r>
      </w:hyperlink>
    </w:p>
    <w:p w:rsidR="002420CB" w:rsidRPr="00814618" w:rsidRDefault="00A676C3" w:rsidP="00814618">
      <w:pPr>
        <w:pStyle w:val="NoSpacing"/>
      </w:pPr>
      <w:bookmarkStart w:id="0" w:name="_GoBack"/>
      <w:bookmarkEnd w:id="0"/>
      <w:r>
        <w:t xml:space="preserve"> </w:t>
      </w:r>
    </w:p>
    <w:sectPr w:rsidR="002420CB" w:rsidRPr="00814618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130" w:rsidRDefault="00BB7130" w:rsidP="002420CB">
      <w:pPr>
        <w:spacing w:after="0" w:line="240" w:lineRule="auto"/>
      </w:pPr>
      <w:r>
        <w:separator/>
      </w:r>
    </w:p>
  </w:endnote>
  <w:endnote w:type="continuationSeparator" w:id="0">
    <w:p w:rsidR="00BB7130" w:rsidRDefault="00BB7130" w:rsidP="00242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0CB" w:rsidRDefault="002420C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proofErr w:type="spellStart"/>
    <w:r>
      <w:rPr>
        <w:rFonts w:asciiTheme="majorHAnsi" w:eastAsiaTheme="majorEastAsia" w:hAnsiTheme="majorHAnsi" w:cstheme="majorBidi"/>
      </w:rPr>
      <w:t>Souvik</w:t>
    </w:r>
    <w:proofErr w:type="spellEnd"/>
    <w:r>
      <w:rPr>
        <w:rFonts w:asciiTheme="majorHAnsi" w:eastAsiaTheme="majorEastAsia" w:hAnsiTheme="majorHAnsi" w:cstheme="majorBidi"/>
      </w:rPr>
      <w:t xml:space="preserve"> Boral, CA, M.Com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A676C3" w:rsidRPr="00A676C3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420CB" w:rsidRDefault="002420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130" w:rsidRDefault="00BB7130" w:rsidP="002420CB">
      <w:pPr>
        <w:spacing w:after="0" w:line="240" w:lineRule="auto"/>
      </w:pPr>
      <w:r>
        <w:separator/>
      </w:r>
    </w:p>
  </w:footnote>
  <w:footnote w:type="continuationSeparator" w:id="0">
    <w:p w:rsidR="00BB7130" w:rsidRDefault="00BB7130" w:rsidP="002420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D5FBF"/>
    <w:multiLevelType w:val="hybridMultilevel"/>
    <w:tmpl w:val="EB8E54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E22A81"/>
    <w:multiLevelType w:val="hybridMultilevel"/>
    <w:tmpl w:val="D426630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3F34EF"/>
    <w:multiLevelType w:val="hybridMultilevel"/>
    <w:tmpl w:val="8594F9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F586F"/>
    <w:multiLevelType w:val="hybridMultilevel"/>
    <w:tmpl w:val="B078655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618"/>
    <w:rsid w:val="00143BB8"/>
    <w:rsid w:val="00165A4E"/>
    <w:rsid w:val="00200B22"/>
    <w:rsid w:val="002420CB"/>
    <w:rsid w:val="0031393C"/>
    <w:rsid w:val="003C4DEC"/>
    <w:rsid w:val="004819E2"/>
    <w:rsid w:val="004F2600"/>
    <w:rsid w:val="005D25B1"/>
    <w:rsid w:val="007320CE"/>
    <w:rsid w:val="0076785B"/>
    <w:rsid w:val="00814618"/>
    <w:rsid w:val="00974DCB"/>
    <w:rsid w:val="00A676C3"/>
    <w:rsid w:val="00AE4451"/>
    <w:rsid w:val="00BB7130"/>
    <w:rsid w:val="00BD2C36"/>
    <w:rsid w:val="00CE442C"/>
    <w:rsid w:val="00DA3CBD"/>
    <w:rsid w:val="00E03745"/>
    <w:rsid w:val="00E54059"/>
    <w:rsid w:val="00ED60FA"/>
    <w:rsid w:val="00F5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4618"/>
    <w:pPr>
      <w:spacing w:after="0" w:line="240" w:lineRule="auto"/>
    </w:pPr>
  </w:style>
  <w:style w:type="table" w:styleId="TableGrid">
    <w:name w:val="Table Grid"/>
    <w:basedOn w:val="TableNormal"/>
    <w:uiPriority w:val="59"/>
    <w:rsid w:val="00814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2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0CB"/>
  </w:style>
  <w:style w:type="paragraph" w:styleId="Footer">
    <w:name w:val="footer"/>
    <w:basedOn w:val="Normal"/>
    <w:link w:val="FooterChar"/>
    <w:uiPriority w:val="99"/>
    <w:unhideWhenUsed/>
    <w:rsid w:val="00242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0CB"/>
  </w:style>
  <w:style w:type="paragraph" w:styleId="BalloonText">
    <w:name w:val="Balloon Text"/>
    <w:basedOn w:val="Normal"/>
    <w:link w:val="BalloonTextChar"/>
    <w:uiPriority w:val="99"/>
    <w:semiHidden/>
    <w:unhideWhenUsed/>
    <w:rsid w:val="0024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0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7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4618"/>
    <w:pPr>
      <w:spacing w:after="0" w:line="240" w:lineRule="auto"/>
    </w:pPr>
  </w:style>
  <w:style w:type="table" w:styleId="TableGrid">
    <w:name w:val="Table Grid"/>
    <w:basedOn w:val="TableNormal"/>
    <w:uiPriority w:val="59"/>
    <w:rsid w:val="008146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42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0CB"/>
  </w:style>
  <w:style w:type="paragraph" w:styleId="Footer">
    <w:name w:val="footer"/>
    <w:basedOn w:val="Normal"/>
    <w:link w:val="FooterChar"/>
    <w:uiPriority w:val="99"/>
    <w:unhideWhenUsed/>
    <w:rsid w:val="00242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0CB"/>
  </w:style>
  <w:style w:type="paragraph" w:styleId="BalloonText">
    <w:name w:val="Balloon Text"/>
    <w:basedOn w:val="Normal"/>
    <w:link w:val="BalloonTextChar"/>
    <w:uiPriority w:val="99"/>
    <w:semiHidden/>
    <w:unhideWhenUsed/>
    <w:rsid w:val="0024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20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676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uvikboral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Monte Carlo</dc:creator>
  <cp:lastModifiedBy>Monte Carlo</cp:lastModifiedBy>
  <cp:revision>10</cp:revision>
  <dcterms:created xsi:type="dcterms:W3CDTF">2011-08-18T06:43:00Z</dcterms:created>
  <dcterms:modified xsi:type="dcterms:W3CDTF">2011-08-18T14:18:00Z</dcterms:modified>
</cp:coreProperties>
</file>