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F14" w:rsidRPr="00CB0F14" w:rsidRDefault="00CB0F14" w:rsidP="00CB0F14">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color w:val="000000" w:themeColor="text1"/>
          <w:sz w:val="27"/>
          <w:szCs w:val="27"/>
        </w:rPr>
      </w:pPr>
      <w:r w:rsidRPr="00CB0F14">
        <w:rPr>
          <w:rFonts w:ascii="Times New Roman" w:eastAsia="Times New Roman" w:hAnsi="Times New Roman" w:cs="Times New Roman"/>
          <w:b/>
          <w:bCs/>
          <w:color w:val="000000" w:themeColor="text1"/>
          <w:sz w:val="27"/>
          <w:szCs w:val="27"/>
          <w:u w:val="single"/>
        </w:rPr>
        <w:t>How to calculate Depreciation as per Schedule XIV on second-hand assets</w:t>
      </w:r>
    </w:p>
    <w:p w:rsidR="00CB0F14" w:rsidRPr="00CB0F14" w:rsidRDefault="00CB0F14" w:rsidP="00CB0F14">
      <w:pPr>
        <w:pStyle w:val="ListParagraph"/>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CB0F14">
        <w:rPr>
          <w:rFonts w:ascii="Times New Roman" w:eastAsia="Times New Roman" w:hAnsi="Times New Roman" w:cs="Times New Roman"/>
          <w:b/>
          <w:bCs/>
          <w:color w:val="000000" w:themeColor="text1"/>
          <w:sz w:val="24"/>
          <w:szCs w:val="24"/>
        </w:rPr>
        <w:t>Query:-</w:t>
      </w:r>
      <w:r w:rsidRPr="00CB0F14">
        <w:rPr>
          <w:rFonts w:ascii="Times New Roman" w:eastAsia="Times New Roman" w:hAnsi="Times New Roman" w:cs="Times New Roman"/>
          <w:color w:val="000000" w:themeColor="text1"/>
          <w:sz w:val="24"/>
          <w:szCs w:val="24"/>
        </w:rPr>
        <w:t xml:space="preserve">Acquirer Limited acquired an engineering unit of </w:t>
      </w:r>
      <w:proofErr w:type="spellStart"/>
      <w:r w:rsidRPr="00CB0F14">
        <w:rPr>
          <w:rFonts w:ascii="Times New Roman" w:eastAsia="Times New Roman" w:hAnsi="Times New Roman" w:cs="Times New Roman"/>
          <w:color w:val="000000" w:themeColor="text1"/>
          <w:sz w:val="24"/>
          <w:szCs w:val="24"/>
        </w:rPr>
        <w:t>Acquiree</w:t>
      </w:r>
      <w:proofErr w:type="spellEnd"/>
      <w:r w:rsidRPr="00CB0F14">
        <w:rPr>
          <w:rFonts w:ascii="Times New Roman" w:eastAsia="Times New Roman" w:hAnsi="Times New Roman" w:cs="Times New Roman"/>
          <w:color w:val="000000" w:themeColor="text1"/>
          <w:sz w:val="24"/>
          <w:szCs w:val="24"/>
        </w:rPr>
        <w:t xml:space="preserve"> Limited, on a going concern basis. The unit has various fixed assets such as building, plant and machinery and furniture, which were recognized in the books of Acquirer Limited at their fair value, on the date of acquisition. </w:t>
      </w:r>
      <w:proofErr w:type="spellStart"/>
      <w:r w:rsidRPr="00CB0F14">
        <w:rPr>
          <w:rFonts w:ascii="Times New Roman" w:eastAsia="Times New Roman" w:hAnsi="Times New Roman" w:cs="Times New Roman"/>
          <w:color w:val="000000" w:themeColor="text1"/>
          <w:sz w:val="24"/>
          <w:szCs w:val="24"/>
        </w:rPr>
        <w:t>Acquiree</w:t>
      </w:r>
      <w:proofErr w:type="spellEnd"/>
      <w:r w:rsidRPr="00CB0F14">
        <w:rPr>
          <w:rFonts w:ascii="Times New Roman" w:eastAsia="Times New Roman" w:hAnsi="Times New Roman" w:cs="Times New Roman"/>
          <w:color w:val="000000" w:themeColor="text1"/>
          <w:sz w:val="24"/>
          <w:szCs w:val="24"/>
        </w:rPr>
        <w:t xml:space="preserve"> has already used these assets for certain periods and claimed the depreciation thereon. For example, it has used the building for 20 years and its remaining useful life as per schedule XIV to the Companies Act, 1956, in the books of </w:t>
      </w:r>
      <w:proofErr w:type="spellStart"/>
      <w:r w:rsidRPr="00CB0F14">
        <w:rPr>
          <w:rFonts w:ascii="Times New Roman" w:eastAsia="Times New Roman" w:hAnsi="Times New Roman" w:cs="Times New Roman"/>
          <w:color w:val="000000" w:themeColor="text1"/>
          <w:sz w:val="24"/>
          <w:szCs w:val="24"/>
        </w:rPr>
        <w:t>Acquiree</w:t>
      </w:r>
      <w:proofErr w:type="spellEnd"/>
      <w:r w:rsidRPr="00CB0F14">
        <w:rPr>
          <w:rFonts w:ascii="Times New Roman" w:eastAsia="Times New Roman" w:hAnsi="Times New Roman" w:cs="Times New Roman"/>
          <w:color w:val="000000" w:themeColor="text1"/>
          <w:sz w:val="24"/>
          <w:szCs w:val="24"/>
        </w:rPr>
        <w:t xml:space="preserve">, is 38 years. Acquirer Limited is evaluating whether it can consider the useful lives of these assets afresh or it needs to reduce the period of usage by the </w:t>
      </w:r>
      <w:proofErr w:type="spellStart"/>
      <w:r w:rsidRPr="00CB0F14">
        <w:rPr>
          <w:rFonts w:ascii="Times New Roman" w:eastAsia="Times New Roman" w:hAnsi="Times New Roman" w:cs="Times New Roman"/>
          <w:color w:val="000000" w:themeColor="text1"/>
          <w:sz w:val="24"/>
          <w:szCs w:val="24"/>
        </w:rPr>
        <w:t>acquiree</w:t>
      </w:r>
      <w:proofErr w:type="spellEnd"/>
      <w:r w:rsidRPr="00CB0F14">
        <w:rPr>
          <w:rFonts w:ascii="Times New Roman" w:eastAsia="Times New Roman" w:hAnsi="Times New Roman" w:cs="Times New Roman"/>
          <w:color w:val="000000" w:themeColor="text1"/>
          <w:sz w:val="24"/>
          <w:szCs w:val="24"/>
        </w:rPr>
        <w:t xml:space="preserve"> in arriving at useful lives as per Schedule XIV?</w:t>
      </w:r>
    </w:p>
    <w:p w:rsidR="00CB0F14" w:rsidRPr="00CB0F14" w:rsidRDefault="00CB0F14" w:rsidP="00CB0F14">
      <w:pPr>
        <w:pStyle w:val="ListParagraph"/>
        <w:spacing w:before="100" w:beforeAutospacing="1" w:after="100" w:afterAutospacing="1" w:line="360" w:lineRule="auto"/>
        <w:jc w:val="both"/>
        <w:rPr>
          <w:rFonts w:ascii="Times New Roman" w:eastAsia="Times New Roman" w:hAnsi="Times New Roman" w:cs="Times New Roman"/>
          <w:b/>
          <w:bCs/>
          <w:color w:val="000000" w:themeColor="text1"/>
          <w:sz w:val="24"/>
          <w:szCs w:val="24"/>
        </w:rPr>
      </w:pPr>
    </w:p>
    <w:p w:rsidR="00CB0F14" w:rsidRPr="00CB0F14" w:rsidRDefault="00CB0F14" w:rsidP="00CB0F14">
      <w:pPr>
        <w:pStyle w:val="ListParagraph"/>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CB0F14">
        <w:rPr>
          <w:rFonts w:ascii="Times New Roman" w:eastAsia="Times New Roman" w:hAnsi="Times New Roman" w:cs="Times New Roman"/>
          <w:b/>
          <w:bCs/>
          <w:color w:val="000000" w:themeColor="text1"/>
          <w:sz w:val="24"/>
          <w:szCs w:val="24"/>
        </w:rPr>
        <w:t>Answer</w:t>
      </w:r>
      <w:proofErr w:type="gramStart"/>
      <w:r w:rsidRPr="00CB0F14">
        <w:rPr>
          <w:rFonts w:ascii="Times New Roman" w:eastAsia="Times New Roman" w:hAnsi="Times New Roman" w:cs="Times New Roman"/>
          <w:b/>
          <w:bCs/>
          <w:color w:val="000000" w:themeColor="text1"/>
          <w:sz w:val="24"/>
          <w:szCs w:val="24"/>
        </w:rPr>
        <w:t>:-</w:t>
      </w:r>
      <w:proofErr w:type="gramEnd"/>
      <w:r w:rsidRPr="00CB0F14">
        <w:rPr>
          <w:rFonts w:ascii="Times New Roman" w:eastAsia="Times New Roman" w:hAnsi="Times New Roman" w:cs="Times New Roman"/>
          <w:b/>
          <w:bCs/>
          <w:color w:val="000000" w:themeColor="text1"/>
          <w:sz w:val="24"/>
          <w:szCs w:val="24"/>
        </w:rPr>
        <w:t xml:space="preserve"> </w:t>
      </w:r>
      <w:r w:rsidRPr="00CB0F14">
        <w:rPr>
          <w:rFonts w:ascii="Times New Roman" w:eastAsia="Times New Roman" w:hAnsi="Times New Roman" w:cs="Times New Roman"/>
          <w:color w:val="000000" w:themeColor="text1"/>
          <w:sz w:val="24"/>
          <w:szCs w:val="24"/>
        </w:rPr>
        <w:t xml:space="preserve">Both schedule XIV and AS 6 Depreciation Accounting are silent on the issue of application of schedule XIV rates to second-hand assets. However, schedule XIV, as currently drafted, seems to fix the maximum life over which an asset should be depreciated. We believe that two companies are using the same asset over different periods of time may not be a valid reason for depreciating it over a period exceeding the life fixed under the schedule XIV. Keeping this in view, Acquirer Limited should reduce the period of usage by the </w:t>
      </w:r>
      <w:proofErr w:type="spellStart"/>
      <w:r w:rsidRPr="00CB0F14">
        <w:rPr>
          <w:rFonts w:ascii="Times New Roman" w:eastAsia="Times New Roman" w:hAnsi="Times New Roman" w:cs="Times New Roman"/>
          <w:color w:val="000000" w:themeColor="text1"/>
          <w:sz w:val="24"/>
          <w:szCs w:val="24"/>
        </w:rPr>
        <w:t>acquiree</w:t>
      </w:r>
      <w:proofErr w:type="spellEnd"/>
      <w:r w:rsidRPr="00CB0F14">
        <w:rPr>
          <w:rFonts w:ascii="Times New Roman" w:eastAsia="Times New Roman" w:hAnsi="Times New Roman" w:cs="Times New Roman"/>
          <w:color w:val="000000" w:themeColor="text1"/>
          <w:sz w:val="24"/>
          <w:szCs w:val="24"/>
        </w:rPr>
        <w:t xml:space="preserve"> in arriving at useful lives of fixed assets as per Schedule XIV. For the reason that this may be impracticable in some </w:t>
      </w:r>
      <w:proofErr w:type="gramStart"/>
      <w:r w:rsidRPr="00CB0F14">
        <w:rPr>
          <w:rFonts w:ascii="Times New Roman" w:eastAsia="Times New Roman" w:hAnsi="Times New Roman" w:cs="Times New Roman"/>
          <w:color w:val="000000" w:themeColor="text1"/>
          <w:sz w:val="24"/>
          <w:szCs w:val="24"/>
        </w:rPr>
        <w:t>cases,</w:t>
      </w:r>
      <w:proofErr w:type="gramEnd"/>
      <w:r w:rsidRPr="00CB0F14">
        <w:rPr>
          <w:rFonts w:ascii="Times New Roman" w:eastAsia="Times New Roman" w:hAnsi="Times New Roman" w:cs="Times New Roman"/>
          <w:color w:val="000000" w:themeColor="text1"/>
          <w:sz w:val="24"/>
          <w:szCs w:val="24"/>
        </w:rPr>
        <w:t xml:space="preserve"> and in the absence of any express prohibition to determine a fresh start depreciation rate, the view to determine useful lives afresh on second-hand assets cannot be </w:t>
      </w:r>
      <w:proofErr w:type="spellStart"/>
      <w:r w:rsidRPr="00CB0F14">
        <w:rPr>
          <w:rFonts w:ascii="Times New Roman" w:eastAsia="Times New Roman" w:hAnsi="Times New Roman" w:cs="Times New Roman"/>
          <w:color w:val="000000" w:themeColor="text1"/>
          <w:sz w:val="24"/>
          <w:szCs w:val="24"/>
        </w:rPr>
        <w:t>outrightly</w:t>
      </w:r>
      <w:proofErr w:type="spellEnd"/>
      <w:r w:rsidRPr="00CB0F14">
        <w:rPr>
          <w:rFonts w:ascii="Times New Roman" w:eastAsia="Times New Roman" w:hAnsi="Times New Roman" w:cs="Times New Roman"/>
          <w:color w:val="000000" w:themeColor="text1"/>
          <w:sz w:val="24"/>
          <w:szCs w:val="24"/>
        </w:rPr>
        <w:t xml:space="preserve"> rejected.</w:t>
      </w:r>
    </w:p>
    <w:p w:rsidR="00CB0F14" w:rsidRPr="00CB0F14" w:rsidRDefault="00CB0F14" w:rsidP="00CB0F14">
      <w:pPr>
        <w:pStyle w:val="ListParagraph"/>
        <w:spacing w:before="100" w:beforeAutospacing="1" w:after="100" w:afterAutospacing="1" w:line="360" w:lineRule="auto"/>
        <w:jc w:val="both"/>
        <w:rPr>
          <w:rFonts w:ascii="Times New Roman" w:eastAsia="Times New Roman" w:hAnsi="Times New Roman" w:cs="Times New Roman"/>
          <w:color w:val="000000" w:themeColor="text1"/>
          <w:sz w:val="24"/>
          <w:szCs w:val="24"/>
        </w:rPr>
      </w:pPr>
    </w:p>
    <w:p w:rsidR="00CB0F14" w:rsidRPr="00CB0F14" w:rsidRDefault="00CB0F14" w:rsidP="00CB0F14">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u w:val="single"/>
        </w:rPr>
      </w:pPr>
      <w:r w:rsidRPr="00CB0F14">
        <w:rPr>
          <w:b/>
          <w:color w:val="000000" w:themeColor="text1"/>
          <w:sz w:val="28"/>
          <w:szCs w:val="28"/>
          <w:u w:val="single"/>
        </w:rPr>
        <w:t>Accounting Treatment of capital reduction by the investee companies</w:t>
      </w:r>
    </w:p>
    <w:p w:rsidR="00CB0F14" w:rsidRPr="00CB0F14" w:rsidRDefault="00CB0F14" w:rsidP="00CB0F14">
      <w:pPr>
        <w:pStyle w:val="ListParagraph"/>
        <w:spacing w:before="100" w:beforeAutospacing="1" w:after="100" w:afterAutospacing="1" w:line="240" w:lineRule="auto"/>
        <w:jc w:val="both"/>
        <w:rPr>
          <w:rFonts w:ascii="Times New Roman" w:eastAsia="Times New Roman" w:hAnsi="Times New Roman" w:cs="Times New Roman"/>
          <w:sz w:val="24"/>
          <w:szCs w:val="24"/>
        </w:rPr>
      </w:pPr>
    </w:p>
    <w:p w:rsidR="00CB0F14" w:rsidRPr="00CB0F14" w:rsidRDefault="00CB0F14" w:rsidP="00CB0F14">
      <w:pPr>
        <w:pStyle w:val="ListParagraph"/>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B0F14">
        <w:rPr>
          <w:rFonts w:ascii="Times New Roman" w:eastAsia="Times New Roman" w:hAnsi="Times New Roman" w:cs="Times New Roman"/>
          <w:b/>
          <w:bCs/>
          <w:sz w:val="24"/>
          <w:szCs w:val="24"/>
          <w:u w:val="single"/>
        </w:rPr>
        <w:t>Query :-</w:t>
      </w:r>
      <w:proofErr w:type="gramEnd"/>
      <w:r w:rsidRPr="00CB0F14">
        <w:rPr>
          <w:rFonts w:ascii="Times New Roman" w:eastAsia="Times New Roman" w:hAnsi="Times New Roman" w:cs="Times New Roman"/>
          <w:b/>
          <w:bCs/>
          <w:sz w:val="24"/>
          <w:szCs w:val="24"/>
          <w:u w:val="single"/>
        </w:rPr>
        <w:t xml:space="preserve">   I</w:t>
      </w:r>
      <w:r w:rsidRPr="00CB0F14">
        <w:rPr>
          <w:rFonts w:ascii="Times New Roman" w:eastAsia="Times New Roman" w:hAnsi="Times New Roman" w:cs="Times New Roman"/>
          <w:sz w:val="24"/>
          <w:szCs w:val="24"/>
        </w:rPr>
        <w:t>nvestor Limited (the company) acquired 1,000,000 equity shares of Rs. 10 each in Investee Limited (investee), for the acquisition date fair value of Rs. 9 million. In the past, Investee Limited had incurred losses, which were attributable to the investee's venture in a new line of business and exceptional events such as economic recession. Over the period, the line of business has stabilized and started generating profits. In addition, the economic environment has improved significantly. Therefore, the investee expects to generate significant profits in the future periods. However, to write off the past losses, the investee has entered a capital reduction scheme. According to the scheme, it will reduce the face value of each share to Rs. 7 per share and adjust the resulting amount against the past losses. </w:t>
      </w:r>
    </w:p>
    <w:p w:rsidR="00CB0F14" w:rsidRPr="00CB0F14" w:rsidRDefault="00CB0F14" w:rsidP="00CB0F14">
      <w:pPr>
        <w:pStyle w:val="ListParagraph"/>
        <w:spacing w:before="100" w:beforeAutospacing="1" w:after="100" w:afterAutospacing="1" w:line="240" w:lineRule="auto"/>
        <w:jc w:val="both"/>
        <w:rPr>
          <w:rFonts w:ascii="Times New Roman" w:eastAsia="Times New Roman" w:hAnsi="Times New Roman" w:cs="Times New Roman"/>
          <w:sz w:val="24"/>
          <w:szCs w:val="24"/>
        </w:rPr>
      </w:pPr>
      <w:r w:rsidRPr="00CB0F14">
        <w:rPr>
          <w:rFonts w:ascii="Times New Roman" w:eastAsia="Times New Roman" w:hAnsi="Times New Roman" w:cs="Times New Roman"/>
          <w:sz w:val="24"/>
          <w:szCs w:val="24"/>
        </w:rPr>
        <w:t xml:space="preserve">Investor Limited holds the investment in Investee Limited for long-term purposes. The management of Investor Limited has assessed that despite the past losses, there is none </w:t>
      </w:r>
      <w:proofErr w:type="gramStart"/>
      <w:r w:rsidRPr="00CB0F14">
        <w:rPr>
          <w:rFonts w:ascii="Times New Roman" w:eastAsia="Times New Roman" w:hAnsi="Times New Roman" w:cs="Times New Roman"/>
          <w:sz w:val="24"/>
          <w:szCs w:val="24"/>
        </w:rPr>
        <w:lastRenderedPageBreak/>
        <w:t>other</w:t>
      </w:r>
      <w:proofErr w:type="gramEnd"/>
      <w:r w:rsidRPr="00CB0F14">
        <w:rPr>
          <w:rFonts w:ascii="Times New Roman" w:eastAsia="Times New Roman" w:hAnsi="Times New Roman" w:cs="Times New Roman"/>
          <w:sz w:val="24"/>
          <w:szCs w:val="24"/>
        </w:rPr>
        <w:t xml:space="preserve"> than temporary reduction in the value of the investment. However, it is evaluating whether it needs to write off a proportionate amount of the investment considering the capital reduction by the investee.</w:t>
      </w:r>
      <w:r w:rsidRPr="00CB0F14">
        <w:rPr>
          <w:rFonts w:ascii="Times New Roman" w:eastAsia="Times New Roman" w:hAnsi="Times New Roman" w:cs="Times New Roman"/>
          <w:b/>
          <w:bCs/>
          <w:sz w:val="24"/>
          <w:szCs w:val="24"/>
        </w:rPr>
        <w:t> </w:t>
      </w:r>
    </w:p>
    <w:p w:rsidR="00CB0F14" w:rsidRDefault="00CB0F14" w:rsidP="00CB0F14">
      <w:pPr>
        <w:pStyle w:val="ListParagraph"/>
        <w:spacing w:before="100" w:beforeAutospacing="1" w:after="100" w:afterAutospacing="1" w:line="240" w:lineRule="auto"/>
        <w:jc w:val="both"/>
        <w:rPr>
          <w:rFonts w:ascii="Times New Roman" w:eastAsia="Times New Roman" w:hAnsi="Times New Roman" w:cs="Times New Roman"/>
          <w:b/>
          <w:bCs/>
          <w:sz w:val="24"/>
          <w:szCs w:val="24"/>
          <w:u w:val="single"/>
        </w:rPr>
      </w:pPr>
    </w:p>
    <w:p w:rsidR="00CB0F14" w:rsidRPr="00CB0F14" w:rsidRDefault="00CB0F14" w:rsidP="00CB0F14">
      <w:pPr>
        <w:pStyle w:val="ListParagraph"/>
        <w:spacing w:before="100" w:beforeAutospacing="1" w:after="100" w:afterAutospacing="1" w:line="240" w:lineRule="auto"/>
        <w:jc w:val="both"/>
        <w:rPr>
          <w:rFonts w:ascii="Times New Roman" w:eastAsia="Times New Roman" w:hAnsi="Times New Roman" w:cs="Times New Roman"/>
          <w:sz w:val="24"/>
          <w:szCs w:val="24"/>
        </w:rPr>
      </w:pPr>
      <w:r w:rsidRPr="00CB0F14">
        <w:rPr>
          <w:rFonts w:ascii="Times New Roman" w:eastAsia="Times New Roman" w:hAnsi="Times New Roman" w:cs="Times New Roman"/>
          <w:b/>
          <w:bCs/>
          <w:sz w:val="24"/>
          <w:szCs w:val="24"/>
          <w:u w:val="single"/>
        </w:rPr>
        <w:t>Response</w:t>
      </w:r>
    </w:p>
    <w:p w:rsidR="00CB0F14" w:rsidRDefault="00CB0F14" w:rsidP="00CB0F14">
      <w:pPr>
        <w:pStyle w:val="ListParagraph"/>
        <w:spacing w:before="100" w:beforeAutospacing="1" w:after="100" w:afterAutospacing="1" w:line="240" w:lineRule="auto"/>
        <w:jc w:val="both"/>
        <w:rPr>
          <w:rFonts w:ascii="Times New Roman" w:eastAsia="Times New Roman" w:hAnsi="Times New Roman" w:cs="Times New Roman"/>
          <w:sz w:val="24"/>
          <w:szCs w:val="24"/>
        </w:rPr>
      </w:pPr>
    </w:p>
    <w:p w:rsidR="00CB0F14" w:rsidRPr="00CB0F14" w:rsidRDefault="00CB0F14" w:rsidP="00CB0F14">
      <w:pPr>
        <w:pStyle w:val="ListParagraph"/>
        <w:spacing w:before="100" w:beforeAutospacing="1" w:after="100" w:afterAutospacing="1" w:line="240" w:lineRule="auto"/>
        <w:jc w:val="both"/>
        <w:rPr>
          <w:rFonts w:ascii="Times New Roman" w:eastAsia="Times New Roman" w:hAnsi="Times New Roman" w:cs="Times New Roman"/>
          <w:sz w:val="24"/>
          <w:szCs w:val="24"/>
        </w:rPr>
      </w:pPr>
      <w:r w:rsidRPr="00CB0F14">
        <w:rPr>
          <w:rFonts w:ascii="Times New Roman" w:eastAsia="Times New Roman" w:hAnsi="Times New Roman" w:cs="Times New Roman"/>
          <w:sz w:val="24"/>
          <w:szCs w:val="24"/>
        </w:rPr>
        <w:t>AS 13 Accounting for Investments requires long-term investments to be carried at a cost. However, the provision for diminution will be made to recognize a decline, other than temporary, in the value of investments. </w:t>
      </w:r>
    </w:p>
    <w:p w:rsidR="00CB0F14" w:rsidRPr="00CB0F14" w:rsidRDefault="00CB0F14" w:rsidP="00CB0F14">
      <w:pPr>
        <w:pStyle w:val="ListParagraph"/>
        <w:spacing w:before="100" w:beforeAutospacing="1" w:after="100" w:afterAutospacing="1" w:line="240" w:lineRule="auto"/>
        <w:jc w:val="both"/>
        <w:rPr>
          <w:rFonts w:ascii="Times New Roman" w:eastAsia="Times New Roman" w:hAnsi="Times New Roman" w:cs="Times New Roman"/>
          <w:sz w:val="24"/>
          <w:szCs w:val="24"/>
        </w:rPr>
      </w:pPr>
      <w:r w:rsidRPr="00CB0F14">
        <w:rPr>
          <w:rFonts w:ascii="Times New Roman" w:eastAsia="Times New Roman" w:hAnsi="Times New Roman" w:cs="Times New Roman"/>
          <w:sz w:val="24"/>
          <w:szCs w:val="24"/>
        </w:rPr>
        <w:t xml:space="preserve">Though AS 13 does not require a company to write off its investments merely for the reason of capital reduction by the investee; however, in a typical scenario, this may be a </w:t>
      </w:r>
      <w:proofErr w:type="gramStart"/>
      <w:r w:rsidRPr="00CB0F14">
        <w:rPr>
          <w:rFonts w:ascii="Times New Roman" w:eastAsia="Times New Roman" w:hAnsi="Times New Roman" w:cs="Times New Roman"/>
          <w:sz w:val="24"/>
          <w:szCs w:val="24"/>
        </w:rPr>
        <w:t>strong</w:t>
      </w:r>
      <w:proofErr w:type="gramEnd"/>
      <w:r w:rsidRPr="00CB0F14">
        <w:rPr>
          <w:rFonts w:ascii="Times New Roman" w:eastAsia="Times New Roman" w:hAnsi="Times New Roman" w:cs="Times New Roman"/>
          <w:sz w:val="24"/>
          <w:szCs w:val="24"/>
        </w:rPr>
        <w:t xml:space="preserve"> indicator of the other than temporary decline in the value of investment. In the given case, Investor Limited should evaluate these matters thoroughly before reaching a decision.</w:t>
      </w:r>
    </w:p>
    <w:p w:rsidR="00CB0F14" w:rsidRPr="00CB0F14" w:rsidRDefault="00CB0F14" w:rsidP="00CB0F14">
      <w:pPr>
        <w:pStyle w:val="ListParagraph"/>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u w:val="single"/>
        </w:rPr>
      </w:pPr>
    </w:p>
    <w:p w:rsidR="00CB0F14" w:rsidRPr="00CB0F14" w:rsidRDefault="00CB0F14" w:rsidP="00CB0F14">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u w:val="single"/>
        </w:rPr>
      </w:pPr>
    </w:p>
    <w:p w:rsidR="009D081D" w:rsidRPr="009D081D" w:rsidRDefault="009D081D" w:rsidP="009D081D">
      <w:pPr>
        <w:pStyle w:val="ListParagraph"/>
        <w:numPr>
          <w:ilvl w:val="0"/>
          <w:numId w:val="1"/>
        </w:num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rPr>
      </w:pPr>
      <w:r w:rsidRPr="009D081D">
        <w:rPr>
          <w:b/>
          <w:color w:val="000000" w:themeColor="text1"/>
          <w:sz w:val="28"/>
          <w:szCs w:val="28"/>
        </w:rPr>
        <w:t xml:space="preserve"> </w:t>
      </w:r>
      <w:hyperlink r:id="rId5" w:tooltip="Treatment of expenses incurred on restoring the damage caused by fire" w:history="1">
        <w:r w:rsidRPr="009D081D">
          <w:rPr>
            <w:rStyle w:val="Hyperlink"/>
            <w:b/>
            <w:color w:val="000000" w:themeColor="text1"/>
            <w:sz w:val="28"/>
            <w:szCs w:val="28"/>
          </w:rPr>
          <w:t>Treatment of expenses incurred on restoring the damage caused by fire</w:t>
        </w:r>
      </w:hyperlink>
    </w:p>
    <w:p w:rsidR="009D081D" w:rsidRPr="009D081D" w:rsidRDefault="009D081D" w:rsidP="009D081D">
      <w:pPr>
        <w:spacing w:before="100" w:beforeAutospacing="1" w:after="100" w:afterAutospacing="1" w:line="240" w:lineRule="auto"/>
        <w:ind w:firstLine="360"/>
        <w:jc w:val="both"/>
        <w:rPr>
          <w:rFonts w:ascii="Times New Roman" w:eastAsia="Times New Roman" w:hAnsi="Times New Roman" w:cs="Times New Roman"/>
          <w:sz w:val="24"/>
          <w:szCs w:val="24"/>
        </w:rPr>
      </w:pPr>
      <w:r w:rsidRPr="009D081D">
        <w:rPr>
          <w:rFonts w:ascii="Times New Roman" w:eastAsia="Times New Roman" w:hAnsi="Times New Roman" w:cs="Times New Roman"/>
          <w:b/>
          <w:bCs/>
          <w:sz w:val="24"/>
          <w:szCs w:val="24"/>
        </w:rPr>
        <w:t>Query</w:t>
      </w:r>
      <w:r w:rsidRPr="009D081D">
        <w:rPr>
          <w:rFonts w:ascii="Times New Roman" w:eastAsia="Times New Roman" w:hAnsi="Times New Roman" w:cs="Times New Roman"/>
          <w:sz w:val="24"/>
          <w:szCs w:val="24"/>
        </w:rPr>
        <w:t> </w:t>
      </w:r>
    </w:p>
    <w:p w:rsidR="009D081D" w:rsidRPr="009D081D" w:rsidRDefault="009D081D" w:rsidP="009D081D">
      <w:pPr>
        <w:spacing w:before="100" w:beforeAutospacing="1" w:after="100" w:afterAutospacing="1" w:line="240" w:lineRule="auto"/>
        <w:ind w:left="360"/>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t>A fire broke out in the factory premises of Manufacture Limited (the company), destroying 40% of its major plant. At the date of fire, the carrying amount of the plant (including destroyed portion) was 2160 million. The company needs to incur an amount of 2100 million to restore the destroyed portion. At the reporting date, the restoration work is in progress. The management believes that the company has not followed the component accounting under Indian GAAP and it will therefore apply the subsequent expenditure-related guidance. The application of this guidance will require the company to write off any subsequent expenditure incurred on the asset. Therefore, there is no need to write off the damaged portion of the plant. </w:t>
      </w:r>
    </w:p>
    <w:p w:rsidR="009D081D" w:rsidRPr="009D081D" w:rsidRDefault="009D081D" w:rsidP="009D081D">
      <w:pPr>
        <w:spacing w:before="100" w:beforeAutospacing="1" w:after="100" w:afterAutospacing="1" w:line="240" w:lineRule="auto"/>
        <w:ind w:left="360"/>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t>The company has filed an insurance claim of Z90 million toward the damage. The management believes that considering the potential recovery, it need not write off the expenses incurred on the restoration work to the extent they are covered under the claim. Do you agree with the management views?</w:t>
      </w:r>
    </w:p>
    <w:p w:rsidR="009D081D" w:rsidRPr="009D081D" w:rsidRDefault="009D081D" w:rsidP="009D081D">
      <w:pPr>
        <w:spacing w:before="100" w:beforeAutospacing="1" w:after="100" w:afterAutospacing="1" w:line="240" w:lineRule="auto"/>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t> </w:t>
      </w:r>
    </w:p>
    <w:p w:rsidR="009D081D" w:rsidRPr="009D081D" w:rsidRDefault="009D081D" w:rsidP="009D081D">
      <w:pPr>
        <w:spacing w:before="100" w:beforeAutospacing="1" w:after="100" w:afterAutospacing="1" w:line="240" w:lineRule="auto"/>
        <w:ind w:firstLine="360"/>
        <w:jc w:val="both"/>
        <w:rPr>
          <w:rFonts w:ascii="Times New Roman" w:eastAsia="Times New Roman" w:hAnsi="Times New Roman" w:cs="Times New Roman"/>
          <w:sz w:val="24"/>
          <w:szCs w:val="24"/>
        </w:rPr>
      </w:pPr>
      <w:r w:rsidRPr="009D081D">
        <w:rPr>
          <w:rFonts w:ascii="Times New Roman" w:eastAsia="Times New Roman" w:hAnsi="Times New Roman" w:cs="Times New Roman"/>
          <w:b/>
          <w:bCs/>
          <w:sz w:val="24"/>
          <w:szCs w:val="24"/>
        </w:rPr>
        <w:t>Response</w:t>
      </w:r>
    </w:p>
    <w:p w:rsidR="009D081D" w:rsidRPr="009D081D" w:rsidRDefault="009D081D" w:rsidP="009D081D">
      <w:pPr>
        <w:spacing w:before="100" w:beforeAutospacing="1" w:after="100" w:afterAutospacing="1" w:line="240" w:lineRule="auto"/>
        <w:ind w:left="360"/>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t>As stated by the management, AS 10 Accounting for Fixed Assets does not provide any specific guidance on expenses incurred in the extant scenario. Therefore, the treatment suggested by the management for restoration expenses may be one possible view. However, in our view, this may not be the most appropriate treatment in the given scenario. </w:t>
      </w:r>
    </w:p>
    <w:p w:rsidR="009D081D" w:rsidRPr="009D081D" w:rsidRDefault="009D081D" w:rsidP="009D081D">
      <w:pPr>
        <w:spacing w:before="100" w:beforeAutospacing="1" w:after="100" w:afterAutospacing="1" w:line="240" w:lineRule="auto"/>
        <w:ind w:left="360"/>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lastRenderedPageBreak/>
        <w:t>The damage caused by the fire has resulted in an impairment/ partial loss of the plant, which should be recognized in the profit or loss. After the fire, the plant may be in a non-working condition or its output will reduce significantly. The restoration expenses are incurred to bring the plant back to its normal working condition. This effectively increases the benefit of the plant from its previously assessed standard of performance, i.e., the post-fire scenario. As such, the company should capitalize 2100 million incurred to restore the destroyed portion of the plant. </w:t>
      </w:r>
    </w:p>
    <w:p w:rsidR="009D081D" w:rsidRPr="009D081D" w:rsidRDefault="009D081D" w:rsidP="009D081D">
      <w:pPr>
        <w:spacing w:before="100" w:beforeAutospacing="1" w:after="100" w:afterAutospacing="1" w:line="240" w:lineRule="auto"/>
        <w:ind w:left="360"/>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t>We believe that the recovery of the insurance claim is a separate economic event, from the damage caused by the fire and restoration expense. The company cannot treat these events together. It should treat three events as below: </w:t>
      </w:r>
    </w:p>
    <w:p w:rsidR="009D081D" w:rsidRPr="009D081D" w:rsidRDefault="009D081D" w:rsidP="009D081D">
      <w:pPr>
        <w:spacing w:before="100" w:beforeAutospacing="1" w:after="100" w:afterAutospacing="1" w:line="240" w:lineRule="auto"/>
        <w:ind w:left="720"/>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t>(a)        Write-off the portion destroyed by the fire when this loss takes place</w:t>
      </w:r>
    </w:p>
    <w:p w:rsidR="009D081D" w:rsidRPr="009D081D" w:rsidRDefault="009D081D" w:rsidP="009D081D">
      <w:pPr>
        <w:spacing w:before="100" w:beforeAutospacing="1" w:after="100" w:afterAutospacing="1" w:line="240" w:lineRule="auto"/>
        <w:ind w:left="720"/>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t>(b)        Capitalize the cost of restoring damage caused by the fire in accordance with the generic requirements of the standard</w:t>
      </w:r>
    </w:p>
    <w:p w:rsidR="009D081D" w:rsidRPr="009D081D" w:rsidRDefault="009D081D" w:rsidP="009D081D">
      <w:pPr>
        <w:spacing w:before="100" w:beforeAutospacing="1" w:after="100" w:afterAutospacing="1" w:line="240" w:lineRule="auto"/>
        <w:ind w:left="720"/>
        <w:jc w:val="both"/>
        <w:rPr>
          <w:rFonts w:ascii="Times New Roman" w:eastAsia="Times New Roman" w:hAnsi="Times New Roman" w:cs="Times New Roman"/>
          <w:sz w:val="24"/>
          <w:szCs w:val="24"/>
        </w:rPr>
      </w:pPr>
      <w:r w:rsidRPr="009D081D">
        <w:rPr>
          <w:rFonts w:ascii="Times New Roman" w:eastAsia="Times New Roman" w:hAnsi="Times New Roman" w:cs="Times New Roman"/>
          <w:sz w:val="24"/>
          <w:szCs w:val="24"/>
        </w:rPr>
        <w:t>(c) Include the insurance claim in the profit or loss when it becomes receivable</w:t>
      </w:r>
    </w:p>
    <w:sectPr w:rsidR="009D081D" w:rsidRPr="009D08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B12047"/>
    <w:multiLevelType w:val="hybridMultilevel"/>
    <w:tmpl w:val="63F4FB70"/>
    <w:lvl w:ilvl="0" w:tplc="8F149106">
      <w:start w:val="1"/>
      <w:numFmt w:val="decimal"/>
      <w:lvlText w:val="%1."/>
      <w:lvlJc w:val="left"/>
      <w:pPr>
        <w:ind w:left="720" w:hanging="360"/>
      </w:pPr>
      <w:rPr>
        <w:rFonts w:hint="default"/>
        <w:color w:val="000000" w:themeColor="text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B0F14"/>
    <w:rsid w:val="00347349"/>
    <w:rsid w:val="009D081D"/>
    <w:rsid w:val="00CB0F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B0F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B0F1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0F14"/>
    <w:rPr>
      <w:color w:val="0000FF"/>
      <w:u w:val="single"/>
    </w:rPr>
  </w:style>
  <w:style w:type="paragraph" w:styleId="ListParagraph">
    <w:name w:val="List Paragraph"/>
    <w:basedOn w:val="Normal"/>
    <w:uiPriority w:val="34"/>
    <w:qFormat/>
    <w:rsid w:val="00CB0F14"/>
    <w:pPr>
      <w:ind w:left="720"/>
      <w:contextualSpacing/>
    </w:pPr>
  </w:style>
  <w:style w:type="character" w:customStyle="1" w:styleId="ilad">
    <w:name w:val="il_ad"/>
    <w:basedOn w:val="DefaultParagraphFont"/>
    <w:rsid w:val="00CB0F14"/>
  </w:style>
</w:styles>
</file>

<file path=word/webSettings.xml><?xml version="1.0" encoding="utf-8"?>
<w:webSettings xmlns:r="http://schemas.openxmlformats.org/officeDocument/2006/relationships" xmlns:w="http://schemas.openxmlformats.org/wordprocessingml/2006/main">
  <w:divs>
    <w:div w:id="370494166">
      <w:bodyDiv w:val="1"/>
      <w:marLeft w:val="0"/>
      <w:marRight w:val="0"/>
      <w:marTop w:val="0"/>
      <w:marBottom w:val="0"/>
      <w:divBdr>
        <w:top w:val="none" w:sz="0" w:space="0" w:color="auto"/>
        <w:left w:val="none" w:sz="0" w:space="0" w:color="auto"/>
        <w:bottom w:val="none" w:sz="0" w:space="0" w:color="auto"/>
        <w:right w:val="none" w:sz="0" w:space="0" w:color="auto"/>
      </w:divBdr>
    </w:div>
    <w:div w:id="551232296">
      <w:bodyDiv w:val="1"/>
      <w:marLeft w:val="0"/>
      <w:marRight w:val="0"/>
      <w:marTop w:val="0"/>
      <w:marBottom w:val="0"/>
      <w:divBdr>
        <w:top w:val="none" w:sz="0" w:space="0" w:color="auto"/>
        <w:left w:val="none" w:sz="0" w:space="0" w:color="auto"/>
        <w:bottom w:val="none" w:sz="0" w:space="0" w:color="auto"/>
        <w:right w:val="none" w:sz="0" w:space="0" w:color="auto"/>
      </w:divBdr>
    </w:div>
    <w:div w:id="743718543">
      <w:bodyDiv w:val="1"/>
      <w:marLeft w:val="0"/>
      <w:marRight w:val="0"/>
      <w:marTop w:val="0"/>
      <w:marBottom w:val="0"/>
      <w:divBdr>
        <w:top w:val="none" w:sz="0" w:space="0" w:color="auto"/>
        <w:left w:val="none" w:sz="0" w:space="0" w:color="auto"/>
        <w:bottom w:val="none" w:sz="0" w:space="0" w:color="auto"/>
        <w:right w:val="none" w:sz="0" w:space="0" w:color="auto"/>
      </w:divBdr>
    </w:div>
    <w:div w:id="897743208">
      <w:bodyDiv w:val="1"/>
      <w:marLeft w:val="0"/>
      <w:marRight w:val="0"/>
      <w:marTop w:val="0"/>
      <w:marBottom w:val="0"/>
      <w:divBdr>
        <w:top w:val="none" w:sz="0" w:space="0" w:color="auto"/>
        <w:left w:val="none" w:sz="0" w:space="0" w:color="auto"/>
        <w:bottom w:val="none" w:sz="0" w:space="0" w:color="auto"/>
        <w:right w:val="none" w:sz="0" w:space="0" w:color="auto"/>
      </w:divBdr>
    </w:div>
    <w:div w:id="1000738150">
      <w:bodyDiv w:val="1"/>
      <w:marLeft w:val="0"/>
      <w:marRight w:val="0"/>
      <w:marTop w:val="0"/>
      <w:marBottom w:val="0"/>
      <w:divBdr>
        <w:top w:val="none" w:sz="0" w:space="0" w:color="auto"/>
        <w:left w:val="none" w:sz="0" w:space="0" w:color="auto"/>
        <w:bottom w:val="none" w:sz="0" w:space="0" w:color="auto"/>
        <w:right w:val="none" w:sz="0" w:space="0" w:color="auto"/>
      </w:divBdr>
    </w:div>
    <w:div w:id="1099370675">
      <w:bodyDiv w:val="1"/>
      <w:marLeft w:val="0"/>
      <w:marRight w:val="0"/>
      <w:marTop w:val="0"/>
      <w:marBottom w:val="0"/>
      <w:divBdr>
        <w:top w:val="none" w:sz="0" w:space="0" w:color="auto"/>
        <w:left w:val="none" w:sz="0" w:space="0" w:color="auto"/>
        <w:bottom w:val="none" w:sz="0" w:space="0" w:color="auto"/>
        <w:right w:val="none" w:sz="0" w:space="0" w:color="auto"/>
      </w:divBdr>
    </w:div>
    <w:div w:id="1807814997">
      <w:bodyDiv w:val="1"/>
      <w:marLeft w:val="0"/>
      <w:marRight w:val="0"/>
      <w:marTop w:val="0"/>
      <w:marBottom w:val="0"/>
      <w:divBdr>
        <w:top w:val="none" w:sz="0" w:space="0" w:color="auto"/>
        <w:left w:val="none" w:sz="0" w:space="0" w:color="auto"/>
        <w:bottom w:val="none" w:sz="0" w:space="0" w:color="auto"/>
        <w:right w:val="none" w:sz="0" w:space="0" w:color="auto"/>
      </w:divBdr>
    </w:div>
    <w:div w:id="1849521765">
      <w:bodyDiv w:val="1"/>
      <w:marLeft w:val="0"/>
      <w:marRight w:val="0"/>
      <w:marTop w:val="0"/>
      <w:marBottom w:val="0"/>
      <w:divBdr>
        <w:top w:val="none" w:sz="0" w:space="0" w:color="auto"/>
        <w:left w:val="none" w:sz="0" w:space="0" w:color="auto"/>
        <w:bottom w:val="none" w:sz="0" w:space="0" w:color="auto"/>
        <w:right w:val="none" w:sz="0" w:space="0" w:color="auto"/>
      </w:divBdr>
    </w:div>
    <w:div w:id="1870801251">
      <w:bodyDiv w:val="1"/>
      <w:marLeft w:val="0"/>
      <w:marRight w:val="0"/>
      <w:marTop w:val="0"/>
      <w:marBottom w:val="0"/>
      <w:divBdr>
        <w:top w:val="none" w:sz="0" w:space="0" w:color="auto"/>
        <w:left w:val="none" w:sz="0" w:space="0" w:color="auto"/>
        <w:bottom w:val="none" w:sz="0" w:space="0" w:color="auto"/>
        <w:right w:val="none" w:sz="0" w:space="0" w:color="auto"/>
      </w:divBdr>
    </w:div>
    <w:div w:id="199232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axguru.in/articles/display/214/Treatment+of+expenses+incurred+on+restoring+the+damage+caused+by+fi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944</Words>
  <Characters>5387</Characters>
  <Application>Microsoft Office Word</Application>
  <DocSecurity>0</DocSecurity>
  <Lines>44</Lines>
  <Paragraphs>12</Paragraphs>
  <ScaleCrop>false</ScaleCrop>
  <Company>richlook</Company>
  <LinksUpToDate>false</LinksUpToDate>
  <CharactersWithSpaces>6319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4</cp:revision>
  <dcterms:created xsi:type="dcterms:W3CDTF">2011-01-04T06:06:00Z</dcterms:created>
  <dcterms:modified xsi:type="dcterms:W3CDTF">2011-01-04T06:15:00Z</dcterms:modified>
</cp:coreProperties>
</file>